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8415C1">
      <w:pPr>
        <w:adjustRightInd/>
        <w:spacing w:line="360" w:lineRule="auto"/>
        <w:rPr>
          <w:rFonts w:hint="eastAsia" w:ascii="宋体" w:hAnsi="宋体" w:eastAsia="宋体" w:cs="宋体"/>
          <w:b/>
          <w:color w:val="auto"/>
          <w:sz w:val="44"/>
          <w:szCs w:val="44"/>
          <w:highlight w:val="none"/>
          <w:lang w:eastAsia="zh-CN"/>
        </w:rPr>
      </w:pPr>
      <w:r>
        <w:rPr>
          <w:rFonts w:hint="eastAsia" w:ascii="宋体" w:hAnsi="宋体" w:eastAsia="宋体" w:cs="宋体"/>
          <w:b/>
          <w:color w:val="auto"/>
          <w:sz w:val="44"/>
          <w:szCs w:val="44"/>
          <w:highlight w:val="none"/>
          <w:lang w:eastAsia="zh-CN"/>
        </w:rPr>
        <w:drawing>
          <wp:inline distT="0" distB="0" distL="114300" distR="114300">
            <wp:extent cx="6400800" cy="9048115"/>
            <wp:effectExtent l="0" t="0" r="0" b="635"/>
            <wp:docPr id="12" name="图片 12" descr="ScanData_20250624205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ScanData_20250624205516"/>
                    <pic:cNvPicPr>
                      <a:picLocks noChangeAspect="1"/>
                    </pic:cNvPicPr>
                  </pic:nvPicPr>
                  <pic:blipFill>
                    <a:blip r:embed="rId23"/>
                    <a:stretch>
                      <a:fillRect/>
                    </a:stretch>
                  </pic:blipFill>
                  <pic:spPr>
                    <a:xfrm>
                      <a:off x="0" y="0"/>
                      <a:ext cx="6400800" cy="9048115"/>
                    </a:xfrm>
                    <a:prstGeom prst="rect">
                      <a:avLst/>
                    </a:prstGeom>
                  </pic:spPr>
                </pic:pic>
              </a:graphicData>
            </a:graphic>
          </wp:inline>
        </w:drawing>
      </w:r>
    </w:p>
    <w:p w14:paraId="079402F9">
      <w:pPr>
        <w:pStyle w:val="966"/>
        <w:spacing w:line="360" w:lineRule="auto"/>
        <w:jc w:val="center"/>
        <w:rPr>
          <w:rFonts w:hint="eastAsia" w:ascii="宋体" w:hAnsi="宋体" w:eastAsia="宋体" w:cs="宋体"/>
          <w:b/>
          <w:color w:val="auto"/>
          <w:sz w:val="40"/>
          <w:highlight w:val="none"/>
          <w:lang w:val="zh-CN"/>
        </w:rPr>
      </w:pPr>
      <w:bookmarkStart w:id="0" w:name="_Hlt91233176"/>
      <w:bookmarkEnd w:id="0"/>
      <w:bookmarkStart w:id="1" w:name="_Toc91899869"/>
      <w:r>
        <w:rPr>
          <w:rFonts w:hint="eastAsia" w:ascii="宋体" w:hAnsi="宋体" w:eastAsia="宋体" w:cs="宋体"/>
          <w:b/>
          <w:color w:val="auto"/>
          <w:sz w:val="40"/>
          <w:highlight w:val="none"/>
          <w:lang w:val="zh-CN"/>
        </w:rPr>
        <w:t>目</w:t>
      </w:r>
      <w:r>
        <w:rPr>
          <w:rFonts w:hint="eastAsia" w:ascii="宋体" w:hAnsi="宋体" w:eastAsia="宋体" w:cs="宋体"/>
          <w:b/>
          <w:color w:val="auto"/>
          <w:sz w:val="40"/>
          <w:highlight w:val="none"/>
        </w:rPr>
        <w:t xml:space="preserve"> </w:t>
      </w:r>
      <w:r>
        <w:rPr>
          <w:rFonts w:hint="eastAsia" w:ascii="宋体" w:hAnsi="宋体" w:eastAsia="宋体" w:cs="宋体"/>
          <w:b/>
          <w:color w:val="auto"/>
          <w:sz w:val="40"/>
          <w:highlight w:val="none"/>
          <w:lang w:val="zh-CN"/>
        </w:rPr>
        <w:t>录</w:t>
      </w:r>
    </w:p>
    <w:p w14:paraId="23B9AC4A">
      <w:pPr>
        <w:rPr>
          <w:rFonts w:hint="eastAsia" w:ascii="宋体" w:hAnsi="宋体" w:eastAsia="宋体" w:cs="宋体"/>
          <w:color w:val="auto"/>
          <w:highlight w:val="none"/>
        </w:rPr>
      </w:pPr>
    </w:p>
    <w:p w14:paraId="644AD7C8">
      <w:pPr>
        <w:pStyle w:val="44"/>
        <w:tabs>
          <w:tab w:val="right" w:leader="dot" w:pos="9014"/>
        </w:tabs>
        <w:spacing w:line="360" w:lineRule="auto"/>
        <w:ind w:firstLine="560" w:firstLineChars="200"/>
        <w:rPr>
          <w:rFonts w:hint="eastAsia" w:ascii="宋体" w:hAnsi="宋体" w:eastAsia="宋体" w:cs="宋体"/>
          <w:bCs/>
          <w:color w:val="auto"/>
          <w:sz w:val="28"/>
          <w:szCs w:val="28"/>
          <w:highlight w:val="none"/>
          <w:lang w:val="zh-CN"/>
        </w:rPr>
      </w:pPr>
      <w:r>
        <w:rPr>
          <w:rFonts w:hint="eastAsia" w:ascii="宋体" w:hAnsi="宋体" w:eastAsia="宋体" w:cs="宋体"/>
          <w:bCs/>
          <w:color w:val="auto"/>
          <w:sz w:val="28"/>
          <w:szCs w:val="28"/>
          <w:highlight w:val="none"/>
          <w:lang w:val="zh-CN"/>
        </w:rPr>
        <w:fldChar w:fldCharType="begin"/>
      </w:r>
      <w:r>
        <w:rPr>
          <w:rFonts w:hint="eastAsia" w:ascii="宋体" w:hAnsi="宋体" w:eastAsia="宋体" w:cs="宋体"/>
          <w:bCs/>
          <w:color w:val="auto"/>
          <w:sz w:val="28"/>
          <w:szCs w:val="28"/>
          <w:highlight w:val="none"/>
          <w:lang w:val="zh-CN"/>
        </w:rPr>
        <w:instrText xml:space="preserve"> TOC \o "1-3" \h \z \u </w:instrText>
      </w:r>
      <w:r>
        <w:rPr>
          <w:rFonts w:hint="eastAsia" w:ascii="宋体" w:hAnsi="宋体" w:eastAsia="宋体" w:cs="宋体"/>
          <w:bCs/>
          <w:color w:val="auto"/>
          <w:sz w:val="28"/>
          <w:szCs w:val="28"/>
          <w:highlight w:val="none"/>
          <w:lang w:val="zh-CN"/>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"_Toc23495" </w:instrText>
      </w:r>
      <w:r>
        <w:rPr>
          <w:rFonts w:hint="eastAsia" w:ascii="宋体" w:hAnsi="宋体" w:eastAsia="宋体" w:cs="宋体"/>
          <w:color w:val="auto"/>
          <w:highlight w:val="none"/>
        </w:rPr>
        <w:fldChar w:fldCharType="separate"/>
      </w:r>
      <w:r>
        <w:rPr>
          <w:rFonts w:hint="eastAsia" w:ascii="宋体" w:hAnsi="宋体" w:eastAsia="宋体" w:cs="宋体"/>
          <w:bCs/>
          <w:color w:val="auto"/>
          <w:sz w:val="28"/>
          <w:szCs w:val="28"/>
          <w:highlight w:val="none"/>
          <w:lang w:val="zh-CN"/>
        </w:rPr>
        <w:t>第一部分 招标公告</w:t>
      </w:r>
      <w:r>
        <w:rPr>
          <w:rFonts w:hint="eastAsia" w:ascii="宋体" w:hAnsi="宋体" w:eastAsia="宋体" w:cs="宋体"/>
          <w:bCs/>
          <w:color w:val="auto"/>
          <w:sz w:val="28"/>
          <w:szCs w:val="28"/>
          <w:highlight w:val="none"/>
          <w:lang w:val="zh-CN"/>
        </w:rPr>
        <w:tab/>
      </w:r>
      <w:r>
        <w:rPr>
          <w:rFonts w:hint="eastAsia" w:ascii="宋体" w:hAnsi="宋体" w:eastAsia="宋体" w:cs="宋体"/>
          <w:bCs/>
          <w:color w:val="auto"/>
          <w:sz w:val="28"/>
          <w:szCs w:val="28"/>
          <w:highlight w:val="none"/>
          <w:lang w:val="zh-CN"/>
        </w:rPr>
        <w:fldChar w:fldCharType="begin"/>
      </w:r>
      <w:r>
        <w:rPr>
          <w:rFonts w:hint="eastAsia" w:ascii="宋体" w:hAnsi="宋体" w:eastAsia="宋体" w:cs="宋体"/>
          <w:bCs/>
          <w:color w:val="auto"/>
          <w:sz w:val="28"/>
          <w:szCs w:val="28"/>
          <w:highlight w:val="none"/>
          <w:lang w:val="zh-CN"/>
        </w:rPr>
        <w:instrText xml:space="preserve"> PAGEREF _Toc23495 \h </w:instrText>
      </w:r>
      <w:r>
        <w:rPr>
          <w:rFonts w:hint="eastAsia" w:ascii="宋体" w:hAnsi="宋体" w:eastAsia="宋体" w:cs="宋体"/>
          <w:bCs/>
          <w:color w:val="auto"/>
          <w:sz w:val="28"/>
          <w:szCs w:val="28"/>
          <w:highlight w:val="none"/>
          <w:lang w:val="zh-CN"/>
        </w:rPr>
        <w:fldChar w:fldCharType="separate"/>
      </w:r>
      <w:r>
        <w:rPr>
          <w:rFonts w:hint="eastAsia" w:ascii="宋体" w:hAnsi="宋体" w:eastAsia="宋体" w:cs="宋体"/>
          <w:bCs/>
          <w:color w:val="auto"/>
          <w:sz w:val="28"/>
          <w:szCs w:val="28"/>
          <w:highlight w:val="none"/>
          <w:lang w:val="zh-CN"/>
        </w:rPr>
        <w:t>2</w:t>
      </w:r>
      <w:r>
        <w:rPr>
          <w:rFonts w:hint="eastAsia" w:ascii="宋体" w:hAnsi="宋体" w:eastAsia="宋体" w:cs="宋体"/>
          <w:bCs/>
          <w:color w:val="auto"/>
          <w:sz w:val="28"/>
          <w:szCs w:val="28"/>
          <w:highlight w:val="none"/>
          <w:lang w:val="zh-CN"/>
        </w:rPr>
        <w:fldChar w:fldCharType="end"/>
      </w:r>
      <w:r>
        <w:rPr>
          <w:rFonts w:hint="eastAsia" w:ascii="宋体" w:hAnsi="宋体" w:eastAsia="宋体" w:cs="宋体"/>
          <w:bCs/>
          <w:color w:val="auto"/>
          <w:sz w:val="28"/>
          <w:szCs w:val="28"/>
          <w:highlight w:val="none"/>
          <w:lang w:val="zh-CN"/>
        </w:rPr>
        <w:fldChar w:fldCharType="end"/>
      </w:r>
    </w:p>
    <w:p w14:paraId="4A0A59E3">
      <w:pPr>
        <w:pStyle w:val="44"/>
        <w:tabs>
          <w:tab w:val="right" w:leader="dot" w:pos="9014"/>
        </w:tabs>
        <w:spacing w:line="360" w:lineRule="auto"/>
        <w:ind w:firstLine="420" w:firstLineChars="200"/>
        <w:rPr>
          <w:rFonts w:hint="eastAsia" w:ascii="宋体" w:hAnsi="宋体" w:eastAsia="宋体" w:cs="宋体"/>
          <w:bCs/>
          <w:color w:val="auto"/>
          <w:sz w:val="28"/>
          <w:szCs w:val="28"/>
          <w:highlight w:val="none"/>
          <w:lang w:val="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"_Toc18405" </w:instrText>
      </w:r>
      <w:r>
        <w:rPr>
          <w:rFonts w:hint="eastAsia" w:ascii="宋体" w:hAnsi="宋体" w:eastAsia="宋体" w:cs="宋体"/>
          <w:color w:val="auto"/>
          <w:highlight w:val="none"/>
        </w:rPr>
        <w:fldChar w:fldCharType="separate"/>
      </w:r>
      <w:r>
        <w:rPr>
          <w:rFonts w:hint="eastAsia" w:ascii="宋体" w:hAnsi="宋体" w:eastAsia="宋体" w:cs="宋体"/>
          <w:bCs/>
          <w:color w:val="auto"/>
          <w:sz w:val="28"/>
          <w:szCs w:val="28"/>
          <w:highlight w:val="none"/>
          <w:lang w:val="zh-CN"/>
        </w:rPr>
        <w:t>第二部分 投标人须知</w:t>
      </w:r>
      <w:r>
        <w:rPr>
          <w:rFonts w:hint="eastAsia" w:ascii="宋体" w:hAnsi="宋体" w:eastAsia="宋体" w:cs="宋体"/>
          <w:bCs/>
          <w:color w:val="auto"/>
          <w:sz w:val="28"/>
          <w:szCs w:val="28"/>
          <w:highlight w:val="none"/>
          <w:lang w:val="zh-CN"/>
        </w:rPr>
        <w:tab/>
      </w:r>
      <w:r>
        <w:rPr>
          <w:rFonts w:hint="eastAsia" w:ascii="宋体" w:hAnsi="宋体" w:eastAsia="宋体" w:cs="宋体"/>
          <w:bCs/>
          <w:color w:val="auto"/>
          <w:sz w:val="28"/>
          <w:szCs w:val="28"/>
          <w:highlight w:val="none"/>
          <w:lang w:val="zh-CN"/>
        </w:rPr>
        <w:fldChar w:fldCharType="begin"/>
      </w:r>
      <w:r>
        <w:rPr>
          <w:rFonts w:hint="eastAsia" w:ascii="宋体" w:hAnsi="宋体" w:eastAsia="宋体" w:cs="宋体"/>
          <w:bCs/>
          <w:color w:val="auto"/>
          <w:sz w:val="28"/>
          <w:szCs w:val="28"/>
          <w:highlight w:val="none"/>
          <w:lang w:val="zh-CN"/>
        </w:rPr>
        <w:instrText xml:space="preserve"> PAGEREF _Toc18405 \h </w:instrText>
      </w:r>
      <w:r>
        <w:rPr>
          <w:rFonts w:hint="eastAsia" w:ascii="宋体" w:hAnsi="宋体" w:eastAsia="宋体" w:cs="宋体"/>
          <w:bCs/>
          <w:color w:val="auto"/>
          <w:sz w:val="28"/>
          <w:szCs w:val="28"/>
          <w:highlight w:val="none"/>
          <w:lang w:val="zh-CN"/>
        </w:rPr>
        <w:fldChar w:fldCharType="separate"/>
      </w:r>
      <w:r>
        <w:rPr>
          <w:rFonts w:hint="eastAsia" w:ascii="宋体" w:hAnsi="宋体" w:eastAsia="宋体" w:cs="宋体"/>
          <w:bCs/>
          <w:color w:val="auto"/>
          <w:sz w:val="28"/>
          <w:szCs w:val="28"/>
          <w:highlight w:val="none"/>
          <w:lang w:val="zh-CN"/>
        </w:rPr>
        <w:t>7</w:t>
      </w:r>
      <w:r>
        <w:rPr>
          <w:rFonts w:hint="eastAsia" w:ascii="宋体" w:hAnsi="宋体" w:eastAsia="宋体" w:cs="宋体"/>
          <w:bCs/>
          <w:color w:val="auto"/>
          <w:sz w:val="28"/>
          <w:szCs w:val="28"/>
          <w:highlight w:val="none"/>
          <w:lang w:val="zh-CN"/>
        </w:rPr>
        <w:fldChar w:fldCharType="end"/>
      </w:r>
      <w:r>
        <w:rPr>
          <w:rFonts w:hint="eastAsia" w:ascii="宋体" w:hAnsi="宋体" w:eastAsia="宋体" w:cs="宋体"/>
          <w:bCs/>
          <w:color w:val="auto"/>
          <w:sz w:val="28"/>
          <w:szCs w:val="28"/>
          <w:highlight w:val="none"/>
          <w:lang w:val="zh-CN"/>
        </w:rPr>
        <w:fldChar w:fldCharType="end"/>
      </w:r>
    </w:p>
    <w:p w14:paraId="16B22662">
      <w:pPr>
        <w:pStyle w:val="44"/>
        <w:tabs>
          <w:tab w:val="right" w:leader="dot" w:pos="9014"/>
        </w:tabs>
        <w:spacing w:line="360" w:lineRule="auto"/>
        <w:ind w:firstLine="478" w:firstLineChars="228"/>
        <w:rPr>
          <w:rFonts w:hint="eastAsia" w:ascii="宋体" w:hAnsi="宋体" w:eastAsia="宋体" w:cs="宋体"/>
          <w:bCs/>
          <w:color w:val="auto"/>
          <w:sz w:val="28"/>
          <w:szCs w:val="28"/>
          <w:highlight w:val="none"/>
          <w:lang w:val="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"_Toc10172" </w:instrText>
      </w:r>
      <w:r>
        <w:rPr>
          <w:rFonts w:hint="eastAsia" w:ascii="宋体" w:hAnsi="宋体" w:eastAsia="宋体" w:cs="宋体"/>
          <w:color w:val="auto"/>
          <w:highlight w:val="none"/>
        </w:rPr>
        <w:fldChar w:fldCharType="separate"/>
      </w:r>
      <w:r>
        <w:rPr>
          <w:rFonts w:hint="eastAsia" w:ascii="宋体" w:hAnsi="宋体" w:eastAsia="宋体" w:cs="宋体"/>
          <w:bCs/>
          <w:color w:val="auto"/>
          <w:sz w:val="28"/>
          <w:szCs w:val="28"/>
          <w:highlight w:val="none"/>
          <w:lang w:val="zh-CN"/>
        </w:rPr>
        <w:t>一、总则</w:t>
      </w:r>
      <w:r>
        <w:rPr>
          <w:rFonts w:hint="eastAsia" w:ascii="宋体" w:hAnsi="宋体" w:eastAsia="宋体" w:cs="宋体"/>
          <w:bCs/>
          <w:color w:val="auto"/>
          <w:sz w:val="28"/>
          <w:szCs w:val="28"/>
          <w:highlight w:val="none"/>
          <w:lang w:val="zh-CN"/>
        </w:rPr>
        <w:tab/>
      </w:r>
      <w:r>
        <w:rPr>
          <w:rFonts w:hint="eastAsia" w:ascii="宋体" w:hAnsi="宋体" w:eastAsia="宋体" w:cs="宋体"/>
          <w:bCs/>
          <w:color w:val="auto"/>
          <w:sz w:val="28"/>
          <w:szCs w:val="28"/>
          <w:highlight w:val="none"/>
          <w:lang w:val="zh-CN"/>
        </w:rPr>
        <w:fldChar w:fldCharType="begin"/>
      </w:r>
      <w:r>
        <w:rPr>
          <w:rFonts w:hint="eastAsia" w:ascii="宋体" w:hAnsi="宋体" w:eastAsia="宋体" w:cs="宋体"/>
          <w:bCs/>
          <w:color w:val="auto"/>
          <w:sz w:val="28"/>
          <w:szCs w:val="28"/>
          <w:highlight w:val="none"/>
          <w:lang w:val="zh-CN"/>
        </w:rPr>
        <w:instrText xml:space="preserve"> PAGEREF _Toc10172 \h </w:instrText>
      </w:r>
      <w:r>
        <w:rPr>
          <w:rFonts w:hint="eastAsia" w:ascii="宋体" w:hAnsi="宋体" w:eastAsia="宋体" w:cs="宋体"/>
          <w:bCs/>
          <w:color w:val="auto"/>
          <w:sz w:val="28"/>
          <w:szCs w:val="28"/>
          <w:highlight w:val="none"/>
          <w:lang w:val="zh-CN"/>
        </w:rPr>
        <w:fldChar w:fldCharType="separate"/>
      </w:r>
      <w:r>
        <w:rPr>
          <w:rFonts w:hint="eastAsia" w:ascii="宋体" w:hAnsi="宋体" w:eastAsia="宋体" w:cs="宋体"/>
          <w:bCs/>
          <w:color w:val="auto"/>
          <w:sz w:val="28"/>
          <w:szCs w:val="28"/>
          <w:highlight w:val="none"/>
          <w:lang w:val="zh-CN"/>
        </w:rPr>
        <w:t>10</w:t>
      </w:r>
      <w:r>
        <w:rPr>
          <w:rFonts w:hint="eastAsia" w:ascii="宋体" w:hAnsi="宋体" w:eastAsia="宋体" w:cs="宋体"/>
          <w:bCs/>
          <w:color w:val="auto"/>
          <w:sz w:val="28"/>
          <w:szCs w:val="28"/>
          <w:highlight w:val="none"/>
          <w:lang w:val="zh-CN"/>
        </w:rPr>
        <w:fldChar w:fldCharType="end"/>
      </w:r>
      <w:r>
        <w:rPr>
          <w:rFonts w:hint="eastAsia" w:ascii="宋体" w:hAnsi="宋体" w:eastAsia="宋体" w:cs="宋体"/>
          <w:bCs/>
          <w:color w:val="auto"/>
          <w:sz w:val="28"/>
          <w:szCs w:val="28"/>
          <w:highlight w:val="none"/>
          <w:lang w:val="zh-CN"/>
        </w:rPr>
        <w:fldChar w:fldCharType="end"/>
      </w:r>
    </w:p>
    <w:p w14:paraId="591B029B">
      <w:pPr>
        <w:pStyle w:val="44"/>
        <w:tabs>
          <w:tab w:val="right" w:leader="dot" w:pos="9014"/>
        </w:tabs>
        <w:spacing w:line="360" w:lineRule="auto"/>
        <w:ind w:firstLine="478" w:firstLineChars="228"/>
        <w:rPr>
          <w:rFonts w:hint="eastAsia" w:ascii="宋体" w:hAnsi="宋体" w:eastAsia="宋体" w:cs="宋体"/>
          <w:bCs/>
          <w:color w:val="auto"/>
          <w:sz w:val="28"/>
          <w:szCs w:val="28"/>
          <w:highlight w:val="none"/>
          <w:lang w:val="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"_Toc32151" </w:instrText>
      </w:r>
      <w:r>
        <w:rPr>
          <w:rFonts w:hint="eastAsia" w:ascii="宋体" w:hAnsi="宋体" w:eastAsia="宋体" w:cs="宋体"/>
          <w:color w:val="auto"/>
          <w:highlight w:val="none"/>
        </w:rPr>
        <w:fldChar w:fldCharType="separate"/>
      </w:r>
      <w:r>
        <w:rPr>
          <w:rFonts w:hint="eastAsia" w:ascii="宋体" w:hAnsi="宋体" w:eastAsia="宋体" w:cs="宋体"/>
          <w:bCs/>
          <w:color w:val="auto"/>
          <w:sz w:val="28"/>
          <w:szCs w:val="28"/>
          <w:highlight w:val="none"/>
          <w:lang w:val="zh-CN"/>
        </w:rPr>
        <w:t>二、招标文件的构成、澄清、修改</w:t>
      </w:r>
      <w:r>
        <w:rPr>
          <w:rFonts w:hint="eastAsia" w:ascii="宋体" w:hAnsi="宋体" w:eastAsia="宋体" w:cs="宋体"/>
          <w:bCs/>
          <w:color w:val="auto"/>
          <w:sz w:val="28"/>
          <w:szCs w:val="28"/>
          <w:highlight w:val="none"/>
          <w:lang w:val="zh-CN"/>
        </w:rPr>
        <w:tab/>
      </w:r>
      <w:r>
        <w:rPr>
          <w:rFonts w:hint="eastAsia" w:ascii="宋体" w:hAnsi="宋体" w:eastAsia="宋体" w:cs="宋体"/>
          <w:bCs/>
          <w:color w:val="auto"/>
          <w:sz w:val="28"/>
          <w:szCs w:val="28"/>
          <w:highlight w:val="none"/>
          <w:lang w:val="zh-CN"/>
        </w:rPr>
        <w:fldChar w:fldCharType="begin"/>
      </w:r>
      <w:r>
        <w:rPr>
          <w:rFonts w:hint="eastAsia" w:ascii="宋体" w:hAnsi="宋体" w:eastAsia="宋体" w:cs="宋体"/>
          <w:bCs/>
          <w:color w:val="auto"/>
          <w:sz w:val="28"/>
          <w:szCs w:val="28"/>
          <w:highlight w:val="none"/>
          <w:lang w:val="zh-CN"/>
        </w:rPr>
        <w:instrText xml:space="preserve"> PAGEREF _Toc32151 \h </w:instrText>
      </w:r>
      <w:r>
        <w:rPr>
          <w:rFonts w:hint="eastAsia" w:ascii="宋体" w:hAnsi="宋体" w:eastAsia="宋体" w:cs="宋体"/>
          <w:bCs/>
          <w:color w:val="auto"/>
          <w:sz w:val="28"/>
          <w:szCs w:val="28"/>
          <w:highlight w:val="none"/>
          <w:lang w:val="zh-CN"/>
        </w:rPr>
        <w:fldChar w:fldCharType="separate"/>
      </w:r>
      <w:r>
        <w:rPr>
          <w:rFonts w:hint="eastAsia" w:ascii="宋体" w:hAnsi="宋体" w:eastAsia="宋体" w:cs="宋体"/>
          <w:bCs/>
          <w:color w:val="auto"/>
          <w:sz w:val="28"/>
          <w:szCs w:val="28"/>
          <w:highlight w:val="none"/>
          <w:lang w:val="zh-CN"/>
        </w:rPr>
        <w:t>13</w:t>
      </w:r>
      <w:r>
        <w:rPr>
          <w:rFonts w:hint="eastAsia" w:ascii="宋体" w:hAnsi="宋体" w:eastAsia="宋体" w:cs="宋体"/>
          <w:bCs/>
          <w:color w:val="auto"/>
          <w:sz w:val="28"/>
          <w:szCs w:val="28"/>
          <w:highlight w:val="none"/>
          <w:lang w:val="zh-CN"/>
        </w:rPr>
        <w:fldChar w:fldCharType="end"/>
      </w:r>
      <w:r>
        <w:rPr>
          <w:rFonts w:hint="eastAsia" w:ascii="宋体" w:hAnsi="宋体" w:eastAsia="宋体" w:cs="宋体"/>
          <w:bCs/>
          <w:color w:val="auto"/>
          <w:sz w:val="28"/>
          <w:szCs w:val="28"/>
          <w:highlight w:val="none"/>
          <w:lang w:val="zh-CN"/>
        </w:rPr>
        <w:fldChar w:fldCharType="end"/>
      </w:r>
    </w:p>
    <w:p w14:paraId="32E7AB92">
      <w:pPr>
        <w:pStyle w:val="44"/>
        <w:tabs>
          <w:tab w:val="right" w:leader="dot" w:pos="9014"/>
        </w:tabs>
        <w:spacing w:line="360" w:lineRule="auto"/>
        <w:ind w:firstLine="478" w:firstLineChars="228"/>
        <w:rPr>
          <w:rFonts w:hint="eastAsia" w:ascii="宋体" w:hAnsi="宋体" w:eastAsia="宋体" w:cs="宋体"/>
          <w:bCs/>
          <w:color w:val="auto"/>
          <w:sz w:val="28"/>
          <w:szCs w:val="28"/>
          <w:highlight w:val="none"/>
          <w:lang w:val="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"_Toc13844" </w:instrText>
      </w:r>
      <w:r>
        <w:rPr>
          <w:rFonts w:hint="eastAsia" w:ascii="宋体" w:hAnsi="宋体" w:eastAsia="宋体" w:cs="宋体"/>
          <w:color w:val="auto"/>
          <w:highlight w:val="none"/>
        </w:rPr>
        <w:fldChar w:fldCharType="separate"/>
      </w:r>
      <w:r>
        <w:rPr>
          <w:rFonts w:hint="eastAsia" w:ascii="宋体" w:hAnsi="宋体" w:eastAsia="宋体" w:cs="宋体"/>
          <w:bCs/>
          <w:color w:val="auto"/>
          <w:sz w:val="28"/>
          <w:szCs w:val="28"/>
          <w:highlight w:val="none"/>
          <w:lang w:val="zh-CN"/>
        </w:rPr>
        <w:t>三、投标</w:t>
      </w:r>
      <w:r>
        <w:rPr>
          <w:rFonts w:hint="eastAsia" w:ascii="宋体" w:hAnsi="宋体" w:eastAsia="宋体" w:cs="宋体"/>
          <w:bCs/>
          <w:color w:val="auto"/>
          <w:sz w:val="28"/>
          <w:szCs w:val="28"/>
          <w:highlight w:val="none"/>
          <w:lang w:val="zh-CN"/>
        </w:rPr>
        <w:tab/>
      </w:r>
      <w:r>
        <w:rPr>
          <w:rFonts w:hint="eastAsia" w:ascii="宋体" w:hAnsi="宋体" w:eastAsia="宋体" w:cs="宋体"/>
          <w:bCs/>
          <w:color w:val="auto"/>
          <w:sz w:val="28"/>
          <w:szCs w:val="28"/>
          <w:highlight w:val="none"/>
          <w:lang w:val="zh-CN"/>
        </w:rPr>
        <w:fldChar w:fldCharType="begin"/>
      </w:r>
      <w:r>
        <w:rPr>
          <w:rFonts w:hint="eastAsia" w:ascii="宋体" w:hAnsi="宋体" w:eastAsia="宋体" w:cs="宋体"/>
          <w:bCs/>
          <w:color w:val="auto"/>
          <w:sz w:val="28"/>
          <w:szCs w:val="28"/>
          <w:highlight w:val="none"/>
          <w:lang w:val="zh-CN"/>
        </w:rPr>
        <w:instrText xml:space="preserve"> PAGEREF _Toc13844 \h </w:instrText>
      </w:r>
      <w:r>
        <w:rPr>
          <w:rFonts w:hint="eastAsia" w:ascii="宋体" w:hAnsi="宋体" w:eastAsia="宋体" w:cs="宋体"/>
          <w:bCs/>
          <w:color w:val="auto"/>
          <w:sz w:val="28"/>
          <w:szCs w:val="28"/>
          <w:highlight w:val="none"/>
          <w:lang w:val="zh-CN"/>
        </w:rPr>
        <w:fldChar w:fldCharType="separate"/>
      </w:r>
      <w:r>
        <w:rPr>
          <w:rFonts w:hint="eastAsia" w:ascii="宋体" w:hAnsi="宋体" w:eastAsia="宋体" w:cs="宋体"/>
          <w:bCs/>
          <w:color w:val="auto"/>
          <w:sz w:val="28"/>
          <w:szCs w:val="28"/>
          <w:highlight w:val="none"/>
          <w:lang w:val="zh-CN"/>
        </w:rPr>
        <w:t>14</w:t>
      </w:r>
      <w:r>
        <w:rPr>
          <w:rFonts w:hint="eastAsia" w:ascii="宋体" w:hAnsi="宋体" w:eastAsia="宋体" w:cs="宋体"/>
          <w:bCs/>
          <w:color w:val="auto"/>
          <w:sz w:val="28"/>
          <w:szCs w:val="28"/>
          <w:highlight w:val="none"/>
          <w:lang w:val="zh-CN"/>
        </w:rPr>
        <w:fldChar w:fldCharType="end"/>
      </w:r>
      <w:r>
        <w:rPr>
          <w:rFonts w:hint="eastAsia" w:ascii="宋体" w:hAnsi="宋体" w:eastAsia="宋体" w:cs="宋体"/>
          <w:bCs/>
          <w:color w:val="auto"/>
          <w:sz w:val="28"/>
          <w:szCs w:val="28"/>
          <w:highlight w:val="none"/>
          <w:lang w:val="zh-CN"/>
        </w:rPr>
        <w:fldChar w:fldCharType="end"/>
      </w:r>
    </w:p>
    <w:p w14:paraId="442253F4">
      <w:pPr>
        <w:pStyle w:val="44"/>
        <w:tabs>
          <w:tab w:val="right" w:leader="dot" w:pos="9014"/>
        </w:tabs>
        <w:spacing w:line="360" w:lineRule="auto"/>
        <w:ind w:firstLine="478" w:firstLineChars="228"/>
        <w:rPr>
          <w:rFonts w:hint="eastAsia" w:ascii="宋体" w:hAnsi="宋体" w:eastAsia="宋体" w:cs="宋体"/>
          <w:bCs/>
          <w:color w:val="auto"/>
          <w:sz w:val="28"/>
          <w:szCs w:val="28"/>
          <w:highlight w:val="none"/>
          <w:lang w:val="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"_Toc20450" </w:instrText>
      </w:r>
      <w:r>
        <w:rPr>
          <w:rFonts w:hint="eastAsia" w:ascii="宋体" w:hAnsi="宋体" w:eastAsia="宋体" w:cs="宋体"/>
          <w:color w:val="auto"/>
          <w:highlight w:val="none"/>
        </w:rPr>
        <w:fldChar w:fldCharType="separate"/>
      </w:r>
      <w:r>
        <w:rPr>
          <w:rFonts w:hint="eastAsia" w:ascii="宋体" w:hAnsi="宋体" w:eastAsia="宋体" w:cs="宋体"/>
          <w:bCs/>
          <w:color w:val="auto"/>
          <w:sz w:val="28"/>
          <w:szCs w:val="28"/>
          <w:highlight w:val="none"/>
          <w:lang w:val="zh-CN"/>
        </w:rPr>
        <w:t>四、开标、资格审查与信用信息查询</w:t>
      </w:r>
      <w:r>
        <w:rPr>
          <w:rFonts w:hint="eastAsia" w:ascii="宋体" w:hAnsi="宋体" w:eastAsia="宋体" w:cs="宋体"/>
          <w:bCs/>
          <w:color w:val="auto"/>
          <w:sz w:val="28"/>
          <w:szCs w:val="28"/>
          <w:highlight w:val="none"/>
          <w:lang w:val="zh-CN"/>
        </w:rPr>
        <w:tab/>
      </w:r>
      <w:r>
        <w:rPr>
          <w:rFonts w:hint="eastAsia" w:ascii="宋体" w:hAnsi="宋体" w:eastAsia="宋体" w:cs="宋体"/>
          <w:bCs/>
          <w:color w:val="auto"/>
          <w:sz w:val="28"/>
          <w:szCs w:val="28"/>
          <w:highlight w:val="none"/>
          <w:lang w:val="zh-CN"/>
        </w:rPr>
        <w:fldChar w:fldCharType="begin"/>
      </w:r>
      <w:r>
        <w:rPr>
          <w:rFonts w:hint="eastAsia" w:ascii="宋体" w:hAnsi="宋体" w:eastAsia="宋体" w:cs="宋体"/>
          <w:bCs/>
          <w:color w:val="auto"/>
          <w:sz w:val="28"/>
          <w:szCs w:val="28"/>
          <w:highlight w:val="none"/>
          <w:lang w:val="zh-CN"/>
        </w:rPr>
        <w:instrText xml:space="preserve"> PAGEREF _Toc20450 \h </w:instrText>
      </w:r>
      <w:r>
        <w:rPr>
          <w:rFonts w:hint="eastAsia" w:ascii="宋体" w:hAnsi="宋体" w:eastAsia="宋体" w:cs="宋体"/>
          <w:bCs/>
          <w:color w:val="auto"/>
          <w:sz w:val="28"/>
          <w:szCs w:val="28"/>
          <w:highlight w:val="none"/>
          <w:lang w:val="zh-CN"/>
        </w:rPr>
        <w:fldChar w:fldCharType="separate"/>
      </w:r>
      <w:r>
        <w:rPr>
          <w:rFonts w:hint="eastAsia" w:ascii="宋体" w:hAnsi="宋体" w:eastAsia="宋体" w:cs="宋体"/>
          <w:bCs/>
          <w:color w:val="auto"/>
          <w:sz w:val="28"/>
          <w:szCs w:val="28"/>
          <w:highlight w:val="none"/>
          <w:lang w:val="zh-CN"/>
        </w:rPr>
        <w:t>16</w:t>
      </w:r>
      <w:r>
        <w:rPr>
          <w:rFonts w:hint="eastAsia" w:ascii="宋体" w:hAnsi="宋体" w:eastAsia="宋体" w:cs="宋体"/>
          <w:bCs/>
          <w:color w:val="auto"/>
          <w:sz w:val="28"/>
          <w:szCs w:val="28"/>
          <w:highlight w:val="none"/>
          <w:lang w:val="zh-CN"/>
        </w:rPr>
        <w:fldChar w:fldCharType="end"/>
      </w:r>
      <w:r>
        <w:rPr>
          <w:rFonts w:hint="eastAsia" w:ascii="宋体" w:hAnsi="宋体" w:eastAsia="宋体" w:cs="宋体"/>
          <w:bCs/>
          <w:color w:val="auto"/>
          <w:sz w:val="28"/>
          <w:szCs w:val="28"/>
          <w:highlight w:val="none"/>
          <w:lang w:val="zh-CN"/>
        </w:rPr>
        <w:fldChar w:fldCharType="end"/>
      </w:r>
    </w:p>
    <w:p w14:paraId="2789508A">
      <w:pPr>
        <w:pStyle w:val="44"/>
        <w:tabs>
          <w:tab w:val="right" w:leader="dot" w:pos="9014"/>
        </w:tabs>
        <w:spacing w:line="360" w:lineRule="auto"/>
        <w:ind w:firstLine="478" w:firstLineChars="228"/>
        <w:rPr>
          <w:rFonts w:hint="eastAsia" w:ascii="宋体" w:hAnsi="宋体" w:eastAsia="宋体" w:cs="宋体"/>
          <w:bCs/>
          <w:color w:val="auto"/>
          <w:sz w:val="28"/>
          <w:szCs w:val="28"/>
          <w:highlight w:val="none"/>
          <w:lang w:val="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"_Toc9300" </w:instrText>
      </w:r>
      <w:r>
        <w:rPr>
          <w:rFonts w:hint="eastAsia" w:ascii="宋体" w:hAnsi="宋体" w:eastAsia="宋体" w:cs="宋体"/>
          <w:color w:val="auto"/>
          <w:highlight w:val="none"/>
        </w:rPr>
        <w:fldChar w:fldCharType="separate"/>
      </w:r>
      <w:r>
        <w:rPr>
          <w:rFonts w:hint="eastAsia" w:ascii="宋体" w:hAnsi="宋体" w:eastAsia="宋体" w:cs="宋体"/>
          <w:bCs/>
          <w:color w:val="auto"/>
          <w:sz w:val="28"/>
          <w:szCs w:val="28"/>
          <w:highlight w:val="none"/>
          <w:lang w:val="zh-CN"/>
        </w:rPr>
        <w:t>五、评标</w:t>
      </w:r>
      <w:r>
        <w:rPr>
          <w:rFonts w:hint="eastAsia" w:ascii="宋体" w:hAnsi="宋体" w:eastAsia="宋体" w:cs="宋体"/>
          <w:bCs/>
          <w:color w:val="auto"/>
          <w:sz w:val="28"/>
          <w:szCs w:val="28"/>
          <w:highlight w:val="none"/>
          <w:lang w:val="zh-CN"/>
        </w:rPr>
        <w:tab/>
      </w:r>
      <w:r>
        <w:rPr>
          <w:rFonts w:hint="eastAsia" w:ascii="宋体" w:hAnsi="宋体" w:eastAsia="宋体" w:cs="宋体"/>
          <w:bCs/>
          <w:color w:val="auto"/>
          <w:sz w:val="28"/>
          <w:szCs w:val="28"/>
          <w:highlight w:val="none"/>
          <w:lang w:val="zh-CN"/>
        </w:rPr>
        <w:fldChar w:fldCharType="begin"/>
      </w:r>
      <w:r>
        <w:rPr>
          <w:rFonts w:hint="eastAsia" w:ascii="宋体" w:hAnsi="宋体" w:eastAsia="宋体" w:cs="宋体"/>
          <w:bCs/>
          <w:color w:val="auto"/>
          <w:sz w:val="28"/>
          <w:szCs w:val="28"/>
          <w:highlight w:val="none"/>
          <w:lang w:val="zh-CN"/>
        </w:rPr>
        <w:instrText xml:space="preserve"> PAGEREF _Toc9300 \h </w:instrText>
      </w:r>
      <w:r>
        <w:rPr>
          <w:rFonts w:hint="eastAsia" w:ascii="宋体" w:hAnsi="宋体" w:eastAsia="宋体" w:cs="宋体"/>
          <w:bCs/>
          <w:color w:val="auto"/>
          <w:sz w:val="28"/>
          <w:szCs w:val="28"/>
          <w:highlight w:val="none"/>
          <w:lang w:val="zh-CN"/>
        </w:rPr>
        <w:fldChar w:fldCharType="separate"/>
      </w:r>
      <w:r>
        <w:rPr>
          <w:rFonts w:hint="eastAsia" w:ascii="宋体" w:hAnsi="宋体" w:eastAsia="宋体" w:cs="宋体"/>
          <w:bCs/>
          <w:color w:val="auto"/>
          <w:sz w:val="28"/>
          <w:szCs w:val="28"/>
          <w:highlight w:val="none"/>
          <w:lang w:val="zh-CN"/>
        </w:rPr>
        <w:t>17</w:t>
      </w:r>
      <w:r>
        <w:rPr>
          <w:rFonts w:hint="eastAsia" w:ascii="宋体" w:hAnsi="宋体" w:eastAsia="宋体" w:cs="宋体"/>
          <w:bCs/>
          <w:color w:val="auto"/>
          <w:sz w:val="28"/>
          <w:szCs w:val="28"/>
          <w:highlight w:val="none"/>
          <w:lang w:val="zh-CN"/>
        </w:rPr>
        <w:fldChar w:fldCharType="end"/>
      </w:r>
      <w:r>
        <w:rPr>
          <w:rFonts w:hint="eastAsia" w:ascii="宋体" w:hAnsi="宋体" w:eastAsia="宋体" w:cs="宋体"/>
          <w:bCs/>
          <w:color w:val="auto"/>
          <w:sz w:val="28"/>
          <w:szCs w:val="28"/>
          <w:highlight w:val="none"/>
          <w:lang w:val="zh-CN"/>
        </w:rPr>
        <w:fldChar w:fldCharType="end"/>
      </w:r>
    </w:p>
    <w:p w14:paraId="4376FB24">
      <w:pPr>
        <w:pStyle w:val="44"/>
        <w:tabs>
          <w:tab w:val="right" w:leader="dot" w:pos="9014"/>
        </w:tabs>
        <w:spacing w:line="360" w:lineRule="auto"/>
        <w:ind w:firstLine="478" w:firstLineChars="228"/>
        <w:rPr>
          <w:rFonts w:hint="eastAsia" w:ascii="宋体" w:hAnsi="宋体" w:eastAsia="宋体" w:cs="宋体"/>
          <w:bCs/>
          <w:color w:val="auto"/>
          <w:sz w:val="28"/>
          <w:szCs w:val="28"/>
          <w:highlight w:val="none"/>
          <w:lang w:val="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"_Toc15966" </w:instrText>
      </w:r>
      <w:r>
        <w:rPr>
          <w:rFonts w:hint="eastAsia" w:ascii="宋体" w:hAnsi="宋体" w:eastAsia="宋体" w:cs="宋体"/>
          <w:color w:val="auto"/>
          <w:highlight w:val="none"/>
        </w:rPr>
        <w:fldChar w:fldCharType="separate"/>
      </w:r>
      <w:r>
        <w:rPr>
          <w:rFonts w:hint="eastAsia" w:ascii="宋体" w:hAnsi="宋体" w:eastAsia="宋体" w:cs="宋体"/>
          <w:bCs/>
          <w:color w:val="auto"/>
          <w:sz w:val="28"/>
          <w:szCs w:val="28"/>
          <w:highlight w:val="none"/>
          <w:lang w:val="zh-CN"/>
        </w:rPr>
        <w:t>六、定 标</w:t>
      </w:r>
      <w:r>
        <w:rPr>
          <w:rFonts w:hint="eastAsia" w:ascii="宋体" w:hAnsi="宋体" w:eastAsia="宋体" w:cs="宋体"/>
          <w:bCs/>
          <w:color w:val="auto"/>
          <w:sz w:val="28"/>
          <w:szCs w:val="28"/>
          <w:highlight w:val="none"/>
          <w:lang w:val="zh-CN"/>
        </w:rPr>
        <w:tab/>
      </w:r>
      <w:r>
        <w:rPr>
          <w:rFonts w:hint="eastAsia" w:ascii="宋体" w:hAnsi="宋体" w:eastAsia="宋体" w:cs="宋体"/>
          <w:bCs/>
          <w:color w:val="auto"/>
          <w:sz w:val="28"/>
          <w:szCs w:val="28"/>
          <w:highlight w:val="none"/>
          <w:lang w:val="zh-CN"/>
        </w:rPr>
        <w:fldChar w:fldCharType="begin"/>
      </w:r>
      <w:r>
        <w:rPr>
          <w:rFonts w:hint="eastAsia" w:ascii="宋体" w:hAnsi="宋体" w:eastAsia="宋体" w:cs="宋体"/>
          <w:bCs/>
          <w:color w:val="auto"/>
          <w:sz w:val="28"/>
          <w:szCs w:val="28"/>
          <w:highlight w:val="none"/>
          <w:lang w:val="zh-CN"/>
        </w:rPr>
        <w:instrText xml:space="preserve"> PAGEREF _Toc15966 \h </w:instrText>
      </w:r>
      <w:r>
        <w:rPr>
          <w:rFonts w:hint="eastAsia" w:ascii="宋体" w:hAnsi="宋体" w:eastAsia="宋体" w:cs="宋体"/>
          <w:bCs/>
          <w:color w:val="auto"/>
          <w:sz w:val="28"/>
          <w:szCs w:val="28"/>
          <w:highlight w:val="none"/>
          <w:lang w:val="zh-CN"/>
        </w:rPr>
        <w:fldChar w:fldCharType="separate"/>
      </w:r>
      <w:r>
        <w:rPr>
          <w:rFonts w:hint="eastAsia" w:ascii="宋体" w:hAnsi="宋体" w:eastAsia="宋体" w:cs="宋体"/>
          <w:bCs/>
          <w:color w:val="auto"/>
          <w:sz w:val="28"/>
          <w:szCs w:val="28"/>
          <w:highlight w:val="none"/>
          <w:lang w:val="zh-CN"/>
        </w:rPr>
        <w:t>17</w:t>
      </w:r>
      <w:r>
        <w:rPr>
          <w:rFonts w:hint="eastAsia" w:ascii="宋体" w:hAnsi="宋体" w:eastAsia="宋体" w:cs="宋体"/>
          <w:bCs/>
          <w:color w:val="auto"/>
          <w:sz w:val="28"/>
          <w:szCs w:val="28"/>
          <w:highlight w:val="none"/>
          <w:lang w:val="zh-CN"/>
        </w:rPr>
        <w:fldChar w:fldCharType="end"/>
      </w:r>
      <w:r>
        <w:rPr>
          <w:rFonts w:hint="eastAsia" w:ascii="宋体" w:hAnsi="宋体" w:eastAsia="宋体" w:cs="宋体"/>
          <w:bCs/>
          <w:color w:val="auto"/>
          <w:sz w:val="28"/>
          <w:szCs w:val="28"/>
          <w:highlight w:val="none"/>
          <w:lang w:val="zh-CN"/>
        </w:rPr>
        <w:fldChar w:fldCharType="end"/>
      </w:r>
    </w:p>
    <w:p w14:paraId="76141624">
      <w:pPr>
        <w:pStyle w:val="44"/>
        <w:tabs>
          <w:tab w:val="right" w:leader="dot" w:pos="9014"/>
        </w:tabs>
        <w:spacing w:line="360" w:lineRule="auto"/>
        <w:ind w:firstLine="478" w:firstLineChars="228"/>
        <w:rPr>
          <w:rFonts w:hint="eastAsia" w:ascii="宋体" w:hAnsi="宋体" w:eastAsia="宋体" w:cs="宋体"/>
          <w:bCs/>
          <w:color w:val="auto"/>
          <w:sz w:val="28"/>
          <w:szCs w:val="28"/>
          <w:highlight w:val="none"/>
          <w:lang w:val="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"_Toc29520" </w:instrText>
      </w:r>
      <w:r>
        <w:rPr>
          <w:rFonts w:hint="eastAsia" w:ascii="宋体" w:hAnsi="宋体" w:eastAsia="宋体" w:cs="宋体"/>
          <w:color w:val="auto"/>
          <w:highlight w:val="none"/>
        </w:rPr>
        <w:fldChar w:fldCharType="separate"/>
      </w:r>
      <w:r>
        <w:rPr>
          <w:rFonts w:hint="eastAsia" w:ascii="宋体" w:hAnsi="宋体" w:eastAsia="宋体" w:cs="宋体"/>
          <w:bCs/>
          <w:color w:val="auto"/>
          <w:sz w:val="28"/>
          <w:szCs w:val="28"/>
          <w:highlight w:val="none"/>
          <w:lang w:val="zh-CN"/>
        </w:rPr>
        <w:t>七、合同授予</w:t>
      </w:r>
      <w:r>
        <w:rPr>
          <w:rFonts w:hint="eastAsia" w:ascii="宋体" w:hAnsi="宋体" w:eastAsia="宋体" w:cs="宋体"/>
          <w:bCs/>
          <w:color w:val="auto"/>
          <w:sz w:val="28"/>
          <w:szCs w:val="28"/>
          <w:highlight w:val="none"/>
          <w:lang w:val="zh-CN"/>
        </w:rPr>
        <w:tab/>
      </w:r>
      <w:r>
        <w:rPr>
          <w:rFonts w:hint="eastAsia" w:ascii="宋体" w:hAnsi="宋体" w:eastAsia="宋体" w:cs="宋体"/>
          <w:bCs/>
          <w:color w:val="auto"/>
          <w:sz w:val="28"/>
          <w:szCs w:val="28"/>
          <w:highlight w:val="none"/>
          <w:lang w:val="zh-CN"/>
        </w:rPr>
        <w:fldChar w:fldCharType="begin"/>
      </w:r>
      <w:r>
        <w:rPr>
          <w:rFonts w:hint="eastAsia" w:ascii="宋体" w:hAnsi="宋体" w:eastAsia="宋体" w:cs="宋体"/>
          <w:bCs/>
          <w:color w:val="auto"/>
          <w:sz w:val="28"/>
          <w:szCs w:val="28"/>
          <w:highlight w:val="none"/>
          <w:lang w:val="zh-CN"/>
        </w:rPr>
        <w:instrText xml:space="preserve"> PAGEREF _Toc29520 \h </w:instrText>
      </w:r>
      <w:r>
        <w:rPr>
          <w:rFonts w:hint="eastAsia" w:ascii="宋体" w:hAnsi="宋体" w:eastAsia="宋体" w:cs="宋体"/>
          <w:bCs/>
          <w:color w:val="auto"/>
          <w:sz w:val="28"/>
          <w:szCs w:val="28"/>
          <w:highlight w:val="none"/>
          <w:lang w:val="zh-CN"/>
        </w:rPr>
        <w:fldChar w:fldCharType="separate"/>
      </w:r>
      <w:r>
        <w:rPr>
          <w:rFonts w:hint="eastAsia" w:ascii="宋体" w:hAnsi="宋体" w:eastAsia="宋体" w:cs="宋体"/>
          <w:bCs/>
          <w:color w:val="auto"/>
          <w:sz w:val="28"/>
          <w:szCs w:val="28"/>
          <w:highlight w:val="none"/>
          <w:lang w:val="zh-CN"/>
        </w:rPr>
        <w:t>18</w:t>
      </w:r>
      <w:r>
        <w:rPr>
          <w:rFonts w:hint="eastAsia" w:ascii="宋体" w:hAnsi="宋体" w:eastAsia="宋体" w:cs="宋体"/>
          <w:bCs/>
          <w:color w:val="auto"/>
          <w:sz w:val="28"/>
          <w:szCs w:val="28"/>
          <w:highlight w:val="none"/>
          <w:lang w:val="zh-CN"/>
        </w:rPr>
        <w:fldChar w:fldCharType="end"/>
      </w:r>
      <w:r>
        <w:rPr>
          <w:rFonts w:hint="eastAsia" w:ascii="宋体" w:hAnsi="宋体" w:eastAsia="宋体" w:cs="宋体"/>
          <w:bCs/>
          <w:color w:val="auto"/>
          <w:sz w:val="28"/>
          <w:szCs w:val="28"/>
          <w:highlight w:val="none"/>
          <w:lang w:val="zh-CN"/>
        </w:rPr>
        <w:fldChar w:fldCharType="end"/>
      </w:r>
    </w:p>
    <w:p w14:paraId="2CE82E48">
      <w:pPr>
        <w:pStyle w:val="44"/>
        <w:tabs>
          <w:tab w:val="right" w:leader="dot" w:pos="9014"/>
        </w:tabs>
        <w:spacing w:line="360" w:lineRule="auto"/>
        <w:ind w:firstLine="478" w:firstLineChars="228"/>
        <w:rPr>
          <w:rFonts w:hint="eastAsia" w:ascii="宋体" w:hAnsi="宋体" w:eastAsia="宋体" w:cs="宋体"/>
          <w:bCs/>
          <w:color w:val="auto"/>
          <w:sz w:val="28"/>
          <w:szCs w:val="28"/>
          <w:highlight w:val="none"/>
          <w:lang w:val="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"_Toc12222" </w:instrText>
      </w:r>
      <w:r>
        <w:rPr>
          <w:rFonts w:hint="eastAsia" w:ascii="宋体" w:hAnsi="宋体" w:eastAsia="宋体" w:cs="宋体"/>
          <w:color w:val="auto"/>
          <w:highlight w:val="none"/>
        </w:rPr>
        <w:fldChar w:fldCharType="separate"/>
      </w:r>
      <w:r>
        <w:rPr>
          <w:rFonts w:hint="eastAsia" w:ascii="宋体" w:hAnsi="宋体" w:eastAsia="宋体" w:cs="宋体"/>
          <w:bCs/>
          <w:color w:val="auto"/>
          <w:sz w:val="28"/>
          <w:szCs w:val="28"/>
          <w:highlight w:val="none"/>
          <w:lang w:val="zh-CN"/>
        </w:rPr>
        <w:t>八、电子交易活动的中止</w:t>
      </w:r>
      <w:r>
        <w:rPr>
          <w:rFonts w:hint="eastAsia" w:ascii="宋体" w:hAnsi="宋体" w:eastAsia="宋体" w:cs="宋体"/>
          <w:bCs/>
          <w:color w:val="auto"/>
          <w:sz w:val="28"/>
          <w:szCs w:val="28"/>
          <w:highlight w:val="none"/>
          <w:lang w:val="zh-CN"/>
        </w:rPr>
        <w:tab/>
      </w:r>
      <w:r>
        <w:rPr>
          <w:rFonts w:hint="eastAsia" w:ascii="宋体" w:hAnsi="宋体" w:eastAsia="宋体" w:cs="宋体"/>
          <w:bCs/>
          <w:color w:val="auto"/>
          <w:sz w:val="28"/>
          <w:szCs w:val="28"/>
          <w:highlight w:val="none"/>
          <w:lang w:val="zh-CN"/>
        </w:rPr>
        <w:fldChar w:fldCharType="begin"/>
      </w:r>
      <w:r>
        <w:rPr>
          <w:rFonts w:hint="eastAsia" w:ascii="宋体" w:hAnsi="宋体" w:eastAsia="宋体" w:cs="宋体"/>
          <w:bCs/>
          <w:color w:val="auto"/>
          <w:sz w:val="28"/>
          <w:szCs w:val="28"/>
          <w:highlight w:val="none"/>
          <w:lang w:val="zh-CN"/>
        </w:rPr>
        <w:instrText xml:space="preserve"> PAGEREF _Toc12222 \h </w:instrText>
      </w:r>
      <w:r>
        <w:rPr>
          <w:rFonts w:hint="eastAsia" w:ascii="宋体" w:hAnsi="宋体" w:eastAsia="宋体" w:cs="宋体"/>
          <w:bCs/>
          <w:color w:val="auto"/>
          <w:sz w:val="28"/>
          <w:szCs w:val="28"/>
          <w:highlight w:val="none"/>
          <w:lang w:val="zh-CN"/>
        </w:rPr>
        <w:fldChar w:fldCharType="separate"/>
      </w:r>
      <w:r>
        <w:rPr>
          <w:rFonts w:hint="eastAsia" w:ascii="宋体" w:hAnsi="宋体" w:eastAsia="宋体" w:cs="宋体"/>
          <w:bCs/>
          <w:color w:val="auto"/>
          <w:sz w:val="28"/>
          <w:szCs w:val="28"/>
          <w:highlight w:val="none"/>
          <w:lang w:val="zh-CN"/>
        </w:rPr>
        <w:t>18</w:t>
      </w:r>
      <w:r>
        <w:rPr>
          <w:rFonts w:hint="eastAsia" w:ascii="宋体" w:hAnsi="宋体" w:eastAsia="宋体" w:cs="宋体"/>
          <w:bCs/>
          <w:color w:val="auto"/>
          <w:sz w:val="28"/>
          <w:szCs w:val="28"/>
          <w:highlight w:val="none"/>
          <w:lang w:val="zh-CN"/>
        </w:rPr>
        <w:fldChar w:fldCharType="end"/>
      </w:r>
      <w:r>
        <w:rPr>
          <w:rFonts w:hint="eastAsia" w:ascii="宋体" w:hAnsi="宋体" w:eastAsia="宋体" w:cs="宋体"/>
          <w:bCs/>
          <w:color w:val="auto"/>
          <w:sz w:val="28"/>
          <w:szCs w:val="28"/>
          <w:highlight w:val="none"/>
          <w:lang w:val="zh-CN"/>
        </w:rPr>
        <w:fldChar w:fldCharType="end"/>
      </w:r>
    </w:p>
    <w:p w14:paraId="34D78FEF">
      <w:pPr>
        <w:pStyle w:val="44"/>
        <w:tabs>
          <w:tab w:val="right" w:leader="dot" w:pos="9014"/>
        </w:tabs>
        <w:spacing w:line="360" w:lineRule="auto"/>
        <w:ind w:firstLine="478" w:firstLineChars="228"/>
        <w:rPr>
          <w:rFonts w:hint="eastAsia" w:ascii="宋体" w:hAnsi="宋体" w:eastAsia="宋体" w:cs="宋体"/>
          <w:bCs/>
          <w:color w:val="auto"/>
          <w:sz w:val="28"/>
          <w:szCs w:val="28"/>
          <w:highlight w:val="none"/>
          <w:lang w:val="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"_Toc31573" </w:instrText>
      </w:r>
      <w:r>
        <w:rPr>
          <w:rFonts w:hint="eastAsia" w:ascii="宋体" w:hAnsi="宋体" w:eastAsia="宋体" w:cs="宋体"/>
          <w:color w:val="auto"/>
          <w:highlight w:val="none"/>
        </w:rPr>
        <w:fldChar w:fldCharType="separate"/>
      </w:r>
      <w:r>
        <w:rPr>
          <w:rFonts w:hint="eastAsia" w:ascii="宋体" w:hAnsi="宋体" w:eastAsia="宋体" w:cs="宋体"/>
          <w:bCs/>
          <w:color w:val="auto"/>
          <w:sz w:val="28"/>
          <w:szCs w:val="28"/>
          <w:highlight w:val="none"/>
          <w:lang w:val="zh-CN"/>
        </w:rPr>
        <w:t>九、验收</w:t>
      </w:r>
      <w:r>
        <w:rPr>
          <w:rFonts w:hint="eastAsia" w:ascii="宋体" w:hAnsi="宋体" w:eastAsia="宋体" w:cs="宋体"/>
          <w:bCs/>
          <w:color w:val="auto"/>
          <w:sz w:val="28"/>
          <w:szCs w:val="28"/>
          <w:highlight w:val="none"/>
          <w:lang w:val="zh-CN"/>
        </w:rPr>
        <w:tab/>
      </w:r>
      <w:r>
        <w:rPr>
          <w:rFonts w:hint="eastAsia" w:ascii="宋体" w:hAnsi="宋体" w:eastAsia="宋体" w:cs="宋体"/>
          <w:bCs/>
          <w:color w:val="auto"/>
          <w:sz w:val="28"/>
          <w:szCs w:val="28"/>
          <w:highlight w:val="none"/>
          <w:lang w:val="zh-CN"/>
        </w:rPr>
        <w:fldChar w:fldCharType="begin"/>
      </w:r>
      <w:r>
        <w:rPr>
          <w:rFonts w:hint="eastAsia" w:ascii="宋体" w:hAnsi="宋体" w:eastAsia="宋体" w:cs="宋体"/>
          <w:bCs/>
          <w:color w:val="auto"/>
          <w:sz w:val="28"/>
          <w:szCs w:val="28"/>
          <w:highlight w:val="none"/>
          <w:lang w:val="zh-CN"/>
        </w:rPr>
        <w:instrText xml:space="preserve"> PAGEREF _Toc31573 \h </w:instrText>
      </w:r>
      <w:r>
        <w:rPr>
          <w:rFonts w:hint="eastAsia" w:ascii="宋体" w:hAnsi="宋体" w:eastAsia="宋体" w:cs="宋体"/>
          <w:bCs/>
          <w:color w:val="auto"/>
          <w:sz w:val="28"/>
          <w:szCs w:val="28"/>
          <w:highlight w:val="none"/>
          <w:lang w:val="zh-CN"/>
        </w:rPr>
        <w:fldChar w:fldCharType="separate"/>
      </w:r>
      <w:r>
        <w:rPr>
          <w:rFonts w:hint="eastAsia" w:ascii="宋体" w:hAnsi="宋体" w:eastAsia="宋体" w:cs="宋体"/>
          <w:bCs/>
          <w:color w:val="auto"/>
          <w:sz w:val="28"/>
          <w:szCs w:val="28"/>
          <w:highlight w:val="none"/>
          <w:lang w:val="zh-CN"/>
        </w:rPr>
        <w:t>19</w:t>
      </w:r>
      <w:r>
        <w:rPr>
          <w:rFonts w:hint="eastAsia" w:ascii="宋体" w:hAnsi="宋体" w:eastAsia="宋体" w:cs="宋体"/>
          <w:bCs/>
          <w:color w:val="auto"/>
          <w:sz w:val="28"/>
          <w:szCs w:val="28"/>
          <w:highlight w:val="none"/>
          <w:lang w:val="zh-CN"/>
        </w:rPr>
        <w:fldChar w:fldCharType="end"/>
      </w:r>
      <w:r>
        <w:rPr>
          <w:rFonts w:hint="eastAsia" w:ascii="宋体" w:hAnsi="宋体" w:eastAsia="宋体" w:cs="宋体"/>
          <w:bCs/>
          <w:color w:val="auto"/>
          <w:sz w:val="28"/>
          <w:szCs w:val="28"/>
          <w:highlight w:val="none"/>
          <w:lang w:val="zh-CN"/>
        </w:rPr>
        <w:fldChar w:fldCharType="end"/>
      </w:r>
    </w:p>
    <w:p w14:paraId="2ADACD0B">
      <w:pPr>
        <w:pStyle w:val="44"/>
        <w:tabs>
          <w:tab w:val="right" w:leader="dot" w:pos="9014"/>
        </w:tabs>
        <w:spacing w:line="360" w:lineRule="auto"/>
        <w:ind w:firstLine="420" w:firstLineChars="200"/>
        <w:rPr>
          <w:rFonts w:hint="eastAsia" w:ascii="宋体" w:hAnsi="宋体" w:eastAsia="宋体" w:cs="宋体"/>
          <w:bCs/>
          <w:color w:val="auto"/>
          <w:sz w:val="28"/>
          <w:szCs w:val="28"/>
          <w:highlight w:val="none"/>
          <w:lang w:val="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"_Toc7643" </w:instrText>
      </w:r>
      <w:r>
        <w:rPr>
          <w:rFonts w:hint="eastAsia" w:ascii="宋体" w:hAnsi="宋体" w:eastAsia="宋体" w:cs="宋体"/>
          <w:color w:val="auto"/>
          <w:highlight w:val="none"/>
        </w:rPr>
        <w:fldChar w:fldCharType="separate"/>
      </w:r>
      <w:r>
        <w:rPr>
          <w:rFonts w:hint="eastAsia" w:ascii="宋体" w:hAnsi="宋体" w:eastAsia="宋体" w:cs="宋体"/>
          <w:bCs/>
          <w:color w:val="auto"/>
          <w:sz w:val="28"/>
          <w:szCs w:val="28"/>
          <w:highlight w:val="none"/>
          <w:lang w:val="zh-CN"/>
        </w:rPr>
        <w:t>第三部分 采购需求</w:t>
      </w:r>
      <w:r>
        <w:rPr>
          <w:rFonts w:hint="eastAsia" w:ascii="宋体" w:hAnsi="宋体" w:eastAsia="宋体" w:cs="宋体"/>
          <w:bCs/>
          <w:color w:val="auto"/>
          <w:sz w:val="28"/>
          <w:szCs w:val="28"/>
          <w:highlight w:val="none"/>
          <w:lang w:val="zh-CN"/>
        </w:rPr>
        <w:tab/>
      </w:r>
      <w:r>
        <w:rPr>
          <w:rFonts w:hint="eastAsia" w:ascii="宋体" w:hAnsi="宋体" w:eastAsia="宋体" w:cs="宋体"/>
          <w:bCs/>
          <w:color w:val="auto"/>
          <w:sz w:val="28"/>
          <w:szCs w:val="28"/>
          <w:highlight w:val="none"/>
          <w:lang w:val="zh-CN"/>
        </w:rPr>
        <w:fldChar w:fldCharType="begin"/>
      </w:r>
      <w:r>
        <w:rPr>
          <w:rFonts w:hint="eastAsia" w:ascii="宋体" w:hAnsi="宋体" w:eastAsia="宋体" w:cs="宋体"/>
          <w:bCs/>
          <w:color w:val="auto"/>
          <w:sz w:val="28"/>
          <w:szCs w:val="28"/>
          <w:highlight w:val="none"/>
          <w:lang w:val="zh-CN"/>
        </w:rPr>
        <w:instrText xml:space="preserve"> PAGEREF _Toc7643 \h </w:instrText>
      </w:r>
      <w:r>
        <w:rPr>
          <w:rFonts w:hint="eastAsia" w:ascii="宋体" w:hAnsi="宋体" w:eastAsia="宋体" w:cs="宋体"/>
          <w:bCs/>
          <w:color w:val="auto"/>
          <w:sz w:val="28"/>
          <w:szCs w:val="28"/>
          <w:highlight w:val="none"/>
          <w:lang w:val="zh-CN"/>
        </w:rPr>
        <w:fldChar w:fldCharType="separate"/>
      </w:r>
      <w:r>
        <w:rPr>
          <w:rFonts w:hint="eastAsia" w:ascii="宋体" w:hAnsi="宋体" w:eastAsia="宋体" w:cs="宋体"/>
          <w:bCs/>
          <w:color w:val="auto"/>
          <w:sz w:val="28"/>
          <w:szCs w:val="28"/>
          <w:highlight w:val="none"/>
          <w:lang w:val="zh-CN"/>
        </w:rPr>
        <w:t>20</w:t>
      </w:r>
      <w:r>
        <w:rPr>
          <w:rFonts w:hint="eastAsia" w:ascii="宋体" w:hAnsi="宋体" w:eastAsia="宋体" w:cs="宋体"/>
          <w:bCs/>
          <w:color w:val="auto"/>
          <w:sz w:val="28"/>
          <w:szCs w:val="28"/>
          <w:highlight w:val="none"/>
          <w:lang w:val="zh-CN"/>
        </w:rPr>
        <w:fldChar w:fldCharType="end"/>
      </w:r>
      <w:r>
        <w:rPr>
          <w:rFonts w:hint="eastAsia" w:ascii="宋体" w:hAnsi="宋体" w:eastAsia="宋体" w:cs="宋体"/>
          <w:bCs/>
          <w:color w:val="auto"/>
          <w:sz w:val="28"/>
          <w:szCs w:val="28"/>
          <w:highlight w:val="none"/>
          <w:lang w:val="zh-CN"/>
        </w:rPr>
        <w:fldChar w:fldCharType="end"/>
      </w:r>
    </w:p>
    <w:p w14:paraId="6BEFEF30">
      <w:pPr>
        <w:pStyle w:val="44"/>
        <w:tabs>
          <w:tab w:val="right" w:leader="dot" w:pos="9014"/>
        </w:tabs>
        <w:spacing w:line="360" w:lineRule="auto"/>
        <w:ind w:firstLine="420" w:firstLineChars="200"/>
        <w:rPr>
          <w:rFonts w:hint="eastAsia" w:ascii="宋体" w:hAnsi="宋体" w:eastAsia="宋体" w:cs="宋体"/>
          <w:bCs/>
          <w:color w:val="auto"/>
          <w:sz w:val="28"/>
          <w:szCs w:val="28"/>
          <w:highlight w:val="none"/>
          <w:lang w:val="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"_Toc20116" </w:instrText>
      </w:r>
      <w:r>
        <w:rPr>
          <w:rFonts w:hint="eastAsia" w:ascii="宋体" w:hAnsi="宋体" w:eastAsia="宋体" w:cs="宋体"/>
          <w:color w:val="auto"/>
          <w:highlight w:val="none"/>
        </w:rPr>
        <w:fldChar w:fldCharType="separate"/>
      </w:r>
      <w:r>
        <w:rPr>
          <w:rFonts w:hint="eastAsia" w:ascii="宋体" w:hAnsi="宋体" w:eastAsia="宋体" w:cs="宋体"/>
          <w:bCs/>
          <w:color w:val="auto"/>
          <w:sz w:val="28"/>
          <w:szCs w:val="28"/>
          <w:highlight w:val="none"/>
          <w:lang w:val="zh-CN"/>
        </w:rPr>
        <w:t>第四部分</w:t>
      </w:r>
      <w:r>
        <w:rPr>
          <w:rFonts w:hint="eastAsia" w:ascii="宋体" w:hAnsi="宋体" w:eastAsia="宋体" w:cs="宋体"/>
          <w:bCs/>
          <w:color w:val="auto"/>
          <w:sz w:val="28"/>
          <w:szCs w:val="28"/>
          <w:highlight w:val="none"/>
        </w:rPr>
        <w:t xml:space="preserve"> </w:t>
      </w:r>
      <w:r>
        <w:rPr>
          <w:rFonts w:hint="eastAsia" w:ascii="宋体" w:hAnsi="宋体" w:eastAsia="宋体" w:cs="宋体"/>
          <w:bCs/>
          <w:color w:val="auto"/>
          <w:sz w:val="28"/>
          <w:szCs w:val="28"/>
          <w:highlight w:val="none"/>
          <w:lang w:val="zh-CN"/>
        </w:rPr>
        <w:t>评标办法</w:t>
      </w:r>
      <w:r>
        <w:rPr>
          <w:rFonts w:hint="eastAsia" w:ascii="宋体" w:hAnsi="宋体" w:eastAsia="宋体" w:cs="宋体"/>
          <w:bCs/>
          <w:color w:val="auto"/>
          <w:sz w:val="28"/>
          <w:szCs w:val="28"/>
          <w:highlight w:val="none"/>
          <w:lang w:val="zh-CN"/>
        </w:rPr>
        <w:tab/>
      </w:r>
      <w:r>
        <w:rPr>
          <w:rFonts w:hint="eastAsia" w:ascii="宋体" w:hAnsi="宋体" w:eastAsia="宋体" w:cs="宋体"/>
          <w:bCs/>
          <w:color w:val="auto"/>
          <w:sz w:val="28"/>
          <w:szCs w:val="28"/>
          <w:highlight w:val="none"/>
          <w:lang w:val="zh-CN"/>
        </w:rPr>
        <w:fldChar w:fldCharType="begin"/>
      </w:r>
      <w:r>
        <w:rPr>
          <w:rFonts w:hint="eastAsia" w:ascii="宋体" w:hAnsi="宋体" w:eastAsia="宋体" w:cs="宋体"/>
          <w:bCs/>
          <w:color w:val="auto"/>
          <w:sz w:val="28"/>
          <w:szCs w:val="28"/>
          <w:highlight w:val="none"/>
          <w:lang w:val="zh-CN"/>
        </w:rPr>
        <w:instrText xml:space="preserve"> PAGEREF _Toc20116 \h </w:instrText>
      </w:r>
      <w:r>
        <w:rPr>
          <w:rFonts w:hint="eastAsia" w:ascii="宋体" w:hAnsi="宋体" w:eastAsia="宋体" w:cs="宋体"/>
          <w:bCs/>
          <w:color w:val="auto"/>
          <w:sz w:val="28"/>
          <w:szCs w:val="28"/>
          <w:highlight w:val="none"/>
          <w:lang w:val="zh-CN"/>
        </w:rPr>
        <w:fldChar w:fldCharType="separate"/>
      </w:r>
      <w:r>
        <w:rPr>
          <w:rFonts w:hint="eastAsia" w:ascii="宋体" w:hAnsi="宋体" w:eastAsia="宋体" w:cs="宋体"/>
          <w:bCs/>
          <w:color w:val="auto"/>
          <w:sz w:val="28"/>
          <w:szCs w:val="28"/>
          <w:highlight w:val="none"/>
          <w:lang w:val="zh-CN"/>
        </w:rPr>
        <w:t>20</w:t>
      </w:r>
      <w:r>
        <w:rPr>
          <w:rFonts w:hint="eastAsia" w:ascii="宋体" w:hAnsi="宋体" w:eastAsia="宋体" w:cs="宋体"/>
          <w:bCs/>
          <w:color w:val="auto"/>
          <w:sz w:val="28"/>
          <w:szCs w:val="28"/>
          <w:highlight w:val="none"/>
          <w:lang w:val="zh-CN"/>
        </w:rPr>
        <w:fldChar w:fldCharType="end"/>
      </w:r>
      <w:r>
        <w:rPr>
          <w:rFonts w:hint="eastAsia" w:ascii="宋体" w:hAnsi="宋体" w:eastAsia="宋体" w:cs="宋体"/>
          <w:bCs/>
          <w:color w:val="auto"/>
          <w:sz w:val="28"/>
          <w:szCs w:val="28"/>
          <w:highlight w:val="none"/>
          <w:lang w:val="zh-CN"/>
        </w:rPr>
        <w:fldChar w:fldCharType="end"/>
      </w:r>
    </w:p>
    <w:p w14:paraId="6161FD07">
      <w:pPr>
        <w:pStyle w:val="44"/>
        <w:tabs>
          <w:tab w:val="right" w:leader="dot" w:pos="9014"/>
        </w:tabs>
        <w:spacing w:line="360" w:lineRule="auto"/>
        <w:ind w:firstLine="420" w:firstLineChars="200"/>
        <w:rPr>
          <w:rFonts w:hint="eastAsia" w:ascii="宋体" w:hAnsi="宋体" w:eastAsia="宋体" w:cs="宋体"/>
          <w:bCs/>
          <w:color w:val="auto"/>
          <w:sz w:val="28"/>
          <w:szCs w:val="28"/>
          <w:highlight w:val="none"/>
          <w:lang w:val="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"_Toc8744" </w:instrText>
      </w:r>
      <w:r>
        <w:rPr>
          <w:rFonts w:hint="eastAsia" w:ascii="宋体" w:hAnsi="宋体" w:eastAsia="宋体" w:cs="宋体"/>
          <w:color w:val="auto"/>
          <w:highlight w:val="none"/>
        </w:rPr>
        <w:fldChar w:fldCharType="separate"/>
      </w:r>
      <w:r>
        <w:rPr>
          <w:rFonts w:hint="eastAsia" w:ascii="宋体" w:hAnsi="宋体" w:eastAsia="宋体" w:cs="宋体"/>
          <w:bCs/>
          <w:color w:val="auto"/>
          <w:sz w:val="28"/>
          <w:szCs w:val="28"/>
          <w:highlight w:val="none"/>
          <w:lang w:val="zh-CN"/>
        </w:rPr>
        <w:t>第五部分 拟签订的合同文本</w:t>
      </w:r>
      <w:r>
        <w:rPr>
          <w:rFonts w:hint="eastAsia" w:ascii="宋体" w:hAnsi="宋体" w:eastAsia="宋体" w:cs="宋体"/>
          <w:bCs/>
          <w:color w:val="auto"/>
          <w:sz w:val="28"/>
          <w:szCs w:val="28"/>
          <w:highlight w:val="none"/>
          <w:lang w:val="zh-CN"/>
        </w:rPr>
        <w:tab/>
      </w:r>
      <w:r>
        <w:rPr>
          <w:rFonts w:hint="eastAsia" w:ascii="宋体" w:hAnsi="宋体" w:eastAsia="宋体" w:cs="宋体"/>
          <w:bCs/>
          <w:color w:val="auto"/>
          <w:sz w:val="28"/>
          <w:szCs w:val="28"/>
          <w:highlight w:val="none"/>
          <w:lang w:val="zh-CN"/>
        </w:rPr>
        <w:fldChar w:fldCharType="begin"/>
      </w:r>
      <w:r>
        <w:rPr>
          <w:rFonts w:hint="eastAsia" w:ascii="宋体" w:hAnsi="宋体" w:eastAsia="宋体" w:cs="宋体"/>
          <w:bCs/>
          <w:color w:val="auto"/>
          <w:sz w:val="28"/>
          <w:szCs w:val="28"/>
          <w:highlight w:val="none"/>
          <w:lang w:val="zh-CN"/>
        </w:rPr>
        <w:instrText xml:space="preserve"> PAGEREF _Toc8744 \h </w:instrText>
      </w:r>
      <w:r>
        <w:rPr>
          <w:rFonts w:hint="eastAsia" w:ascii="宋体" w:hAnsi="宋体" w:eastAsia="宋体" w:cs="宋体"/>
          <w:bCs/>
          <w:color w:val="auto"/>
          <w:sz w:val="28"/>
          <w:szCs w:val="28"/>
          <w:highlight w:val="none"/>
          <w:lang w:val="zh-CN"/>
        </w:rPr>
        <w:fldChar w:fldCharType="separate"/>
      </w:r>
      <w:r>
        <w:rPr>
          <w:rFonts w:hint="eastAsia" w:ascii="宋体" w:hAnsi="宋体" w:eastAsia="宋体" w:cs="宋体"/>
          <w:bCs/>
          <w:color w:val="auto"/>
          <w:sz w:val="28"/>
          <w:szCs w:val="28"/>
          <w:highlight w:val="none"/>
          <w:lang w:val="zh-CN"/>
        </w:rPr>
        <w:t>36</w:t>
      </w:r>
      <w:r>
        <w:rPr>
          <w:rFonts w:hint="eastAsia" w:ascii="宋体" w:hAnsi="宋体" w:eastAsia="宋体" w:cs="宋体"/>
          <w:bCs/>
          <w:color w:val="auto"/>
          <w:sz w:val="28"/>
          <w:szCs w:val="28"/>
          <w:highlight w:val="none"/>
          <w:lang w:val="zh-CN"/>
        </w:rPr>
        <w:fldChar w:fldCharType="end"/>
      </w:r>
      <w:r>
        <w:rPr>
          <w:rFonts w:hint="eastAsia" w:ascii="宋体" w:hAnsi="宋体" w:eastAsia="宋体" w:cs="宋体"/>
          <w:bCs/>
          <w:color w:val="auto"/>
          <w:sz w:val="28"/>
          <w:szCs w:val="28"/>
          <w:highlight w:val="none"/>
          <w:lang w:val="zh-CN"/>
        </w:rPr>
        <w:fldChar w:fldCharType="end"/>
      </w:r>
    </w:p>
    <w:p w14:paraId="332633FC">
      <w:pPr>
        <w:pStyle w:val="44"/>
        <w:tabs>
          <w:tab w:val="right" w:leader="dot" w:pos="9014"/>
        </w:tabs>
        <w:spacing w:line="360" w:lineRule="auto"/>
        <w:ind w:firstLine="420" w:firstLineChars="200"/>
        <w:rPr>
          <w:rFonts w:hint="eastAsia" w:ascii="宋体" w:hAnsi="宋体" w:eastAsia="宋体" w:cs="宋体"/>
          <w:bCs/>
          <w:color w:val="auto"/>
          <w:sz w:val="28"/>
          <w:szCs w:val="28"/>
          <w:highlight w:val="none"/>
          <w:lang w:val="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"_Toc29609" </w:instrText>
      </w:r>
      <w:r>
        <w:rPr>
          <w:rFonts w:hint="eastAsia" w:ascii="宋体" w:hAnsi="宋体" w:eastAsia="宋体" w:cs="宋体"/>
          <w:color w:val="auto"/>
          <w:highlight w:val="none"/>
        </w:rPr>
        <w:fldChar w:fldCharType="separate"/>
      </w:r>
      <w:r>
        <w:rPr>
          <w:rFonts w:hint="eastAsia" w:ascii="宋体" w:hAnsi="宋体" w:eastAsia="宋体" w:cs="宋体"/>
          <w:bCs/>
          <w:color w:val="auto"/>
          <w:sz w:val="28"/>
          <w:szCs w:val="28"/>
          <w:highlight w:val="none"/>
          <w:lang w:val="zh-CN"/>
        </w:rPr>
        <w:t>第六部分</w:t>
      </w:r>
      <w:r>
        <w:rPr>
          <w:rFonts w:hint="eastAsia" w:ascii="宋体" w:hAnsi="宋体" w:eastAsia="宋体" w:cs="宋体"/>
          <w:bCs/>
          <w:color w:val="auto"/>
          <w:sz w:val="28"/>
          <w:szCs w:val="28"/>
          <w:highlight w:val="none"/>
        </w:rPr>
        <w:t xml:space="preserve"> </w:t>
      </w:r>
      <w:r>
        <w:rPr>
          <w:rFonts w:hint="eastAsia" w:ascii="宋体" w:hAnsi="宋体" w:eastAsia="宋体" w:cs="宋体"/>
          <w:bCs/>
          <w:color w:val="auto"/>
          <w:sz w:val="28"/>
          <w:szCs w:val="28"/>
          <w:highlight w:val="none"/>
          <w:lang w:val="zh-CN"/>
        </w:rPr>
        <w:t>应提交的有关格式范例</w:t>
      </w:r>
      <w:r>
        <w:rPr>
          <w:rFonts w:hint="eastAsia" w:ascii="宋体" w:hAnsi="宋体" w:eastAsia="宋体" w:cs="宋体"/>
          <w:bCs/>
          <w:color w:val="auto"/>
          <w:sz w:val="28"/>
          <w:szCs w:val="28"/>
          <w:highlight w:val="none"/>
          <w:lang w:val="zh-CN"/>
        </w:rPr>
        <w:tab/>
      </w:r>
      <w:r>
        <w:rPr>
          <w:rFonts w:hint="eastAsia" w:ascii="宋体" w:hAnsi="宋体" w:eastAsia="宋体" w:cs="宋体"/>
          <w:bCs/>
          <w:color w:val="auto"/>
          <w:sz w:val="28"/>
          <w:szCs w:val="28"/>
          <w:highlight w:val="none"/>
          <w:lang w:val="zh-CN"/>
        </w:rPr>
        <w:fldChar w:fldCharType="begin"/>
      </w:r>
      <w:r>
        <w:rPr>
          <w:rFonts w:hint="eastAsia" w:ascii="宋体" w:hAnsi="宋体" w:eastAsia="宋体" w:cs="宋体"/>
          <w:bCs/>
          <w:color w:val="auto"/>
          <w:sz w:val="28"/>
          <w:szCs w:val="28"/>
          <w:highlight w:val="none"/>
          <w:lang w:val="zh-CN"/>
        </w:rPr>
        <w:instrText xml:space="preserve"> PAGEREF _Toc29609 \h </w:instrText>
      </w:r>
      <w:r>
        <w:rPr>
          <w:rFonts w:hint="eastAsia" w:ascii="宋体" w:hAnsi="宋体" w:eastAsia="宋体" w:cs="宋体"/>
          <w:bCs/>
          <w:color w:val="auto"/>
          <w:sz w:val="28"/>
          <w:szCs w:val="28"/>
          <w:highlight w:val="none"/>
          <w:lang w:val="zh-CN"/>
        </w:rPr>
        <w:fldChar w:fldCharType="separate"/>
      </w:r>
      <w:r>
        <w:rPr>
          <w:rFonts w:hint="eastAsia" w:ascii="宋体" w:hAnsi="宋体" w:eastAsia="宋体" w:cs="宋体"/>
          <w:bCs/>
          <w:color w:val="auto"/>
          <w:sz w:val="28"/>
          <w:szCs w:val="28"/>
          <w:highlight w:val="none"/>
          <w:lang w:val="zh-CN"/>
        </w:rPr>
        <w:t>44</w:t>
      </w:r>
      <w:r>
        <w:rPr>
          <w:rFonts w:hint="eastAsia" w:ascii="宋体" w:hAnsi="宋体" w:eastAsia="宋体" w:cs="宋体"/>
          <w:bCs/>
          <w:color w:val="auto"/>
          <w:sz w:val="28"/>
          <w:szCs w:val="28"/>
          <w:highlight w:val="none"/>
          <w:lang w:val="zh-CN"/>
        </w:rPr>
        <w:fldChar w:fldCharType="end"/>
      </w:r>
      <w:r>
        <w:rPr>
          <w:rFonts w:hint="eastAsia" w:ascii="宋体" w:hAnsi="宋体" w:eastAsia="宋体" w:cs="宋体"/>
          <w:bCs/>
          <w:color w:val="auto"/>
          <w:sz w:val="28"/>
          <w:szCs w:val="28"/>
          <w:highlight w:val="none"/>
          <w:lang w:val="zh-CN"/>
        </w:rPr>
        <w:fldChar w:fldCharType="end"/>
      </w:r>
    </w:p>
    <w:p w14:paraId="16D5D5FD">
      <w:pPr>
        <w:pStyle w:val="44"/>
        <w:tabs>
          <w:tab w:val="right" w:leader="dot" w:pos="9014"/>
        </w:tabs>
        <w:spacing w:line="360" w:lineRule="auto"/>
        <w:ind w:firstLine="420" w:firstLineChars="200"/>
        <w:rPr>
          <w:rFonts w:hint="eastAsia" w:ascii="宋体" w:hAnsi="宋体" w:eastAsia="宋体" w:cs="宋体"/>
          <w:bCs/>
          <w:color w:val="auto"/>
          <w:sz w:val="28"/>
          <w:szCs w:val="28"/>
          <w:highlight w:val="none"/>
          <w:lang w:val="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"_Toc29706" </w:instrText>
      </w:r>
      <w:r>
        <w:rPr>
          <w:rFonts w:hint="eastAsia" w:ascii="宋体" w:hAnsi="宋体" w:eastAsia="宋体" w:cs="宋体"/>
          <w:color w:val="auto"/>
          <w:highlight w:val="none"/>
        </w:rPr>
        <w:fldChar w:fldCharType="separate"/>
      </w:r>
      <w:r>
        <w:rPr>
          <w:rFonts w:hint="eastAsia" w:ascii="宋体" w:hAnsi="宋体" w:eastAsia="宋体" w:cs="宋体"/>
          <w:bCs/>
          <w:color w:val="auto"/>
          <w:sz w:val="28"/>
          <w:szCs w:val="28"/>
          <w:highlight w:val="none"/>
          <w:lang w:val="zh-CN"/>
        </w:rPr>
        <w:t>资格文件部分</w:t>
      </w:r>
      <w:r>
        <w:rPr>
          <w:rFonts w:hint="eastAsia" w:ascii="宋体" w:hAnsi="宋体" w:eastAsia="宋体" w:cs="宋体"/>
          <w:bCs/>
          <w:color w:val="auto"/>
          <w:sz w:val="28"/>
          <w:szCs w:val="28"/>
          <w:highlight w:val="none"/>
          <w:lang w:val="zh-CN"/>
        </w:rPr>
        <w:tab/>
      </w:r>
      <w:r>
        <w:rPr>
          <w:rFonts w:hint="eastAsia" w:ascii="宋体" w:hAnsi="宋体" w:eastAsia="宋体" w:cs="宋体"/>
          <w:bCs/>
          <w:color w:val="auto"/>
          <w:sz w:val="28"/>
          <w:szCs w:val="28"/>
          <w:highlight w:val="none"/>
          <w:lang w:val="zh-CN"/>
        </w:rPr>
        <w:fldChar w:fldCharType="begin"/>
      </w:r>
      <w:r>
        <w:rPr>
          <w:rFonts w:hint="eastAsia" w:ascii="宋体" w:hAnsi="宋体" w:eastAsia="宋体" w:cs="宋体"/>
          <w:bCs/>
          <w:color w:val="auto"/>
          <w:sz w:val="28"/>
          <w:szCs w:val="28"/>
          <w:highlight w:val="none"/>
          <w:lang w:val="zh-CN"/>
        </w:rPr>
        <w:instrText xml:space="preserve"> PAGEREF _Toc29706 \h </w:instrText>
      </w:r>
      <w:r>
        <w:rPr>
          <w:rFonts w:hint="eastAsia" w:ascii="宋体" w:hAnsi="宋体" w:eastAsia="宋体" w:cs="宋体"/>
          <w:bCs/>
          <w:color w:val="auto"/>
          <w:sz w:val="28"/>
          <w:szCs w:val="28"/>
          <w:highlight w:val="none"/>
          <w:lang w:val="zh-CN"/>
        </w:rPr>
        <w:fldChar w:fldCharType="separate"/>
      </w:r>
      <w:r>
        <w:rPr>
          <w:rFonts w:hint="eastAsia" w:ascii="宋体" w:hAnsi="宋体" w:eastAsia="宋体" w:cs="宋体"/>
          <w:bCs/>
          <w:color w:val="auto"/>
          <w:sz w:val="28"/>
          <w:szCs w:val="28"/>
          <w:highlight w:val="none"/>
          <w:lang w:val="zh-CN"/>
        </w:rPr>
        <w:t>44</w:t>
      </w:r>
      <w:r>
        <w:rPr>
          <w:rFonts w:hint="eastAsia" w:ascii="宋体" w:hAnsi="宋体" w:eastAsia="宋体" w:cs="宋体"/>
          <w:bCs/>
          <w:color w:val="auto"/>
          <w:sz w:val="28"/>
          <w:szCs w:val="28"/>
          <w:highlight w:val="none"/>
          <w:lang w:val="zh-CN"/>
        </w:rPr>
        <w:fldChar w:fldCharType="end"/>
      </w:r>
      <w:r>
        <w:rPr>
          <w:rFonts w:hint="eastAsia" w:ascii="宋体" w:hAnsi="宋体" w:eastAsia="宋体" w:cs="宋体"/>
          <w:bCs/>
          <w:color w:val="auto"/>
          <w:sz w:val="28"/>
          <w:szCs w:val="28"/>
          <w:highlight w:val="none"/>
          <w:lang w:val="zh-CN"/>
        </w:rPr>
        <w:fldChar w:fldCharType="end"/>
      </w:r>
    </w:p>
    <w:p w14:paraId="46652A46">
      <w:pPr>
        <w:pStyle w:val="44"/>
        <w:tabs>
          <w:tab w:val="right" w:leader="dot" w:pos="9014"/>
        </w:tabs>
        <w:spacing w:line="360" w:lineRule="auto"/>
        <w:ind w:firstLine="420" w:firstLineChars="200"/>
        <w:rPr>
          <w:rFonts w:hint="eastAsia" w:ascii="宋体" w:hAnsi="宋体" w:eastAsia="宋体" w:cs="宋体"/>
          <w:bCs/>
          <w:color w:val="auto"/>
          <w:sz w:val="28"/>
          <w:szCs w:val="28"/>
          <w:highlight w:val="none"/>
          <w:lang w:val="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"_Toc1258" </w:instrText>
      </w:r>
      <w:r>
        <w:rPr>
          <w:rFonts w:hint="eastAsia" w:ascii="宋体" w:hAnsi="宋体" w:eastAsia="宋体" w:cs="宋体"/>
          <w:color w:val="auto"/>
          <w:highlight w:val="none"/>
        </w:rPr>
        <w:fldChar w:fldCharType="separate"/>
      </w:r>
      <w:r>
        <w:rPr>
          <w:rFonts w:hint="eastAsia" w:ascii="宋体" w:hAnsi="宋体" w:eastAsia="宋体" w:cs="宋体"/>
          <w:bCs/>
          <w:color w:val="auto"/>
          <w:sz w:val="28"/>
          <w:szCs w:val="28"/>
          <w:highlight w:val="none"/>
          <w:lang w:val="zh-CN"/>
        </w:rPr>
        <w:t>商务技术文件部分</w:t>
      </w:r>
      <w:r>
        <w:rPr>
          <w:rFonts w:hint="eastAsia" w:ascii="宋体" w:hAnsi="宋体" w:eastAsia="宋体" w:cs="宋体"/>
          <w:bCs/>
          <w:color w:val="auto"/>
          <w:sz w:val="28"/>
          <w:szCs w:val="28"/>
          <w:highlight w:val="none"/>
          <w:lang w:val="zh-CN"/>
        </w:rPr>
        <w:tab/>
      </w:r>
      <w:r>
        <w:rPr>
          <w:rFonts w:hint="eastAsia" w:ascii="宋体" w:hAnsi="宋体" w:eastAsia="宋体" w:cs="宋体"/>
          <w:bCs/>
          <w:color w:val="auto"/>
          <w:sz w:val="28"/>
          <w:szCs w:val="28"/>
          <w:highlight w:val="none"/>
          <w:lang w:val="zh-CN"/>
        </w:rPr>
        <w:fldChar w:fldCharType="begin"/>
      </w:r>
      <w:r>
        <w:rPr>
          <w:rFonts w:hint="eastAsia" w:ascii="宋体" w:hAnsi="宋体" w:eastAsia="宋体" w:cs="宋体"/>
          <w:bCs/>
          <w:color w:val="auto"/>
          <w:sz w:val="28"/>
          <w:szCs w:val="28"/>
          <w:highlight w:val="none"/>
          <w:lang w:val="zh-CN"/>
        </w:rPr>
        <w:instrText xml:space="preserve"> PAGEREF _Toc1258 \h </w:instrText>
      </w:r>
      <w:r>
        <w:rPr>
          <w:rFonts w:hint="eastAsia" w:ascii="宋体" w:hAnsi="宋体" w:eastAsia="宋体" w:cs="宋体"/>
          <w:bCs/>
          <w:color w:val="auto"/>
          <w:sz w:val="28"/>
          <w:szCs w:val="28"/>
          <w:highlight w:val="none"/>
          <w:lang w:val="zh-CN"/>
        </w:rPr>
        <w:fldChar w:fldCharType="separate"/>
      </w:r>
      <w:r>
        <w:rPr>
          <w:rFonts w:hint="eastAsia" w:ascii="宋体" w:hAnsi="宋体" w:eastAsia="宋体" w:cs="宋体"/>
          <w:bCs/>
          <w:color w:val="auto"/>
          <w:sz w:val="28"/>
          <w:szCs w:val="28"/>
          <w:highlight w:val="none"/>
          <w:lang w:val="zh-CN"/>
        </w:rPr>
        <w:t>48</w:t>
      </w:r>
      <w:r>
        <w:rPr>
          <w:rFonts w:hint="eastAsia" w:ascii="宋体" w:hAnsi="宋体" w:eastAsia="宋体" w:cs="宋体"/>
          <w:bCs/>
          <w:color w:val="auto"/>
          <w:sz w:val="28"/>
          <w:szCs w:val="28"/>
          <w:highlight w:val="none"/>
          <w:lang w:val="zh-CN"/>
        </w:rPr>
        <w:fldChar w:fldCharType="end"/>
      </w:r>
      <w:r>
        <w:rPr>
          <w:rFonts w:hint="eastAsia" w:ascii="宋体" w:hAnsi="宋体" w:eastAsia="宋体" w:cs="宋体"/>
          <w:bCs/>
          <w:color w:val="auto"/>
          <w:sz w:val="28"/>
          <w:szCs w:val="28"/>
          <w:highlight w:val="none"/>
          <w:lang w:val="zh-CN"/>
        </w:rPr>
        <w:fldChar w:fldCharType="end"/>
      </w:r>
    </w:p>
    <w:p w14:paraId="28343568">
      <w:pPr>
        <w:pStyle w:val="44"/>
        <w:tabs>
          <w:tab w:val="right" w:leader="dot" w:pos="9014"/>
        </w:tabs>
        <w:spacing w:line="360" w:lineRule="auto"/>
        <w:ind w:firstLine="420" w:firstLineChars="200"/>
        <w:rPr>
          <w:rFonts w:hint="eastAsia" w:ascii="宋体" w:hAnsi="宋体" w:eastAsia="宋体" w:cs="宋体"/>
          <w:bCs/>
          <w:color w:val="auto"/>
          <w:sz w:val="28"/>
          <w:szCs w:val="28"/>
          <w:highlight w:val="none"/>
          <w:lang w:val="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"_Toc18646" </w:instrText>
      </w:r>
      <w:r>
        <w:rPr>
          <w:rFonts w:hint="eastAsia" w:ascii="宋体" w:hAnsi="宋体" w:eastAsia="宋体" w:cs="宋体"/>
          <w:color w:val="auto"/>
          <w:highlight w:val="none"/>
        </w:rPr>
        <w:fldChar w:fldCharType="separate"/>
      </w:r>
      <w:r>
        <w:rPr>
          <w:rFonts w:hint="eastAsia" w:ascii="宋体" w:hAnsi="宋体" w:eastAsia="宋体" w:cs="宋体"/>
          <w:bCs/>
          <w:color w:val="auto"/>
          <w:sz w:val="28"/>
          <w:szCs w:val="28"/>
          <w:highlight w:val="none"/>
          <w:lang w:val="zh-CN"/>
        </w:rPr>
        <w:t>报价文件部分</w:t>
      </w:r>
      <w:r>
        <w:rPr>
          <w:rFonts w:hint="eastAsia" w:ascii="宋体" w:hAnsi="宋体" w:eastAsia="宋体" w:cs="宋体"/>
          <w:bCs/>
          <w:color w:val="auto"/>
          <w:sz w:val="28"/>
          <w:szCs w:val="28"/>
          <w:highlight w:val="none"/>
          <w:lang w:val="zh-CN"/>
        </w:rPr>
        <w:tab/>
      </w:r>
      <w:r>
        <w:rPr>
          <w:rFonts w:hint="eastAsia" w:ascii="宋体" w:hAnsi="宋体" w:eastAsia="宋体" w:cs="宋体"/>
          <w:bCs/>
          <w:color w:val="auto"/>
          <w:sz w:val="28"/>
          <w:szCs w:val="28"/>
          <w:highlight w:val="none"/>
          <w:lang w:val="zh-CN"/>
        </w:rPr>
        <w:fldChar w:fldCharType="begin"/>
      </w:r>
      <w:r>
        <w:rPr>
          <w:rFonts w:hint="eastAsia" w:ascii="宋体" w:hAnsi="宋体" w:eastAsia="宋体" w:cs="宋体"/>
          <w:bCs/>
          <w:color w:val="auto"/>
          <w:sz w:val="28"/>
          <w:szCs w:val="28"/>
          <w:highlight w:val="none"/>
          <w:lang w:val="zh-CN"/>
        </w:rPr>
        <w:instrText xml:space="preserve"> PAGEREF _Toc18646 \h </w:instrText>
      </w:r>
      <w:r>
        <w:rPr>
          <w:rFonts w:hint="eastAsia" w:ascii="宋体" w:hAnsi="宋体" w:eastAsia="宋体" w:cs="宋体"/>
          <w:bCs/>
          <w:color w:val="auto"/>
          <w:sz w:val="28"/>
          <w:szCs w:val="28"/>
          <w:highlight w:val="none"/>
          <w:lang w:val="zh-CN"/>
        </w:rPr>
        <w:fldChar w:fldCharType="separate"/>
      </w:r>
      <w:r>
        <w:rPr>
          <w:rFonts w:hint="eastAsia" w:ascii="宋体" w:hAnsi="宋体" w:eastAsia="宋体" w:cs="宋体"/>
          <w:bCs/>
          <w:color w:val="auto"/>
          <w:sz w:val="28"/>
          <w:szCs w:val="28"/>
          <w:highlight w:val="none"/>
          <w:lang w:val="zh-CN"/>
        </w:rPr>
        <w:t>56</w:t>
      </w:r>
      <w:r>
        <w:rPr>
          <w:rFonts w:hint="eastAsia" w:ascii="宋体" w:hAnsi="宋体" w:eastAsia="宋体" w:cs="宋体"/>
          <w:bCs/>
          <w:color w:val="auto"/>
          <w:sz w:val="28"/>
          <w:szCs w:val="28"/>
          <w:highlight w:val="none"/>
          <w:lang w:val="zh-CN"/>
        </w:rPr>
        <w:fldChar w:fldCharType="end"/>
      </w:r>
      <w:r>
        <w:rPr>
          <w:rFonts w:hint="eastAsia" w:ascii="宋体" w:hAnsi="宋体" w:eastAsia="宋体" w:cs="宋体"/>
          <w:bCs/>
          <w:color w:val="auto"/>
          <w:sz w:val="28"/>
          <w:szCs w:val="28"/>
          <w:highlight w:val="none"/>
          <w:lang w:val="zh-CN"/>
        </w:rPr>
        <w:fldChar w:fldCharType="end"/>
      </w:r>
    </w:p>
    <w:p w14:paraId="7E5FF138">
      <w:pPr>
        <w:pStyle w:val="44"/>
        <w:tabs>
          <w:tab w:val="right" w:leader="dot" w:pos="9014"/>
        </w:tabs>
        <w:spacing w:line="360" w:lineRule="auto"/>
        <w:ind w:firstLine="560" w:firstLineChars="200"/>
        <w:rPr>
          <w:rFonts w:hint="eastAsia" w:ascii="宋体" w:hAnsi="宋体" w:eastAsia="宋体" w:cs="宋体"/>
          <w:color w:val="auto"/>
          <w:highlight w:val="none"/>
          <w:lang w:val="zh-CN"/>
        </w:rPr>
      </w:pPr>
      <w:r>
        <w:rPr>
          <w:rFonts w:hint="eastAsia" w:ascii="宋体" w:hAnsi="宋体" w:eastAsia="宋体" w:cs="宋体"/>
          <w:bCs/>
          <w:color w:val="auto"/>
          <w:sz w:val="28"/>
          <w:szCs w:val="28"/>
          <w:highlight w:val="none"/>
          <w:lang w:val="zh-CN"/>
        </w:rPr>
        <w:fldChar w:fldCharType="end"/>
      </w:r>
    </w:p>
    <w:bookmarkEnd w:id="1"/>
    <w:p w14:paraId="0E562738">
      <w:pPr>
        <w:spacing w:line="400" w:lineRule="exact"/>
        <w:rPr>
          <w:rFonts w:hint="eastAsia" w:ascii="宋体" w:hAnsi="宋体" w:eastAsia="宋体" w:cs="宋体"/>
          <w:b/>
          <w:color w:val="auto"/>
          <w:sz w:val="22"/>
          <w:szCs w:val="22"/>
          <w:highlight w:val="none"/>
        </w:rPr>
      </w:pPr>
      <w:bookmarkStart w:id="2" w:name="_Hlt74728647"/>
      <w:bookmarkEnd w:id="2"/>
      <w:bookmarkStart w:id="3" w:name="_Hlt74729822"/>
      <w:bookmarkEnd w:id="3"/>
      <w:bookmarkStart w:id="4" w:name="_Hlt74707423"/>
      <w:bookmarkEnd w:id="4"/>
      <w:bookmarkStart w:id="5" w:name="_Hlt74649545"/>
      <w:bookmarkEnd w:id="5"/>
      <w:bookmarkStart w:id="6" w:name="_Toc23495"/>
      <w:bookmarkStart w:id="7" w:name="_Toc129952497"/>
      <w:bookmarkStart w:id="8" w:name="第二部分"/>
      <w:bookmarkStart w:id="9" w:name="_Toc91899870"/>
      <w:bookmarkStart w:id="10" w:name="_Toc91899871"/>
      <w:r>
        <w:rPr>
          <w:rFonts w:hint="eastAsia" w:ascii="宋体" w:hAnsi="宋体" w:eastAsia="宋体" w:cs="宋体"/>
          <w:b/>
          <w:color w:val="auto"/>
          <w:sz w:val="22"/>
          <w:szCs w:val="22"/>
          <w:highlight w:val="none"/>
          <w:u w:val="single"/>
        </w:rPr>
        <w:t>注：▲招标文件中标“▲”且加下划线部分，为招标的实质性要求，着重提醒各投标人必须响应。各投标人必须认真阅读和理解招标文件中的每一个条款及要求，因误读招标文件而造成的后果，采购人及采购代理机构概不负责。</w:t>
      </w:r>
    </w:p>
    <w:p w14:paraId="4C98C56F">
      <w:pPr>
        <w:rPr>
          <w:rFonts w:hint="eastAsia" w:ascii="宋体" w:hAnsi="宋体" w:eastAsia="宋体" w:cs="宋体"/>
          <w:b/>
          <w:color w:val="auto"/>
          <w:sz w:val="36"/>
          <w:szCs w:val="20"/>
          <w:highlight w:val="none"/>
        </w:rPr>
      </w:pPr>
    </w:p>
    <w:p w14:paraId="320B72C2">
      <w:pPr>
        <w:rPr>
          <w:rFonts w:hint="eastAsia" w:ascii="宋体" w:hAnsi="宋体" w:eastAsia="宋体" w:cs="宋体"/>
          <w:b/>
          <w:color w:val="auto"/>
          <w:sz w:val="36"/>
          <w:szCs w:val="20"/>
          <w:highlight w:val="none"/>
        </w:rPr>
      </w:pPr>
    </w:p>
    <w:p w14:paraId="1A4FBF01">
      <w:pPr>
        <w:rPr>
          <w:rFonts w:hint="eastAsia" w:ascii="宋体" w:hAnsi="宋体" w:eastAsia="宋体" w:cs="宋体"/>
          <w:b/>
          <w:color w:val="auto"/>
          <w:sz w:val="36"/>
          <w:szCs w:val="20"/>
          <w:highlight w:val="none"/>
        </w:rPr>
      </w:pPr>
    </w:p>
    <w:p w14:paraId="7D72515F">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第一部分 招标公告</w:t>
      </w:r>
      <w:bookmarkEnd w:id="6"/>
      <w:bookmarkEnd w:id="7"/>
    </w:p>
    <w:p w14:paraId="0BE0F98D">
      <w:pPr>
        <w:pBdr>
          <w:top w:val="single" w:color="auto" w:sz="4" w:space="1"/>
          <w:left w:val="single" w:color="auto" w:sz="4" w:space="4"/>
          <w:bottom w:val="single" w:color="auto" w:sz="4" w:space="1"/>
          <w:right w:val="single" w:color="auto" w:sz="4" w:space="4"/>
        </w:pBd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项目概况</w:t>
      </w:r>
    </w:p>
    <w:p w14:paraId="2C4142C9">
      <w:pPr>
        <w:pBdr>
          <w:top w:val="single" w:color="auto" w:sz="4" w:space="1"/>
          <w:left w:val="single" w:color="auto" w:sz="4" w:space="4"/>
          <w:bottom w:val="single" w:color="auto" w:sz="4" w:space="1"/>
          <w:right w:val="single" w:color="auto" w:sz="4" w:space="4"/>
        </w:pBdr>
        <w:spacing w:line="360" w:lineRule="auto"/>
        <w:ind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lang w:eastAsia="zh-CN"/>
        </w:rPr>
        <w:t>温室气体城市站建设</w:t>
      </w:r>
      <w:r>
        <w:rPr>
          <w:rFonts w:hint="eastAsia" w:ascii="宋体" w:hAnsi="宋体" w:eastAsia="宋体" w:cs="宋体"/>
          <w:color w:val="auto"/>
          <w:sz w:val="22"/>
          <w:szCs w:val="22"/>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"https://www.zcygov.cn/）获取（下载）招标文件，并于2023年5月9日09点30分00秒" </w:instrText>
      </w:r>
      <w:r>
        <w:rPr>
          <w:rFonts w:hint="eastAsia" w:ascii="宋体" w:hAnsi="宋体" w:eastAsia="宋体" w:cs="宋体"/>
          <w:color w:val="auto"/>
          <w:highlight w:val="none"/>
        </w:rPr>
        <w:fldChar w:fldCharType="separate"/>
      </w:r>
      <w:r>
        <w:rPr>
          <w:rStyle w:val="77"/>
          <w:rFonts w:hint="eastAsia" w:ascii="宋体" w:hAnsi="宋体" w:eastAsia="宋体" w:cs="宋体"/>
          <w:snapToGrid/>
          <w:color w:val="auto"/>
          <w:kern w:val="2"/>
          <w:sz w:val="22"/>
          <w:szCs w:val="22"/>
          <w:highlight w:val="none"/>
        </w:rPr>
        <w:t>https://www.zcygov.cn/）获取（下载）招标文件，并于</w:t>
      </w:r>
      <w:r>
        <w:rPr>
          <w:rFonts w:hint="eastAsia" w:ascii="宋体" w:hAnsi="宋体" w:eastAsia="宋体" w:cs="宋体"/>
          <w:color w:val="auto"/>
          <w:sz w:val="22"/>
          <w:szCs w:val="22"/>
          <w:highlight w:val="none"/>
          <w:u w:val="single"/>
          <w:lang w:eastAsia="zh-CN"/>
        </w:rPr>
        <w:t>2025年07月16日</w:t>
      </w:r>
      <w:r>
        <w:rPr>
          <w:rFonts w:hint="eastAsia" w:ascii="宋体" w:hAnsi="宋体" w:eastAsia="宋体" w:cs="宋体"/>
          <w:color w:val="auto"/>
          <w:sz w:val="22"/>
          <w:szCs w:val="22"/>
          <w:highlight w:val="none"/>
          <w:u w:val="single"/>
        </w:rPr>
        <w:t>09时30分00秒</w:t>
      </w:r>
      <w:r>
        <w:rPr>
          <w:rFonts w:hint="eastAsia" w:ascii="宋体" w:hAnsi="宋体" w:eastAsia="宋体" w:cs="宋体"/>
          <w:color w:val="auto"/>
          <w:sz w:val="22"/>
          <w:szCs w:val="22"/>
          <w:highlight w:val="none"/>
          <w:u w:val="single"/>
        </w:rPr>
        <w:fldChar w:fldCharType="end"/>
      </w:r>
      <w:r>
        <w:rPr>
          <w:rFonts w:hint="eastAsia" w:ascii="宋体" w:hAnsi="宋体" w:eastAsia="宋体" w:cs="宋体"/>
          <w:bCs/>
          <w:color w:val="auto"/>
          <w:sz w:val="22"/>
          <w:szCs w:val="22"/>
          <w:highlight w:val="none"/>
          <w:u w:val="single"/>
        </w:rPr>
        <w:t>（北京时间）</w:t>
      </w:r>
      <w:r>
        <w:rPr>
          <w:rFonts w:hint="eastAsia" w:ascii="宋体" w:hAnsi="宋体" w:eastAsia="宋体" w:cs="宋体"/>
          <w:bCs/>
          <w:color w:val="auto"/>
          <w:sz w:val="22"/>
          <w:szCs w:val="22"/>
          <w:highlight w:val="none"/>
        </w:rPr>
        <w:t>前</w:t>
      </w:r>
      <w:r>
        <w:rPr>
          <w:rFonts w:hint="eastAsia" w:ascii="宋体" w:hAnsi="宋体" w:eastAsia="宋体" w:cs="宋体"/>
          <w:color w:val="auto"/>
          <w:sz w:val="22"/>
          <w:szCs w:val="22"/>
          <w:highlight w:val="none"/>
        </w:rPr>
        <w:t>递交（上传）投标文件。</w:t>
      </w:r>
    </w:p>
    <w:p w14:paraId="1130DB98">
      <w:pPr>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 xml:space="preserve">一、项目基本情况                                            </w:t>
      </w:r>
    </w:p>
    <w:p w14:paraId="4F6FD702">
      <w:pPr>
        <w:spacing w:line="336" w:lineRule="auto"/>
        <w:ind w:firstLine="480"/>
        <w:rPr>
          <w:rFonts w:hint="eastAsia" w:ascii="宋体" w:hAnsi="宋体" w:eastAsia="宋体" w:cs="宋体"/>
          <w:bCs/>
          <w:color w:val="auto"/>
          <w:sz w:val="22"/>
          <w:szCs w:val="22"/>
          <w:highlight w:val="none"/>
        </w:rPr>
      </w:pPr>
      <w:r>
        <w:rPr>
          <w:rFonts w:hint="eastAsia" w:ascii="宋体" w:hAnsi="宋体" w:eastAsia="宋体" w:cs="宋体"/>
          <w:b/>
          <w:color w:val="auto"/>
          <w:sz w:val="22"/>
          <w:szCs w:val="22"/>
          <w:highlight w:val="none"/>
        </w:rPr>
        <w:t>项目编号：</w:t>
      </w:r>
      <w:r>
        <w:rPr>
          <w:rFonts w:hint="eastAsia" w:ascii="宋体" w:hAnsi="宋体" w:eastAsia="宋体" w:cs="宋体"/>
          <w:bCs/>
          <w:color w:val="auto"/>
          <w:sz w:val="22"/>
          <w:szCs w:val="22"/>
          <w:highlight w:val="none"/>
        </w:rPr>
        <w:t>ZJDFZB-2025050142</w:t>
      </w:r>
    </w:p>
    <w:p w14:paraId="3A4E8D9A">
      <w:pPr>
        <w:spacing w:line="336" w:lineRule="auto"/>
        <w:ind w:firstLine="480"/>
        <w:rPr>
          <w:rFonts w:hint="eastAsia" w:ascii="宋体" w:hAnsi="宋体" w:eastAsia="宋体" w:cs="宋体"/>
          <w:bCs/>
          <w:color w:val="auto"/>
          <w:sz w:val="22"/>
          <w:szCs w:val="22"/>
          <w:highlight w:val="none"/>
        </w:rPr>
      </w:pPr>
      <w:r>
        <w:rPr>
          <w:rFonts w:hint="eastAsia" w:ascii="宋体" w:hAnsi="宋体" w:eastAsia="宋体" w:cs="宋体"/>
          <w:b/>
          <w:color w:val="auto"/>
          <w:sz w:val="22"/>
          <w:szCs w:val="22"/>
          <w:highlight w:val="none"/>
        </w:rPr>
        <w:t>项目名称：</w:t>
      </w:r>
      <w:r>
        <w:rPr>
          <w:rFonts w:hint="eastAsia" w:ascii="宋体" w:hAnsi="宋体" w:eastAsia="宋体" w:cs="宋体"/>
          <w:bCs/>
          <w:color w:val="auto"/>
          <w:sz w:val="22"/>
          <w:szCs w:val="22"/>
          <w:highlight w:val="none"/>
          <w:lang w:eastAsia="zh-CN"/>
        </w:rPr>
        <w:t>温室气体城市站建设</w:t>
      </w:r>
    </w:p>
    <w:p w14:paraId="4DD21766">
      <w:pPr>
        <w:spacing w:line="336" w:lineRule="auto"/>
        <w:ind w:firstLine="480"/>
        <w:rPr>
          <w:rFonts w:hint="eastAsia" w:ascii="宋体" w:hAnsi="宋体" w:eastAsia="宋体" w:cs="宋体"/>
          <w:bCs/>
          <w:color w:val="auto"/>
          <w:sz w:val="22"/>
          <w:szCs w:val="22"/>
          <w:highlight w:val="none"/>
        </w:rPr>
      </w:pPr>
      <w:r>
        <w:rPr>
          <w:rFonts w:hint="eastAsia" w:ascii="宋体" w:hAnsi="宋体" w:eastAsia="宋体" w:cs="宋体"/>
          <w:b/>
          <w:color w:val="auto"/>
          <w:sz w:val="22"/>
          <w:szCs w:val="22"/>
          <w:highlight w:val="none"/>
        </w:rPr>
        <w:t>预算金额（元）：</w:t>
      </w:r>
      <w:r>
        <w:rPr>
          <w:rFonts w:hint="eastAsia" w:ascii="宋体" w:hAnsi="宋体" w:eastAsia="宋体" w:cs="宋体"/>
          <w:bCs/>
          <w:color w:val="auto"/>
          <w:sz w:val="22"/>
          <w:szCs w:val="22"/>
          <w:highlight w:val="none"/>
        </w:rPr>
        <w:t>1850000</w:t>
      </w:r>
    </w:p>
    <w:p w14:paraId="0B2B954F">
      <w:pPr>
        <w:spacing w:line="336" w:lineRule="auto"/>
        <w:ind w:firstLine="480"/>
        <w:rPr>
          <w:rFonts w:hint="eastAsia" w:ascii="宋体" w:hAnsi="宋体" w:eastAsia="宋体" w:cs="宋体"/>
          <w:bCs/>
          <w:color w:val="auto"/>
          <w:sz w:val="22"/>
          <w:szCs w:val="22"/>
          <w:highlight w:val="none"/>
        </w:rPr>
      </w:pPr>
      <w:r>
        <w:rPr>
          <w:rFonts w:hint="eastAsia" w:ascii="宋体" w:hAnsi="宋体" w:eastAsia="宋体" w:cs="宋体"/>
          <w:b/>
          <w:color w:val="auto"/>
          <w:sz w:val="22"/>
          <w:szCs w:val="22"/>
          <w:highlight w:val="none"/>
        </w:rPr>
        <w:t>最高限价（元）：</w:t>
      </w:r>
      <w:r>
        <w:rPr>
          <w:rFonts w:hint="eastAsia" w:ascii="宋体" w:hAnsi="宋体" w:eastAsia="宋体" w:cs="宋体"/>
          <w:bCs/>
          <w:color w:val="auto"/>
          <w:sz w:val="22"/>
          <w:szCs w:val="22"/>
          <w:highlight w:val="none"/>
        </w:rPr>
        <w:t>1850000</w:t>
      </w:r>
    </w:p>
    <w:p w14:paraId="605B8990">
      <w:pPr>
        <w:spacing w:line="336" w:lineRule="auto"/>
        <w:ind w:firstLine="48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采购需求：</w:t>
      </w:r>
    </w:p>
    <w:p w14:paraId="0404EAF1">
      <w:pPr>
        <w:spacing w:line="336" w:lineRule="auto"/>
        <w:ind w:firstLine="48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标项一</w:t>
      </w:r>
    </w:p>
    <w:p w14:paraId="4365FCCB">
      <w:pPr>
        <w:spacing w:line="336" w:lineRule="auto"/>
        <w:ind w:firstLine="480"/>
        <w:rPr>
          <w:rFonts w:hint="eastAsia" w:ascii="宋体" w:hAnsi="宋体" w:eastAsia="宋体" w:cs="宋体"/>
          <w:bCs/>
          <w:color w:val="auto"/>
          <w:sz w:val="22"/>
          <w:szCs w:val="22"/>
          <w:highlight w:val="none"/>
        </w:rPr>
      </w:pPr>
      <w:r>
        <w:rPr>
          <w:rFonts w:hint="eastAsia" w:ascii="宋体" w:hAnsi="宋体" w:eastAsia="宋体" w:cs="宋体"/>
          <w:b/>
          <w:color w:val="auto"/>
          <w:sz w:val="22"/>
          <w:szCs w:val="22"/>
          <w:highlight w:val="none"/>
        </w:rPr>
        <w:t>标项名称：</w:t>
      </w:r>
      <w:r>
        <w:rPr>
          <w:rFonts w:hint="eastAsia" w:ascii="宋体" w:hAnsi="宋体" w:eastAsia="宋体" w:cs="宋体"/>
          <w:bCs/>
          <w:color w:val="auto"/>
          <w:sz w:val="22"/>
          <w:szCs w:val="22"/>
          <w:highlight w:val="none"/>
          <w:lang w:eastAsia="zh-CN"/>
        </w:rPr>
        <w:t>温室气体城市站建设</w:t>
      </w:r>
    </w:p>
    <w:p w14:paraId="72DFCD44">
      <w:pPr>
        <w:spacing w:line="336" w:lineRule="auto"/>
        <w:ind w:firstLine="480"/>
        <w:rPr>
          <w:rFonts w:hint="eastAsia" w:ascii="宋体" w:hAnsi="宋体" w:eastAsia="宋体" w:cs="宋体"/>
          <w:bCs/>
          <w:color w:val="auto"/>
          <w:sz w:val="22"/>
          <w:szCs w:val="22"/>
          <w:highlight w:val="none"/>
        </w:rPr>
      </w:pPr>
      <w:r>
        <w:rPr>
          <w:rFonts w:hint="eastAsia" w:ascii="宋体" w:hAnsi="宋体" w:eastAsia="宋体" w:cs="宋体"/>
          <w:b/>
          <w:color w:val="auto"/>
          <w:sz w:val="22"/>
          <w:szCs w:val="22"/>
          <w:highlight w:val="none"/>
        </w:rPr>
        <w:t>数量：</w:t>
      </w:r>
      <w:r>
        <w:rPr>
          <w:rFonts w:hint="eastAsia" w:ascii="宋体" w:hAnsi="宋体" w:eastAsia="宋体" w:cs="宋体"/>
          <w:bCs/>
          <w:color w:val="auto"/>
          <w:sz w:val="22"/>
          <w:szCs w:val="22"/>
          <w:highlight w:val="none"/>
        </w:rPr>
        <w:t>1</w:t>
      </w:r>
    </w:p>
    <w:p w14:paraId="1981B1BA">
      <w:pPr>
        <w:spacing w:line="336" w:lineRule="auto"/>
        <w:ind w:firstLine="480"/>
        <w:rPr>
          <w:rFonts w:hint="eastAsia" w:ascii="宋体" w:hAnsi="宋体" w:eastAsia="宋体" w:cs="宋体"/>
          <w:bCs/>
          <w:color w:val="auto"/>
          <w:sz w:val="22"/>
          <w:szCs w:val="22"/>
          <w:highlight w:val="none"/>
        </w:rPr>
      </w:pPr>
      <w:r>
        <w:rPr>
          <w:rFonts w:hint="eastAsia" w:ascii="宋体" w:hAnsi="宋体" w:eastAsia="宋体" w:cs="宋体"/>
          <w:b/>
          <w:color w:val="auto"/>
          <w:sz w:val="22"/>
          <w:szCs w:val="22"/>
          <w:highlight w:val="none"/>
        </w:rPr>
        <w:t>预算金额（元）：</w:t>
      </w:r>
      <w:r>
        <w:rPr>
          <w:rFonts w:hint="eastAsia" w:ascii="宋体" w:hAnsi="宋体" w:eastAsia="宋体" w:cs="宋体"/>
          <w:bCs/>
          <w:color w:val="auto"/>
          <w:sz w:val="22"/>
          <w:szCs w:val="22"/>
          <w:highlight w:val="none"/>
        </w:rPr>
        <w:t>1850000</w:t>
      </w:r>
    </w:p>
    <w:p w14:paraId="48510254">
      <w:pPr>
        <w:spacing w:line="336" w:lineRule="auto"/>
        <w:ind w:firstLine="480"/>
        <w:rPr>
          <w:rFonts w:hint="eastAsia" w:ascii="宋体" w:hAnsi="宋体" w:eastAsia="宋体" w:cs="宋体"/>
          <w:color w:val="auto"/>
          <w:kern w:val="0"/>
          <w:sz w:val="22"/>
          <w:szCs w:val="22"/>
          <w:highlight w:val="none"/>
        </w:rPr>
      </w:pPr>
      <w:r>
        <w:rPr>
          <w:rFonts w:hint="eastAsia" w:ascii="宋体" w:hAnsi="宋体" w:eastAsia="宋体" w:cs="宋体"/>
          <w:b/>
          <w:color w:val="auto"/>
          <w:sz w:val="22"/>
          <w:szCs w:val="22"/>
          <w:highlight w:val="none"/>
        </w:rPr>
        <w:t>简要规格描述或项目基本概况介绍、用途：</w:t>
      </w:r>
      <w:bookmarkStart w:id="11" w:name="_Hlk98132565"/>
      <w:r>
        <w:rPr>
          <w:rFonts w:hint="eastAsia" w:ascii="宋体" w:hAnsi="宋体" w:eastAsia="宋体" w:cs="宋体"/>
          <w:color w:val="auto"/>
          <w:kern w:val="0"/>
          <w:sz w:val="22"/>
          <w:szCs w:val="22"/>
          <w:highlight w:val="none"/>
        </w:rPr>
        <w:t>温室气体城市站建设采购，具体详见招标文件第三部分采购需求。</w:t>
      </w:r>
      <w:bookmarkEnd w:id="11"/>
    </w:p>
    <w:p w14:paraId="1878A0C5">
      <w:pPr>
        <w:spacing w:line="336" w:lineRule="auto"/>
        <w:ind w:firstLine="480"/>
        <w:rPr>
          <w:rFonts w:hint="eastAsia" w:ascii="宋体" w:hAnsi="宋体" w:eastAsia="宋体" w:cs="宋体"/>
          <w:b/>
          <w:color w:val="auto"/>
          <w:highlight w:val="none"/>
        </w:rPr>
      </w:pPr>
      <w:r>
        <w:rPr>
          <w:rFonts w:hint="eastAsia" w:ascii="宋体" w:hAnsi="宋体" w:eastAsia="宋体" w:cs="宋体"/>
          <w:b/>
          <w:color w:val="auto"/>
          <w:sz w:val="22"/>
          <w:szCs w:val="22"/>
          <w:highlight w:val="none"/>
        </w:rPr>
        <w:t>备注：</w:t>
      </w:r>
      <w:r>
        <w:rPr>
          <w:rFonts w:hint="eastAsia" w:ascii="宋体" w:hAnsi="宋体" w:eastAsia="宋体" w:cs="宋体"/>
          <w:bCs/>
          <w:color w:val="auto"/>
          <w:sz w:val="22"/>
          <w:szCs w:val="22"/>
          <w:highlight w:val="none"/>
        </w:rPr>
        <w:t>/</w:t>
      </w:r>
    </w:p>
    <w:p w14:paraId="6961EA91">
      <w:pPr>
        <w:spacing w:line="336" w:lineRule="auto"/>
        <w:ind w:firstLine="480"/>
        <w:rPr>
          <w:rFonts w:hint="eastAsia" w:ascii="宋体" w:hAnsi="宋体" w:eastAsia="宋体" w:cs="宋体"/>
          <w:bCs/>
          <w:color w:val="auto"/>
          <w:sz w:val="22"/>
          <w:szCs w:val="22"/>
          <w:highlight w:val="none"/>
        </w:rPr>
      </w:pPr>
      <w:r>
        <w:rPr>
          <w:rFonts w:hint="eastAsia" w:ascii="宋体" w:hAnsi="宋体" w:eastAsia="宋体" w:cs="宋体"/>
          <w:b/>
          <w:color w:val="auto"/>
          <w:sz w:val="22"/>
          <w:szCs w:val="22"/>
          <w:highlight w:val="none"/>
        </w:rPr>
        <w:t>合同履约期限：详见第三部分采购需求</w:t>
      </w:r>
      <w:r>
        <w:rPr>
          <w:rFonts w:hint="eastAsia" w:ascii="宋体" w:hAnsi="宋体" w:eastAsia="宋体" w:cs="宋体"/>
          <w:color w:val="auto"/>
          <w:kern w:val="0"/>
          <w:sz w:val="22"/>
          <w:szCs w:val="22"/>
          <w:highlight w:val="none"/>
        </w:rPr>
        <w:t>。</w:t>
      </w:r>
    </w:p>
    <w:p w14:paraId="5003306D">
      <w:pPr>
        <w:spacing w:line="336" w:lineRule="auto"/>
        <w:ind w:firstLine="480"/>
        <w:rPr>
          <w:rFonts w:hint="eastAsia" w:ascii="宋体" w:hAnsi="宋体" w:eastAsia="宋体" w:cs="宋体"/>
          <w:color w:val="auto"/>
          <w:kern w:val="0"/>
          <w:sz w:val="22"/>
          <w:szCs w:val="22"/>
          <w:highlight w:val="none"/>
        </w:rPr>
      </w:pPr>
      <w:r>
        <w:rPr>
          <w:rFonts w:hint="eastAsia" w:ascii="宋体" w:hAnsi="宋体" w:eastAsia="宋体" w:cs="宋体"/>
          <w:b/>
          <w:color w:val="auto"/>
          <w:sz w:val="22"/>
          <w:szCs w:val="22"/>
          <w:highlight w:val="none"/>
        </w:rPr>
        <w:t>本项目接受联合体投标：</w:t>
      </w:r>
      <w:r>
        <w:rPr>
          <w:rFonts w:hint="eastAsia" w:ascii="宋体" w:hAnsi="宋体" w:eastAsia="宋体" w:cs="宋体"/>
          <w:color w:val="auto"/>
          <w:kern w:val="0"/>
          <w:sz w:val="22"/>
          <w:szCs w:val="22"/>
          <w:highlight w:val="none"/>
        </w:rPr>
        <w:sym w:font="Wingdings" w:char="00A8"/>
      </w:r>
      <w:r>
        <w:rPr>
          <w:rFonts w:hint="eastAsia" w:ascii="宋体" w:hAnsi="宋体" w:eastAsia="宋体" w:cs="宋体"/>
          <w:color w:val="auto"/>
          <w:kern w:val="0"/>
          <w:sz w:val="22"/>
          <w:szCs w:val="22"/>
          <w:highlight w:val="none"/>
        </w:rPr>
        <w:t>是</w:t>
      </w:r>
      <w:r>
        <w:rPr>
          <w:rFonts w:hint="eastAsia" w:ascii="宋体" w:hAnsi="宋体" w:eastAsia="宋体" w:cs="宋体"/>
          <w:color w:val="auto"/>
          <w:sz w:val="22"/>
          <w:szCs w:val="22"/>
          <w:highlight w:val="none"/>
        </w:rPr>
        <w:t>，</w:t>
      </w:r>
      <w:r>
        <w:rPr>
          <w:rFonts w:hint="eastAsia" w:ascii="宋体" w:hAnsi="宋体" w:eastAsia="宋体" w:cs="宋体"/>
          <w:color w:val="auto"/>
          <w:kern w:val="0"/>
          <w:sz w:val="22"/>
          <w:szCs w:val="22"/>
          <w:highlight w:val="none"/>
        </w:rPr>
        <w:sym w:font="Wingdings" w:char="00FE"/>
      </w:r>
      <w:r>
        <w:rPr>
          <w:rFonts w:hint="eastAsia" w:ascii="宋体" w:hAnsi="宋体" w:eastAsia="宋体" w:cs="宋体"/>
          <w:color w:val="auto"/>
          <w:sz w:val="22"/>
          <w:szCs w:val="22"/>
          <w:highlight w:val="none"/>
        </w:rPr>
        <w:t>否</w:t>
      </w:r>
      <w:r>
        <w:rPr>
          <w:rFonts w:hint="eastAsia" w:ascii="宋体" w:hAnsi="宋体" w:eastAsia="宋体" w:cs="宋体"/>
          <w:color w:val="auto"/>
          <w:kern w:val="0"/>
          <w:sz w:val="22"/>
          <w:szCs w:val="22"/>
          <w:highlight w:val="none"/>
        </w:rPr>
        <w:t>。</w:t>
      </w:r>
    </w:p>
    <w:p w14:paraId="5927C5E6">
      <w:pPr>
        <w:spacing w:line="336"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二、申请人的资格要求</w:t>
      </w:r>
    </w:p>
    <w:p w14:paraId="74653C8B">
      <w:pPr>
        <w:spacing w:line="336" w:lineRule="auto"/>
        <w:ind w:firstLine="440" w:firstLineChars="200"/>
        <w:rPr>
          <w:rFonts w:hint="eastAsia" w:ascii="宋体" w:hAnsi="宋体" w:eastAsia="宋体" w:cs="宋体"/>
          <w:snapToGrid w:val="0"/>
          <w:color w:val="auto"/>
          <w:kern w:val="28"/>
          <w:sz w:val="22"/>
          <w:szCs w:val="22"/>
          <w:highlight w:val="none"/>
        </w:rPr>
      </w:pPr>
      <w:r>
        <w:rPr>
          <w:rFonts w:hint="eastAsia" w:ascii="宋体" w:hAnsi="宋体" w:eastAsia="宋体" w:cs="宋体"/>
          <w:snapToGrid w:val="0"/>
          <w:color w:val="auto"/>
          <w:kern w:val="28"/>
          <w:sz w:val="22"/>
          <w:szCs w:val="22"/>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0E1D191D">
      <w:pPr>
        <w:spacing w:line="336" w:lineRule="auto"/>
        <w:ind w:firstLine="440" w:firstLineChars="200"/>
        <w:rPr>
          <w:rFonts w:hint="eastAsia" w:ascii="宋体" w:hAnsi="宋体" w:eastAsia="宋体" w:cs="宋体"/>
          <w:snapToGrid w:val="0"/>
          <w:color w:val="auto"/>
          <w:kern w:val="28"/>
          <w:sz w:val="22"/>
          <w:szCs w:val="22"/>
          <w:highlight w:val="none"/>
        </w:rPr>
      </w:pPr>
      <w:r>
        <w:rPr>
          <w:rFonts w:hint="eastAsia" w:ascii="宋体" w:hAnsi="宋体" w:eastAsia="宋体" w:cs="宋体"/>
          <w:snapToGrid w:val="0"/>
          <w:color w:val="auto"/>
          <w:kern w:val="28"/>
          <w:sz w:val="22"/>
          <w:szCs w:val="22"/>
          <w:highlight w:val="none"/>
        </w:rPr>
        <w:t>2.落实政府采购政策需满足的资格要求：</w:t>
      </w:r>
      <w:r>
        <w:rPr>
          <w:rFonts w:hint="eastAsia" w:ascii="宋体" w:hAnsi="宋体" w:eastAsia="宋体" w:cs="宋体"/>
          <w:snapToGrid w:val="0"/>
          <w:color w:val="auto"/>
          <w:kern w:val="28"/>
          <w:sz w:val="22"/>
          <w:szCs w:val="22"/>
          <w:highlight w:val="none"/>
          <w:u w:val="single"/>
        </w:rPr>
        <w:t>供应商为中小企业/小微企业，提供中小企业声明函</w:t>
      </w:r>
      <w:r>
        <w:rPr>
          <w:rFonts w:hint="eastAsia" w:ascii="宋体" w:hAnsi="宋体" w:eastAsia="宋体" w:cs="宋体"/>
          <w:snapToGrid w:val="0"/>
          <w:color w:val="auto"/>
          <w:kern w:val="28"/>
          <w:sz w:val="22"/>
          <w:szCs w:val="22"/>
          <w:highlight w:val="none"/>
        </w:rPr>
        <w:t>；</w:t>
      </w:r>
    </w:p>
    <w:p w14:paraId="06C96834">
      <w:pPr>
        <w:spacing w:line="336" w:lineRule="auto"/>
        <w:ind w:firstLine="440" w:firstLineChars="200"/>
        <w:rPr>
          <w:rFonts w:hint="eastAsia" w:ascii="宋体" w:hAnsi="宋体" w:eastAsia="宋体" w:cs="宋体"/>
          <w:snapToGrid w:val="0"/>
          <w:color w:val="auto"/>
          <w:kern w:val="28"/>
          <w:sz w:val="22"/>
          <w:szCs w:val="22"/>
          <w:highlight w:val="none"/>
          <w:u w:val="single"/>
        </w:rPr>
      </w:pPr>
      <w:r>
        <w:rPr>
          <w:rFonts w:hint="eastAsia" w:ascii="宋体" w:hAnsi="宋体" w:eastAsia="宋体" w:cs="宋体"/>
          <w:snapToGrid w:val="0"/>
          <w:color w:val="auto"/>
          <w:kern w:val="28"/>
          <w:sz w:val="22"/>
          <w:szCs w:val="22"/>
          <w:highlight w:val="none"/>
        </w:rPr>
        <w:t>3.本项目的特定资格要求：无。</w:t>
      </w:r>
    </w:p>
    <w:p w14:paraId="79A3349D">
      <w:pPr>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 xml:space="preserve">三、获取招标文件 </w:t>
      </w:r>
    </w:p>
    <w:p w14:paraId="0124CA3B">
      <w:pPr>
        <w:spacing w:line="360" w:lineRule="auto"/>
        <w:ind w:firstLine="442" w:firstLineChars="20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时间：</w:t>
      </w:r>
      <w:r>
        <w:rPr>
          <w:rFonts w:hint="eastAsia" w:ascii="宋体" w:hAnsi="宋体" w:eastAsia="宋体" w:cs="宋体"/>
          <w:color w:val="auto"/>
          <w:sz w:val="22"/>
          <w:szCs w:val="22"/>
          <w:highlight w:val="none"/>
        </w:rPr>
        <w:t>自公告发布之日起至</w:t>
      </w:r>
      <w:r>
        <w:rPr>
          <w:rFonts w:hint="eastAsia" w:ascii="宋体" w:hAnsi="宋体" w:eastAsia="宋体" w:cs="宋体"/>
          <w:color w:val="auto"/>
          <w:sz w:val="22"/>
          <w:szCs w:val="22"/>
          <w:highlight w:val="none"/>
          <w:u w:val="single"/>
          <w:lang w:eastAsia="zh-CN"/>
        </w:rPr>
        <w:t>2025年07月16日</w:t>
      </w:r>
      <w:r>
        <w:rPr>
          <w:rFonts w:hint="eastAsia" w:ascii="宋体" w:hAnsi="宋体" w:eastAsia="宋体" w:cs="宋体"/>
          <w:color w:val="auto"/>
          <w:sz w:val="22"/>
          <w:szCs w:val="22"/>
          <w:highlight w:val="none"/>
        </w:rPr>
        <w:t>，每天上午00:00至12:00 ，下午12:00至23:59（北京时间，线上获取法定节假日均可，线下获取文件法定节假日除外）</w:t>
      </w:r>
    </w:p>
    <w:p w14:paraId="186F3694">
      <w:pPr>
        <w:spacing w:line="360" w:lineRule="auto"/>
        <w:ind w:firstLine="442" w:firstLineChars="20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地点（网址）：</w:t>
      </w:r>
      <w:r>
        <w:rPr>
          <w:rFonts w:hint="eastAsia" w:ascii="宋体" w:hAnsi="宋体" w:eastAsia="宋体" w:cs="宋体"/>
          <w:color w:val="auto"/>
          <w:sz w:val="22"/>
          <w:szCs w:val="22"/>
          <w:highlight w:val="none"/>
        </w:rPr>
        <w:t xml:space="preserve">政采云平台（https://www.zcygov.cn/） </w:t>
      </w:r>
    </w:p>
    <w:p w14:paraId="367FA04A">
      <w:pPr>
        <w:spacing w:line="360" w:lineRule="auto"/>
        <w:ind w:firstLine="442" w:firstLineChars="20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方式：</w:t>
      </w:r>
      <w:r>
        <w:rPr>
          <w:rFonts w:hint="eastAsia" w:ascii="宋体" w:hAnsi="宋体" w:eastAsia="宋体" w:cs="宋体"/>
          <w:color w:val="auto"/>
          <w:sz w:val="22"/>
          <w:szCs w:val="22"/>
          <w:highlight w:val="none"/>
        </w:rPr>
        <w:t xml:space="preserve">供应商登录政采云平台https://www.zcygov.cn/在线申请获取采购文件（进入“项目采购”应用，在获取采购文件菜单中选择项目，申请获取采购文件）。 </w:t>
      </w:r>
    </w:p>
    <w:p w14:paraId="5A7A2B13">
      <w:pPr>
        <w:spacing w:line="360" w:lineRule="auto"/>
        <w:ind w:firstLine="442" w:firstLineChars="20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售价（元）：</w:t>
      </w:r>
      <w:r>
        <w:rPr>
          <w:rFonts w:hint="eastAsia" w:ascii="宋体" w:hAnsi="宋体" w:eastAsia="宋体" w:cs="宋体"/>
          <w:color w:val="auto"/>
          <w:sz w:val="22"/>
          <w:szCs w:val="22"/>
          <w:highlight w:val="none"/>
        </w:rPr>
        <w:t xml:space="preserve">免费。 </w:t>
      </w:r>
      <w:r>
        <w:rPr>
          <w:rFonts w:hint="eastAsia" w:ascii="宋体" w:hAnsi="宋体" w:eastAsia="宋体" w:cs="宋体"/>
          <w:color w:val="auto"/>
          <w:sz w:val="22"/>
          <w:szCs w:val="22"/>
          <w:highlight w:val="none"/>
        </w:rPr>
        <w:tab/>
      </w:r>
    </w:p>
    <w:p w14:paraId="4D76F366">
      <w:pPr>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四、提交投标文件截止时间、开标时间和地点</w:t>
      </w:r>
    </w:p>
    <w:p w14:paraId="005345BF">
      <w:pPr>
        <w:spacing w:line="360" w:lineRule="auto"/>
        <w:ind w:firstLine="442" w:firstLineChars="20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提交投标文件截止时间：</w:t>
      </w:r>
      <w:r>
        <w:rPr>
          <w:rFonts w:hint="eastAsia" w:ascii="宋体" w:hAnsi="宋体" w:eastAsia="宋体" w:cs="宋体"/>
          <w:color w:val="auto"/>
          <w:sz w:val="22"/>
          <w:szCs w:val="22"/>
          <w:highlight w:val="none"/>
          <w:u w:val="single"/>
          <w:lang w:eastAsia="zh-CN"/>
        </w:rPr>
        <w:t>2025年07月16日</w:t>
      </w:r>
      <w:r>
        <w:rPr>
          <w:rFonts w:hint="eastAsia" w:ascii="宋体" w:hAnsi="宋体" w:eastAsia="宋体" w:cs="宋体"/>
          <w:color w:val="auto"/>
          <w:sz w:val="22"/>
          <w:szCs w:val="22"/>
          <w:highlight w:val="none"/>
          <w:u w:val="single"/>
        </w:rPr>
        <w:t>09时30分00秒</w:t>
      </w:r>
      <w:r>
        <w:rPr>
          <w:rFonts w:hint="eastAsia" w:ascii="宋体" w:hAnsi="宋体" w:eastAsia="宋体" w:cs="宋体"/>
          <w:color w:val="auto"/>
          <w:sz w:val="22"/>
          <w:szCs w:val="22"/>
          <w:highlight w:val="none"/>
        </w:rPr>
        <w:t>（北京时间）</w:t>
      </w:r>
    </w:p>
    <w:p w14:paraId="3EFF71A1">
      <w:pPr>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投标地点（网址）：</w:t>
      </w:r>
      <w:r>
        <w:rPr>
          <w:rFonts w:hint="eastAsia" w:ascii="宋体" w:hAnsi="宋体" w:eastAsia="宋体" w:cs="宋体"/>
          <w:color w:val="auto"/>
          <w:sz w:val="22"/>
          <w:szCs w:val="22"/>
          <w:highlight w:val="none"/>
        </w:rPr>
        <w:t xml:space="preserve">政采云平台（https://www.zcygov.cn/） </w:t>
      </w:r>
    </w:p>
    <w:p w14:paraId="418D974A">
      <w:pPr>
        <w:spacing w:line="360" w:lineRule="auto"/>
        <w:ind w:firstLine="442" w:firstLineChars="200"/>
        <w:rPr>
          <w:rFonts w:hint="eastAsia" w:ascii="宋体" w:hAnsi="宋体" w:eastAsia="宋体" w:cs="宋体"/>
          <w:bCs/>
          <w:color w:val="auto"/>
          <w:sz w:val="22"/>
          <w:szCs w:val="22"/>
          <w:highlight w:val="none"/>
          <w:u w:val="single"/>
        </w:rPr>
      </w:pPr>
      <w:r>
        <w:rPr>
          <w:rFonts w:hint="eastAsia" w:ascii="宋体" w:hAnsi="宋体" w:eastAsia="宋体" w:cs="宋体"/>
          <w:b/>
          <w:color w:val="auto"/>
          <w:sz w:val="22"/>
          <w:szCs w:val="22"/>
          <w:highlight w:val="none"/>
        </w:rPr>
        <w:t>开标时间：</w:t>
      </w:r>
      <w:r>
        <w:rPr>
          <w:rFonts w:hint="eastAsia" w:ascii="宋体" w:hAnsi="宋体" w:eastAsia="宋体" w:cs="宋体"/>
          <w:color w:val="auto"/>
          <w:sz w:val="22"/>
          <w:szCs w:val="22"/>
          <w:highlight w:val="none"/>
          <w:u w:val="single"/>
          <w:lang w:eastAsia="zh-CN"/>
        </w:rPr>
        <w:t>2025年07月16日</w:t>
      </w:r>
      <w:r>
        <w:rPr>
          <w:rFonts w:hint="eastAsia" w:ascii="宋体" w:hAnsi="宋体" w:eastAsia="宋体" w:cs="宋体"/>
          <w:color w:val="auto"/>
          <w:sz w:val="22"/>
          <w:szCs w:val="22"/>
          <w:highlight w:val="none"/>
          <w:u w:val="single"/>
        </w:rPr>
        <w:t>09时30分00秒</w:t>
      </w:r>
    </w:p>
    <w:p w14:paraId="2BA63E73">
      <w:pPr>
        <w:spacing w:line="360" w:lineRule="auto"/>
        <w:ind w:firstLine="442" w:firstLineChars="20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开标地点（网址）：</w:t>
      </w:r>
      <w:r>
        <w:rPr>
          <w:rFonts w:hint="eastAsia" w:ascii="宋体" w:hAnsi="宋体" w:eastAsia="宋体" w:cs="宋体"/>
          <w:color w:val="auto"/>
          <w:sz w:val="22"/>
          <w:szCs w:val="22"/>
          <w:highlight w:val="none"/>
        </w:rPr>
        <w:t>政采云平台（https://www.zcygov.cn/）</w:t>
      </w:r>
    </w:p>
    <w:p w14:paraId="260806FF">
      <w:pPr>
        <w:spacing w:line="360" w:lineRule="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 xml:space="preserve">五、公告期限 </w:t>
      </w:r>
    </w:p>
    <w:p w14:paraId="445AB02B">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自本公告发布之日起5个工作日。</w:t>
      </w:r>
    </w:p>
    <w:p w14:paraId="15F44657">
      <w:pPr>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六、其他补充事宜</w:t>
      </w:r>
    </w:p>
    <w:p w14:paraId="333EA9B2">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42E5C70">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B13DB16">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FCBC8A9">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31F1232">
      <w:pPr>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七、对本次采购提出询问、质疑、投诉，请按以下方式联系</w:t>
      </w:r>
    </w:p>
    <w:p w14:paraId="1D2C3CDA">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1.采购人信息</w:t>
      </w:r>
    </w:p>
    <w:p w14:paraId="2CEB51C5">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名    称：浙江省温州生态环境监测中心</w:t>
      </w:r>
    </w:p>
    <w:p w14:paraId="4A11E06F">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    址：温州市鹿城区学院中路237号</w:t>
      </w:r>
    </w:p>
    <w:p w14:paraId="465E346E">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    真： /</w:t>
      </w:r>
    </w:p>
    <w:p w14:paraId="59EC3C3B">
      <w:pPr>
        <w:spacing w:line="360" w:lineRule="auto"/>
        <w:ind w:firstLine="440" w:firstLineChars="200"/>
        <w:rPr>
          <w:rFonts w:hint="eastAsia" w:ascii="宋体" w:hAnsi="宋体" w:eastAsia="宋体" w:cs="宋体"/>
          <w:color w:val="auto"/>
          <w:sz w:val="22"/>
          <w:szCs w:val="22"/>
          <w:highlight w:val="none"/>
          <w:lang w:val="en" w:eastAsia="zh-CN"/>
        </w:rPr>
      </w:pPr>
      <w:r>
        <w:rPr>
          <w:rFonts w:hint="eastAsia" w:ascii="宋体" w:hAnsi="宋体" w:eastAsia="宋体" w:cs="宋体"/>
          <w:color w:val="auto"/>
          <w:sz w:val="22"/>
          <w:szCs w:val="22"/>
          <w:highlight w:val="none"/>
        </w:rPr>
        <w:t>项目联系人（询问）：</w:t>
      </w:r>
      <w:r>
        <w:rPr>
          <w:rFonts w:hint="eastAsia" w:ascii="宋体" w:hAnsi="宋体" w:eastAsia="宋体" w:cs="宋体"/>
          <w:color w:val="auto"/>
          <w:sz w:val="22"/>
          <w:szCs w:val="22"/>
          <w:highlight w:val="none"/>
          <w:lang w:val="en-US" w:eastAsia="zh-CN"/>
        </w:rPr>
        <w:t>谢先生</w:t>
      </w:r>
    </w:p>
    <w:p w14:paraId="6BDEB28A">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项目联系方式（询问）：</w:t>
      </w:r>
      <w:r>
        <w:rPr>
          <w:rFonts w:hint="eastAsia" w:ascii="宋体" w:hAnsi="宋体" w:eastAsia="宋体" w:cs="宋体"/>
          <w:color w:val="auto"/>
          <w:sz w:val="22"/>
          <w:szCs w:val="22"/>
          <w:highlight w:val="none"/>
          <w:lang w:val="en-US" w:eastAsia="zh-CN"/>
        </w:rPr>
        <w:t>13957772598</w:t>
      </w:r>
    </w:p>
    <w:p w14:paraId="75CCC4F9">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质疑联系人：严先生</w:t>
      </w:r>
    </w:p>
    <w:p w14:paraId="1FBAA7B9">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质疑联系方式：13819733456</w:t>
      </w:r>
    </w:p>
    <w:p w14:paraId="405C741F">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2.采购代理机构信息 </w:t>
      </w:r>
    </w:p>
    <w:p w14:paraId="36E37AAB">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名    称：浙江德丰项目管理有限公司</w:t>
      </w:r>
    </w:p>
    <w:p w14:paraId="682E5FA3">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    址：温州市鹿城区南汇街道锦江路458号</w:t>
      </w:r>
      <w:r>
        <w:rPr>
          <w:rFonts w:hint="eastAsia" w:ascii="宋体" w:hAnsi="宋体" w:cs="宋体"/>
          <w:color w:val="auto"/>
          <w:sz w:val="22"/>
          <w:szCs w:val="22"/>
          <w:highlight w:val="none"/>
          <w:lang w:eastAsia="zh-CN"/>
        </w:rPr>
        <w:t>深蓝国际大厦</w:t>
      </w:r>
      <w:r>
        <w:rPr>
          <w:rFonts w:hint="eastAsia" w:ascii="宋体" w:hAnsi="宋体" w:eastAsia="宋体" w:cs="宋体"/>
          <w:color w:val="auto"/>
          <w:sz w:val="22"/>
          <w:szCs w:val="22"/>
          <w:highlight w:val="none"/>
        </w:rPr>
        <w:t>501-1室西首</w:t>
      </w:r>
    </w:p>
    <w:p w14:paraId="7340EB06">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    真：/</w:t>
      </w:r>
    </w:p>
    <w:p w14:paraId="58CE078F">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项目联系人（询问）： 陈美云、余温怡</w:t>
      </w:r>
    </w:p>
    <w:p w14:paraId="054F38C8">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项目联系方式（询问）：13736325617、15705853800</w:t>
      </w:r>
    </w:p>
    <w:p w14:paraId="26A1DEE8">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质疑联系人：蒋贤德</w:t>
      </w:r>
    </w:p>
    <w:p w14:paraId="271C923E">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质疑联系方式：15258671700</w:t>
      </w:r>
    </w:p>
    <w:p w14:paraId="4BC7F31B">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3.同级政府采购监督管理部门 </w:t>
      </w:r>
    </w:p>
    <w:p w14:paraId="46262DCD">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名    称：温州市财政局(浙江省政府采购行政裁决服务中心(温州))   </w:t>
      </w:r>
    </w:p>
    <w:p w14:paraId="66C31FE5">
      <w:pPr>
        <w:pStyle w:val="58"/>
        <w:spacing w:before="0" w:beforeAutospacing="0" w:after="0" w:afterAutospacing="0" w:line="360" w:lineRule="auto"/>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地</w:t>
      </w:r>
      <w:r>
        <w:rPr>
          <w:rFonts w:hint="eastAsia" w:ascii="宋体" w:hAnsi="宋体" w:eastAsia="宋体" w:cs="宋体"/>
          <w:color w:val="auto"/>
          <w:sz w:val="22"/>
          <w:szCs w:val="22"/>
          <w:highlight w:val="none"/>
        </w:rPr>
        <w:t xml:space="preserve">    </w:t>
      </w:r>
      <w:r>
        <w:rPr>
          <w:rFonts w:hint="eastAsia" w:ascii="宋体" w:hAnsi="宋体" w:eastAsia="宋体" w:cs="宋体"/>
          <w:color w:val="auto"/>
          <w:kern w:val="2"/>
          <w:sz w:val="22"/>
          <w:szCs w:val="22"/>
          <w:highlight w:val="none"/>
        </w:rPr>
        <w:t>址</w:t>
      </w:r>
      <w:r>
        <w:rPr>
          <w:rFonts w:hint="eastAsia" w:ascii="宋体" w:hAnsi="宋体" w:eastAsia="宋体" w:cs="宋体"/>
          <w:color w:val="auto"/>
          <w:sz w:val="22"/>
          <w:szCs w:val="22"/>
          <w:highlight w:val="none"/>
        </w:rPr>
        <w:t>：</w:t>
      </w:r>
      <w:r>
        <w:rPr>
          <w:rFonts w:hint="eastAsia" w:ascii="宋体" w:hAnsi="宋体" w:eastAsia="宋体" w:cs="宋体"/>
          <w:color w:val="auto"/>
          <w:kern w:val="2"/>
          <w:sz w:val="22"/>
          <w:szCs w:val="22"/>
          <w:highlight w:val="none"/>
        </w:rPr>
        <w:t>温州市鹿城区滨江街道瓯江路展银大厦1606室</w:t>
      </w:r>
    </w:p>
    <w:p w14:paraId="274E90E0">
      <w:pPr>
        <w:pStyle w:val="58"/>
        <w:spacing w:before="0" w:beforeAutospacing="0" w:after="0" w:afterAutospacing="0" w:line="360" w:lineRule="auto"/>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传</w:t>
      </w:r>
      <w:r>
        <w:rPr>
          <w:rFonts w:hint="eastAsia" w:ascii="宋体" w:hAnsi="宋体" w:eastAsia="宋体" w:cs="宋体"/>
          <w:color w:val="auto"/>
          <w:sz w:val="22"/>
          <w:szCs w:val="22"/>
          <w:highlight w:val="none"/>
        </w:rPr>
        <w:t xml:space="preserve">    </w:t>
      </w:r>
      <w:r>
        <w:rPr>
          <w:rFonts w:hint="eastAsia" w:ascii="宋体" w:hAnsi="宋体" w:eastAsia="宋体" w:cs="宋体"/>
          <w:color w:val="auto"/>
          <w:kern w:val="2"/>
          <w:sz w:val="22"/>
          <w:szCs w:val="22"/>
          <w:highlight w:val="none"/>
        </w:rPr>
        <w:t>真</w:t>
      </w:r>
      <w:r>
        <w:rPr>
          <w:rFonts w:hint="eastAsia" w:ascii="宋体" w:hAnsi="宋体" w:eastAsia="宋体" w:cs="宋体"/>
          <w:color w:val="auto"/>
          <w:sz w:val="22"/>
          <w:szCs w:val="22"/>
          <w:highlight w:val="none"/>
        </w:rPr>
        <w:t>：</w:t>
      </w:r>
      <w:r>
        <w:rPr>
          <w:rFonts w:hint="eastAsia" w:ascii="宋体" w:hAnsi="宋体" w:eastAsia="宋体" w:cs="宋体"/>
          <w:color w:val="auto"/>
          <w:kern w:val="2"/>
          <w:sz w:val="22"/>
          <w:szCs w:val="22"/>
          <w:highlight w:val="none"/>
        </w:rPr>
        <w:t>/</w:t>
      </w:r>
    </w:p>
    <w:p w14:paraId="7843B18B">
      <w:pPr>
        <w:pStyle w:val="58"/>
        <w:spacing w:before="0" w:beforeAutospacing="0" w:after="0" w:afterAutospacing="0" w:line="360" w:lineRule="auto"/>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联 系 人</w:t>
      </w:r>
      <w:r>
        <w:rPr>
          <w:rFonts w:hint="eastAsia" w:ascii="宋体" w:hAnsi="宋体" w:eastAsia="宋体" w:cs="宋体"/>
          <w:color w:val="auto"/>
          <w:sz w:val="22"/>
          <w:szCs w:val="22"/>
          <w:highlight w:val="none"/>
        </w:rPr>
        <w:t>：</w:t>
      </w:r>
      <w:r>
        <w:rPr>
          <w:rFonts w:hint="eastAsia" w:ascii="宋体" w:hAnsi="宋体" w:eastAsia="宋体" w:cs="宋体"/>
          <w:color w:val="auto"/>
          <w:kern w:val="2"/>
          <w:sz w:val="22"/>
          <w:szCs w:val="22"/>
          <w:highlight w:val="none"/>
        </w:rPr>
        <w:t>李老师、王老师</w:t>
      </w:r>
    </w:p>
    <w:p w14:paraId="6CBC1DFE">
      <w:pPr>
        <w:pStyle w:val="58"/>
        <w:spacing w:before="0" w:beforeAutospacing="0" w:after="0" w:afterAutospacing="0" w:line="360" w:lineRule="auto"/>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监督投诉电话</w:t>
      </w:r>
      <w:r>
        <w:rPr>
          <w:rFonts w:hint="eastAsia" w:ascii="宋体" w:hAnsi="宋体" w:eastAsia="宋体" w:cs="宋体"/>
          <w:color w:val="auto"/>
          <w:sz w:val="22"/>
          <w:szCs w:val="22"/>
          <w:highlight w:val="none"/>
        </w:rPr>
        <w:t>：</w:t>
      </w:r>
      <w:r>
        <w:rPr>
          <w:rFonts w:hint="eastAsia" w:ascii="宋体" w:hAnsi="宋体" w:eastAsia="宋体" w:cs="宋体"/>
          <w:color w:val="auto"/>
          <w:kern w:val="2"/>
          <w:sz w:val="22"/>
          <w:szCs w:val="22"/>
          <w:highlight w:val="none"/>
        </w:rPr>
        <w:t>0577-85501561，0577-85501562</w:t>
      </w:r>
    </w:p>
    <w:p w14:paraId="42AAD7AF">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若对项目采购电子交易系统操作有疑问，可登录政采云（https://www.zcygov.cn/），点击右侧咨询小采，获取采小蜜智能服务管家帮助，或拨打政采云服务热线95763获取热线服务帮助。CA问题联系电话（人工）：汇信CA 400-888-4636；天谷CA 400-087-8198。</w:t>
      </w:r>
    </w:p>
    <w:p w14:paraId="0F190A1B">
      <w:pPr>
        <w:pStyle w:val="34"/>
        <w:spacing w:line="360" w:lineRule="auto"/>
        <w:rPr>
          <w:rFonts w:hint="eastAsia" w:ascii="宋体" w:hAnsi="宋体" w:eastAsia="宋体" w:cs="宋体"/>
          <w:color w:val="auto"/>
          <w:sz w:val="24"/>
          <w:highlight w:val="none"/>
        </w:rPr>
      </w:pPr>
    </w:p>
    <w:p w14:paraId="711D241F">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284B4144">
      <w:pPr>
        <w:adjustRightInd/>
        <w:spacing w:line="360" w:lineRule="auto"/>
        <w:jc w:val="center"/>
        <w:outlineLvl w:val="0"/>
        <w:rPr>
          <w:rFonts w:hint="eastAsia" w:ascii="宋体" w:hAnsi="宋体" w:eastAsia="宋体" w:cs="宋体"/>
          <w:b/>
          <w:color w:val="auto"/>
          <w:sz w:val="36"/>
          <w:szCs w:val="20"/>
          <w:highlight w:val="none"/>
        </w:rPr>
      </w:pPr>
      <w:bookmarkStart w:id="12" w:name="_Toc129952498"/>
      <w:bookmarkStart w:id="13" w:name="_Toc18405"/>
      <w:r>
        <w:rPr>
          <w:rFonts w:hint="eastAsia" w:ascii="宋体" w:hAnsi="宋体" w:eastAsia="宋体" w:cs="宋体"/>
          <w:b/>
          <w:color w:val="auto"/>
          <w:sz w:val="36"/>
          <w:szCs w:val="20"/>
          <w:highlight w:val="none"/>
        </w:rPr>
        <w:t>第二部分</w:t>
      </w:r>
      <w:bookmarkEnd w:id="8"/>
      <w:r>
        <w:rPr>
          <w:rFonts w:hint="eastAsia" w:ascii="宋体" w:hAnsi="宋体" w:eastAsia="宋体" w:cs="宋体"/>
          <w:b/>
          <w:color w:val="auto"/>
          <w:sz w:val="36"/>
          <w:szCs w:val="20"/>
          <w:highlight w:val="none"/>
        </w:rPr>
        <w:t xml:space="preserve"> 投标人须知</w:t>
      </w:r>
      <w:bookmarkEnd w:id="9"/>
      <w:bookmarkEnd w:id="12"/>
      <w:bookmarkEnd w:id="13"/>
    </w:p>
    <w:p w14:paraId="0528487F">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92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2177"/>
        <w:gridCol w:w="7002"/>
      </w:tblGrid>
      <w:tr w14:paraId="25A9F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0" w:type="pct"/>
            <w:vAlign w:val="center"/>
          </w:tcPr>
          <w:p w14:paraId="7070844A">
            <w:pPr>
              <w:adjustRightInd/>
              <w:spacing w:line="320" w:lineRule="exact"/>
              <w:jc w:val="center"/>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序号</w:t>
            </w:r>
          </w:p>
        </w:tc>
        <w:tc>
          <w:tcPr>
            <w:tcW w:w="1093" w:type="pct"/>
            <w:vAlign w:val="center"/>
          </w:tcPr>
          <w:p w14:paraId="048C5F49">
            <w:pPr>
              <w:adjustRightInd/>
              <w:spacing w:line="320" w:lineRule="exact"/>
              <w:jc w:val="center"/>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事项</w:t>
            </w:r>
          </w:p>
        </w:tc>
        <w:tc>
          <w:tcPr>
            <w:tcW w:w="3516" w:type="pct"/>
            <w:vAlign w:val="center"/>
          </w:tcPr>
          <w:p w14:paraId="11DECA80">
            <w:pPr>
              <w:adjustRightInd/>
              <w:spacing w:line="320" w:lineRule="exact"/>
              <w:jc w:val="center"/>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本项目的特别规定</w:t>
            </w:r>
          </w:p>
        </w:tc>
      </w:tr>
      <w:tr w14:paraId="5F244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0" w:type="pct"/>
            <w:vAlign w:val="center"/>
          </w:tcPr>
          <w:p w14:paraId="53F2571A">
            <w:pPr>
              <w:adjustRightInd/>
              <w:spacing w:line="320" w:lineRule="exact"/>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1</w:t>
            </w:r>
          </w:p>
        </w:tc>
        <w:tc>
          <w:tcPr>
            <w:tcW w:w="1093" w:type="pct"/>
            <w:vAlign w:val="center"/>
          </w:tcPr>
          <w:p w14:paraId="49611573">
            <w:pPr>
              <w:adjustRightInd/>
              <w:spacing w:line="320" w:lineRule="exact"/>
              <w:jc w:val="center"/>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项目属性</w:t>
            </w:r>
          </w:p>
        </w:tc>
        <w:tc>
          <w:tcPr>
            <w:tcW w:w="3516" w:type="pct"/>
            <w:vAlign w:val="center"/>
          </w:tcPr>
          <w:p w14:paraId="361E17C0">
            <w:pPr>
              <w:adjustRightInd/>
              <w:spacing w:line="320" w:lineRule="atLeas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货物类，核心产品为：</w:t>
            </w:r>
            <w:r>
              <w:rPr>
                <w:rFonts w:hint="eastAsia" w:ascii="宋体" w:hAnsi="宋体" w:eastAsia="宋体" w:cs="宋体"/>
                <w:color w:val="auto"/>
                <w:sz w:val="22"/>
                <w:szCs w:val="22"/>
                <w:highlight w:val="none"/>
                <w:u w:val="single"/>
              </w:rPr>
              <w:t>高精度</w:t>
            </w:r>
            <w:r>
              <w:rPr>
                <w:rFonts w:hint="eastAsia" w:ascii="宋体" w:hAnsi="宋体" w:eastAsia="宋体" w:cs="宋体"/>
                <w:color w:val="auto"/>
                <w:kern w:val="0"/>
                <w:sz w:val="22"/>
                <w:szCs w:val="22"/>
                <w:highlight w:val="none"/>
                <w:u w:val="single"/>
                <w:lang w:bidi="ar"/>
              </w:rPr>
              <w:t>CH</w:t>
            </w:r>
            <w:r>
              <w:rPr>
                <w:rFonts w:hint="eastAsia" w:ascii="宋体" w:hAnsi="宋体" w:eastAsia="宋体" w:cs="宋体"/>
                <w:color w:val="auto"/>
                <w:kern w:val="0"/>
                <w:sz w:val="22"/>
                <w:szCs w:val="22"/>
                <w:highlight w:val="none"/>
                <w:u w:val="single"/>
                <w:vertAlign w:val="subscript"/>
                <w:lang w:bidi="ar"/>
              </w:rPr>
              <w:t>4</w:t>
            </w:r>
            <w:r>
              <w:rPr>
                <w:rFonts w:hint="eastAsia" w:ascii="宋体" w:hAnsi="宋体" w:eastAsia="宋体" w:cs="宋体"/>
                <w:color w:val="auto"/>
                <w:sz w:val="22"/>
                <w:szCs w:val="22"/>
                <w:highlight w:val="none"/>
                <w:u w:val="single"/>
              </w:rPr>
              <w:t>/CO</w:t>
            </w:r>
            <w:r>
              <w:rPr>
                <w:rFonts w:hint="eastAsia" w:ascii="宋体" w:hAnsi="宋体" w:eastAsia="宋体" w:cs="宋体"/>
                <w:color w:val="auto"/>
                <w:sz w:val="22"/>
                <w:szCs w:val="22"/>
                <w:highlight w:val="none"/>
                <w:u w:val="single"/>
                <w:vertAlign w:val="subscript"/>
              </w:rPr>
              <w:t>2</w:t>
            </w:r>
            <w:r>
              <w:rPr>
                <w:rFonts w:hint="eastAsia" w:ascii="宋体" w:hAnsi="宋体" w:eastAsia="宋体" w:cs="宋体"/>
                <w:color w:val="auto"/>
                <w:sz w:val="22"/>
                <w:szCs w:val="22"/>
                <w:highlight w:val="none"/>
                <w:u w:val="single"/>
              </w:rPr>
              <w:t>浓度在线观测系统</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w:t>
            </w:r>
          </w:p>
        </w:tc>
      </w:tr>
      <w:tr w14:paraId="59034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0" w:type="pct"/>
            <w:vAlign w:val="center"/>
          </w:tcPr>
          <w:p w14:paraId="44780E75">
            <w:pPr>
              <w:adjustRightInd/>
              <w:spacing w:line="320" w:lineRule="exact"/>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2</w:t>
            </w:r>
          </w:p>
        </w:tc>
        <w:tc>
          <w:tcPr>
            <w:tcW w:w="1093" w:type="pct"/>
            <w:vAlign w:val="center"/>
          </w:tcPr>
          <w:p w14:paraId="311D6093">
            <w:pPr>
              <w:adjustRightInd/>
              <w:spacing w:line="320" w:lineRule="exact"/>
              <w:jc w:val="center"/>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采购标的及其对应的中小企业划分标准所属行业</w:t>
            </w:r>
          </w:p>
        </w:tc>
        <w:tc>
          <w:tcPr>
            <w:tcW w:w="3516" w:type="pct"/>
            <w:vAlign w:val="center"/>
          </w:tcPr>
          <w:p w14:paraId="467A7D86">
            <w:pPr>
              <w:adjustRightInd/>
              <w:spacing w:line="320" w:lineRule="atLeas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标的：</w:t>
            </w:r>
            <w:r>
              <w:rPr>
                <w:rFonts w:hint="eastAsia" w:ascii="宋体" w:hAnsi="宋体" w:eastAsia="宋体" w:cs="宋体"/>
                <w:color w:val="auto"/>
                <w:sz w:val="22"/>
                <w:szCs w:val="22"/>
                <w:highlight w:val="none"/>
                <w:u w:val="single"/>
                <w:lang w:eastAsia="zh-CN"/>
              </w:rPr>
              <w:t>温室气体城市站建设</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sz w:val="22"/>
                <w:szCs w:val="22"/>
                <w:highlight w:val="none"/>
              </w:rPr>
              <w:t>，根据工信部等部委发布的《关于印发中小企业划型标准规定的通知》（工信部联企业〔2011〕300号），本项目属于</w:t>
            </w:r>
            <w:r>
              <w:rPr>
                <w:rFonts w:hint="eastAsia" w:ascii="宋体" w:hAnsi="宋体" w:eastAsia="宋体" w:cs="宋体"/>
                <w:b/>
                <w:bCs/>
                <w:color w:val="auto"/>
                <w:sz w:val="22"/>
                <w:szCs w:val="22"/>
                <w:highlight w:val="none"/>
                <w:u w:val="single"/>
              </w:rPr>
              <w:t>工业</w:t>
            </w:r>
            <w:r>
              <w:rPr>
                <w:rFonts w:hint="eastAsia" w:ascii="宋体" w:hAnsi="宋体" w:eastAsia="宋体" w:cs="宋体"/>
                <w:color w:val="auto"/>
                <w:sz w:val="22"/>
                <w:szCs w:val="22"/>
                <w:highlight w:val="none"/>
              </w:rPr>
              <w:t>行业；</w:t>
            </w:r>
          </w:p>
          <w:p w14:paraId="4FDC6E2F">
            <w:pPr>
              <w:adjustRightInd/>
              <w:spacing w:line="320" w:lineRule="atLeas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44110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0" w:type="pct"/>
            <w:vAlign w:val="center"/>
          </w:tcPr>
          <w:p w14:paraId="3651B87B">
            <w:pPr>
              <w:adjustRightInd/>
              <w:spacing w:line="320" w:lineRule="exact"/>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3</w:t>
            </w:r>
          </w:p>
        </w:tc>
        <w:tc>
          <w:tcPr>
            <w:tcW w:w="1093" w:type="pct"/>
            <w:vAlign w:val="center"/>
          </w:tcPr>
          <w:p w14:paraId="13D41A57">
            <w:pPr>
              <w:adjustRightInd/>
              <w:spacing w:line="320" w:lineRule="exact"/>
              <w:jc w:val="center"/>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是否允许采购进口产品</w:t>
            </w:r>
          </w:p>
        </w:tc>
        <w:tc>
          <w:tcPr>
            <w:tcW w:w="3516" w:type="pct"/>
            <w:vAlign w:val="center"/>
          </w:tcPr>
          <w:p w14:paraId="0E50D1F6">
            <w:pPr>
              <w:snapToGrid w:val="0"/>
              <w:spacing w:line="320" w:lineRule="atLeas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sym w:font="Wingdings" w:char="00FE"/>
            </w:r>
            <w:r>
              <w:rPr>
                <w:rFonts w:hint="eastAsia" w:ascii="宋体" w:hAnsi="宋体" w:eastAsia="宋体" w:cs="宋体"/>
                <w:color w:val="auto"/>
                <w:kern w:val="0"/>
                <w:sz w:val="22"/>
                <w:szCs w:val="22"/>
                <w:highlight w:val="none"/>
              </w:rPr>
              <w:t>本项目不允许采购进口产品。</w:t>
            </w:r>
          </w:p>
          <w:p w14:paraId="051E5F5D">
            <w:pPr>
              <w:snapToGrid w:val="0"/>
              <w:spacing w:line="320" w:lineRule="atLeas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sym w:font="Wingdings" w:char="00A8"/>
            </w:r>
            <w:r>
              <w:rPr>
                <w:rFonts w:hint="eastAsia" w:ascii="宋体" w:hAnsi="宋体" w:eastAsia="宋体" w:cs="宋体"/>
                <w:color w:val="auto"/>
                <w:kern w:val="0"/>
                <w:sz w:val="22"/>
                <w:szCs w:val="22"/>
                <w:highlight w:val="none"/>
              </w:rPr>
              <w:t>可以就</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kern w:val="0"/>
                <w:sz w:val="22"/>
                <w:szCs w:val="22"/>
                <w:highlight w:val="none"/>
              </w:rPr>
              <w:t>采购进口产品。利于项目的有效发展以及后续的合同管理等。</w:t>
            </w:r>
          </w:p>
        </w:tc>
      </w:tr>
      <w:tr w14:paraId="75DBA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0" w:type="pct"/>
            <w:vAlign w:val="center"/>
          </w:tcPr>
          <w:p w14:paraId="5F8E845D">
            <w:pPr>
              <w:adjustRightInd/>
              <w:spacing w:line="320" w:lineRule="exact"/>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4</w:t>
            </w:r>
          </w:p>
        </w:tc>
        <w:tc>
          <w:tcPr>
            <w:tcW w:w="1093" w:type="pct"/>
            <w:vAlign w:val="center"/>
          </w:tcPr>
          <w:p w14:paraId="5DC5DE10">
            <w:pPr>
              <w:adjustRightInd/>
              <w:spacing w:line="320" w:lineRule="exact"/>
              <w:jc w:val="center"/>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分包</w:t>
            </w:r>
          </w:p>
        </w:tc>
        <w:tc>
          <w:tcPr>
            <w:tcW w:w="3516" w:type="pct"/>
            <w:vAlign w:val="center"/>
          </w:tcPr>
          <w:p w14:paraId="52E2C4C2">
            <w:pPr>
              <w:adjustRightInd/>
              <w:spacing w:line="320" w:lineRule="atLeas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sym w:font="Wingdings" w:char="00FE"/>
            </w:r>
            <w:r>
              <w:rPr>
                <w:rFonts w:hint="eastAsia" w:ascii="宋体" w:hAnsi="宋体" w:eastAsia="宋体" w:cs="宋体"/>
                <w:color w:val="auto"/>
                <w:sz w:val="22"/>
                <w:szCs w:val="22"/>
                <w:highlight w:val="none"/>
              </w:rPr>
              <w:t>A允许可对非主体、非关键性内容进行分包，且须在实施前报采购人处备案。且不得再次分包。</w:t>
            </w:r>
          </w:p>
          <w:p w14:paraId="061230AF">
            <w:pPr>
              <w:adjustRightInd/>
              <w:spacing w:line="320" w:lineRule="atLeas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中标、成交供应商应当就采购项目和分包项目向采购人负责，分包供应商就分包项目承担连带责任。</w:t>
            </w:r>
          </w:p>
          <w:p w14:paraId="77E02A67">
            <w:pPr>
              <w:adjustRightInd/>
              <w:spacing w:line="320" w:lineRule="atLeas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sym w:font="Wingdings" w:char="00A8"/>
            </w:r>
            <w:r>
              <w:rPr>
                <w:rFonts w:hint="eastAsia" w:ascii="宋体" w:hAnsi="宋体" w:eastAsia="宋体" w:cs="宋体"/>
                <w:color w:val="auto"/>
                <w:sz w:val="22"/>
                <w:szCs w:val="22"/>
                <w:highlight w:val="none"/>
              </w:rPr>
              <w:t>B不允许</w:t>
            </w:r>
          </w:p>
          <w:p w14:paraId="40F18B02">
            <w:pPr>
              <w:adjustRightInd/>
              <w:spacing w:line="320" w:lineRule="atLeas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注：不得限制大中型企业向小微企业合理分包。</w:t>
            </w:r>
          </w:p>
        </w:tc>
      </w:tr>
      <w:tr w14:paraId="1BB58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0" w:type="pct"/>
            <w:vAlign w:val="center"/>
          </w:tcPr>
          <w:p w14:paraId="53A68BD2">
            <w:pPr>
              <w:adjustRightInd/>
              <w:spacing w:line="320" w:lineRule="exact"/>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5</w:t>
            </w:r>
          </w:p>
        </w:tc>
        <w:tc>
          <w:tcPr>
            <w:tcW w:w="1093" w:type="pct"/>
            <w:vAlign w:val="center"/>
          </w:tcPr>
          <w:p w14:paraId="27E960BB">
            <w:pPr>
              <w:adjustRightInd/>
              <w:spacing w:line="320" w:lineRule="exact"/>
              <w:jc w:val="center"/>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开标前答疑会或现场考察</w:t>
            </w:r>
          </w:p>
        </w:tc>
        <w:tc>
          <w:tcPr>
            <w:tcW w:w="3516" w:type="pct"/>
            <w:vAlign w:val="center"/>
          </w:tcPr>
          <w:p w14:paraId="30EA2A2C">
            <w:pPr>
              <w:adjustRightInd/>
              <w:spacing w:line="320" w:lineRule="atLeas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sym w:font="Wingdings" w:char="F0FE"/>
            </w:r>
            <w:r>
              <w:rPr>
                <w:rFonts w:hint="eastAsia" w:ascii="宋体" w:hAnsi="宋体" w:eastAsia="宋体" w:cs="宋体"/>
                <w:b/>
                <w:bCs/>
                <w:color w:val="auto"/>
                <w:kern w:val="0"/>
                <w:sz w:val="22"/>
                <w:szCs w:val="22"/>
                <w:highlight w:val="none"/>
              </w:rPr>
              <w:t>A</w:t>
            </w:r>
            <w:r>
              <w:rPr>
                <w:rFonts w:hint="eastAsia" w:ascii="宋体" w:hAnsi="宋体" w:eastAsia="宋体" w:cs="宋体"/>
                <w:b/>
                <w:bCs/>
                <w:color w:val="auto"/>
                <w:sz w:val="22"/>
                <w:szCs w:val="22"/>
                <w:highlight w:val="none"/>
              </w:rPr>
              <w:t>不组织。</w:t>
            </w:r>
          </w:p>
          <w:p w14:paraId="6C39324E">
            <w:pPr>
              <w:adjustRightInd/>
              <w:spacing w:line="320" w:lineRule="atLeas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☐B组织，</w:t>
            </w:r>
            <w:r>
              <w:rPr>
                <w:rFonts w:hint="eastAsia" w:ascii="宋体" w:hAnsi="宋体" w:eastAsia="宋体" w:cs="宋体"/>
                <w:color w:val="auto"/>
                <w:sz w:val="22"/>
                <w:szCs w:val="22"/>
                <w:highlight w:val="none"/>
              </w:rPr>
              <w:t>时间：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，地点：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，联系人：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，联系方式：</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tc>
      </w:tr>
      <w:tr w14:paraId="4A35B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0" w:type="pct"/>
            <w:vAlign w:val="center"/>
          </w:tcPr>
          <w:p w14:paraId="2736F540">
            <w:pPr>
              <w:adjustRightInd/>
              <w:spacing w:line="320" w:lineRule="exact"/>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6</w:t>
            </w:r>
          </w:p>
        </w:tc>
        <w:tc>
          <w:tcPr>
            <w:tcW w:w="1093" w:type="pct"/>
            <w:vAlign w:val="center"/>
          </w:tcPr>
          <w:p w14:paraId="67D471FC">
            <w:pPr>
              <w:adjustRightInd/>
              <w:spacing w:line="320" w:lineRule="exact"/>
              <w:jc w:val="center"/>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样品提供</w:t>
            </w:r>
          </w:p>
        </w:tc>
        <w:tc>
          <w:tcPr>
            <w:tcW w:w="3516" w:type="pct"/>
            <w:vAlign w:val="center"/>
          </w:tcPr>
          <w:p w14:paraId="3A0D731A">
            <w:pPr>
              <w:adjustRightInd/>
              <w:spacing w:line="320" w:lineRule="atLeas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sym w:font="Wingdings" w:char="00FE"/>
            </w:r>
            <w:r>
              <w:rPr>
                <w:rFonts w:hint="eastAsia" w:ascii="宋体" w:hAnsi="宋体" w:eastAsia="宋体" w:cs="宋体"/>
                <w:b/>
                <w:bCs/>
                <w:color w:val="auto"/>
                <w:kern w:val="0"/>
                <w:sz w:val="22"/>
                <w:szCs w:val="22"/>
                <w:highlight w:val="none"/>
              </w:rPr>
              <w:t>A</w:t>
            </w:r>
            <w:r>
              <w:rPr>
                <w:rFonts w:hint="eastAsia" w:ascii="宋体" w:hAnsi="宋体" w:eastAsia="宋体" w:cs="宋体"/>
                <w:b/>
                <w:bCs/>
                <w:color w:val="auto"/>
                <w:sz w:val="22"/>
                <w:szCs w:val="22"/>
                <w:highlight w:val="none"/>
              </w:rPr>
              <w:t>不要求提供。</w:t>
            </w:r>
          </w:p>
          <w:p w14:paraId="212E10B1">
            <w:pPr>
              <w:adjustRightInd/>
              <w:spacing w:line="320" w:lineRule="atLeas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sym w:font="Wingdings" w:char="00A8"/>
            </w:r>
            <w:r>
              <w:rPr>
                <w:rFonts w:hint="eastAsia" w:ascii="宋体" w:hAnsi="宋体" w:eastAsia="宋体" w:cs="宋体"/>
                <w:color w:val="auto"/>
                <w:kern w:val="0"/>
                <w:sz w:val="22"/>
                <w:szCs w:val="22"/>
                <w:highlight w:val="none"/>
              </w:rPr>
              <w:t>B要求提供，</w:t>
            </w:r>
          </w:p>
          <w:p w14:paraId="7B941EFD">
            <w:pPr>
              <w:adjustRightInd/>
              <w:spacing w:line="320" w:lineRule="atLeas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r>
              <w:rPr>
                <w:rFonts w:hint="eastAsia" w:ascii="宋体" w:hAnsi="宋体" w:eastAsia="宋体" w:cs="宋体"/>
                <w:snapToGrid w:val="0"/>
                <w:color w:val="auto"/>
                <w:kern w:val="28"/>
                <w:sz w:val="22"/>
                <w:szCs w:val="22"/>
                <w:highlight w:val="none"/>
              </w:rPr>
              <w:t>样品：</w:t>
            </w:r>
            <w:r>
              <w:rPr>
                <w:rFonts w:hint="eastAsia" w:ascii="宋体" w:hAnsi="宋体" w:eastAsia="宋体" w:cs="宋体"/>
                <w:color w:val="auto"/>
                <w:sz w:val="22"/>
                <w:szCs w:val="22"/>
                <w:highlight w:val="none"/>
                <w:u w:val="single"/>
              </w:rPr>
              <w:t>详见采购需求</w:t>
            </w:r>
            <w:r>
              <w:rPr>
                <w:rFonts w:hint="eastAsia" w:ascii="宋体" w:hAnsi="宋体" w:eastAsia="宋体" w:cs="宋体"/>
                <w:color w:val="auto"/>
                <w:kern w:val="0"/>
                <w:sz w:val="22"/>
                <w:szCs w:val="22"/>
                <w:highlight w:val="none"/>
              </w:rPr>
              <w:t>；</w:t>
            </w:r>
          </w:p>
          <w:p w14:paraId="33E02519">
            <w:pPr>
              <w:adjustRightInd/>
              <w:spacing w:line="320" w:lineRule="atLeas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r>
              <w:rPr>
                <w:rFonts w:hint="eastAsia" w:ascii="宋体" w:hAnsi="宋体" w:eastAsia="宋体" w:cs="宋体"/>
                <w:snapToGrid w:val="0"/>
                <w:color w:val="auto"/>
                <w:kern w:val="28"/>
                <w:sz w:val="22"/>
                <w:szCs w:val="22"/>
                <w:highlight w:val="none"/>
              </w:rPr>
              <w:t>样品制作的标准和要求：</w:t>
            </w:r>
            <w:r>
              <w:rPr>
                <w:rFonts w:hint="eastAsia" w:ascii="宋体" w:hAnsi="宋体" w:eastAsia="宋体" w:cs="宋体"/>
                <w:color w:val="auto"/>
                <w:sz w:val="22"/>
                <w:szCs w:val="22"/>
                <w:highlight w:val="none"/>
                <w:u w:val="single"/>
              </w:rPr>
              <w:t>详见采购需求</w:t>
            </w:r>
            <w:r>
              <w:rPr>
                <w:rFonts w:hint="eastAsia" w:ascii="宋体" w:hAnsi="宋体" w:eastAsia="宋体" w:cs="宋体"/>
                <w:color w:val="auto"/>
                <w:kern w:val="0"/>
                <w:sz w:val="22"/>
                <w:szCs w:val="22"/>
                <w:highlight w:val="none"/>
              </w:rPr>
              <w:t>；</w:t>
            </w:r>
          </w:p>
          <w:p w14:paraId="271B45D8">
            <w:pPr>
              <w:adjustRightInd/>
              <w:spacing w:line="320" w:lineRule="atLeas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（3）样品的评审方法以及评审标准</w:t>
            </w:r>
            <w:r>
              <w:rPr>
                <w:rFonts w:hint="eastAsia" w:ascii="宋体" w:hAnsi="宋体" w:eastAsia="宋体" w:cs="宋体"/>
                <w:snapToGrid w:val="0"/>
                <w:color w:val="auto"/>
                <w:kern w:val="28"/>
                <w:sz w:val="22"/>
                <w:szCs w:val="22"/>
                <w:highlight w:val="none"/>
              </w:rPr>
              <w:t>：</w:t>
            </w:r>
            <w:r>
              <w:rPr>
                <w:rFonts w:hint="eastAsia" w:ascii="宋体" w:hAnsi="宋体" w:eastAsia="宋体" w:cs="宋体"/>
                <w:snapToGrid w:val="0"/>
                <w:color w:val="auto"/>
                <w:kern w:val="28"/>
                <w:sz w:val="22"/>
                <w:szCs w:val="22"/>
                <w:highlight w:val="none"/>
                <w:u w:val="single"/>
              </w:rPr>
              <w:t>详见</w:t>
            </w:r>
            <w:r>
              <w:rPr>
                <w:rFonts w:hint="eastAsia" w:ascii="宋体" w:hAnsi="宋体" w:eastAsia="宋体" w:cs="宋体"/>
                <w:color w:val="auto"/>
                <w:sz w:val="22"/>
                <w:szCs w:val="22"/>
                <w:highlight w:val="none"/>
                <w:u w:val="single"/>
              </w:rPr>
              <w:t>评标办法</w:t>
            </w:r>
            <w:r>
              <w:rPr>
                <w:rFonts w:hint="eastAsia" w:ascii="宋体" w:hAnsi="宋体" w:eastAsia="宋体" w:cs="宋体"/>
                <w:color w:val="auto"/>
                <w:kern w:val="0"/>
                <w:sz w:val="22"/>
                <w:szCs w:val="22"/>
                <w:highlight w:val="none"/>
              </w:rPr>
              <w:t>；</w:t>
            </w:r>
          </w:p>
          <w:p w14:paraId="7EB26CA2">
            <w:pPr>
              <w:adjustRightInd/>
              <w:spacing w:line="320" w:lineRule="atLeas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（4）是否需要随样品提交检测报告：☐否；</w:t>
            </w:r>
            <w:r>
              <w:rPr>
                <w:rFonts w:hint="eastAsia" w:ascii="宋体" w:hAnsi="宋体" w:eastAsia="宋体" w:cs="宋体"/>
                <w:color w:val="auto"/>
                <w:kern w:val="0"/>
                <w:sz w:val="22"/>
                <w:szCs w:val="22"/>
                <w:highlight w:val="none"/>
              </w:rPr>
              <w:sym w:font="Wingdings" w:char="00A8"/>
            </w:r>
            <w:r>
              <w:rPr>
                <w:rFonts w:hint="eastAsia" w:ascii="宋体" w:hAnsi="宋体" w:eastAsia="宋体" w:cs="宋体"/>
                <w:color w:val="auto"/>
                <w:kern w:val="0"/>
                <w:sz w:val="22"/>
                <w:szCs w:val="22"/>
                <w:highlight w:val="none"/>
              </w:rPr>
              <w:t>是，检测机构的要求</w:t>
            </w:r>
            <w:r>
              <w:rPr>
                <w:rFonts w:hint="eastAsia" w:ascii="宋体" w:hAnsi="宋体" w:eastAsia="宋体" w:cs="宋体"/>
                <w:color w:val="auto"/>
                <w:sz w:val="22"/>
                <w:szCs w:val="22"/>
                <w:highlight w:val="none"/>
              </w:rPr>
              <w:t>：</w:t>
            </w:r>
            <w:r>
              <w:rPr>
                <w:rFonts w:hint="eastAsia" w:ascii="宋体" w:hAnsi="宋体" w:eastAsia="宋体" w:cs="宋体"/>
                <w:snapToGrid w:val="0"/>
                <w:color w:val="auto"/>
                <w:kern w:val="28"/>
                <w:sz w:val="22"/>
                <w:szCs w:val="22"/>
                <w:highlight w:val="none"/>
                <w:u w:val="single"/>
              </w:rPr>
              <w:t>详见</w:t>
            </w:r>
            <w:r>
              <w:rPr>
                <w:rFonts w:hint="eastAsia" w:ascii="宋体" w:hAnsi="宋体" w:eastAsia="宋体" w:cs="宋体"/>
                <w:color w:val="auto"/>
                <w:sz w:val="22"/>
                <w:szCs w:val="22"/>
                <w:highlight w:val="none"/>
                <w:u w:val="single"/>
              </w:rPr>
              <w:t>评标办法</w:t>
            </w:r>
            <w:r>
              <w:rPr>
                <w:rFonts w:hint="eastAsia" w:ascii="宋体" w:hAnsi="宋体" w:eastAsia="宋体" w:cs="宋体"/>
                <w:color w:val="auto"/>
                <w:kern w:val="0"/>
                <w:sz w:val="22"/>
                <w:szCs w:val="22"/>
                <w:highlight w:val="none"/>
              </w:rPr>
              <w:t>；检测内容</w:t>
            </w:r>
            <w:r>
              <w:rPr>
                <w:rFonts w:hint="eastAsia" w:ascii="宋体" w:hAnsi="宋体" w:eastAsia="宋体" w:cs="宋体"/>
                <w:color w:val="auto"/>
                <w:sz w:val="22"/>
                <w:szCs w:val="22"/>
                <w:highlight w:val="none"/>
              </w:rPr>
              <w:t>：</w:t>
            </w:r>
            <w:r>
              <w:rPr>
                <w:rFonts w:hint="eastAsia" w:ascii="宋体" w:hAnsi="宋体" w:eastAsia="宋体" w:cs="宋体"/>
                <w:snapToGrid w:val="0"/>
                <w:color w:val="auto"/>
                <w:kern w:val="28"/>
                <w:sz w:val="22"/>
                <w:szCs w:val="22"/>
                <w:highlight w:val="none"/>
                <w:u w:val="single"/>
              </w:rPr>
              <w:t>详见</w:t>
            </w:r>
            <w:r>
              <w:rPr>
                <w:rFonts w:hint="eastAsia" w:ascii="宋体" w:hAnsi="宋体" w:eastAsia="宋体" w:cs="宋体"/>
                <w:color w:val="auto"/>
                <w:sz w:val="22"/>
                <w:szCs w:val="22"/>
                <w:highlight w:val="none"/>
                <w:u w:val="single"/>
              </w:rPr>
              <w:t>评标办法</w:t>
            </w:r>
            <w:r>
              <w:rPr>
                <w:rFonts w:hint="eastAsia" w:ascii="宋体" w:hAnsi="宋体" w:eastAsia="宋体" w:cs="宋体"/>
                <w:color w:val="auto"/>
                <w:kern w:val="0"/>
                <w:sz w:val="22"/>
                <w:szCs w:val="22"/>
                <w:highlight w:val="none"/>
              </w:rPr>
              <w:t>。</w:t>
            </w:r>
          </w:p>
          <w:p w14:paraId="01A50A60">
            <w:pPr>
              <w:adjustRightInd/>
              <w:spacing w:line="320" w:lineRule="atLeas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（5）提供样品的时间：</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 xml:space="preserve">；地点： </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；联系人</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r>
              <w:rPr>
                <w:rFonts w:hint="eastAsia" w:ascii="宋体" w:hAnsi="宋体" w:eastAsia="宋体" w:cs="宋体"/>
                <w:color w:val="auto"/>
                <w:kern w:val="28"/>
                <w:sz w:val="22"/>
                <w:szCs w:val="22"/>
                <w:highlight w:val="none"/>
              </w:rPr>
              <w:t>联系电话：</w:t>
            </w:r>
            <w:r>
              <w:rPr>
                <w:rFonts w:hint="eastAsia" w:ascii="宋体" w:hAnsi="宋体" w:eastAsia="宋体" w:cs="宋体"/>
                <w:color w:val="auto"/>
                <w:kern w:val="28"/>
                <w:sz w:val="22"/>
                <w:szCs w:val="22"/>
                <w:highlight w:val="none"/>
                <w:u w:val="single"/>
              </w:rPr>
              <w:t xml:space="preserve">      </w:t>
            </w:r>
            <w:r>
              <w:rPr>
                <w:rFonts w:hint="eastAsia" w:ascii="宋体" w:hAnsi="宋体" w:eastAsia="宋体" w:cs="宋体"/>
                <w:color w:val="auto"/>
                <w:sz w:val="22"/>
                <w:szCs w:val="22"/>
                <w:highlight w:val="none"/>
              </w:rPr>
              <w:t>。请投标人在上述时间内提供样品并按规定位置安装完毕。超过截止时间的，采购人或采购代理机构将不予接收，并将清场并封闭样品现场。</w:t>
            </w:r>
          </w:p>
          <w:p w14:paraId="4752A91A">
            <w:pPr>
              <w:adjustRightInd/>
              <w:spacing w:line="320" w:lineRule="atLeas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0FAB12C4">
            <w:pPr>
              <w:adjustRightInd/>
              <w:spacing w:line="320" w:lineRule="atLeas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（7）制作、运输、安装和保管样品所发生的一切费用由投标人自理。</w:t>
            </w:r>
          </w:p>
        </w:tc>
      </w:tr>
      <w:tr w14:paraId="1385E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0" w:type="pct"/>
            <w:vAlign w:val="center"/>
          </w:tcPr>
          <w:p w14:paraId="225E2423">
            <w:pPr>
              <w:adjustRightInd/>
              <w:spacing w:line="320" w:lineRule="exact"/>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7</w:t>
            </w:r>
          </w:p>
        </w:tc>
        <w:tc>
          <w:tcPr>
            <w:tcW w:w="1093" w:type="pct"/>
            <w:vAlign w:val="center"/>
          </w:tcPr>
          <w:p w14:paraId="3018F267">
            <w:pPr>
              <w:adjustRightInd/>
              <w:spacing w:line="320" w:lineRule="exact"/>
              <w:jc w:val="center"/>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方案讲解演示</w:t>
            </w:r>
          </w:p>
        </w:tc>
        <w:tc>
          <w:tcPr>
            <w:tcW w:w="3516" w:type="pct"/>
            <w:vAlign w:val="center"/>
          </w:tcPr>
          <w:p w14:paraId="69EE674D">
            <w:pPr>
              <w:adjustRightInd/>
              <w:spacing w:line="320" w:lineRule="atLeast"/>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rPr>
              <w:sym w:font="Wingdings" w:char="F0FE"/>
            </w:r>
            <w:r>
              <w:rPr>
                <w:rFonts w:hint="eastAsia" w:ascii="宋体" w:hAnsi="宋体" w:eastAsia="宋体" w:cs="宋体"/>
                <w:b/>
                <w:bCs/>
                <w:color w:val="auto"/>
                <w:kern w:val="0"/>
                <w:sz w:val="22"/>
                <w:szCs w:val="22"/>
                <w:highlight w:val="none"/>
              </w:rPr>
              <w:t>A</w:t>
            </w:r>
            <w:r>
              <w:rPr>
                <w:rFonts w:hint="eastAsia" w:ascii="宋体" w:hAnsi="宋体" w:eastAsia="宋体" w:cs="宋体"/>
                <w:b/>
                <w:bCs/>
                <w:color w:val="auto"/>
                <w:sz w:val="22"/>
                <w:szCs w:val="22"/>
                <w:highlight w:val="none"/>
              </w:rPr>
              <w:t>不组织。</w:t>
            </w:r>
          </w:p>
          <w:p w14:paraId="612F1D01">
            <w:pPr>
              <w:adjustRightInd/>
              <w:spacing w:line="320" w:lineRule="atLeas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☐B组织。</w:t>
            </w:r>
          </w:p>
          <w:p w14:paraId="4EC63559">
            <w:pPr>
              <w:snapToGrid w:val="0"/>
              <w:spacing w:line="320" w:lineRule="atLeas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4307733F">
            <w:pPr>
              <w:adjustRightInd/>
              <w:spacing w:line="320" w:lineRule="atLeas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（2）方案讲解演示可选择以下其中一种方式：</w:t>
            </w:r>
          </w:p>
          <w:p w14:paraId="1E8F8FD3">
            <w:pPr>
              <w:adjustRightInd/>
              <w:spacing w:line="320" w:lineRule="atLeas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方式一：政采云平台在线讲解演示。政采云平台在线讲解需投标人根据政采云平台操作要求做好准备工作，提前完善软硬件配置环境。</w:t>
            </w:r>
          </w:p>
          <w:p w14:paraId="3AE1B5F9">
            <w:pPr>
              <w:adjustRightInd/>
              <w:spacing w:line="320" w:lineRule="atLeas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方式二：现场讲解地点为，讲解演示所用电脑等设备由投标人自备。现场讲解演示人员进场时提供讲解人员名单（加盖公章或授权代表签名）及身份证明，否则不得讲解演示。</w:t>
            </w:r>
          </w:p>
          <w:p w14:paraId="4E493613">
            <w:pPr>
              <w:adjustRightInd/>
              <w:spacing w:line="320" w:lineRule="atLeast"/>
              <w:rPr>
                <w:rFonts w:hint="eastAsia" w:ascii="宋体" w:hAnsi="宋体" w:eastAsia="宋体" w:cs="宋体"/>
                <w:b/>
                <w:color w:val="auto"/>
                <w:kern w:val="0"/>
                <w:sz w:val="22"/>
                <w:szCs w:val="22"/>
                <w:highlight w:val="none"/>
                <w:lang w:val="zh-CN"/>
              </w:rPr>
            </w:pPr>
            <w:r>
              <w:rPr>
                <w:rFonts w:hint="eastAsia" w:ascii="宋体" w:hAnsi="宋体" w:eastAsia="宋体" w:cs="宋体"/>
                <w:color w:val="auto"/>
                <w:kern w:val="0"/>
                <w:sz w:val="22"/>
                <w:szCs w:val="22"/>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3C73E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0" w:type="pct"/>
            <w:vMerge w:val="restart"/>
            <w:vAlign w:val="center"/>
          </w:tcPr>
          <w:p w14:paraId="44604475">
            <w:pPr>
              <w:adjustRightInd/>
              <w:spacing w:line="320" w:lineRule="exact"/>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8</w:t>
            </w:r>
          </w:p>
        </w:tc>
        <w:tc>
          <w:tcPr>
            <w:tcW w:w="1093" w:type="pct"/>
            <w:vMerge w:val="restart"/>
            <w:vAlign w:val="center"/>
          </w:tcPr>
          <w:p w14:paraId="620D11D5">
            <w:pPr>
              <w:adjustRightInd/>
              <w:spacing w:line="320" w:lineRule="exact"/>
              <w:jc w:val="center"/>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投标人应当提供的资格、资信证明文件</w:t>
            </w:r>
          </w:p>
        </w:tc>
        <w:tc>
          <w:tcPr>
            <w:tcW w:w="3516" w:type="pct"/>
            <w:vAlign w:val="center"/>
          </w:tcPr>
          <w:p w14:paraId="2312DE44">
            <w:pPr>
              <w:adjustRightInd/>
              <w:spacing w:line="320" w:lineRule="atLeas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（1）资格证明文件：见招标文件第二部分11.1。</w:t>
            </w:r>
          </w:p>
          <w:p w14:paraId="1C769E96">
            <w:pPr>
              <w:adjustRightInd/>
              <w:spacing w:line="320" w:lineRule="atLeas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投标人未提供有效的资格证明文件的，视为投标人不具备招标文件中规定的资格要求，投标无效。</w:t>
            </w:r>
          </w:p>
        </w:tc>
      </w:tr>
      <w:tr w14:paraId="256B5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0" w:type="pct"/>
            <w:vMerge w:val="continue"/>
            <w:vAlign w:val="center"/>
          </w:tcPr>
          <w:p w14:paraId="2CBE0B5A">
            <w:pPr>
              <w:adjustRightInd/>
              <w:spacing w:line="320" w:lineRule="exact"/>
              <w:jc w:val="center"/>
              <w:rPr>
                <w:rFonts w:hint="eastAsia" w:ascii="宋体" w:hAnsi="宋体" w:eastAsia="宋体" w:cs="宋体"/>
                <w:bCs/>
                <w:color w:val="auto"/>
                <w:kern w:val="0"/>
                <w:sz w:val="22"/>
                <w:szCs w:val="22"/>
                <w:highlight w:val="none"/>
              </w:rPr>
            </w:pPr>
          </w:p>
        </w:tc>
        <w:tc>
          <w:tcPr>
            <w:tcW w:w="1093" w:type="pct"/>
            <w:vMerge w:val="continue"/>
            <w:vAlign w:val="center"/>
          </w:tcPr>
          <w:p w14:paraId="2F84A38C">
            <w:pPr>
              <w:adjustRightInd/>
              <w:spacing w:line="320" w:lineRule="exact"/>
              <w:jc w:val="center"/>
              <w:rPr>
                <w:rFonts w:hint="eastAsia" w:ascii="宋体" w:hAnsi="宋体" w:eastAsia="宋体" w:cs="宋体"/>
                <w:b/>
                <w:color w:val="auto"/>
                <w:kern w:val="0"/>
                <w:sz w:val="22"/>
                <w:szCs w:val="22"/>
                <w:highlight w:val="none"/>
              </w:rPr>
            </w:pPr>
          </w:p>
        </w:tc>
        <w:tc>
          <w:tcPr>
            <w:tcW w:w="3516" w:type="pct"/>
            <w:vAlign w:val="center"/>
          </w:tcPr>
          <w:p w14:paraId="2F323F6F">
            <w:pPr>
              <w:adjustRightInd/>
              <w:spacing w:line="320" w:lineRule="atLeas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（2）资信证明文件：根据招标文件第四部分评标标准提供。</w:t>
            </w:r>
          </w:p>
        </w:tc>
      </w:tr>
      <w:tr w14:paraId="20E8D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0" w:type="pct"/>
            <w:vAlign w:val="center"/>
          </w:tcPr>
          <w:p w14:paraId="506329DF">
            <w:pPr>
              <w:adjustRightInd/>
              <w:spacing w:line="320" w:lineRule="exact"/>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9</w:t>
            </w:r>
          </w:p>
        </w:tc>
        <w:tc>
          <w:tcPr>
            <w:tcW w:w="1093" w:type="pct"/>
            <w:vAlign w:val="center"/>
          </w:tcPr>
          <w:p w14:paraId="21BD034C">
            <w:pPr>
              <w:adjustRightInd/>
              <w:spacing w:line="320" w:lineRule="exact"/>
              <w:jc w:val="center"/>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节能产品、环境标志产品</w:t>
            </w:r>
          </w:p>
        </w:tc>
        <w:tc>
          <w:tcPr>
            <w:tcW w:w="3516" w:type="pct"/>
            <w:vAlign w:val="center"/>
          </w:tcPr>
          <w:p w14:paraId="414406B0">
            <w:pPr>
              <w:adjustRightInd/>
              <w:spacing w:line="320" w:lineRule="atLeas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ED37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0" w:type="pct"/>
            <w:vAlign w:val="center"/>
          </w:tcPr>
          <w:p w14:paraId="63AD050C">
            <w:pPr>
              <w:adjustRightInd/>
              <w:spacing w:line="320" w:lineRule="exact"/>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10</w:t>
            </w:r>
          </w:p>
        </w:tc>
        <w:tc>
          <w:tcPr>
            <w:tcW w:w="1093" w:type="pct"/>
            <w:vAlign w:val="center"/>
          </w:tcPr>
          <w:p w14:paraId="3E76FC82">
            <w:pPr>
              <w:adjustRightInd/>
              <w:spacing w:line="320" w:lineRule="exact"/>
              <w:jc w:val="center"/>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报价要求</w:t>
            </w:r>
          </w:p>
        </w:tc>
        <w:tc>
          <w:tcPr>
            <w:tcW w:w="3516" w:type="pct"/>
            <w:vAlign w:val="center"/>
          </w:tcPr>
          <w:p w14:paraId="38B12D58">
            <w:pPr>
              <w:adjustRightInd/>
              <w:spacing w:line="320" w:lineRule="atLeas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有关本项目实施所需的所有费用（含税费）均计入报价。</w:t>
            </w:r>
            <w:r>
              <w:rPr>
                <w:rFonts w:hint="eastAsia" w:ascii="宋体" w:hAnsi="宋体" w:eastAsia="宋体" w:cs="宋体"/>
                <w:b/>
                <w:bCs/>
                <w:color w:val="auto"/>
                <w:kern w:val="0"/>
                <w:sz w:val="22"/>
                <w:szCs w:val="22"/>
                <w:highlight w:val="none"/>
                <w:lang w:val="zh-CN"/>
              </w:rPr>
              <w:t>投标文件</w:t>
            </w:r>
            <w:r>
              <w:rPr>
                <w:rFonts w:hint="eastAsia" w:ascii="宋体" w:hAnsi="宋体" w:eastAsia="宋体" w:cs="宋体"/>
                <w:b/>
                <w:bCs/>
                <w:color w:val="auto"/>
                <w:sz w:val="22"/>
                <w:szCs w:val="22"/>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2"/>
                <w:szCs w:val="22"/>
                <w:highlight w:val="none"/>
                <w:lang w:val="zh-CN"/>
              </w:rPr>
              <w:t>投标文件中价格全部采用人民币报价。招标文件未列明，而投标人认为必需的费用也需列入报价。</w:t>
            </w:r>
          </w:p>
          <w:p w14:paraId="52A3384B">
            <w:pPr>
              <w:adjustRightInd/>
              <w:spacing w:line="320" w:lineRule="atLeast"/>
              <w:rPr>
                <w:rFonts w:hint="eastAsia" w:ascii="宋体" w:hAnsi="宋体" w:eastAsia="宋体" w:cs="宋体"/>
                <w:b/>
                <w:color w:val="auto"/>
                <w:kern w:val="0"/>
                <w:sz w:val="22"/>
                <w:szCs w:val="22"/>
                <w:highlight w:val="none"/>
                <w:u w:val="single"/>
                <w:lang w:val="zh-CN"/>
              </w:rPr>
            </w:pPr>
            <w:r>
              <w:rPr>
                <w:rFonts w:hint="eastAsia" w:ascii="宋体" w:hAnsi="宋体" w:eastAsia="宋体" w:cs="宋体"/>
                <w:b/>
                <w:color w:val="auto"/>
                <w:kern w:val="0"/>
                <w:sz w:val="22"/>
                <w:szCs w:val="22"/>
                <w:highlight w:val="none"/>
                <w:u w:val="single"/>
                <w:lang w:val="zh-CN"/>
              </w:rPr>
              <w:t>提醒：验收费用由</w:t>
            </w:r>
            <w:r>
              <w:rPr>
                <w:rFonts w:hint="eastAsia" w:ascii="宋体" w:hAnsi="宋体" w:eastAsia="宋体" w:cs="宋体"/>
                <w:b/>
                <w:color w:val="auto"/>
                <w:kern w:val="0"/>
                <w:sz w:val="22"/>
                <w:szCs w:val="22"/>
                <w:highlight w:val="none"/>
                <w:u w:val="single"/>
              </w:rPr>
              <w:t>中标人</w:t>
            </w:r>
            <w:r>
              <w:rPr>
                <w:rFonts w:hint="eastAsia" w:ascii="宋体" w:hAnsi="宋体" w:eastAsia="宋体" w:cs="宋体"/>
                <w:b/>
                <w:color w:val="auto"/>
                <w:kern w:val="0"/>
                <w:sz w:val="22"/>
                <w:szCs w:val="22"/>
                <w:highlight w:val="none"/>
                <w:u w:val="single"/>
                <w:lang w:val="zh-CN"/>
              </w:rPr>
              <w:t>承担，包含在投标总价中。</w:t>
            </w:r>
          </w:p>
          <w:p w14:paraId="05B25DD5">
            <w:pPr>
              <w:adjustRightInd/>
              <w:spacing w:line="320" w:lineRule="atLeast"/>
              <w:rPr>
                <w:rFonts w:hint="eastAsia" w:ascii="宋体" w:hAnsi="宋体" w:eastAsia="宋体" w:cs="宋体"/>
                <w:b/>
                <w:color w:val="auto"/>
                <w:kern w:val="0"/>
                <w:sz w:val="22"/>
                <w:szCs w:val="22"/>
                <w:highlight w:val="none"/>
                <w:lang w:val="zh-CN"/>
              </w:rPr>
            </w:pPr>
            <w:r>
              <w:rPr>
                <w:rFonts w:hint="eastAsia" w:ascii="宋体" w:hAnsi="宋体" w:eastAsia="宋体" w:cs="宋体"/>
                <w:b/>
                <w:color w:val="auto"/>
                <w:kern w:val="0"/>
                <w:sz w:val="22"/>
                <w:szCs w:val="22"/>
                <w:highlight w:val="none"/>
                <w:lang w:val="zh-CN"/>
              </w:rPr>
              <w:t>投标报价出现下列情形的，投标无效：</w:t>
            </w:r>
          </w:p>
          <w:p w14:paraId="24C3C03C">
            <w:pPr>
              <w:adjustRightInd/>
              <w:spacing w:line="320" w:lineRule="atLeast"/>
              <w:rPr>
                <w:rFonts w:hint="eastAsia" w:ascii="宋体" w:hAnsi="宋体" w:eastAsia="宋体" w:cs="宋体"/>
                <w:b/>
                <w:color w:val="auto"/>
                <w:kern w:val="0"/>
                <w:sz w:val="22"/>
                <w:szCs w:val="22"/>
                <w:highlight w:val="none"/>
                <w:lang w:val="zh-CN"/>
              </w:rPr>
            </w:pPr>
            <w:r>
              <w:rPr>
                <w:rFonts w:hint="eastAsia" w:ascii="宋体" w:hAnsi="宋体" w:eastAsia="宋体" w:cs="宋体"/>
                <w:b/>
                <w:color w:val="auto"/>
                <w:kern w:val="0"/>
                <w:sz w:val="22"/>
                <w:szCs w:val="22"/>
                <w:highlight w:val="none"/>
                <w:lang w:val="zh-CN"/>
              </w:rPr>
              <w:t>（1）投标文件出现不是唯一的、有选择性投标报价的；</w:t>
            </w:r>
          </w:p>
          <w:p w14:paraId="723D4D39">
            <w:pPr>
              <w:adjustRightInd/>
              <w:spacing w:line="320" w:lineRule="atLeas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w:t>
            </w:r>
            <w:r>
              <w:rPr>
                <w:rFonts w:hint="eastAsia" w:ascii="宋体" w:hAnsi="宋体" w:eastAsia="宋体" w:cs="宋体"/>
                <w:b/>
                <w:color w:val="auto"/>
                <w:kern w:val="0"/>
                <w:sz w:val="22"/>
                <w:szCs w:val="22"/>
                <w:highlight w:val="none"/>
                <w:lang w:val="zh-CN"/>
              </w:rPr>
              <w:t>投标报价超过招标文件中规定的预算金额或者最高限价的；</w:t>
            </w:r>
          </w:p>
          <w:p w14:paraId="7128B46E">
            <w:pPr>
              <w:adjustRightInd/>
              <w:spacing w:line="320" w:lineRule="atLeast"/>
              <w:rPr>
                <w:rFonts w:hint="eastAsia" w:ascii="宋体" w:hAnsi="宋体" w:eastAsia="宋体" w:cs="宋体"/>
                <w:b/>
                <w:color w:val="auto"/>
                <w:kern w:val="0"/>
                <w:sz w:val="22"/>
                <w:szCs w:val="22"/>
                <w:highlight w:val="none"/>
                <w:lang w:val="zh-CN"/>
              </w:rPr>
            </w:pPr>
            <w:r>
              <w:rPr>
                <w:rFonts w:hint="eastAsia" w:ascii="宋体" w:hAnsi="宋体" w:eastAsia="宋体" w:cs="宋体"/>
                <w:b/>
                <w:color w:val="auto"/>
                <w:kern w:val="0"/>
                <w:sz w:val="22"/>
                <w:szCs w:val="22"/>
                <w:highlight w:val="none"/>
                <w:lang w:val="zh-CN"/>
              </w:rPr>
              <w:t>（3）报价明显低于其他通过符合性审查投标人的报价，有可能影响产品质量或者不能诚信履约的，未能按要求提供书面说明或者提交相关证明材料证明其报价合理性的；</w:t>
            </w:r>
          </w:p>
          <w:p w14:paraId="63C28690">
            <w:pPr>
              <w:adjustRightInd/>
              <w:spacing w:line="320" w:lineRule="atLeast"/>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（4）</w:t>
            </w:r>
            <w:r>
              <w:rPr>
                <w:rFonts w:hint="eastAsia" w:ascii="宋体" w:hAnsi="宋体" w:eastAsia="宋体" w:cs="宋体"/>
                <w:b/>
                <w:color w:val="auto"/>
                <w:kern w:val="0"/>
                <w:sz w:val="22"/>
                <w:szCs w:val="22"/>
                <w:highlight w:val="none"/>
                <w:lang w:val="zh-CN"/>
              </w:rPr>
              <w:t>投标人对根据修正原则修正后的报价不确认的。</w:t>
            </w:r>
          </w:p>
        </w:tc>
      </w:tr>
      <w:tr w14:paraId="39E86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0" w:type="pct"/>
            <w:vAlign w:val="center"/>
          </w:tcPr>
          <w:p w14:paraId="61A4CDC9">
            <w:pPr>
              <w:adjustRightInd/>
              <w:spacing w:line="320" w:lineRule="exact"/>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11</w:t>
            </w:r>
          </w:p>
        </w:tc>
        <w:tc>
          <w:tcPr>
            <w:tcW w:w="1093" w:type="pct"/>
            <w:vAlign w:val="center"/>
          </w:tcPr>
          <w:p w14:paraId="16B6895B">
            <w:pPr>
              <w:adjustRightInd/>
              <w:spacing w:line="320" w:lineRule="exact"/>
              <w:jc w:val="center"/>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中小企业信用融资</w:t>
            </w:r>
          </w:p>
        </w:tc>
        <w:tc>
          <w:tcPr>
            <w:tcW w:w="3516" w:type="pct"/>
            <w:vAlign w:val="center"/>
          </w:tcPr>
          <w:p w14:paraId="71C98712">
            <w:pPr>
              <w:adjustRightInd/>
              <w:spacing w:line="320" w:lineRule="atLeast"/>
              <w:rPr>
                <w:rFonts w:hint="eastAsia" w:ascii="宋体" w:hAnsi="宋体" w:eastAsia="宋体" w:cs="宋体"/>
                <w:color w:val="auto"/>
                <w:sz w:val="22"/>
                <w:szCs w:val="22"/>
                <w:highlight w:val="none"/>
              </w:rPr>
            </w:pPr>
            <w:r>
              <w:rPr>
                <w:rFonts w:hint="eastAsia" w:ascii="宋体" w:hAnsi="宋体" w:eastAsia="宋体" w:cs="宋体"/>
                <w:snapToGrid w:val="0"/>
                <w:color w:val="auto"/>
                <w:kern w:val="0"/>
                <w:sz w:val="22"/>
                <w:szCs w:val="22"/>
                <w:highlight w:val="none"/>
              </w:rPr>
              <w:t>投标人中标后也可在“政采云”平台申请政采贷：操作路径：登录政采云平台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0633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390" w:type="pct"/>
            <w:vAlign w:val="center"/>
          </w:tcPr>
          <w:p w14:paraId="35F278B1">
            <w:pPr>
              <w:adjustRightInd/>
              <w:spacing w:line="320" w:lineRule="exact"/>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12</w:t>
            </w:r>
          </w:p>
        </w:tc>
        <w:tc>
          <w:tcPr>
            <w:tcW w:w="1093" w:type="pct"/>
            <w:vAlign w:val="center"/>
          </w:tcPr>
          <w:p w14:paraId="67CE81E2">
            <w:pPr>
              <w:adjustRightInd/>
              <w:spacing w:line="320" w:lineRule="exact"/>
              <w:jc w:val="center"/>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备份投标文件送达地点和签收人员</w:t>
            </w:r>
          </w:p>
        </w:tc>
        <w:tc>
          <w:tcPr>
            <w:tcW w:w="3516" w:type="pct"/>
            <w:vAlign w:val="center"/>
          </w:tcPr>
          <w:p w14:paraId="7B5DFC13">
            <w:pPr>
              <w:adjustRightInd/>
              <w:spacing w:line="320" w:lineRule="atLeas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备份投标文件送达地点：</w:t>
            </w:r>
            <w:r>
              <w:rPr>
                <w:rFonts w:hint="eastAsia" w:ascii="宋体" w:hAnsi="宋体" w:eastAsia="宋体" w:cs="宋体"/>
                <w:color w:val="auto"/>
                <w:kern w:val="0"/>
                <w:sz w:val="22"/>
                <w:szCs w:val="22"/>
                <w:highlight w:val="none"/>
                <w:u w:val="single"/>
              </w:rPr>
              <w:t>温州市鹿城区南汇街道锦江路458号</w:t>
            </w:r>
            <w:r>
              <w:rPr>
                <w:rFonts w:hint="eastAsia" w:ascii="宋体" w:hAnsi="宋体" w:cs="宋体"/>
                <w:color w:val="auto"/>
                <w:kern w:val="0"/>
                <w:sz w:val="22"/>
                <w:szCs w:val="22"/>
                <w:highlight w:val="none"/>
                <w:u w:val="single"/>
                <w:lang w:eastAsia="zh-CN"/>
              </w:rPr>
              <w:t>深蓝国际大厦</w:t>
            </w:r>
            <w:r>
              <w:rPr>
                <w:rFonts w:hint="eastAsia" w:ascii="宋体" w:hAnsi="宋体" w:eastAsia="宋体" w:cs="宋体"/>
                <w:color w:val="auto"/>
                <w:kern w:val="0"/>
                <w:sz w:val="22"/>
                <w:szCs w:val="22"/>
                <w:highlight w:val="none"/>
                <w:u w:val="single"/>
              </w:rPr>
              <w:t>501-1室西首（接受邮寄，需在响应截止前寄达签收）</w:t>
            </w:r>
            <w:r>
              <w:rPr>
                <w:rFonts w:hint="eastAsia" w:ascii="宋体" w:hAnsi="宋体" w:eastAsia="宋体" w:cs="宋体"/>
                <w:color w:val="auto"/>
                <w:kern w:val="0"/>
                <w:sz w:val="22"/>
                <w:szCs w:val="22"/>
                <w:highlight w:val="none"/>
              </w:rPr>
              <w:t>；备份投标文件签收人员联系电话：</w:t>
            </w:r>
            <w:r>
              <w:rPr>
                <w:rFonts w:hint="eastAsia" w:ascii="宋体" w:hAnsi="宋体" w:eastAsia="宋体" w:cs="宋体"/>
                <w:color w:val="auto"/>
                <w:sz w:val="22"/>
                <w:szCs w:val="22"/>
                <w:highlight w:val="none"/>
                <w:u w:val="single"/>
              </w:rPr>
              <w:t>余温怡</w:t>
            </w:r>
            <w:r>
              <w:rPr>
                <w:rFonts w:hint="eastAsia" w:ascii="宋体" w:hAnsi="宋体" w:eastAsia="宋体" w:cs="宋体"/>
                <w:color w:val="auto"/>
                <w:kern w:val="0"/>
                <w:sz w:val="22"/>
                <w:szCs w:val="22"/>
                <w:highlight w:val="none"/>
                <w:u w:val="single"/>
              </w:rPr>
              <w:t>，</w:t>
            </w:r>
            <w:r>
              <w:rPr>
                <w:rFonts w:hint="eastAsia" w:ascii="宋体" w:hAnsi="宋体" w:eastAsia="宋体" w:cs="宋体"/>
                <w:color w:val="auto"/>
                <w:sz w:val="22"/>
                <w:szCs w:val="22"/>
                <w:highlight w:val="none"/>
                <w:u w:val="single"/>
              </w:rPr>
              <w:t>15705853800</w:t>
            </w:r>
            <w:r>
              <w:rPr>
                <w:rFonts w:hint="eastAsia" w:ascii="宋体" w:hAnsi="宋体" w:eastAsia="宋体" w:cs="宋体"/>
                <w:color w:val="auto"/>
                <w:kern w:val="0"/>
                <w:sz w:val="22"/>
                <w:szCs w:val="22"/>
                <w:highlight w:val="none"/>
              </w:rPr>
              <w:t>。</w:t>
            </w:r>
          </w:p>
          <w:p w14:paraId="2AE86DEF">
            <w:pPr>
              <w:adjustRightInd/>
              <w:spacing w:line="320" w:lineRule="atLeast"/>
              <w:rPr>
                <w:rFonts w:hint="eastAsia" w:ascii="宋体" w:hAnsi="宋体" w:eastAsia="宋体" w:cs="宋体"/>
                <w:color w:val="auto"/>
                <w:kern w:val="28"/>
                <w:sz w:val="22"/>
                <w:szCs w:val="22"/>
                <w:highlight w:val="none"/>
              </w:rPr>
            </w:pPr>
            <w:r>
              <w:rPr>
                <w:rFonts w:hint="eastAsia" w:ascii="宋体" w:hAnsi="宋体" w:eastAsia="宋体" w:cs="宋体"/>
                <w:b/>
                <w:color w:val="auto"/>
                <w:kern w:val="0"/>
                <w:sz w:val="22"/>
                <w:szCs w:val="22"/>
                <w:highlight w:val="none"/>
              </w:rPr>
              <w:t>采购人、采购机构不强制或变相强制投标人提交备份投标文件。</w:t>
            </w:r>
          </w:p>
        </w:tc>
      </w:tr>
      <w:tr w14:paraId="46705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0" w:type="pct"/>
            <w:vAlign w:val="center"/>
          </w:tcPr>
          <w:p w14:paraId="453B5B76">
            <w:pPr>
              <w:adjustRightInd/>
              <w:spacing w:line="320" w:lineRule="exact"/>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13</w:t>
            </w:r>
          </w:p>
        </w:tc>
        <w:tc>
          <w:tcPr>
            <w:tcW w:w="1093" w:type="pct"/>
            <w:vAlign w:val="center"/>
          </w:tcPr>
          <w:p w14:paraId="2B56D232">
            <w:pPr>
              <w:adjustRightInd/>
              <w:spacing w:line="320" w:lineRule="exact"/>
              <w:jc w:val="center"/>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履约保证金</w:t>
            </w:r>
          </w:p>
        </w:tc>
        <w:tc>
          <w:tcPr>
            <w:tcW w:w="3516" w:type="pct"/>
            <w:vAlign w:val="center"/>
          </w:tcPr>
          <w:p w14:paraId="24F8A2B5">
            <w:pPr>
              <w:adjustRightInd/>
              <w:spacing w:line="320" w:lineRule="atLeast"/>
              <w:rPr>
                <w:rFonts w:hint="eastAsia" w:ascii="宋体" w:hAnsi="宋体" w:eastAsia="宋体" w:cs="宋体"/>
                <w:snapToGrid w:val="0"/>
                <w:color w:val="auto"/>
                <w:kern w:val="28"/>
                <w:sz w:val="22"/>
                <w:szCs w:val="22"/>
                <w:highlight w:val="none"/>
              </w:rPr>
            </w:pPr>
            <w:r>
              <w:rPr>
                <w:rFonts w:hint="eastAsia" w:ascii="宋体" w:hAnsi="宋体" w:eastAsia="宋体" w:cs="宋体"/>
                <w:snapToGrid w:val="0"/>
                <w:color w:val="auto"/>
                <w:kern w:val="0"/>
                <w:sz w:val="22"/>
                <w:szCs w:val="22"/>
                <w:highlight w:val="none"/>
              </w:rPr>
              <w:t>本项目不要求提交履约保证金。</w:t>
            </w:r>
          </w:p>
        </w:tc>
      </w:tr>
      <w:tr w14:paraId="22188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0" w:type="pct"/>
            <w:vAlign w:val="center"/>
          </w:tcPr>
          <w:p w14:paraId="43341C0D">
            <w:pPr>
              <w:adjustRightInd/>
              <w:spacing w:line="320" w:lineRule="exact"/>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14</w:t>
            </w:r>
          </w:p>
        </w:tc>
        <w:tc>
          <w:tcPr>
            <w:tcW w:w="1093" w:type="pct"/>
            <w:vAlign w:val="center"/>
          </w:tcPr>
          <w:p w14:paraId="76080F70">
            <w:pPr>
              <w:adjustRightInd/>
              <w:spacing w:line="320" w:lineRule="exact"/>
              <w:jc w:val="center"/>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其他</w:t>
            </w:r>
          </w:p>
        </w:tc>
        <w:tc>
          <w:tcPr>
            <w:tcW w:w="3516" w:type="pct"/>
            <w:vAlign w:val="center"/>
          </w:tcPr>
          <w:p w14:paraId="1BF76FAA">
            <w:pPr>
              <w:adjustRightInd/>
              <w:spacing w:line="320" w:lineRule="atLeast"/>
              <w:rPr>
                <w:rFonts w:hint="eastAsia" w:ascii="宋体" w:hAnsi="宋体" w:eastAsia="宋体" w:cs="宋体"/>
                <w:snapToGrid w:val="0"/>
                <w:color w:val="auto"/>
                <w:kern w:val="0"/>
                <w:sz w:val="22"/>
                <w:szCs w:val="22"/>
                <w:highlight w:val="none"/>
              </w:rPr>
            </w:pPr>
            <w:r>
              <w:rPr>
                <w:rFonts w:hint="eastAsia" w:ascii="宋体" w:hAnsi="宋体" w:eastAsia="宋体" w:cs="宋体"/>
                <w:color w:val="auto"/>
                <w:kern w:val="0"/>
                <w:sz w:val="22"/>
                <w:szCs w:val="22"/>
                <w:highlight w:val="none"/>
              </w:rPr>
              <w:t>（1）中标通知书发出后30日内，中标供应商持中标通知书与采购人签订合同；合同签订后需在2个工作日内进行备案公示。</w:t>
            </w:r>
          </w:p>
          <w:p w14:paraId="586B3296">
            <w:pPr>
              <w:adjustRightInd/>
              <w:spacing w:line="320" w:lineRule="atLeast"/>
              <w:rPr>
                <w:rFonts w:hint="eastAsia" w:ascii="宋体" w:hAnsi="宋体" w:eastAsia="宋体" w:cs="宋体"/>
                <w:b/>
                <w:bCs/>
                <w:color w:val="auto"/>
                <w:kern w:val="0"/>
                <w:sz w:val="22"/>
                <w:szCs w:val="22"/>
                <w:highlight w:val="none"/>
                <w:u w:val="single"/>
              </w:rPr>
            </w:pPr>
            <w:r>
              <w:rPr>
                <w:rFonts w:hint="eastAsia" w:ascii="宋体" w:hAnsi="宋体" w:eastAsia="宋体" w:cs="宋体"/>
                <w:snapToGrid w:val="0"/>
                <w:color w:val="auto"/>
                <w:kern w:val="0"/>
                <w:sz w:val="22"/>
                <w:szCs w:val="22"/>
                <w:highlight w:val="none"/>
              </w:rPr>
              <w:t>（2）</w:t>
            </w:r>
            <w:r>
              <w:rPr>
                <w:rFonts w:hint="eastAsia" w:ascii="宋体" w:hAnsi="宋体" w:eastAsia="宋体" w:cs="宋体"/>
                <w:b/>
                <w:bCs/>
                <w:color w:val="auto"/>
                <w:kern w:val="0"/>
                <w:sz w:val="22"/>
                <w:szCs w:val="22"/>
                <w:highlight w:val="none"/>
                <w:u w:val="single"/>
              </w:rPr>
              <w:t>本项目招标代理服务费：本项目招标代理服务费由中标单位支付给招标代理机构，费用综合考虑计入投标报价。中标人在领取中标通知书同时向代理机构支付招标代理服务费，招标代理服务费按人民币22000元计取。</w:t>
            </w:r>
          </w:p>
          <w:p w14:paraId="7B7A0C4A">
            <w:pPr>
              <w:adjustRightInd/>
              <w:spacing w:line="320" w:lineRule="atLeast"/>
              <w:rPr>
                <w:rFonts w:hint="eastAsia" w:ascii="宋体" w:hAnsi="宋体" w:eastAsia="宋体" w:cs="宋体"/>
                <w:b/>
                <w:bCs/>
                <w:color w:val="auto"/>
                <w:sz w:val="22"/>
                <w:szCs w:val="22"/>
                <w:highlight w:val="none"/>
                <w:u w:val="single"/>
              </w:rPr>
            </w:pPr>
            <w:r>
              <w:rPr>
                <w:rFonts w:hint="eastAsia" w:ascii="宋体" w:hAnsi="宋体" w:eastAsia="宋体" w:cs="宋体"/>
                <w:color w:val="auto"/>
                <w:sz w:val="22"/>
                <w:szCs w:val="22"/>
                <w:highlight w:val="none"/>
              </w:rPr>
              <w:t>采购代理服务费可以是现金、支票或汇票。</w:t>
            </w:r>
          </w:p>
          <w:p w14:paraId="295B1865">
            <w:pPr>
              <w:adjustRightInd/>
              <w:spacing w:line="320" w:lineRule="atLeas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收款单位：浙江德丰项目管理有限公司</w:t>
            </w:r>
          </w:p>
          <w:p w14:paraId="0A3F78C2">
            <w:pPr>
              <w:adjustRightInd/>
              <w:spacing w:line="320" w:lineRule="atLeas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开户银行：浙江温州瓯海农村商业银行股份有限公司梧田支行</w:t>
            </w:r>
          </w:p>
          <w:p w14:paraId="67FD055E">
            <w:pPr>
              <w:adjustRightInd/>
              <w:spacing w:line="320" w:lineRule="atLeas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账号：201000321010109</w:t>
            </w:r>
          </w:p>
        </w:tc>
      </w:tr>
      <w:bookmarkEnd w:id="10"/>
    </w:tbl>
    <w:p w14:paraId="3BB91C84">
      <w:pPr>
        <w:widowControl/>
        <w:adjustRightInd/>
        <w:jc w:val="left"/>
        <w:rPr>
          <w:rFonts w:hint="eastAsia" w:ascii="宋体" w:hAnsi="宋体" w:eastAsia="宋体" w:cs="宋体"/>
          <w:b/>
          <w:color w:val="auto"/>
          <w:sz w:val="32"/>
          <w:szCs w:val="20"/>
          <w:highlight w:val="none"/>
        </w:rPr>
      </w:pPr>
      <w:bookmarkStart w:id="14" w:name="_Toc129952702"/>
      <w:bookmarkStart w:id="15" w:name="_Toc129952499"/>
      <w:bookmarkStart w:id="16" w:name="第三部分"/>
      <w:bookmarkStart w:id="17" w:name="_Toc164416483"/>
    </w:p>
    <w:p w14:paraId="461FDBB4">
      <w:pPr>
        <w:widowControl/>
        <w:adjustRightInd/>
        <w:jc w:val="left"/>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br w:type="page"/>
      </w:r>
    </w:p>
    <w:p w14:paraId="2AC5D27B">
      <w:pPr>
        <w:adjustRightInd/>
        <w:spacing w:line="360" w:lineRule="auto"/>
        <w:ind w:firstLine="3845" w:firstLineChars="1197"/>
        <w:outlineLvl w:val="0"/>
        <w:rPr>
          <w:rFonts w:hint="eastAsia" w:ascii="宋体" w:hAnsi="宋体" w:eastAsia="宋体" w:cs="宋体"/>
          <w:b/>
          <w:color w:val="auto"/>
          <w:sz w:val="32"/>
          <w:szCs w:val="20"/>
          <w:highlight w:val="none"/>
        </w:rPr>
      </w:pPr>
      <w:bookmarkStart w:id="18" w:name="_Toc10172"/>
      <w:r>
        <w:rPr>
          <w:rFonts w:hint="eastAsia" w:ascii="宋体" w:hAnsi="宋体" w:eastAsia="宋体" w:cs="宋体"/>
          <w:b/>
          <w:color w:val="auto"/>
          <w:sz w:val="32"/>
          <w:szCs w:val="20"/>
          <w:highlight w:val="none"/>
        </w:rPr>
        <w:t>一、总则</w:t>
      </w:r>
      <w:bookmarkEnd w:id="14"/>
      <w:bookmarkEnd w:id="15"/>
      <w:bookmarkEnd w:id="18"/>
    </w:p>
    <w:p w14:paraId="50EA9BC3">
      <w:pPr>
        <w:spacing w:line="360" w:lineRule="auto"/>
        <w:rPr>
          <w:rFonts w:hint="eastAsia" w:ascii="宋体" w:hAnsi="宋体" w:eastAsia="宋体" w:cs="宋体"/>
          <w:b/>
          <w:color w:val="auto"/>
          <w:sz w:val="22"/>
          <w:szCs w:val="22"/>
          <w:highlight w:val="none"/>
        </w:rPr>
      </w:pPr>
      <w:bookmarkStart w:id="19" w:name="_Hlt75236101"/>
      <w:bookmarkEnd w:id="19"/>
      <w:bookmarkStart w:id="20" w:name="_Hlt68057669"/>
      <w:bookmarkEnd w:id="20"/>
      <w:bookmarkStart w:id="21" w:name="_Hlt74729768"/>
      <w:bookmarkEnd w:id="21"/>
      <w:bookmarkStart w:id="22" w:name="_Hlt74730295"/>
      <w:bookmarkEnd w:id="22"/>
      <w:bookmarkStart w:id="23" w:name="_Hlt75236011"/>
      <w:bookmarkEnd w:id="23"/>
      <w:bookmarkStart w:id="24" w:name="_Hlt75236290"/>
      <w:bookmarkEnd w:id="24"/>
      <w:bookmarkStart w:id="25" w:name="_Hlt68072990"/>
      <w:bookmarkEnd w:id="25"/>
      <w:bookmarkStart w:id="26" w:name="_Hlt68073093"/>
      <w:bookmarkEnd w:id="26"/>
      <w:bookmarkStart w:id="27" w:name="_Hlt74714665"/>
      <w:bookmarkEnd w:id="27"/>
      <w:bookmarkStart w:id="28" w:name="_Hlt68072998"/>
      <w:bookmarkEnd w:id="28"/>
      <w:bookmarkStart w:id="29" w:name="_Hlt74707468"/>
      <w:bookmarkEnd w:id="29"/>
      <w:bookmarkStart w:id="30" w:name="_Hlt68403820"/>
      <w:bookmarkEnd w:id="30"/>
      <w:r>
        <w:rPr>
          <w:rFonts w:hint="eastAsia" w:ascii="宋体" w:hAnsi="宋体" w:eastAsia="宋体" w:cs="宋体"/>
          <w:b/>
          <w:color w:val="auto"/>
          <w:sz w:val="22"/>
          <w:szCs w:val="22"/>
          <w:highlight w:val="none"/>
        </w:rPr>
        <w:t>1、适用范围</w:t>
      </w:r>
    </w:p>
    <w:p w14:paraId="061AFFF4">
      <w:pPr>
        <w:spacing w:line="360" w:lineRule="auto"/>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本招标文件适用于该项目的招标、投标、开标、资格审查及信用信息查询、评标、定标、合同、验收等行为（法律法规另有规定的，从其规定）。</w:t>
      </w:r>
    </w:p>
    <w:p w14:paraId="7FFC733E">
      <w:pPr>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2、定义</w:t>
      </w:r>
    </w:p>
    <w:p w14:paraId="097B895D">
      <w:pPr>
        <w:spacing w:line="360" w:lineRule="auto"/>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2.1“采购人”系指招标公告中载明的本项目的采购人。</w:t>
      </w:r>
    </w:p>
    <w:p w14:paraId="7F6220B6">
      <w:pPr>
        <w:spacing w:line="360" w:lineRule="auto"/>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2.2“采购机构”系指招标公告中载明的本项目的采购机构。</w:t>
      </w:r>
    </w:p>
    <w:p w14:paraId="078DFAE1">
      <w:pPr>
        <w:spacing w:line="360" w:lineRule="auto"/>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2.3“投标人”系指是指响应招标、参加投标竞争的法人、其他组织或者自然人。</w:t>
      </w:r>
    </w:p>
    <w:p w14:paraId="281B07D2">
      <w:pPr>
        <w:spacing w:line="360" w:lineRule="auto"/>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2.4“负责人”系指法人企业的法定负责人，或其他组织为法律、行政法规规定代表单位行使职权的主要负责人，或自然人本人。</w:t>
      </w:r>
    </w:p>
    <w:p w14:paraId="5EEC98E5">
      <w:pPr>
        <w:spacing w:line="360" w:lineRule="auto"/>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5F95256">
      <w:pPr>
        <w:spacing w:line="360" w:lineRule="auto"/>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2.6“电子交易平台”是指本项目政府采购活动所依托的政府采购云平台（https://www.zcygov.cn/）。</w:t>
      </w:r>
    </w:p>
    <w:p w14:paraId="2FF857CB">
      <w:pPr>
        <w:spacing w:line="360" w:lineRule="auto"/>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2.7 “▲”</w:t>
      </w:r>
      <w:r>
        <w:rPr>
          <w:rFonts w:hint="eastAsia" w:ascii="宋体" w:hAnsi="宋体" w:eastAsia="宋体" w:cs="宋体"/>
          <w:snapToGrid w:val="0"/>
          <w:color w:val="auto"/>
          <w:kern w:val="28"/>
          <w:sz w:val="22"/>
          <w:szCs w:val="22"/>
          <w:highlight w:val="none"/>
        </w:rPr>
        <w:t>且加下划线的条款</w:t>
      </w:r>
      <w:r>
        <w:rPr>
          <w:rFonts w:hint="eastAsia" w:ascii="宋体" w:hAnsi="宋体" w:eastAsia="宋体" w:cs="宋体"/>
          <w:color w:val="auto"/>
          <w:sz w:val="22"/>
          <w:szCs w:val="22"/>
          <w:highlight w:val="none"/>
        </w:rPr>
        <w:t>系指实质性要求条款，“</w:t>
      </w:r>
      <w:r>
        <w:rPr>
          <w:rFonts w:hint="eastAsia" w:ascii="宋体" w:hAnsi="宋体" w:eastAsia="宋体" w:cs="宋体"/>
          <w:color w:val="auto"/>
          <w:sz w:val="22"/>
          <w:szCs w:val="22"/>
          <w:highlight w:val="none"/>
        </w:rPr>
        <w:sym w:font="Wingdings" w:char="00FE"/>
      </w:r>
      <w:r>
        <w:rPr>
          <w:rFonts w:hint="eastAsia" w:ascii="宋体" w:hAnsi="宋体" w:eastAsia="宋体" w:cs="宋体"/>
          <w:color w:val="auto"/>
          <w:sz w:val="22"/>
          <w:szCs w:val="22"/>
          <w:highlight w:val="none"/>
        </w:rPr>
        <w:t>” 系指适用本项目的要求，“</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 系指不适用本项目的要求。</w:t>
      </w:r>
    </w:p>
    <w:p w14:paraId="738A805A">
      <w:pPr>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3、采购项目需要落实的政府采购政策</w:t>
      </w:r>
    </w:p>
    <w:p w14:paraId="0713563A">
      <w:pPr>
        <w:spacing w:line="360" w:lineRule="auto"/>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eastAsia="宋体" w:cs="宋体"/>
          <w:color w:val="auto"/>
          <w:kern w:val="0"/>
          <w:sz w:val="22"/>
          <w:szCs w:val="22"/>
          <w:highlight w:val="none"/>
        </w:rPr>
        <w:t>优先采购向我国企业转让技术、与我国企业签订消化吸收再创新方案的供应商的进口产品</w:t>
      </w:r>
      <w:r>
        <w:rPr>
          <w:rFonts w:hint="eastAsia" w:ascii="宋体" w:hAnsi="宋体" w:eastAsia="宋体" w:cs="宋体"/>
          <w:color w:val="auto"/>
          <w:sz w:val="22"/>
          <w:szCs w:val="22"/>
          <w:highlight w:val="none"/>
        </w:rPr>
        <w:t>。</w:t>
      </w:r>
    </w:p>
    <w:p w14:paraId="59FA478B">
      <w:pPr>
        <w:spacing w:line="360" w:lineRule="auto"/>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 支持绿色发展</w:t>
      </w:r>
    </w:p>
    <w:p w14:paraId="4BAFA259">
      <w:pPr>
        <w:spacing w:line="360" w:lineRule="auto"/>
        <w:ind w:firstLine="440" w:firstLineChars="200"/>
        <w:rPr>
          <w:rFonts w:hint="eastAsia" w:ascii="宋体" w:hAnsi="宋体" w:eastAsia="宋体" w:cs="宋体"/>
          <w:b/>
          <w:color w:val="auto"/>
          <w:sz w:val="22"/>
          <w:szCs w:val="22"/>
          <w:highlight w:val="none"/>
          <w:u w:val="single"/>
        </w:rPr>
      </w:pPr>
      <w:r>
        <w:rPr>
          <w:rFonts w:hint="eastAsia" w:ascii="宋体" w:hAnsi="宋体" w:eastAsia="宋体" w:cs="宋体"/>
          <w:color w:val="auto"/>
          <w:sz w:val="22"/>
          <w:szCs w:val="22"/>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color w:val="auto"/>
          <w:sz w:val="22"/>
          <w:szCs w:val="22"/>
          <w:highlight w:val="none"/>
          <w:u w:val="single"/>
        </w:rPr>
        <w:t>▲</w:t>
      </w:r>
      <w:r>
        <w:rPr>
          <w:rFonts w:hint="eastAsia" w:ascii="宋体" w:hAnsi="宋体" w:eastAsia="宋体" w:cs="宋体"/>
          <w:b/>
          <w:color w:val="auto"/>
          <w:sz w:val="22"/>
          <w:szCs w:val="22"/>
          <w:highlight w:val="none"/>
          <w:u w:val="single"/>
        </w:rPr>
        <w:t>采购人拟采购的产品属于政府强制采购的节能产品品目清单范围的，投标人未按招标文件要求提供国家确定的认证机构出具的、处于有效期之内的节能产品认证证书的，投标无效。</w:t>
      </w:r>
    </w:p>
    <w:p w14:paraId="15E9DC13">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3.2.2 修缮、装修类项目采购建材的，采购人应将绿色建筑和绿色建材性能、指标等作为实质性条件纳入招标文件和合同。</w:t>
      </w:r>
    </w:p>
    <w:p w14:paraId="19E3274E">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440EEE97">
      <w:pPr>
        <w:spacing w:line="360" w:lineRule="auto"/>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3.3支持中小企业发展</w:t>
      </w:r>
    </w:p>
    <w:p w14:paraId="0C48C7A7">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5D7E089">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符合中小企业划分标准的个体工商户，在政府采购活动中视同中小企业。</w:t>
      </w:r>
    </w:p>
    <w:p w14:paraId="4465F266">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3.3.2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7851801">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以联合体形式参加政府采购活动，联合体各方均为中小企业的，联合体视同中小企业。其中，联合体各方均为小微企业的，联合体视同小微企业。</w:t>
      </w:r>
    </w:p>
    <w:p w14:paraId="0BC24F3C">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3.3.3对于未预留份额专门面向中小企业的政府采购服务项目，以及预留份额政府采购服务项目中的非预留部分标项，对小型和微型企业的投标报价给予</w:t>
      </w:r>
      <w:r>
        <w:rPr>
          <w:rFonts w:hint="eastAsia" w:ascii="宋体" w:hAnsi="宋体" w:eastAsia="宋体" w:cs="宋体"/>
          <w:b/>
          <w:bCs/>
          <w:color w:val="auto"/>
          <w:sz w:val="22"/>
          <w:szCs w:val="22"/>
          <w:highlight w:val="none"/>
          <w:u w:val="single"/>
        </w:rPr>
        <w:t>10%</w:t>
      </w:r>
      <w:r>
        <w:rPr>
          <w:rFonts w:hint="eastAsia" w:ascii="宋体" w:hAnsi="宋体" w:eastAsia="宋体" w:cs="宋体"/>
          <w:color w:val="auto"/>
          <w:sz w:val="22"/>
          <w:szCs w:val="22"/>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eastAsia="宋体" w:cs="宋体"/>
          <w:b/>
          <w:bCs/>
          <w:color w:val="auto"/>
          <w:sz w:val="22"/>
          <w:szCs w:val="22"/>
          <w:highlight w:val="none"/>
          <w:u w:val="single"/>
        </w:rPr>
        <w:t>4%</w:t>
      </w:r>
      <w:r>
        <w:rPr>
          <w:rFonts w:hint="eastAsia" w:ascii="宋体" w:hAnsi="宋体" w:eastAsia="宋体" w:cs="宋体"/>
          <w:color w:val="auto"/>
          <w:sz w:val="22"/>
          <w:szCs w:val="22"/>
          <w:highlight w:val="none"/>
        </w:rPr>
        <w:t>的扣除，用扣除后的价格参加评审。组成联合体或者接受分包的小微企业与联合体内其他企业、分包企业之间存在直接控股、管理关系的，不享受价格扣除优惠政策。</w:t>
      </w:r>
    </w:p>
    <w:p w14:paraId="4B293FBF">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3.3.4符合《关于促进残疾人就业政府采购政策的通知》（财库〔2017〕141号）规定的条件并提供《残疾人福利性单位声明函》（附件1）的残疾人福利性单位视同小型、微型企业；</w:t>
      </w:r>
    </w:p>
    <w:p w14:paraId="77C9B3CA">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6192DA1">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3BCF83D">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3.3.7中小企业享受扶持政策获得政府采购合同的，小微企业不得将合同分包给大中型企业，中型企业不得将合同分包给大型企业。</w:t>
      </w:r>
    </w:p>
    <w:p w14:paraId="10B61826">
      <w:pPr>
        <w:spacing w:line="360" w:lineRule="auto"/>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3.4</w:t>
      </w:r>
      <w:r>
        <w:rPr>
          <w:rFonts w:hint="eastAsia" w:ascii="宋体" w:hAnsi="宋体" w:eastAsia="宋体" w:cs="宋体"/>
          <w:bCs/>
          <w:color w:val="auto"/>
          <w:sz w:val="22"/>
          <w:szCs w:val="22"/>
          <w:highlight w:val="none"/>
        </w:rPr>
        <w:t>支持创新</w:t>
      </w:r>
      <w:r>
        <w:rPr>
          <w:rFonts w:hint="eastAsia" w:ascii="宋体" w:hAnsi="宋体" w:eastAsia="宋体" w:cs="宋体"/>
          <w:color w:val="auto"/>
          <w:sz w:val="22"/>
          <w:szCs w:val="22"/>
          <w:highlight w:val="none"/>
        </w:rPr>
        <w:t>发展</w:t>
      </w:r>
    </w:p>
    <w:p w14:paraId="24966121">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3.4.1 采购人优先采购被认定为首台套产品和“制造精品”的自主创新产品。</w:t>
      </w:r>
    </w:p>
    <w:p w14:paraId="64C18837">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1991FF0B">
      <w:pPr>
        <w:spacing w:line="360" w:lineRule="auto"/>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3.4.3采购人应当贯彻落实知识产权保护相关法律法规，应当采购使用正版软件。</w:t>
      </w:r>
    </w:p>
    <w:p w14:paraId="1D1372CB">
      <w:pPr>
        <w:spacing w:line="360" w:lineRule="auto"/>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3.5平等</w:t>
      </w:r>
      <w:r>
        <w:rPr>
          <w:rFonts w:hint="eastAsia" w:ascii="宋体" w:hAnsi="宋体" w:eastAsia="宋体" w:cs="宋体"/>
          <w:color w:val="auto"/>
          <w:kern w:val="0"/>
          <w:sz w:val="22"/>
          <w:szCs w:val="22"/>
          <w:highlight w:val="none"/>
          <w:lang w:val="zh-CN"/>
        </w:rPr>
        <w:t>对待</w:t>
      </w:r>
      <w:r>
        <w:rPr>
          <w:rFonts w:hint="eastAsia" w:ascii="宋体" w:hAnsi="宋体" w:eastAsia="宋体" w:cs="宋体"/>
          <w:color w:val="auto"/>
          <w:sz w:val="22"/>
          <w:szCs w:val="22"/>
          <w:highlight w:val="none"/>
        </w:rPr>
        <w:t>内外资企业和符合条件的破产重整企业平等对待内外资企业和符合条件的破产重整企业，切实保障企业公平竞争，平等维护企业的合法利益。</w:t>
      </w:r>
      <w:r>
        <w:rPr>
          <w:rFonts w:hint="eastAsia" w:ascii="宋体" w:hAnsi="宋体" w:eastAsia="宋体" w:cs="宋体"/>
          <w:color w:val="auto"/>
          <w:sz w:val="22"/>
          <w:szCs w:val="22"/>
          <w:highlight w:val="none"/>
        </w:rPr>
        <w:cr/>
      </w:r>
      <w:r>
        <w:rPr>
          <w:rFonts w:hint="eastAsia" w:ascii="宋体" w:hAnsi="宋体" w:eastAsia="宋体" w:cs="宋体"/>
          <w:b/>
          <w:color w:val="auto"/>
          <w:sz w:val="22"/>
          <w:szCs w:val="22"/>
          <w:highlight w:val="none"/>
        </w:rPr>
        <w:t>4、询问、质疑、投诉</w:t>
      </w:r>
    </w:p>
    <w:p w14:paraId="5A2B4816">
      <w:pPr>
        <w:spacing w:line="360" w:lineRule="auto"/>
        <w:ind w:firstLine="220" w:firstLineChars="100"/>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4.1供应商询问</w:t>
      </w:r>
    </w:p>
    <w:p w14:paraId="61CA384C">
      <w:pPr>
        <w:autoSpaceDE w:val="0"/>
        <w:autoSpaceDN w:val="0"/>
        <w:spacing w:line="360" w:lineRule="auto"/>
        <w:ind w:firstLine="440" w:firstLineChars="200"/>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913AE9A">
      <w:pPr>
        <w:spacing w:line="360" w:lineRule="auto"/>
        <w:ind w:firstLine="220" w:firstLineChars="100"/>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4.2供应商</w:t>
      </w:r>
      <w:r>
        <w:rPr>
          <w:rFonts w:hint="eastAsia" w:ascii="宋体" w:hAnsi="宋体" w:eastAsia="宋体" w:cs="宋体"/>
          <w:color w:val="auto"/>
          <w:sz w:val="22"/>
          <w:szCs w:val="22"/>
          <w:highlight w:val="none"/>
          <w:lang w:val="zh-CN"/>
        </w:rPr>
        <w:t>质疑</w:t>
      </w:r>
    </w:p>
    <w:p w14:paraId="4BDCA8D5">
      <w:pPr>
        <w:autoSpaceDE w:val="0"/>
        <w:autoSpaceDN w:val="0"/>
        <w:spacing w:line="360" w:lineRule="auto"/>
        <w:ind w:firstLine="440" w:firstLineChars="200"/>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4.2</w:t>
      </w:r>
      <w:r>
        <w:rPr>
          <w:rFonts w:hint="eastAsia" w:ascii="宋体" w:hAnsi="宋体" w:eastAsia="宋体" w:cs="宋体"/>
          <w:color w:val="auto"/>
          <w:sz w:val="22"/>
          <w:szCs w:val="22"/>
          <w:highlight w:val="none"/>
        </w:rPr>
        <w:t>.1提出质</w:t>
      </w:r>
      <w:r>
        <w:rPr>
          <w:rFonts w:hint="eastAsia" w:ascii="宋体" w:hAnsi="宋体" w:eastAsia="宋体" w:cs="宋体"/>
          <w:color w:val="auto"/>
          <w:kern w:val="0"/>
          <w:sz w:val="22"/>
          <w:szCs w:val="22"/>
          <w:highlight w:val="none"/>
          <w:lang w:val="zh-CN"/>
        </w:rPr>
        <w:t>疑的供应商应当是参与所质疑项目采购活动的供应商。潜在供应商已依法获取其可质疑的招标文件的，可以对该文件提出质疑。</w:t>
      </w:r>
    </w:p>
    <w:p w14:paraId="4D3BFFBC">
      <w:pPr>
        <w:autoSpaceDE w:val="0"/>
        <w:autoSpaceDN w:val="0"/>
        <w:spacing w:line="360" w:lineRule="auto"/>
        <w:ind w:firstLine="440" w:firstLineChars="200"/>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4.2.2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AA75DE8">
      <w:pPr>
        <w:autoSpaceDE w:val="0"/>
        <w:autoSpaceDN w:val="0"/>
        <w:spacing w:line="360" w:lineRule="auto"/>
        <w:ind w:firstLine="440" w:firstLineChars="200"/>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4.2.2.1对招标文件提出质疑的，质疑期限为供应商获得招标文件之日或者招标文件公告期限届满之日起计算。</w:t>
      </w:r>
    </w:p>
    <w:p w14:paraId="530E6A8A">
      <w:pPr>
        <w:autoSpaceDE w:val="0"/>
        <w:autoSpaceDN w:val="0"/>
        <w:spacing w:line="360" w:lineRule="auto"/>
        <w:ind w:firstLine="440" w:firstLineChars="200"/>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4.2.2.2对采购过程提出质疑的，质疑期限为各采购程序环节结束之日起计算。</w:t>
      </w:r>
    </w:p>
    <w:p w14:paraId="33FD5601">
      <w:pPr>
        <w:autoSpaceDE w:val="0"/>
        <w:autoSpaceDN w:val="0"/>
        <w:spacing w:line="360" w:lineRule="auto"/>
        <w:ind w:firstLine="440" w:firstLineChars="200"/>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4.2.2.3对采购结果提出质疑的，质疑期限自采购结果公告期限届满之日起计算。</w:t>
      </w:r>
    </w:p>
    <w:p w14:paraId="281CBCB0">
      <w:pPr>
        <w:autoSpaceDE w:val="0"/>
        <w:autoSpaceDN w:val="0"/>
        <w:spacing w:line="360" w:lineRule="auto"/>
        <w:ind w:firstLine="440" w:firstLineChars="200"/>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4.2.3供应商提出质疑应当提交质疑函和必要的证明材料。质疑函应当包括下列内容：</w:t>
      </w:r>
    </w:p>
    <w:p w14:paraId="429A5BE8">
      <w:pPr>
        <w:autoSpaceDE w:val="0"/>
        <w:autoSpaceDN w:val="0"/>
        <w:spacing w:line="360" w:lineRule="auto"/>
        <w:ind w:firstLine="440" w:firstLineChars="200"/>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4.2.3.1供应商的姓名或者名称、地址、邮编、联系人及联系电话；</w:t>
      </w:r>
    </w:p>
    <w:p w14:paraId="1DEB047D">
      <w:pPr>
        <w:autoSpaceDE w:val="0"/>
        <w:autoSpaceDN w:val="0"/>
        <w:spacing w:line="360" w:lineRule="auto"/>
        <w:ind w:firstLine="440" w:firstLineChars="200"/>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4.2.3.2质疑项目的名称、编号；</w:t>
      </w:r>
    </w:p>
    <w:p w14:paraId="778D2989">
      <w:pPr>
        <w:autoSpaceDE w:val="0"/>
        <w:autoSpaceDN w:val="0"/>
        <w:spacing w:line="360" w:lineRule="auto"/>
        <w:ind w:firstLine="440" w:firstLineChars="200"/>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4.2.3.3具体、明确的质疑事项和与质疑事项相关的请求；</w:t>
      </w:r>
    </w:p>
    <w:p w14:paraId="7C990F0D">
      <w:pPr>
        <w:autoSpaceDE w:val="0"/>
        <w:autoSpaceDN w:val="0"/>
        <w:spacing w:line="360" w:lineRule="auto"/>
        <w:ind w:firstLine="440" w:firstLineChars="200"/>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4.2.3.4事实依据；</w:t>
      </w:r>
    </w:p>
    <w:p w14:paraId="4565CED0">
      <w:pPr>
        <w:autoSpaceDE w:val="0"/>
        <w:autoSpaceDN w:val="0"/>
        <w:spacing w:line="360" w:lineRule="auto"/>
        <w:ind w:firstLine="440" w:firstLineChars="200"/>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4.2.3.5必要的法律依据；</w:t>
      </w:r>
    </w:p>
    <w:p w14:paraId="0A6128D0">
      <w:pPr>
        <w:autoSpaceDE w:val="0"/>
        <w:autoSpaceDN w:val="0"/>
        <w:spacing w:line="360" w:lineRule="auto"/>
        <w:ind w:firstLine="440" w:firstLineChars="200"/>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4.2.3.6提出质疑的日期。</w:t>
      </w:r>
    </w:p>
    <w:p w14:paraId="5CF24314">
      <w:pPr>
        <w:autoSpaceDE w:val="0"/>
        <w:autoSpaceDN w:val="0"/>
        <w:spacing w:line="360" w:lineRule="auto"/>
        <w:ind w:firstLine="440" w:firstLineChars="200"/>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6E0F5B0F">
      <w:pPr>
        <w:autoSpaceDE w:val="0"/>
        <w:autoSpaceDN w:val="0"/>
        <w:spacing w:line="360" w:lineRule="auto"/>
        <w:ind w:firstLine="440" w:firstLineChars="200"/>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质疑函范本及制作说明详见附件2。</w:t>
      </w:r>
    </w:p>
    <w:p w14:paraId="52ABC3AD">
      <w:pPr>
        <w:autoSpaceDE w:val="0"/>
        <w:autoSpaceDN w:val="0"/>
        <w:spacing w:line="360" w:lineRule="auto"/>
        <w:ind w:firstLine="440" w:firstLineChars="200"/>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4.2.4对同一采购程序环节的质疑，供应商须在法定质疑期内一次性提出。</w:t>
      </w:r>
    </w:p>
    <w:p w14:paraId="34166782">
      <w:pPr>
        <w:autoSpaceDE w:val="0"/>
        <w:autoSpaceDN w:val="0"/>
        <w:spacing w:line="360" w:lineRule="auto"/>
        <w:ind w:firstLine="440" w:firstLineChars="200"/>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4.2.5采购人或者采购机构应当在收到供应商的书面质疑后七个工作日内作出答复，并以书面形式通知质疑供应商和其他与质疑处理结果有利害关系的政府采购当事人，但答复的内容不得涉及商业秘密。采购人或者采购机构在质疑回复后5个工作日内，在浙江政府采购网的“其他公告”栏目公开质疑答复，答复内容应当完整。质疑函作为附件上传。</w:t>
      </w:r>
    </w:p>
    <w:p w14:paraId="564175EF">
      <w:pPr>
        <w:autoSpaceDE w:val="0"/>
        <w:autoSpaceDN w:val="0"/>
        <w:spacing w:line="360" w:lineRule="auto"/>
        <w:ind w:firstLine="440" w:firstLineChars="200"/>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4.2.6询问或者质疑事项可能影响采购结果的，采购人应当暂停签订合同，已经签订合同的，应当中止履行合同。</w:t>
      </w:r>
    </w:p>
    <w:p w14:paraId="61520493">
      <w:pPr>
        <w:spacing w:line="360" w:lineRule="auto"/>
        <w:ind w:firstLine="220" w:firstLineChars="1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4.3供应商投诉</w:t>
      </w:r>
    </w:p>
    <w:p w14:paraId="74CD0146">
      <w:pPr>
        <w:autoSpaceDE w:val="0"/>
        <w:autoSpaceDN w:val="0"/>
        <w:spacing w:line="360" w:lineRule="auto"/>
        <w:ind w:firstLine="440" w:firstLineChars="200"/>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4.3.1质疑供应商对采购人、采购机构的答复不满意或者采购人、采购机构未在规定的时间内作出答复的，可以在答复期满后十五个工作日内向同级政府采购监督管理部门提出投诉。</w:t>
      </w:r>
    </w:p>
    <w:p w14:paraId="7A6AFC31">
      <w:pPr>
        <w:autoSpaceDE w:val="0"/>
        <w:autoSpaceDN w:val="0"/>
        <w:spacing w:line="360" w:lineRule="auto"/>
        <w:ind w:firstLine="440" w:firstLineChars="200"/>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4.3.2供应商投诉的事项不得超出已质疑事项的范围，基于质疑答复内容提出的投诉事项除外。</w:t>
      </w:r>
    </w:p>
    <w:p w14:paraId="2F00D2AC">
      <w:pPr>
        <w:autoSpaceDE w:val="0"/>
        <w:autoSpaceDN w:val="0"/>
        <w:spacing w:line="360" w:lineRule="auto"/>
        <w:ind w:firstLine="440" w:firstLineChars="200"/>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4.3.3供应商投诉应当有明确的请求和必要的证明材料。</w:t>
      </w:r>
    </w:p>
    <w:p w14:paraId="427A4912">
      <w:pPr>
        <w:autoSpaceDE w:val="0"/>
        <w:autoSpaceDN w:val="0"/>
        <w:spacing w:line="360" w:lineRule="auto"/>
        <w:ind w:firstLine="440" w:firstLineChars="200"/>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4.3.5 以联合体形式参加政府采购活动的，其投诉应当由组成联合体的所有供应商共同提出。</w:t>
      </w:r>
    </w:p>
    <w:p w14:paraId="20158331">
      <w:pPr>
        <w:autoSpaceDE w:val="0"/>
        <w:autoSpaceDN w:val="0"/>
        <w:spacing w:line="360" w:lineRule="auto"/>
        <w:ind w:firstLine="440" w:firstLineChars="200"/>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投诉书范本及制作说明详见附件3。</w:t>
      </w:r>
    </w:p>
    <w:p w14:paraId="3F6CA7AE">
      <w:pPr>
        <w:spacing w:line="360" w:lineRule="auto"/>
        <w:ind w:firstLine="220" w:firstLineChars="1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4.4在线质疑、投诉。</w:t>
      </w:r>
    </w:p>
    <w:p w14:paraId="013A2104">
      <w:pPr>
        <w:autoSpaceDE w:val="0"/>
        <w:autoSpaceDN w:val="0"/>
        <w:spacing w:line="360" w:lineRule="auto"/>
        <w:ind w:firstLine="440" w:firstLineChars="200"/>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A1D5C2D">
      <w:pPr>
        <w:adjustRightInd/>
        <w:spacing w:line="360" w:lineRule="auto"/>
        <w:jc w:val="center"/>
        <w:outlineLvl w:val="0"/>
        <w:rPr>
          <w:rFonts w:hint="eastAsia" w:ascii="宋体" w:hAnsi="宋体" w:eastAsia="宋体" w:cs="宋体"/>
          <w:b/>
          <w:color w:val="auto"/>
          <w:sz w:val="32"/>
          <w:szCs w:val="20"/>
          <w:highlight w:val="none"/>
        </w:rPr>
      </w:pPr>
      <w:bookmarkStart w:id="31" w:name="_Toc129952500"/>
      <w:bookmarkStart w:id="32" w:name="_Toc32151"/>
      <w:bookmarkStart w:id="33" w:name="_Toc129952703"/>
      <w:r>
        <w:rPr>
          <w:rFonts w:hint="eastAsia" w:ascii="宋体" w:hAnsi="宋体" w:eastAsia="宋体" w:cs="宋体"/>
          <w:b/>
          <w:color w:val="auto"/>
          <w:sz w:val="32"/>
          <w:szCs w:val="20"/>
          <w:highlight w:val="none"/>
        </w:rPr>
        <w:t>二、招标文件的构成、澄清、修改</w:t>
      </w:r>
      <w:bookmarkEnd w:id="31"/>
      <w:bookmarkEnd w:id="32"/>
      <w:bookmarkEnd w:id="33"/>
    </w:p>
    <w:p w14:paraId="3B9A5172">
      <w:pPr>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5、招标文件的构成</w:t>
      </w:r>
    </w:p>
    <w:p w14:paraId="7BFB88FC">
      <w:pPr>
        <w:spacing w:line="360" w:lineRule="auto"/>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5.1 招标文件包括下列文件及附件：</w:t>
      </w:r>
    </w:p>
    <w:p w14:paraId="7D0890FF">
      <w:pPr>
        <w:autoSpaceDE w:val="0"/>
        <w:autoSpaceDN w:val="0"/>
        <w:spacing w:line="360" w:lineRule="auto"/>
        <w:ind w:firstLine="440" w:firstLineChars="200"/>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5.1.1招标公告；</w:t>
      </w:r>
    </w:p>
    <w:p w14:paraId="13AC6CF5">
      <w:pPr>
        <w:autoSpaceDE w:val="0"/>
        <w:autoSpaceDN w:val="0"/>
        <w:spacing w:line="360" w:lineRule="auto"/>
        <w:ind w:firstLine="440" w:firstLineChars="200"/>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5.1.2投标人须知；</w:t>
      </w:r>
    </w:p>
    <w:p w14:paraId="01B4EFD0">
      <w:pPr>
        <w:autoSpaceDE w:val="0"/>
        <w:autoSpaceDN w:val="0"/>
        <w:spacing w:line="360" w:lineRule="auto"/>
        <w:ind w:firstLine="440" w:firstLineChars="200"/>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5.1.3采购需求；</w:t>
      </w:r>
    </w:p>
    <w:p w14:paraId="566F2CBE">
      <w:pPr>
        <w:autoSpaceDE w:val="0"/>
        <w:autoSpaceDN w:val="0"/>
        <w:spacing w:line="360" w:lineRule="auto"/>
        <w:ind w:firstLine="440" w:firstLineChars="200"/>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5.1.4评标办法；</w:t>
      </w:r>
    </w:p>
    <w:p w14:paraId="177292A2">
      <w:pPr>
        <w:autoSpaceDE w:val="0"/>
        <w:autoSpaceDN w:val="0"/>
        <w:spacing w:line="360" w:lineRule="auto"/>
        <w:ind w:firstLine="440" w:firstLineChars="200"/>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5.1.5拟签订的合同文本；</w:t>
      </w:r>
    </w:p>
    <w:p w14:paraId="5531FD00">
      <w:pPr>
        <w:autoSpaceDE w:val="0"/>
        <w:autoSpaceDN w:val="0"/>
        <w:spacing w:line="360" w:lineRule="auto"/>
        <w:ind w:firstLine="440" w:firstLineChars="200"/>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5.1.6应提交的有关格式范例。</w:t>
      </w:r>
    </w:p>
    <w:p w14:paraId="2C501702">
      <w:pPr>
        <w:spacing w:line="360" w:lineRule="auto"/>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5.2与本项目有关的澄清或者修改的内容为招标文件的组成部分。</w:t>
      </w:r>
    </w:p>
    <w:p w14:paraId="4A4182E0">
      <w:pPr>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6、招标文件的澄清、修改</w:t>
      </w:r>
    </w:p>
    <w:p w14:paraId="4F7D6072">
      <w:pPr>
        <w:autoSpaceDE w:val="0"/>
        <w:autoSpaceDN w:val="0"/>
        <w:spacing w:line="360" w:lineRule="auto"/>
        <w:ind w:firstLine="440" w:firstLineChars="200"/>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6.1已获取招标文件的潜在投标人，若有问题需要澄清，应于投标截止时间前，以书面形式向采购机构提出。</w:t>
      </w:r>
    </w:p>
    <w:p w14:paraId="656E8A6F">
      <w:pPr>
        <w:autoSpaceDE w:val="0"/>
        <w:autoSpaceDN w:val="0"/>
        <w:spacing w:line="360" w:lineRule="auto"/>
        <w:ind w:firstLine="440" w:firstLineChars="200"/>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BE64C78">
      <w:pPr>
        <w:adjustRightInd/>
        <w:spacing w:line="360" w:lineRule="auto"/>
        <w:ind w:firstLine="3845" w:firstLineChars="1197"/>
        <w:outlineLvl w:val="0"/>
        <w:rPr>
          <w:rFonts w:hint="eastAsia" w:ascii="宋体" w:hAnsi="宋体" w:eastAsia="宋体" w:cs="宋体"/>
          <w:b/>
          <w:color w:val="auto"/>
          <w:sz w:val="32"/>
          <w:szCs w:val="20"/>
          <w:highlight w:val="none"/>
        </w:rPr>
      </w:pPr>
      <w:bookmarkStart w:id="34" w:name="_Toc13844"/>
      <w:bookmarkStart w:id="35" w:name="_Toc129952704"/>
      <w:bookmarkStart w:id="36" w:name="_Toc129952501"/>
      <w:r>
        <w:rPr>
          <w:rFonts w:hint="eastAsia" w:ascii="宋体" w:hAnsi="宋体" w:eastAsia="宋体" w:cs="宋体"/>
          <w:b/>
          <w:color w:val="auto"/>
          <w:sz w:val="32"/>
          <w:szCs w:val="20"/>
          <w:highlight w:val="none"/>
        </w:rPr>
        <w:t>三、投标</w:t>
      </w:r>
      <w:bookmarkEnd w:id="34"/>
      <w:bookmarkEnd w:id="35"/>
      <w:bookmarkEnd w:id="36"/>
    </w:p>
    <w:p w14:paraId="01A92EBC">
      <w:pPr>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7、招标文件的获取</w:t>
      </w:r>
    </w:p>
    <w:p w14:paraId="25449C9B">
      <w:pPr>
        <w:spacing w:line="360" w:lineRule="auto"/>
        <w:ind w:firstLine="220" w:firstLineChars="100"/>
        <w:rPr>
          <w:rFonts w:hint="eastAsia" w:ascii="宋体" w:hAnsi="宋体" w:eastAsia="宋体" w:cs="宋体"/>
          <w:snapToGrid w:val="0"/>
          <w:color w:val="auto"/>
          <w:kern w:val="28"/>
          <w:sz w:val="22"/>
          <w:szCs w:val="22"/>
          <w:highlight w:val="none"/>
        </w:rPr>
      </w:pPr>
      <w:r>
        <w:rPr>
          <w:rFonts w:hint="eastAsia" w:ascii="宋体" w:hAnsi="宋体" w:eastAsia="宋体" w:cs="宋体"/>
          <w:snapToGrid w:val="0"/>
          <w:color w:val="auto"/>
          <w:kern w:val="28"/>
          <w:sz w:val="22"/>
          <w:szCs w:val="22"/>
          <w:highlight w:val="none"/>
        </w:rPr>
        <w:t>详见招标公告中获取招标文件的时间期限、地点、方式及招标文件售价。</w:t>
      </w:r>
    </w:p>
    <w:p w14:paraId="783944B6">
      <w:pPr>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8、开标前答疑会或现场考察</w:t>
      </w:r>
    </w:p>
    <w:p w14:paraId="5C9F7933">
      <w:pPr>
        <w:spacing w:line="360" w:lineRule="auto"/>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采购人组织潜在投标人现场考察或者召开开标前答疑会的，潜在投标人按第二部分投标人须知前附表的规定参加现场考察或者开标前答疑会。</w:t>
      </w:r>
    </w:p>
    <w:p w14:paraId="5D50DFFB">
      <w:pPr>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9、投标保证金</w:t>
      </w:r>
    </w:p>
    <w:p w14:paraId="7F0D2821">
      <w:pPr>
        <w:spacing w:line="360" w:lineRule="auto"/>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本项目不需缴纳投标保证金。</w:t>
      </w:r>
    </w:p>
    <w:p w14:paraId="43B9D117">
      <w:pPr>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10、投标文件的语言</w:t>
      </w:r>
    </w:p>
    <w:p w14:paraId="66D819E8">
      <w:pPr>
        <w:spacing w:line="360" w:lineRule="auto"/>
        <w:ind w:firstLine="220" w:firstLineChars="1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投标文件及投标人与采购有关的来往通知、函件和文件均应使用中文。</w:t>
      </w:r>
    </w:p>
    <w:p w14:paraId="78C49D85">
      <w:pPr>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11、投标文件的组成</w:t>
      </w:r>
    </w:p>
    <w:p w14:paraId="4B157087">
      <w:pPr>
        <w:spacing w:line="360" w:lineRule="auto"/>
        <w:ind w:firstLine="221" w:firstLineChars="100"/>
        <w:rPr>
          <w:rFonts w:hint="eastAsia" w:ascii="宋体" w:hAnsi="宋体" w:eastAsia="宋体" w:cs="宋体"/>
          <w:b/>
          <w:bCs/>
          <w:color w:val="auto"/>
          <w:kern w:val="0"/>
          <w:sz w:val="22"/>
          <w:szCs w:val="22"/>
          <w:highlight w:val="none"/>
          <w:lang w:val="zh-CN"/>
        </w:rPr>
      </w:pPr>
      <w:r>
        <w:rPr>
          <w:rFonts w:hint="eastAsia" w:ascii="宋体" w:hAnsi="宋体" w:eastAsia="宋体" w:cs="宋体"/>
          <w:b/>
          <w:bCs/>
          <w:color w:val="auto"/>
          <w:kern w:val="0"/>
          <w:sz w:val="22"/>
          <w:szCs w:val="22"/>
          <w:highlight w:val="none"/>
          <w:lang w:val="zh-CN"/>
        </w:rPr>
        <w:t>11.1资格文件：</w:t>
      </w:r>
    </w:p>
    <w:p w14:paraId="7DA5E730">
      <w:pPr>
        <w:autoSpaceDE w:val="0"/>
        <w:autoSpaceDN w:val="0"/>
        <w:spacing w:line="360" w:lineRule="auto"/>
        <w:ind w:firstLine="442" w:firstLineChars="200"/>
        <w:jc w:val="left"/>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11.1.1符合参加政府采购活动应当具备的一般条件的承诺函；</w:t>
      </w:r>
    </w:p>
    <w:p w14:paraId="4C3058C4">
      <w:pPr>
        <w:autoSpaceDE w:val="0"/>
        <w:autoSpaceDN w:val="0"/>
        <w:spacing w:line="360" w:lineRule="auto"/>
        <w:ind w:firstLine="442" w:firstLineChars="200"/>
        <w:jc w:val="left"/>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 xml:space="preserve">11.1.2有效的企业营业执照（或事业法人登记证书或其他工商等登记证明材料，自然人提供身份证）复制件（五选一）； </w:t>
      </w:r>
    </w:p>
    <w:p w14:paraId="274EAAE7">
      <w:pPr>
        <w:autoSpaceDE w:val="0"/>
        <w:autoSpaceDN w:val="0"/>
        <w:spacing w:line="360" w:lineRule="auto"/>
        <w:ind w:firstLine="442" w:firstLineChars="200"/>
        <w:jc w:val="left"/>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11.1.3</w:t>
      </w:r>
      <w:r>
        <w:rPr>
          <w:rFonts w:hint="eastAsia" w:ascii="宋体" w:hAnsi="宋体" w:eastAsia="宋体" w:cs="宋体"/>
          <w:b/>
          <w:bCs/>
          <w:snapToGrid w:val="0"/>
          <w:color w:val="auto"/>
          <w:kern w:val="28"/>
          <w:sz w:val="22"/>
          <w:szCs w:val="22"/>
          <w:highlight w:val="none"/>
          <w:u w:val="single"/>
        </w:rPr>
        <w:t>联合协议（如果有)；</w:t>
      </w:r>
    </w:p>
    <w:p w14:paraId="2BD78C70">
      <w:pPr>
        <w:autoSpaceDE w:val="0"/>
        <w:autoSpaceDN w:val="0"/>
        <w:spacing w:line="360" w:lineRule="auto"/>
        <w:ind w:firstLine="442" w:firstLineChars="200"/>
        <w:jc w:val="left"/>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11.1.4落实政府采购政策需满足的资格要求</w:t>
      </w:r>
      <w:r>
        <w:rPr>
          <w:rFonts w:hint="eastAsia" w:ascii="宋体" w:hAnsi="宋体" w:eastAsia="宋体" w:cs="宋体"/>
          <w:b/>
          <w:bCs/>
          <w:snapToGrid w:val="0"/>
          <w:color w:val="auto"/>
          <w:kern w:val="28"/>
          <w:sz w:val="22"/>
          <w:szCs w:val="22"/>
          <w:highlight w:val="none"/>
          <w:u w:val="single"/>
        </w:rPr>
        <w:t>：供应商为中小企业/小微企业，提供中小企业声明函；</w:t>
      </w:r>
    </w:p>
    <w:p w14:paraId="1E45F04E">
      <w:pPr>
        <w:autoSpaceDE w:val="0"/>
        <w:autoSpaceDN w:val="0"/>
        <w:spacing w:line="360" w:lineRule="auto"/>
        <w:ind w:firstLine="442" w:firstLineChars="200"/>
        <w:jc w:val="left"/>
        <w:rPr>
          <w:rFonts w:hint="eastAsia" w:ascii="宋体" w:hAnsi="宋体" w:eastAsia="宋体" w:cs="宋体"/>
          <w:b/>
          <w:bCs/>
          <w:snapToGrid w:val="0"/>
          <w:color w:val="auto"/>
          <w:kern w:val="28"/>
          <w:sz w:val="22"/>
          <w:szCs w:val="22"/>
          <w:highlight w:val="none"/>
          <w:u w:val="single"/>
        </w:rPr>
      </w:pPr>
      <w:r>
        <w:rPr>
          <w:rFonts w:hint="eastAsia" w:ascii="宋体" w:hAnsi="宋体" w:eastAsia="宋体" w:cs="宋体"/>
          <w:b/>
          <w:bCs/>
          <w:color w:val="auto"/>
          <w:sz w:val="22"/>
          <w:szCs w:val="22"/>
          <w:highlight w:val="none"/>
          <w:u w:val="single"/>
        </w:rPr>
        <w:t>11.1.5本项目的特定资格要求</w:t>
      </w:r>
      <w:r>
        <w:rPr>
          <w:rFonts w:hint="eastAsia" w:ascii="宋体" w:hAnsi="宋体" w:eastAsia="宋体" w:cs="宋体"/>
          <w:b/>
          <w:bCs/>
          <w:snapToGrid w:val="0"/>
          <w:color w:val="auto"/>
          <w:kern w:val="28"/>
          <w:sz w:val="22"/>
          <w:szCs w:val="22"/>
          <w:highlight w:val="none"/>
          <w:u w:val="single"/>
        </w:rPr>
        <w:t>：  /  ；</w:t>
      </w:r>
    </w:p>
    <w:p w14:paraId="00A3453C">
      <w:pPr>
        <w:spacing w:line="360" w:lineRule="auto"/>
        <w:ind w:firstLine="221" w:firstLineChars="100"/>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11.</w:t>
      </w:r>
      <w:r>
        <w:rPr>
          <w:rFonts w:hint="eastAsia" w:ascii="宋体" w:hAnsi="宋体" w:eastAsia="宋体" w:cs="宋体"/>
          <w:b/>
          <w:color w:val="auto"/>
          <w:sz w:val="22"/>
          <w:szCs w:val="22"/>
          <w:highlight w:val="none"/>
        </w:rPr>
        <w:t>2商务技术</w:t>
      </w:r>
      <w:r>
        <w:rPr>
          <w:rFonts w:hint="eastAsia" w:ascii="宋体" w:hAnsi="宋体" w:eastAsia="宋体" w:cs="宋体"/>
          <w:b/>
          <w:color w:val="auto"/>
          <w:sz w:val="22"/>
          <w:szCs w:val="22"/>
          <w:highlight w:val="none"/>
          <w:lang w:val="zh-CN"/>
        </w:rPr>
        <w:t>文件：</w:t>
      </w:r>
    </w:p>
    <w:p w14:paraId="5D3DFC54">
      <w:pPr>
        <w:autoSpaceDE w:val="0"/>
        <w:autoSpaceDN w:val="0"/>
        <w:spacing w:line="360" w:lineRule="auto"/>
        <w:ind w:firstLine="440" w:firstLineChars="200"/>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11.2.1投标函；</w:t>
      </w:r>
    </w:p>
    <w:p w14:paraId="2FF92978">
      <w:pPr>
        <w:autoSpaceDE w:val="0"/>
        <w:autoSpaceDN w:val="0"/>
        <w:spacing w:line="360" w:lineRule="auto"/>
        <w:ind w:firstLine="440" w:firstLineChars="200"/>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11.2.2授权委托书或法定代表人（单位负责人、自然人本人）身份证明；</w:t>
      </w:r>
    </w:p>
    <w:p w14:paraId="1A9A74EE">
      <w:pPr>
        <w:autoSpaceDE w:val="0"/>
        <w:autoSpaceDN w:val="0"/>
        <w:spacing w:line="360" w:lineRule="auto"/>
        <w:ind w:firstLine="440" w:firstLineChars="200"/>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11.2.3分包意向协议（如果有）；</w:t>
      </w:r>
    </w:p>
    <w:p w14:paraId="3F286975">
      <w:pPr>
        <w:autoSpaceDE w:val="0"/>
        <w:autoSpaceDN w:val="0"/>
        <w:spacing w:line="360" w:lineRule="auto"/>
        <w:ind w:firstLine="440" w:firstLineChars="200"/>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11.2.4符合性审查资料；</w:t>
      </w:r>
    </w:p>
    <w:p w14:paraId="4227C2F0">
      <w:pPr>
        <w:autoSpaceDE w:val="0"/>
        <w:autoSpaceDN w:val="0"/>
        <w:spacing w:line="360" w:lineRule="auto"/>
        <w:ind w:firstLine="440" w:firstLineChars="200"/>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11.2.5评标标准相应的商务技术资料；</w:t>
      </w:r>
    </w:p>
    <w:p w14:paraId="669609AA">
      <w:pPr>
        <w:autoSpaceDE w:val="0"/>
        <w:autoSpaceDN w:val="0"/>
        <w:spacing w:line="360" w:lineRule="auto"/>
        <w:ind w:firstLine="440" w:firstLineChars="200"/>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11.2.6投标标的清单；</w:t>
      </w:r>
    </w:p>
    <w:p w14:paraId="250749CC">
      <w:pPr>
        <w:autoSpaceDE w:val="0"/>
        <w:autoSpaceDN w:val="0"/>
        <w:spacing w:line="360" w:lineRule="auto"/>
        <w:ind w:firstLine="440" w:firstLineChars="200"/>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11.2.</w:t>
      </w:r>
      <w:r>
        <w:rPr>
          <w:rFonts w:hint="eastAsia" w:ascii="宋体" w:hAnsi="宋体" w:eastAsia="宋体" w:cs="宋体"/>
          <w:color w:val="auto"/>
          <w:kern w:val="0"/>
          <w:sz w:val="22"/>
          <w:szCs w:val="22"/>
          <w:highlight w:val="none"/>
        </w:rPr>
        <w:t>7</w:t>
      </w:r>
      <w:r>
        <w:rPr>
          <w:rFonts w:hint="eastAsia" w:ascii="宋体" w:hAnsi="宋体" w:eastAsia="宋体" w:cs="宋体"/>
          <w:color w:val="auto"/>
          <w:kern w:val="0"/>
          <w:sz w:val="22"/>
          <w:szCs w:val="22"/>
          <w:highlight w:val="none"/>
          <w:lang w:val="zh-CN"/>
        </w:rPr>
        <w:t>商务技术偏离表；</w:t>
      </w:r>
    </w:p>
    <w:p w14:paraId="6D3C02A5">
      <w:pPr>
        <w:autoSpaceDE w:val="0"/>
        <w:autoSpaceDN w:val="0"/>
        <w:spacing w:line="360" w:lineRule="auto"/>
        <w:ind w:firstLine="440" w:firstLineChars="200"/>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11.2.</w:t>
      </w:r>
      <w:r>
        <w:rPr>
          <w:rFonts w:hint="eastAsia" w:ascii="宋体" w:hAnsi="宋体" w:eastAsia="宋体" w:cs="宋体"/>
          <w:color w:val="auto"/>
          <w:kern w:val="0"/>
          <w:sz w:val="22"/>
          <w:szCs w:val="22"/>
          <w:highlight w:val="none"/>
        </w:rPr>
        <w:t>8</w:t>
      </w:r>
      <w:r>
        <w:rPr>
          <w:rFonts w:hint="eastAsia" w:ascii="宋体" w:hAnsi="宋体" w:eastAsia="宋体" w:cs="宋体"/>
          <w:color w:val="auto"/>
          <w:kern w:val="0"/>
          <w:sz w:val="22"/>
          <w:szCs w:val="22"/>
          <w:highlight w:val="none"/>
          <w:lang w:val="zh-CN"/>
        </w:rPr>
        <w:t>政府采购供应商廉洁自律承诺书；</w:t>
      </w:r>
    </w:p>
    <w:p w14:paraId="51429C76">
      <w:pPr>
        <w:spacing w:line="360" w:lineRule="auto"/>
        <w:ind w:firstLine="221" w:firstLineChars="100"/>
        <w:rPr>
          <w:rFonts w:hint="eastAsia" w:ascii="宋体" w:hAnsi="宋体" w:eastAsia="宋体" w:cs="宋体"/>
          <w:color w:val="auto"/>
          <w:sz w:val="22"/>
          <w:szCs w:val="22"/>
          <w:highlight w:val="none"/>
          <w:u w:val="single"/>
          <w:lang w:val="zh-CN"/>
        </w:rPr>
      </w:pPr>
      <w:r>
        <w:rPr>
          <w:rFonts w:hint="eastAsia" w:ascii="宋体" w:hAnsi="宋体" w:eastAsia="宋体" w:cs="宋体"/>
          <w:b/>
          <w:bCs/>
          <w:color w:val="auto"/>
          <w:kern w:val="0"/>
          <w:sz w:val="22"/>
          <w:szCs w:val="22"/>
          <w:highlight w:val="none"/>
          <w:lang w:val="zh-CN"/>
        </w:rPr>
        <w:t>11.</w:t>
      </w:r>
      <w:r>
        <w:rPr>
          <w:rFonts w:hint="eastAsia" w:ascii="宋体" w:hAnsi="宋体" w:eastAsia="宋体" w:cs="宋体"/>
          <w:b/>
          <w:bCs/>
          <w:color w:val="auto"/>
          <w:kern w:val="0"/>
          <w:sz w:val="22"/>
          <w:szCs w:val="22"/>
          <w:highlight w:val="none"/>
        </w:rPr>
        <w:t>3</w:t>
      </w:r>
      <w:r>
        <w:rPr>
          <w:rFonts w:hint="eastAsia" w:ascii="宋体" w:hAnsi="宋体" w:eastAsia="宋体" w:cs="宋体"/>
          <w:b/>
          <w:bCs/>
          <w:color w:val="auto"/>
          <w:sz w:val="22"/>
          <w:szCs w:val="22"/>
          <w:highlight w:val="none"/>
        </w:rPr>
        <w:t>报价</w:t>
      </w:r>
      <w:r>
        <w:rPr>
          <w:rFonts w:hint="eastAsia" w:ascii="宋体" w:hAnsi="宋体" w:eastAsia="宋体" w:cs="宋体"/>
          <w:b/>
          <w:color w:val="auto"/>
          <w:sz w:val="22"/>
          <w:szCs w:val="22"/>
          <w:highlight w:val="none"/>
        </w:rPr>
        <w:t>文件：</w:t>
      </w:r>
    </w:p>
    <w:p w14:paraId="390B191E">
      <w:pPr>
        <w:autoSpaceDE w:val="0"/>
        <w:autoSpaceDN w:val="0"/>
        <w:spacing w:line="360" w:lineRule="auto"/>
        <w:ind w:firstLine="440" w:firstLineChars="200"/>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11.3.1开标一览表（报价表）；</w:t>
      </w:r>
    </w:p>
    <w:p w14:paraId="50EEE33B">
      <w:pPr>
        <w:autoSpaceDE w:val="0"/>
        <w:autoSpaceDN w:val="0"/>
        <w:spacing w:line="360" w:lineRule="auto"/>
        <w:ind w:firstLine="440" w:firstLineChars="200"/>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11.3.2报价情况说明（如有）；</w:t>
      </w:r>
    </w:p>
    <w:p w14:paraId="4A300D38">
      <w:pPr>
        <w:autoSpaceDE w:val="0"/>
        <w:autoSpaceDN w:val="0"/>
        <w:spacing w:line="360" w:lineRule="auto"/>
        <w:ind w:firstLine="440" w:firstLineChars="200"/>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11.3.</w:t>
      </w:r>
      <w:r>
        <w:rPr>
          <w:rFonts w:hint="eastAsia" w:ascii="宋体" w:hAnsi="宋体" w:eastAsia="宋体" w:cs="宋体"/>
          <w:color w:val="auto"/>
          <w:kern w:val="0"/>
          <w:sz w:val="22"/>
          <w:szCs w:val="22"/>
          <w:highlight w:val="none"/>
        </w:rPr>
        <w:t>3</w:t>
      </w:r>
      <w:r>
        <w:rPr>
          <w:rFonts w:hint="eastAsia" w:ascii="宋体" w:hAnsi="宋体" w:eastAsia="宋体" w:cs="宋体"/>
          <w:color w:val="auto"/>
          <w:kern w:val="0"/>
          <w:sz w:val="22"/>
          <w:szCs w:val="22"/>
          <w:highlight w:val="none"/>
          <w:lang w:val="zh-CN"/>
        </w:rPr>
        <w:t>中小企业声明函。</w:t>
      </w:r>
    </w:p>
    <w:p w14:paraId="6B6CCFEC">
      <w:pPr>
        <w:spacing w:line="360" w:lineRule="auto"/>
        <w:ind w:firstLine="221" w:firstLineChars="1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投标文件含有采购人不能接受的附加条件的，投标无效；</w:t>
      </w:r>
    </w:p>
    <w:p w14:paraId="7A005B14">
      <w:pPr>
        <w:spacing w:line="360" w:lineRule="auto"/>
        <w:ind w:firstLine="221" w:firstLineChars="1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投标人提供虚假材料投标的，投标无效。</w:t>
      </w:r>
    </w:p>
    <w:p w14:paraId="3F99AACA">
      <w:pPr>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12、投标文件的编制</w:t>
      </w:r>
    </w:p>
    <w:p w14:paraId="4203FDB1">
      <w:pPr>
        <w:spacing w:line="360" w:lineRule="auto"/>
        <w:ind w:firstLine="220" w:firstLineChars="100"/>
        <w:rPr>
          <w:rFonts w:hint="eastAsia" w:ascii="宋体" w:hAnsi="宋体" w:eastAsia="宋体" w:cs="宋体"/>
          <w:b/>
          <w:color w:val="auto"/>
          <w:sz w:val="22"/>
          <w:szCs w:val="22"/>
          <w:highlight w:val="none"/>
        </w:rPr>
      </w:pPr>
      <w:r>
        <w:rPr>
          <w:rFonts w:hint="eastAsia" w:ascii="宋体" w:hAnsi="宋体" w:eastAsia="宋体" w:cs="宋体"/>
          <w:color w:val="auto"/>
          <w:kern w:val="0"/>
          <w:sz w:val="22"/>
          <w:szCs w:val="22"/>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D470106">
      <w:pPr>
        <w:spacing w:line="360" w:lineRule="auto"/>
        <w:ind w:firstLine="220" w:firstLineChars="100"/>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12.2投标人进行电子</w:t>
      </w:r>
      <w:r>
        <w:rPr>
          <w:rFonts w:hint="eastAsia" w:ascii="宋体" w:hAnsi="宋体" w:eastAsia="宋体" w:cs="宋体"/>
          <w:color w:val="auto"/>
          <w:sz w:val="22"/>
          <w:szCs w:val="22"/>
          <w:highlight w:val="none"/>
          <w:lang w:val="zh-CN"/>
        </w:rPr>
        <w:t>投标</w:t>
      </w:r>
      <w:r>
        <w:rPr>
          <w:rFonts w:hint="eastAsia" w:ascii="宋体" w:hAnsi="宋体" w:eastAsia="宋体" w:cs="宋体"/>
          <w:color w:val="auto"/>
          <w:kern w:val="0"/>
          <w:sz w:val="22"/>
          <w:szCs w:val="22"/>
          <w:highlight w:val="none"/>
          <w:lang w:val="zh-CN"/>
        </w:rPr>
        <w:t>应安装客户端软件—“政采云电子交易客户端”，并按照招标文件和电子交易平台的要求编制并加密投标文件。投标人未按规定加密的投标文件，电子交易平台将拒收并提示。</w:t>
      </w:r>
    </w:p>
    <w:p w14:paraId="12A18EF7">
      <w:pPr>
        <w:spacing w:line="360" w:lineRule="auto"/>
        <w:ind w:firstLine="220" w:firstLineChars="100"/>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12.3使用“政采云电子交易客户端”需要提前申领CA数字证书，申领流程请自行前往“浙江政府采购网-下载专区-电子交易客户端-CA驱动和申领流程”进行查阅。</w:t>
      </w:r>
    </w:p>
    <w:p w14:paraId="32AC9E3C">
      <w:pPr>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13、投标文件的签署、盖章</w:t>
      </w:r>
    </w:p>
    <w:p w14:paraId="5D25A416">
      <w:pPr>
        <w:spacing w:line="360" w:lineRule="auto"/>
        <w:ind w:firstLine="220" w:firstLineChars="100"/>
        <w:rPr>
          <w:rFonts w:hint="eastAsia" w:ascii="宋体" w:hAnsi="宋体" w:eastAsia="宋体" w:cs="宋体"/>
          <w:b/>
          <w:color w:val="auto"/>
          <w:sz w:val="22"/>
          <w:szCs w:val="22"/>
          <w:highlight w:val="none"/>
          <w:u w:val="single"/>
        </w:rPr>
      </w:pPr>
      <w:r>
        <w:rPr>
          <w:rFonts w:hint="eastAsia" w:ascii="宋体" w:hAnsi="宋体" w:eastAsia="宋体" w:cs="宋体"/>
          <w:color w:val="auto"/>
          <w:sz w:val="22"/>
          <w:szCs w:val="22"/>
          <w:highlight w:val="none"/>
        </w:rPr>
        <w:t>13.1投标文件按照招标文件第六部分格式要求进行签署、盖章。</w:t>
      </w:r>
      <w:r>
        <w:rPr>
          <w:rFonts w:hint="eastAsia" w:ascii="宋体" w:hAnsi="宋体" w:eastAsia="宋体" w:cs="宋体"/>
          <w:b/>
          <w:color w:val="auto"/>
          <w:sz w:val="22"/>
          <w:szCs w:val="22"/>
          <w:highlight w:val="none"/>
          <w:u w:val="single"/>
        </w:rPr>
        <w:t>▲投标人的投标文件未按照招标文件要求签署、盖章的，其投标无效</w:t>
      </w:r>
      <w:r>
        <w:rPr>
          <w:rFonts w:hint="eastAsia" w:ascii="宋体" w:hAnsi="宋体" w:eastAsia="宋体" w:cs="宋体"/>
          <w:color w:val="auto"/>
          <w:sz w:val="22"/>
          <w:szCs w:val="22"/>
          <w:highlight w:val="none"/>
          <w:u w:val="single"/>
        </w:rPr>
        <w:t>。</w:t>
      </w:r>
    </w:p>
    <w:p w14:paraId="2086DF60">
      <w:pPr>
        <w:spacing w:line="360" w:lineRule="auto"/>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13.2为确保网上操作合法、有效和安全，投标人应当在投标截止时间前完成在“政府采购云平台”的身份认证，确保在电子投标过程中能够对相关数据电文进行加密和使用电子签名。</w:t>
      </w:r>
    </w:p>
    <w:p w14:paraId="63ADE24C">
      <w:pPr>
        <w:spacing w:line="360" w:lineRule="auto"/>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13.3招标文件对投标文件签署、盖章的要求适用于电子签名。</w:t>
      </w:r>
    </w:p>
    <w:p w14:paraId="1E70DB7D">
      <w:pPr>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14、投标文件的提交、补充、修改、撤回</w:t>
      </w:r>
    </w:p>
    <w:p w14:paraId="0FC1D777">
      <w:pPr>
        <w:spacing w:line="360" w:lineRule="auto"/>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1BF7A80">
      <w:pPr>
        <w:spacing w:line="360" w:lineRule="auto"/>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14.2电子交易平台收到投标文件，将妥善保存并即时向供应商发出确认回执通知。在投标截止时间前，除供应商补充、修改或者撤回投标文件外，任何单位和个人不得解密或提取投标文件。</w:t>
      </w:r>
    </w:p>
    <w:p w14:paraId="3E397D3D">
      <w:pPr>
        <w:spacing w:line="360" w:lineRule="auto"/>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14.3采购人、采购机构可以视情况延长投标文件提交的截止时间。在上述情况下，采购机构与投标人以前在投标截止期方面的全部权利、责任和义务，将适用于延长至新的投标截止期。</w:t>
      </w:r>
    </w:p>
    <w:p w14:paraId="408CBAB4">
      <w:pPr>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15、备份投标文件</w:t>
      </w:r>
    </w:p>
    <w:p w14:paraId="47139984">
      <w:pPr>
        <w:spacing w:line="360" w:lineRule="auto"/>
        <w:ind w:firstLine="220" w:firstLineChars="10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15.1投标人在电子交易平台传输递交投标文件后，还可以在投标截止时间前直接提交或者以邮政快递方式递交备份投标文件1份，</w:t>
      </w:r>
      <w:r>
        <w:rPr>
          <w:rFonts w:hint="eastAsia" w:ascii="宋体" w:hAnsi="宋体" w:eastAsia="宋体" w:cs="宋体"/>
          <w:b/>
          <w:color w:val="auto"/>
          <w:sz w:val="22"/>
          <w:szCs w:val="22"/>
          <w:highlight w:val="none"/>
        </w:rPr>
        <w:t>但采购人、采购机构不强制或变相强制投标人提交备份投标文件。</w:t>
      </w:r>
    </w:p>
    <w:p w14:paraId="25D1270C">
      <w:pPr>
        <w:spacing w:line="360" w:lineRule="auto"/>
        <w:ind w:firstLine="220" w:firstLineChars="10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15.2备份投标文件须在“政采云投标客户端”制作生成，并储存在光盘或U盘等存储设备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2"/>
          <w:szCs w:val="22"/>
          <w:highlight w:val="none"/>
        </w:rPr>
        <w:t>不符合上述制作、存储、密封规定的备份投标文件将被视为无效或者被拒绝接收。</w:t>
      </w:r>
    </w:p>
    <w:p w14:paraId="1B41DF9A">
      <w:pPr>
        <w:spacing w:line="360" w:lineRule="auto"/>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15.3直接提交备份投标文件的，投标人应于投标截止时间前在招标公告中载明的开标地点将备份投标文件提交给采购机构，采购机构将拒绝接受逾期送达的备份投标文件。</w:t>
      </w:r>
    </w:p>
    <w:p w14:paraId="7330802F">
      <w:pPr>
        <w:pStyle w:val="34"/>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15.4以邮政快递</w:t>
      </w:r>
      <w:r>
        <w:rPr>
          <w:rFonts w:hint="eastAsia" w:ascii="宋体" w:hAnsi="宋体" w:eastAsia="宋体" w:cs="宋体"/>
          <w:snapToGrid/>
          <w:color w:val="auto"/>
          <w:sz w:val="22"/>
          <w:szCs w:val="22"/>
          <w:highlight w:val="none"/>
        </w:rPr>
        <w:t>方</w:t>
      </w:r>
      <w:r>
        <w:rPr>
          <w:rFonts w:hint="eastAsia" w:ascii="宋体" w:hAnsi="宋体" w:eastAsia="宋体" w:cs="宋体"/>
          <w:color w:val="auto"/>
          <w:sz w:val="22"/>
          <w:szCs w:val="22"/>
          <w:highlight w:val="none"/>
        </w:rPr>
        <w:t>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2"/>
          <w:szCs w:val="22"/>
          <w:highlight w:val="none"/>
        </w:rPr>
        <w:t>招标文件第二部分投标人须知前附表规定的备份投标文件送达地点；</w:t>
      </w:r>
      <w:r>
        <w:rPr>
          <w:rFonts w:hint="eastAsia" w:ascii="宋体" w:hAnsi="宋体" w:eastAsia="宋体" w:cs="宋体"/>
          <w:color w:val="auto"/>
          <w:sz w:val="22"/>
          <w:szCs w:val="22"/>
          <w:highlight w:val="none"/>
        </w:rPr>
        <w:t>送达时间以签收人签收时间为准。采购机构将拒绝接受逾期送达的备份投标文件。邮寄过程中，电子备份投标文件发生泄露、遗失、损坏或延期送达等情况的，由投标人自行负责。</w:t>
      </w:r>
    </w:p>
    <w:p w14:paraId="1D6DC7C0">
      <w:pPr>
        <w:pStyle w:val="34"/>
        <w:spacing w:line="360" w:lineRule="auto"/>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15.5投标人仅提交备份投标文件，未在电子交易平台传输递交投标文件的，投标无效。</w:t>
      </w:r>
    </w:p>
    <w:p w14:paraId="2D0B7CD5">
      <w:pPr>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16、投标文件的无效处理</w:t>
      </w:r>
    </w:p>
    <w:p w14:paraId="35E1D4A3">
      <w:pPr>
        <w:pStyle w:val="34"/>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有招标文件第四部分4.2规定的情形之一的，投标无效：</w:t>
      </w:r>
    </w:p>
    <w:p w14:paraId="3AC57884">
      <w:pPr>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17、投标有效期</w:t>
      </w:r>
    </w:p>
    <w:p w14:paraId="685535B9">
      <w:pPr>
        <w:pStyle w:val="34"/>
        <w:spacing w:line="360" w:lineRule="auto"/>
        <w:ind w:firstLine="440" w:firstLineChars="200"/>
        <w:rPr>
          <w:rFonts w:hint="eastAsia" w:ascii="宋体" w:hAnsi="宋体" w:eastAsia="宋体" w:cs="宋体"/>
          <w:b/>
          <w:color w:val="auto"/>
          <w:sz w:val="22"/>
          <w:szCs w:val="22"/>
          <w:highlight w:val="none"/>
          <w:u w:val="single"/>
        </w:rPr>
      </w:pPr>
      <w:r>
        <w:rPr>
          <w:rFonts w:hint="eastAsia" w:ascii="宋体" w:hAnsi="宋体" w:eastAsia="宋体" w:cs="宋体"/>
          <w:color w:val="auto"/>
          <w:sz w:val="22"/>
          <w:szCs w:val="22"/>
          <w:highlight w:val="none"/>
        </w:rPr>
        <w:t>17.1投标有效期为从提交投标文件的截止之日起90天。</w:t>
      </w:r>
      <w:r>
        <w:rPr>
          <w:rFonts w:hint="eastAsia" w:ascii="宋体" w:hAnsi="宋体" w:eastAsia="宋体" w:cs="宋体"/>
          <w:color w:val="auto"/>
          <w:sz w:val="22"/>
          <w:szCs w:val="22"/>
          <w:highlight w:val="none"/>
          <w:u w:val="single"/>
        </w:rPr>
        <w:t>▲</w:t>
      </w:r>
      <w:r>
        <w:rPr>
          <w:rFonts w:hint="eastAsia" w:ascii="宋体" w:hAnsi="宋体" w:eastAsia="宋体" w:cs="宋体"/>
          <w:b/>
          <w:color w:val="auto"/>
          <w:sz w:val="22"/>
          <w:szCs w:val="22"/>
          <w:highlight w:val="none"/>
          <w:u w:val="single"/>
        </w:rPr>
        <w:t>投标人的投标文件中承诺的投标有效期少于招标文件中载明的投标有效期的，投标无效。</w:t>
      </w:r>
    </w:p>
    <w:p w14:paraId="52F2EAFB">
      <w:pPr>
        <w:pStyle w:val="34"/>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17.2投标文件合格投递后，自投标截止日期起，在投标有效期内有效。</w:t>
      </w:r>
    </w:p>
    <w:p w14:paraId="0BC6D26A">
      <w:pPr>
        <w:pStyle w:val="34"/>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71D36CB0">
      <w:pPr>
        <w:adjustRightInd/>
        <w:spacing w:line="360" w:lineRule="auto"/>
        <w:jc w:val="center"/>
        <w:outlineLvl w:val="0"/>
        <w:rPr>
          <w:rFonts w:hint="eastAsia" w:ascii="宋体" w:hAnsi="宋体" w:eastAsia="宋体" w:cs="宋体"/>
          <w:b/>
          <w:color w:val="auto"/>
          <w:sz w:val="32"/>
          <w:szCs w:val="20"/>
          <w:highlight w:val="none"/>
        </w:rPr>
      </w:pPr>
      <w:bookmarkStart w:id="37" w:name="_Toc20450"/>
      <w:bookmarkStart w:id="38" w:name="_Toc129952502"/>
      <w:bookmarkStart w:id="39" w:name="_Toc129952705"/>
      <w:r>
        <w:rPr>
          <w:rFonts w:hint="eastAsia" w:ascii="宋体" w:hAnsi="宋体" w:eastAsia="宋体" w:cs="宋体"/>
          <w:b/>
          <w:color w:val="auto"/>
          <w:sz w:val="32"/>
          <w:szCs w:val="20"/>
          <w:highlight w:val="none"/>
        </w:rPr>
        <w:t>四、开标、资格审查与信用信息查询</w:t>
      </w:r>
      <w:bookmarkEnd w:id="37"/>
      <w:bookmarkEnd w:id="38"/>
      <w:bookmarkEnd w:id="39"/>
    </w:p>
    <w:p w14:paraId="77188858">
      <w:pPr>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18、开标</w:t>
      </w:r>
    </w:p>
    <w:p w14:paraId="49B8B733">
      <w:pPr>
        <w:pStyle w:val="34"/>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18.1采购机构按照招标文件规定的时间通过电子交易平台组织开标，所有投标人均应当准时在线参加。投标人不足3家的，不得开标。</w:t>
      </w:r>
    </w:p>
    <w:p w14:paraId="6F5B9473">
      <w:pPr>
        <w:pStyle w:val="34"/>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18.2开标时，电子交易平台按开标时间自动提取所有投标文件。采购机构依托电子交易平台发起开始解密指令，投标人按照平台提示和招标文件的规定在半小时内完成在线解密。</w:t>
      </w:r>
    </w:p>
    <w:p w14:paraId="06BC3EDC">
      <w:pPr>
        <w:pStyle w:val="34"/>
        <w:spacing w:line="360" w:lineRule="auto"/>
        <w:ind w:firstLine="440" w:firstLineChars="20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18.3</w:t>
      </w:r>
      <w:r>
        <w:rPr>
          <w:rFonts w:hint="eastAsia" w:ascii="宋体" w:hAnsi="宋体" w:eastAsia="宋体" w:cs="宋体"/>
          <w:b/>
          <w:color w:val="auto"/>
          <w:sz w:val="22"/>
          <w:szCs w:val="22"/>
          <w:highlight w:val="none"/>
        </w:rPr>
        <w:t>投标文件未按时解密，投标人提供了备份投标文件的，以备份投标文件作为依据，否则视为投标文件撤回。投标文件已按时解密的，备份投标文件自动失效。</w:t>
      </w:r>
    </w:p>
    <w:p w14:paraId="734FA8C1">
      <w:pPr>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19、资格审查</w:t>
      </w:r>
    </w:p>
    <w:p w14:paraId="2903B55A">
      <w:pPr>
        <w:pStyle w:val="34"/>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19.1采购人或采购代理机构依据法律法规和招标文件的规定，对投标人的资格进行审查。</w:t>
      </w:r>
    </w:p>
    <w:p w14:paraId="24E25E03">
      <w:pPr>
        <w:pStyle w:val="34"/>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19.2投标人未按照招标文件要求提供与资格条件相应的有效资格证明材料的，视为投标人不具备招标文件中规定的资格要求，其投标无效。</w:t>
      </w:r>
    </w:p>
    <w:p w14:paraId="66BFC9E4">
      <w:pPr>
        <w:pStyle w:val="34"/>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19.3对未通过资格审查的投标人，采购人或采购代理机构告知其未通过的原因。</w:t>
      </w:r>
    </w:p>
    <w:p w14:paraId="30BB6BBE">
      <w:pPr>
        <w:pStyle w:val="34"/>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19.4合格投标人不足3家的，不再评标。</w:t>
      </w:r>
    </w:p>
    <w:p w14:paraId="686EF314">
      <w:pPr>
        <w:pStyle w:val="34"/>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2D6F1561">
      <w:pPr>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20、信用信息查询</w:t>
      </w:r>
    </w:p>
    <w:p w14:paraId="388F0486">
      <w:pPr>
        <w:pStyle w:val="34"/>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20.1信用信息查询</w:t>
      </w:r>
      <w:r>
        <w:rPr>
          <w:rFonts w:hint="eastAsia" w:ascii="宋体" w:hAnsi="宋体" w:eastAsia="宋体" w:cs="宋体"/>
          <w:color w:val="auto"/>
          <w:sz w:val="22"/>
          <w:szCs w:val="22"/>
          <w:highlight w:val="none"/>
        </w:rPr>
        <w:t>渠道</w:t>
      </w:r>
      <w:r>
        <w:rPr>
          <w:rFonts w:hint="eastAsia" w:ascii="宋体" w:hAnsi="宋体" w:eastAsia="宋体" w:cs="宋体"/>
          <w:color w:val="auto"/>
          <w:kern w:val="0"/>
          <w:sz w:val="22"/>
          <w:szCs w:val="22"/>
          <w:highlight w:val="none"/>
        </w:rPr>
        <w:t>及截止时间：采购机构将在资格审查时通过“信用中国”网站（www.creditchina.gov.cn）、中国政府采购网（www.ccgp.gov.cn）渠道查询投标人接受资格时的信用记录。</w:t>
      </w:r>
    </w:p>
    <w:p w14:paraId="0E36A471">
      <w:pPr>
        <w:pStyle w:val="34"/>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20.2信</w:t>
      </w:r>
      <w:r>
        <w:rPr>
          <w:rFonts w:hint="eastAsia" w:ascii="宋体" w:hAnsi="宋体" w:eastAsia="宋体" w:cs="宋体"/>
          <w:color w:val="auto"/>
          <w:sz w:val="22"/>
          <w:szCs w:val="22"/>
          <w:highlight w:val="none"/>
        </w:rPr>
        <w:t>用信息查询记录和证据留存的具体方式：现场查询的投标人的信用记录、查询结果经确认后将与采购文件一起存档。</w:t>
      </w:r>
    </w:p>
    <w:p w14:paraId="3561FBDA">
      <w:pPr>
        <w:pStyle w:val="34"/>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20.3信用信息的使用规则：经查询列入失信被执行人名单、重大税收违法案件当事人名单、政府采购严重违法失信行为记录名单的投标人将被拒绝参与政府采购活动。</w:t>
      </w:r>
    </w:p>
    <w:p w14:paraId="212D6051">
      <w:pPr>
        <w:pStyle w:val="34"/>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20.4联合体信用信息查询：两个以上的自然人、法人或者其他组织组成一个联合体，以一个供应商的身份共同参加</w:t>
      </w:r>
      <w:r>
        <w:rPr>
          <w:rFonts w:hint="eastAsia" w:ascii="宋体" w:hAnsi="宋体" w:eastAsia="宋体" w:cs="宋体"/>
          <w:color w:val="auto"/>
          <w:kern w:val="0"/>
          <w:sz w:val="22"/>
          <w:szCs w:val="22"/>
          <w:highlight w:val="none"/>
        </w:rPr>
        <w:t>政府采购活动的，应当对所有联合体成员进行信用记录查询，联合体成员存在不良信用记录的，视同联合体存在不良信用记录</w:t>
      </w:r>
      <w:r>
        <w:rPr>
          <w:rFonts w:hint="eastAsia" w:ascii="宋体" w:hAnsi="宋体" w:eastAsia="宋体" w:cs="宋体"/>
          <w:color w:val="auto"/>
          <w:sz w:val="22"/>
          <w:szCs w:val="22"/>
          <w:highlight w:val="none"/>
        </w:rPr>
        <w:t>。</w:t>
      </w:r>
    </w:p>
    <w:p w14:paraId="4704CB0B">
      <w:pPr>
        <w:adjustRightInd/>
        <w:spacing w:line="360" w:lineRule="auto"/>
        <w:jc w:val="center"/>
        <w:outlineLvl w:val="0"/>
        <w:rPr>
          <w:rFonts w:hint="eastAsia" w:ascii="宋体" w:hAnsi="宋体" w:eastAsia="宋体" w:cs="宋体"/>
          <w:b/>
          <w:color w:val="auto"/>
          <w:sz w:val="32"/>
          <w:szCs w:val="20"/>
          <w:highlight w:val="none"/>
        </w:rPr>
      </w:pPr>
      <w:bookmarkStart w:id="40" w:name="_Toc129952503"/>
      <w:bookmarkStart w:id="41" w:name="_Toc9300"/>
      <w:bookmarkStart w:id="42" w:name="_Toc129952706"/>
      <w:r>
        <w:rPr>
          <w:rFonts w:hint="eastAsia" w:ascii="宋体" w:hAnsi="宋体" w:eastAsia="宋体" w:cs="宋体"/>
          <w:b/>
          <w:color w:val="auto"/>
          <w:sz w:val="32"/>
          <w:szCs w:val="20"/>
          <w:highlight w:val="none"/>
        </w:rPr>
        <w:t>五、评标</w:t>
      </w:r>
      <w:bookmarkEnd w:id="40"/>
      <w:bookmarkEnd w:id="41"/>
      <w:bookmarkEnd w:id="42"/>
    </w:p>
    <w:p w14:paraId="2E67CA2A">
      <w:pPr>
        <w:spacing w:line="360" w:lineRule="auto"/>
        <w:rPr>
          <w:rFonts w:hint="eastAsia" w:ascii="宋体" w:hAnsi="宋体" w:eastAsia="宋体" w:cs="宋体"/>
          <w:b/>
          <w:color w:val="auto"/>
          <w:sz w:val="24"/>
          <w:highlight w:val="none"/>
        </w:rPr>
      </w:pPr>
      <w:bookmarkStart w:id="43" w:name="_Toc91899903"/>
      <w:r>
        <w:rPr>
          <w:rFonts w:hint="eastAsia" w:ascii="宋体" w:hAnsi="宋体" w:eastAsia="宋体" w:cs="宋体"/>
          <w:b/>
          <w:color w:val="auto"/>
          <w:sz w:val="22"/>
          <w:szCs w:val="22"/>
          <w:highlight w:val="none"/>
        </w:rPr>
        <w:t>21、</w:t>
      </w:r>
      <w:r>
        <w:rPr>
          <w:rFonts w:hint="eastAsia" w:ascii="宋体" w:hAnsi="宋体" w:eastAsia="宋体" w:cs="宋体"/>
          <w:color w:val="auto"/>
          <w:sz w:val="22"/>
          <w:szCs w:val="22"/>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2"/>
          <w:szCs w:val="22"/>
          <w:highlight w:val="none"/>
        </w:rPr>
        <w:t>详见招标文件第四部分评标办法。</w:t>
      </w:r>
    </w:p>
    <w:p w14:paraId="2403493D">
      <w:pPr>
        <w:adjustRightInd/>
        <w:spacing w:line="360" w:lineRule="auto"/>
        <w:jc w:val="center"/>
        <w:outlineLvl w:val="0"/>
        <w:rPr>
          <w:rFonts w:hint="eastAsia" w:ascii="宋体" w:hAnsi="宋体" w:eastAsia="宋体" w:cs="宋体"/>
          <w:b/>
          <w:color w:val="auto"/>
          <w:sz w:val="32"/>
          <w:szCs w:val="20"/>
          <w:highlight w:val="none"/>
        </w:rPr>
      </w:pPr>
      <w:bookmarkStart w:id="44" w:name="_Toc129952504"/>
      <w:bookmarkStart w:id="45" w:name="_Toc15966"/>
      <w:bookmarkStart w:id="46" w:name="_Toc129952707"/>
      <w:r>
        <w:rPr>
          <w:rFonts w:hint="eastAsia" w:ascii="宋体" w:hAnsi="宋体" w:eastAsia="宋体" w:cs="宋体"/>
          <w:b/>
          <w:color w:val="auto"/>
          <w:sz w:val="32"/>
          <w:szCs w:val="20"/>
          <w:highlight w:val="none"/>
        </w:rPr>
        <w:t>六、定 标</w:t>
      </w:r>
      <w:bookmarkEnd w:id="44"/>
      <w:bookmarkEnd w:id="45"/>
      <w:bookmarkEnd w:id="46"/>
    </w:p>
    <w:p w14:paraId="0B77E6BA">
      <w:pPr>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22、确定中标供应商</w:t>
      </w:r>
    </w:p>
    <w:p w14:paraId="43348D16">
      <w:pPr>
        <w:pStyle w:val="34"/>
        <w:spacing w:line="360" w:lineRule="auto"/>
        <w:ind w:firstLine="440" w:firstLineChars="20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6EE638A">
      <w:pPr>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23、中标通知与中标结果公告</w:t>
      </w:r>
    </w:p>
    <w:p w14:paraId="790C6282">
      <w:pPr>
        <w:pStyle w:val="34"/>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23.1自中标人确定之日起2个工作日内，采购机构通过电子交易平台向中标人发出中标通知书，同时编制发布采购结果公告。采购机构也可以以纸质形式进行中标通知。</w:t>
      </w:r>
    </w:p>
    <w:p w14:paraId="6FD5C732">
      <w:pPr>
        <w:pStyle w:val="34"/>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47" w:name="_Hlk101184471"/>
      <w:r>
        <w:rPr>
          <w:rFonts w:hint="eastAsia" w:ascii="宋体" w:hAnsi="宋体" w:eastAsia="宋体" w:cs="宋体"/>
          <w:color w:val="auto"/>
          <w:sz w:val="22"/>
          <w:szCs w:val="22"/>
          <w:highlight w:val="none"/>
        </w:rPr>
        <w:t>资格审查情况、评审专家抽取规则、符合性审查情况、</w:t>
      </w:r>
      <w:bookmarkEnd w:id="47"/>
      <w:r>
        <w:rPr>
          <w:rFonts w:hint="eastAsia" w:ascii="宋体" w:hAnsi="宋体" w:eastAsia="宋体" w:cs="宋体"/>
          <w:color w:val="auto"/>
          <w:sz w:val="22"/>
          <w:szCs w:val="22"/>
          <w:highlight w:val="none"/>
        </w:rPr>
        <w:t>未中标情况说明、中标公告期限以及评审专家名单、评分汇总及明细。</w:t>
      </w:r>
    </w:p>
    <w:p w14:paraId="151012CE">
      <w:pPr>
        <w:pStyle w:val="34"/>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23.3公告期限为1个工作日。</w:t>
      </w:r>
    </w:p>
    <w:p w14:paraId="4753FEC4">
      <w:pPr>
        <w:pStyle w:val="34"/>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23.4由于中标、成交供应商原因导致重新采购的，应当承担支付代理费和专家评审费等费用在内的赔偿责任。</w:t>
      </w:r>
    </w:p>
    <w:p w14:paraId="0B3AFC7A">
      <w:pPr>
        <w:adjustRightInd/>
        <w:spacing w:line="360" w:lineRule="auto"/>
        <w:jc w:val="center"/>
        <w:outlineLvl w:val="0"/>
        <w:rPr>
          <w:rFonts w:hint="eastAsia" w:ascii="宋体" w:hAnsi="宋体" w:eastAsia="宋体" w:cs="宋体"/>
          <w:b/>
          <w:color w:val="auto"/>
          <w:sz w:val="32"/>
          <w:szCs w:val="20"/>
          <w:highlight w:val="none"/>
        </w:rPr>
      </w:pPr>
      <w:bookmarkStart w:id="48" w:name="_Toc129952708"/>
      <w:bookmarkStart w:id="49" w:name="_Toc129952505"/>
      <w:bookmarkStart w:id="50" w:name="_Toc29520"/>
      <w:r>
        <w:rPr>
          <w:rFonts w:hint="eastAsia" w:ascii="宋体" w:hAnsi="宋体" w:eastAsia="宋体" w:cs="宋体"/>
          <w:b/>
          <w:color w:val="auto"/>
          <w:sz w:val="32"/>
          <w:szCs w:val="20"/>
          <w:highlight w:val="none"/>
        </w:rPr>
        <w:t>七、合同授予</w:t>
      </w:r>
      <w:bookmarkEnd w:id="48"/>
      <w:bookmarkEnd w:id="49"/>
      <w:bookmarkEnd w:id="50"/>
    </w:p>
    <w:p w14:paraId="20D2EED7">
      <w:pPr>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24、合同主要条款详见第五部分拟签订的合同文本。</w:t>
      </w:r>
    </w:p>
    <w:p w14:paraId="3FE2C799">
      <w:pPr>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25、合同的签订</w:t>
      </w:r>
    </w:p>
    <w:p w14:paraId="259BE806">
      <w:pPr>
        <w:pStyle w:val="34"/>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25.1</w:t>
      </w: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sz w:val="22"/>
          <w:szCs w:val="22"/>
          <w:highlight w:val="none"/>
        </w:rPr>
        <w:t>采购</w:t>
      </w:r>
      <w:r>
        <w:rPr>
          <w:rFonts w:hint="eastAsia" w:ascii="宋体" w:hAnsi="宋体" w:eastAsia="宋体" w:cs="宋体"/>
          <w:color w:val="auto"/>
          <w:kern w:val="0"/>
          <w:sz w:val="22"/>
          <w:szCs w:val="22"/>
          <w:highlight w:val="none"/>
        </w:rPr>
        <w:t>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F098F8D">
      <w:pPr>
        <w:pStyle w:val="34"/>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zh-CN"/>
        </w:rPr>
        <w:t>25.2中标人按规</w:t>
      </w:r>
      <w:r>
        <w:rPr>
          <w:rFonts w:hint="eastAsia" w:ascii="宋体" w:hAnsi="宋体" w:eastAsia="宋体" w:cs="宋体"/>
          <w:color w:val="auto"/>
          <w:sz w:val="22"/>
          <w:szCs w:val="22"/>
          <w:highlight w:val="none"/>
          <w:lang w:val="zh-CN"/>
        </w:rPr>
        <w:t>定的日期、时间、地点，由法定代表人或其授权代表与采购人代表签订合同。如中标人为联合体的，由联合体成员各方法定代表人或其授权代表与采购人代表签订合同。</w:t>
      </w:r>
    </w:p>
    <w:p w14:paraId="58F71041">
      <w:pPr>
        <w:pStyle w:val="34"/>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25.3如签订合同并生效后，供应商无故拒绝或延期，除按照合同条款处理外，列入不良行为记录一次，并给予通报。</w:t>
      </w:r>
    </w:p>
    <w:p w14:paraId="4F55E281">
      <w:pPr>
        <w:pStyle w:val="34"/>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25.4中标供应商拒绝与采购人签订合同的，采购人可以按照评审报告推荐的中标或者成交候选人名单排序，确定下一候选人为中标供应商，也可以重新开展政府采购活动。</w:t>
      </w:r>
    </w:p>
    <w:p w14:paraId="538E212C">
      <w:pPr>
        <w:pStyle w:val="34"/>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25.5采购合同由采购人与中标供应商根据招标文件、投标文件等内容通过政府采购电子交易平台在线签订，自动备案。</w:t>
      </w:r>
    </w:p>
    <w:p w14:paraId="52129071">
      <w:pPr>
        <w:pStyle w:val="34"/>
        <w:spacing w:line="360" w:lineRule="auto"/>
        <w:rPr>
          <w:rFonts w:hint="eastAsia" w:ascii="宋体" w:hAnsi="宋体" w:eastAsia="宋体" w:cs="宋体"/>
          <w:b/>
          <w:snapToGrid/>
          <w:color w:val="auto"/>
          <w:sz w:val="22"/>
          <w:szCs w:val="22"/>
          <w:highlight w:val="none"/>
        </w:rPr>
      </w:pPr>
      <w:r>
        <w:rPr>
          <w:rFonts w:hint="eastAsia" w:ascii="宋体" w:hAnsi="宋体" w:eastAsia="宋体" w:cs="宋体"/>
          <w:b/>
          <w:snapToGrid/>
          <w:color w:val="auto"/>
          <w:sz w:val="22"/>
          <w:szCs w:val="22"/>
          <w:highlight w:val="none"/>
        </w:rPr>
        <w:t>26、履约保证金</w:t>
      </w:r>
    </w:p>
    <w:p w14:paraId="10FAC18B">
      <w:pPr>
        <w:pStyle w:val="34"/>
        <w:spacing w:line="360" w:lineRule="auto"/>
        <w:ind w:firstLine="440" w:firstLineChars="200"/>
        <w:rPr>
          <w:rFonts w:hint="eastAsia" w:ascii="宋体" w:hAnsi="宋体" w:eastAsia="宋体" w:cs="宋体"/>
          <w:color w:val="auto"/>
          <w:sz w:val="22"/>
          <w:szCs w:val="22"/>
          <w:highlight w:val="none"/>
        </w:rPr>
      </w:pPr>
      <w:bookmarkStart w:id="51" w:name="_Toc129952709"/>
      <w:bookmarkStart w:id="52" w:name="_Toc129952506"/>
      <w:bookmarkStart w:id="53" w:name="_Toc12222"/>
      <w:r>
        <w:rPr>
          <w:rFonts w:hint="eastAsia" w:ascii="宋体" w:hAnsi="宋体" w:eastAsia="宋体" w:cs="宋体"/>
          <w:color w:val="auto"/>
          <w:sz w:val="22"/>
          <w:szCs w:val="22"/>
          <w:highlight w:val="none"/>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45570578">
      <w:pPr>
        <w:pStyle w:val="34"/>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5554152">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八、电子交易活动的中止</w:t>
      </w:r>
      <w:bookmarkEnd w:id="51"/>
      <w:bookmarkEnd w:id="52"/>
      <w:bookmarkEnd w:id="53"/>
    </w:p>
    <w:p w14:paraId="59A43609">
      <w:pPr>
        <w:spacing w:line="360" w:lineRule="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27、电子交易活动的中止。</w:t>
      </w:r>
      <w:r>
        <w:rPr>
          <w:rFonts w:hint="eastAsia" w:ascii="宋体" w:hAnsi="宋体" w:eastAsia="宋体" w:cs="宋体"/>
          <w:color w:val="auto"/>
          <w:sz w:val="22"/>
          <w:szCs w:val="22"/>
          <w:highlight w:val="none"/>
        </w:rPr>
        <w:t>采购过程中出现以下情形，导致电子交易平台无法正常运行，或者无法保证电子交易的公平、公正和安全时，采购机构可中止电子交易活动：</w:t>
      </w:r>
    </w:p>
    <w:p w14:paraId="26A60BD0">
      <w:pPr>
        <w:pStyle w:val="34"/>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27.1电子交易平台发生故障而无法登录访问的； </w:t>
      </w:r>
    </w:p>
    <w:p w14:paraId="3325E7B5">
      <w:pPr>
        <w:pStyle w:val="34"/>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27.2电子交易平台应用或数据库出现错误，不能进行正常操作的；</w:t>
      </w:r>
    </w:p>
    <w:p w14:paraId="58E02A02">
      <w:pPr>
        <w:pStyle w:val="34"/>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27.3电子交易平台发现严重安全漏洞，有潜在泄密危险的；</w:t>
      </w:r>
    </w:p>
    <w:p w14:paraId="1EA80A4D">
      <w:pPr>
        <w:pStyle w:val="34"/>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27.4病毒发作导致不能进行正常操作的； </w:t>
      </w:r>
    </w:p>
    <w:p w14:paraId="378CBE1F">
      <w:pPr>
        <w:pStyle w:val="34"/>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27.5其他无法保证电子交易的公平、公正和安全的情况。</w:t>
      </w:r>
    </w:p>
    <w:p w14:paraId="23A811EB">
      <w:pPr>
        <w:spacing w:line="360" w:lineRule="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28.</w:t>
      </w:r>
      <w:r>
        <w:rPr>
          <w:rFonts w:hint="eastAsia" w:ascii="宋体" w:hAnsi="宋体" w:eastAsia="宋体" w:cs="宋体"/>
          <w:color w:val="auto"/>
          <w:sz w:val="22"/>
          <w:szCs w:val="22"/>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435D259D">
      <w:pPr>
        <w:adjustRightInd/>
        <w:spacing w:line="360" w:lineRule="auto"/>
        <w:jc w:val="center"/>
        <w:outlineLvl w:val="0"/>
        <w:rPr>
          <w:rFonts w:hint="eastAsia" w:ascii="宋体" w:hAnsi="宋体" w:eastAsia="宋体" w:cs="宋体"/>
          <w:b/>
          <w:color w:val="auto"/>
          <w:sz w:val="32"/>
          <w:szCs w:val="20"/>
          <w:highlight w:val="none"/>
        </w:rPr>
      </w:pPr>
      <w:bookmarkStart w:id="54" w:name="_Toc129952710"/>
      <w:bookmarkStart w:id="55" w:name="_Toc31573"/>
      <w:bookmarkStart w:id="56" w:name="_Toc129952507"/>
      <w:r>
        <w:rPr>
          <w:rFonts w:hint="eastAsia" w:ascii="宋体" w:hAnsi="宋体" w:eastAsia="宋体" w:cs="宋体"/>
          <w:b/>
          <w:color w:val="auto"/>
          <w:sz w:val="32"/>
          <w:szCs w:val="20"/>
          <w:highlight w:val="none"/>
        </w:rPr>
        <w:t>九、验收</w:t>
      </w:r>
      <w:bookmarkEnd w:id="54"/>
      <w:bookmarkEnd w:id="55"/>
      <w:bookmarkEnd w:id="56"/>
    </w:p>
    <w:p w14:paraId="3C1FB6A4">
      <w:pPr>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29、验收</w:t>
      </w:r>
    </w:p>
    <w:p w14:paraId="03AF93D1">
      <w:pPr>
        <w:pStyle w:val="34"/>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29.1采购人应当根据采购项目的具体情况，自行组织项目验收或者委托采购代理机构验收</w:t>
      </w:r>
      <w:r>
        <w:rPr>
          <w:rFonts w:hint="eastAsia" w:ascii="宋体" w:hAnsi="宋体" w:eastAsia="宋体" w:cs="宋体"/>
          <w:color w:val="auto"/>
          <w:sz w:val="22"/>
          <w:szCs w:val="22"/>
          <w:highlight w:val="none"/>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AE4F08E">
      <w:pPr>
        <w:pStyle w:val="34"/>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29.</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严格按照采购合同</w:t>
      </w:r>
      <w:r>
        <w:rPr>
          <w:rFonts w:hint="eastAsia" w:ascii="宋体" w:hAnsi="宋体" w:eastAsia="宋体" w:cs="宋体"/>
          <w:color w:val="auto"/>
          <w:kern w:val="0"/>
          <w:sz w:val="22"/>
          <w:szCs w:val="22"/>
          <w:highlight w:val="none"/>
        </w:rPr>
        <w:t>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AEB5295">
      <w:pPr>
        <w:pStyle w:val="34"/>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29.</w:t>
      </w:r>
      <w:r>
        <w:rPr>
          <w:rFonts w:hint="eastAsia" w:ascii="宋体" w:hAnsi="宋体" w:eastAsia="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9CF082A">
      <w:pPr>
        <w:pStyle w:val="34"/>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29.</w:t>
      </w:r>
      <w:r>
        <w:rPr>
          <w:rFonts w:hint="eastAsia" w:ascii="宋体" w:hAnsi="宋体" w:eastAsia="宋体" w:cs="宋体"/>
          <w:color w:val="auto"/>
          <w:kern w:val="0"/>
          <w:sz w:val="22"/>
          <w:szCs w:val="22"/>
          <w:highlight w:val="none"/>
          <w:lang w:val="en-US" w:eastAsia="zh-CN"/>
        </w:rPr>
        <w:t>4</w:t>
      </w:r>
      <w:r>
        <w:rPr>
          <w:rFonts w:hint="eastAsia" w:ascii="宋体" w:hAnsi="宋体" w:eastAsia="宋体" w:cs="宋体"/>
          <w:color w:val="auto"/>
          <w:kern w:val="0"/>
          <w:sz w:val="22"/>
          <w:szCs w:val="22"/>
          <w:highlight w:val="none"/>
        </w:rPr>
        <w:t xml:space="preserve">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43"/>
    <w:p w14:paraId="28C9D354">
      <w:pPr>
        <w:tabs>
          <w:tab w:val="left" w:pos="0"/>
        </w:tabs>
        <w:spacing w:line="360" w:lineRule="auto"/>
        <w:ind w:firstLine="480"/>
        <w:rPr>
          <w:rFonts w:hint="eastAsia" w:ascii="宋体" w:hAnsi="宋体" w:eastAsia="宋体" w:cs="宋体"/>
          <w:color w:val="auto"/>
          <w:kern w:val="0"/>
          <w:sz w:val="20"/>
          <w:szCs w:val="20"/>
          <w:highlight w:val="none"/>
        </w:rPr>
        <w:sectPr>
          <w:headerReference r:id="rId4" w:type="first"/>
          <w:footerReference r:id="rId6" w:type="first"/>
          <w:headerReference r:id="rId3" w:type="default"/>
          <w:footerReference r:id="rId5" w:type="default"/>
          <w:pgSz w:w="11906" w:h="16838"/>
          <w:pgMar w:top="1440" w:right="1080" w:bottom="1440" w:left="1080" w:header="851" w:footer="992" w:gutter="0"/>
          <w:pgNumType w:start="1"/>
          <w:cols w:space="720" w:num="1"/>
          <w:titlePg/>
          <w:docGrid w:linePitch="312" w:charSpace="0"/>
        </w:sectPr>
      </w:pPr>
    </w:p>
    <w:bookmarkEnd w:id="16"/>
    <w:bookmarkEnd w:id="17"/>
    <w:p w14:paraId="5F302F3A">
      <w:pPr>
        <w:adjustRightInd/>
        <w:spacing w:line="360" w:lineRule="auto"/>
        <w:jc w:val="center"/>
        <w:outlineLvl w:val="0"/>
        <w:rPr>
          <w:rFonts w:hint="eastAsia" w:ascii="宋体" w:hAnsi="宋体" w:eastAsia="宋体" w:cs="宋体"/>
          <w:b/>
          <w:color w:val="auto"/>
          <w:sz w:val="36"/>
          <w:szCs w:val="20"/>
          <w:highlight w:val="none"/>
        </w:rPr>
      </w:pPr>
      <w:bookmarkStart w:id="57" w:name="_Toc129952508"/>
      <w:bookmarkStart w:id="58" w:name="_Toc7643"/>
      <w:bookmarkStart w:id="59" w:name="第四部分"/>
      <w:r>
        <w:rPr>
          <w:rFonts w:hint="eastAsia" w:ascii="宋体" w:hAnsi="宋体" w:eastAsia="宋体" w:cs="宋体"/>
          <w:b/>
          <w:color w:val="auto"/>
          <w:sz w:val="36"/>
          <w:szCs w:val="20"/>
          <w:highlight w:val="none"/>
        </w:rPr>
        <w:t>第三部分 采购需求</w:t>
      </w:r>
      <w:bookmarkEnd w:id="57"/>
      <w:bookmarkEnd w:id="58"/>
    </w:p>
    <w:p w14:paraId="0751DE35">
      <w:pPr>
        <w:pStyle w:val="3"/>
        <w:keepNext w:val="0"/>
        <w:keepLines w:val="0"/>
        <w:numPr>
          <w:ilvl w:val="1"/>
          <w:numId w:val="0"/>
        </w:numPr>
        <w:spacing w:before="156" w:beforeLines="50" w:after="156" w:afterLines="50" w:line="480" w:lineRule="exact"/>
        <w:ind w:firstLine="562" w:firstLineChars="200"/>
        <w:jc w:val="both"/>
        <w:rPr>
          <w:rFonts w:hint="eastAsia" w:ascii="宋体" w:hAnsi="宋体" w:eastAsia="宋体" w:cs="宋体"/>
          <w:color w:val="auto"/>
          <w:sz w:val="28"/>
          <w:szCs w:val="28"/>
          <w:highlight w:val="none"/>
        </w:rPr>
      </w:pPr>
      <w:bookmarkStart w:id="60" w:name="_Toc20116"/>
      <w:bookmarkStart w:id="61" w:name="_Toc129952509"/>
      <w:r>
        <w:rPr>
          <w:rFonts w:hint="eastAsia" w:ascii="宋体" w:hAnsi="宋体" w:eastAsia="宋体" w:cs="宋体"/>
          <w:color w:val="auto"/>
          <w:sz w:val="28"/>
          <w:szCs w:val="28"/>
          <w:highlight w:val="none"/>
        </w:rPr>
        <w:t>一、建设内容</w:t>
      </w:r>
    </w:p>
    <w:tbl>
      <w:tblPr>
        <w:tblStyle w:val="63"/>
        <w:tblW w:w="523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6"/>
        <w:gridCol w:w="5677"/>
        <w:gridCol w:w="739"/>
        <w:gridCol w:w="1574"/>
      </w:tblGrid>
      <w:tr w14:paraId="72A5F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926" w:type="dxa"/>
            <w:vAlign w:val="center"/>
          </w:tcPr>
          <w:p w14:paraId="65A4D0C4">
            <w:pPr>
              <w:widowControl/>
              <w:adjustRightInd/>
              <w:spacing w:line="440" w:lineRule="exact"/>
              <w:jc w:val="center"/>
              <w:textAlignment w:val="center"/>
              <w:rPr>
                <w:rFonts w:hint="eastAsia" w:ascii="宋体" w:hAnsi="宋体" w:eastAsia="宋体" w:cs="宋体"/>
                <w:b/>
                <w:color w:val="auto"/>
                <w:kern w:val="0"/>
                <w:sz w:val="24"/>
                <w:highlight w:val="none"/>
                <w:lang w:bidi="ar"/>
              </w:rPr>
            </w:pPr>
            <w:r>
              <w:rPr>
                <w:rFonts w:hint="eastAsia" w:ascii="宋体" w:hAnsi="宋体" w:eastAsia="宋体" w:cs="宋体"/>
                <w:b/>
                <w:color w:val="auto"/>
                <w:kern w:val="0"/>
                <w:sz w:val="24"/>
                <w:highlight w:val="none"/>
                <w:lang w:bidi="ar"/>
              </w:rPr>
              <w:t>序号</w:t>
            </w:r>
          </w:p>
        </w:tc>
        <w:tc>
          <w:tcPr>
            <w:tcW w:w="5677" w:type="dxa"/>
            <w:vAlign w:val="center"/>
          </w:tcPr>
          <w:p w14:paraId="6E447243">
            <w:pPr>
              <w:widowControl/>
              <w:adjustRightInd/>
              <w:spacing w:line="440" w:lineRule="exact"/>
              <w:jc w:val="center"/>
              <w:textAlignment w:val="center"/>
              <w:rPr>
                <w:rFonts w:hint="eastAsia" w:ascii="宋体" w:hAnsi="宋体" w:eastAsia="宋体" w:cs="宋体"/>
                <w:b/>
                <w:color w:val="auto"/>
                <w:kern w:val="0"/>
                <w:sz w:val="24"/>
                <w:highlight w:val="none"/>
                <w:lang w:bidi="ar"/>
              </w:rPr>
            </w:pPr>
            <w:r>
              <w:rPr>
                <w:rFonts w:hint="eastAsia" w:ascii="宋体" w:hAnsi="宋体" w:eastAsia="宋体" w:cs="宋体"/>
                <w:b/>
                <w:color w:val="auto"/>
                <w:kern w:val="0"/>
                <w:sz w:val="24"/>
                <w:highlight w:val="none"/>
                <w:lang w:bidi="ar"/>
              </w:rPr>
              <w:t>内容</w:t>
            </w:r>
          </w:p>
        </w:tc>
        <w:tc>
          <w:tcPr>
            <w:tcW w:w="739" w:type="dxa"/>
            <w:vAlign w:val="center"/>
          </w:tcPr>
          <w:p w14:paraId="68D3B561">
            <w:pPr>
              <w:widowControl/>
              <w:adjustRightInd/>
              <w:spacing w:line="440" w:lineRule="exact"/>
              <w:jc w:val="center"/>
              <w:textAlignment w:val="center"/>
              <w:rPr>
                <w:rFonts w:hint="eastAsia" w:ascii="宋体" w:hAnsi="宋体" w:eastAsia="宋体" w:cs="宋体"/>
                <w:b/>
                <w:color w:val="auto"/>
                <w:kern w:val="0"/>
                <w:sz w:val="24"/>
                <w:highlight w:val="none"/>
                <w:lang w:bidi="ar"/>
              </w:rPr>
            </w:pPr>
            <w:r>
              <w:rPr>
                <w:rFonts w:hint="eastAsia" w:ascii="宋体" w:hAnsi="宋体" w:eastAsia="宋体" w:cs="宋体"/>
                <w:b/>
                <w:color w:val="auto"/>
                <w:kern w:val="0"/>
                <w:sz w:val="24"/>
                <w:highlight w:val="none"/>
                <w:lang w:bidi="ar"/>
              </w:rPr>
              <w:t>数量</w:t>
            </w:r>
          </w:p>
        </w:tc>
        <w:tc>
          <w:tcPr>
            <w:tcW w:w="1574" w:type="dxa"/>
            <w:vAlign w:val="center"/>
          </w:tcPr>
          <w:p w14:paraId="7D753E41">
            <w:pPr>
              <w:widowControl/>
              <w:adjustRightInd/>
              <w:spacing w:line="440" w:lineRule="exact"/>
              <w:jc w:val="center"/>
              <w:textAlignment w:val="center"/>
              <w:rPr>
                <w:rFonts w:hint="eastAsia" w:ascii="宋体" w:hAnsi="宋体" w:eastAsia="宋体" w:cs="宋体"/>
                <w:b/>
                <w:color w:val="auto"/>
                <w:kern w:val="0"/>
                <w:sz w:val="24"/>
                <w:highlight w:val="none"/>
                <w:lang w:bidi="ar"/>
              </w:rPr>
            </w:pPr>
            <w:r>
              <w:rPr>
                <w:rFonts w:hint="eastAsia" w:ascii="宋体" w:hAnsi="宋体" w:eastAsia="宋体" w:cs="宋体"/>
                <w:b/>
                <w:color w:val="auto"/>
                <w:kern w:val="0"/>
                <w:sz w:val="24"/>
                <w:highlight w:val="none"/>
                <w:lang w:bidi="ar"/>
              </w:rPr>
              <w:t>备注</w:t>
            </w:r>
          </w:p>
        </w:tc>
      </w:tr>
      <w:tr w14:paraId="21BA5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926" w:type="dxa"/>
            <w:vAlign w:val="center"/>
          </w:tcPr>
          <w:p w14:paraId="303F71EE">
            <w:pPr>
              <w:widowControl/>
              <w:adjustRightInd/>
              <w:spacing w:line="440" w:lineRule="exact"/>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w:t>
            </w:r>
          </w:p>
        </w:tc>
        <w:tc>
          <w:tcPr>
            <w:tcW w:w="5677" w:type="dxa"/>
            <w:vAlign w:val="center"/>
          </w:tcPr>
          <w:p w14:paraId="54AB4DC5">
            <w:pPr>
              <w:widowControl/>
              <w:adjustRightInd/>
              <w:spacing w:line="440" w:lineRule="exact"/>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高精度CH</w:t>
            </w:r>
            <w:r>
              <w:rPr>
                <w:rFonts w:hint="eastAsia" w:ascii="宋体" w:hAnsi="宋体" w:eastAsia="宋体" w:cs="宋体"/>
                <w:color w:val="auto"/>
                <w:kern w:val="0"/>
                <w:sz w:val="24"/>
                <w:highlight w:val="none"/>
                <w:vertAlign w:val="subscript"/>
                <w:lang w:bidi="ar"/>
              </w:rPr>
              <w:t>4</w:t>
            </w:r>
            <w:r>
              <w:rPr>
                <w:rFonts w:hint="eastAsia" w:ascii="宋体" w:hAnsi="宋体" w:eastAsia="宋体" w:cs="宋体"/>
                <w:color w:val="auto"/>
                <w:kern w:val="0"/>
                <w:sz w:val="24"/>
                <w:highlight w:val="none"/>
                <w:lang w:bidi="ar"/>
              </w:rPr>
              <w:t>/CO</w:t>
            </w:r>
            <w:r>
              <w:rPr>
                <w:rFonts w:hint="eastAsia" w:ascii="宋体" w:hAnsi="宋体" w:eastAsia="宋体" w:cs="宋体"/>
                <w:color w:val="auto"/>
                <w:kern w:val="0"/>
                <w:sz w:val="24"/>
                <w:highlight w:val="none"/>
                <w:vertAlign w:val="subscript"/>
                <w:lang w:bidi="ar"/>
              </w:rPr>
              <w:t>2</w:t>
            </w:r>
            <w:r>
              <w:rPr>
                <w:rFonts w:hint="eastAsia" w:ascii="宋体" w:hAnsi="宋体" w:eastAsia="宋体" w:cs="宋体"/>
                <w:color w:val="auto"/>
                <w:kern w:val="0"/>
                <w:sz w:val="24"/>
                <w:highlight w:val="none"/>
                <w:lang w:bidi="ar"/>
              </w:rPr>
              <w:t>浓度在线观测系统（核心产品）</w:t>
            </w:r>
          </w:p>
        </w:tc>
        <w:tc>
          <w:tcPr>
            <w:tcW w:w="739" w:type="dxa"/>
            <w:vAlign w:val="center"/>
          </w:tcPr>
          <w:p w14:paraId="600168DB">
            <w:pPr>
              <w:widowControl/>
              <w:adjustRightInd/>
              <w:spacing w:line="440" w:lineRule="exact"/>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1台</w:t>
            </w:r>
          </w:p>
        </w:tc>
        <w:tc>
          <w:tcPr>
            <w:tcW w:w="1574" w:type="dxa"/>
            <w:vMerge w:val="restart"/>
            <w:vAlign w:val="center"/>
          </w:tcPr>
          <w:p w14:paraId="2A4AB3B4">
            <w:pPr>
              <w:widowControl/>
              <w:adjustRightInd/>
              <w:spacing w:line="360" w:lineRule="exact"/>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包含1年免费的全托管运维</w:t>
            </w:r>
          </w:p>
        </w:tc>
      </w:tr>
      <w:tr w14:paraId="63B7A8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926" w:type="dxa"/>
            <w:vAlign w:val="center"/>
          </w:tcPr>
          <w:p w14:paraId="242CDDA7">
            <w:pPr>
              <w:widowControl/>
              <w:adjustRightInd/>
              <w:spacing w:line="440" w:lineRule="exact"/>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2</w:t>
            </w:r>
          </w:p>
        </w:tc>
        <w:tc>
          <w:tcPr>
            <w:tcW w:w="5677" w:type="dxa"/>
            <w:vAlign w:val="center"/>
          </w:tcPr>
          <w:p w14:paraId="39F2CF23">
            <w:pPr>
              <w:widowControl/>
              <w:adjustRightInd/>
              <w:spacing w:line="440" w:lineRule="exact"/>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高精度气象参数仪（风速、风向、温度）</w:t>
            </w:r>
          </w:p>
        </w:tc>
        <w:tc>
          <w:tcPr>
            <w:tcW w:w="739" w:type="dxa"/>
            <w:vAlign w:val="center"/>
          </w:tcPr>
          <w:p w14:paraId="01AC43B6">
            <w:pPr>
              <w:widowControl/>
              <w:adjustRightInd/>
              <w:spacing w:line="440" w:lineRule="exact"/>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1台</w:t>
            </w:r>
          </w:p>
        </w:tc>
        <w:tc>
          <w:tcPr>
            <w:tcW w:w="1574" w:type="dxa"/>
            <w:vMerge w:val="continue"/>
            <w:vAlign w:val="center"/>
          </w:tcPr>
          <w:p w14:paraId="7423F44E">
            <w:pPr>
              <w:widowControl/>
              <w:adjustRightInd/>
              <w:spacing w:line="440" w:lineRule="exact"/>
              <w:jc w:val="center"/>
              <w:textAlignment w:val="center"/>
              <w:rPr>
                <w:rFonts w:hint="eastAsia" w:ascii="宋体" w:hAnsi="宋体" w:eastAsia="宋体" w:cs="宋体"/>
                <w:color w:val="auto"/>
                <w:kern w:val="0"/>
                <w:sz w:val="24"/>
                <w:highlight w:val="none"/>
                <w:lang w:bidi="ar"/>
              </w:rPr>
            </w:pPr>
          </w:p>
        </w:tc>
      </w:tr>
      <w:tr w14:paraId="7A1C83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926" w:type="dxa"/>
            <w:vAlign w:val="center"/>
          </w:tcPr>
          <w:p w14:paraId="5D4F716D">
            <w:pPr>
              <w:widowControl/>
              <w:adjustRightInd/>
              <w:spacing w:line="440" w:lineRule="exact"/>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3</w:t>
            </w:r>
          </w:p>
        </w:tc>
        <w:tc>
          <w:tcPr>
            <w:tcW w:w="5677" w:type="dxa"/>
            <w:vAlign w:val="center"/>
          </w:tcPr>
          <w:p w14:paraId="3EE5FE03">
            <w:pPr>
              <w:widowControl/>
              <w:adjustRightInd/>
              <w:spacing w:line="440" w:lineRule="exact"/>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站房及系统集成</w:t>
            </w:r>
          </w:p>
        </w:tc>
        <w:tc>
          <w:tcPr>
            <w:tcW w:w="739" w:type="dxa"/>
            <w:vAlign w:val="center"/>
          </w:tcPr>
          <w:p w14:paraId="5375AFF3">
            <w:pPr>
              <w:widowControl/>
              <w:adjustRightInd/>
              <w:spacing w:line="440" w:lineRule="exact"/>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1套</w:t>
            </w:r>
          </w:p>
        </w:tc>
        <w:tc>
          <w:tcPr>
            <w:tcW w:w="1574" w:type="dxa"/>
            <w:vMerge w:val="continue"/>
            <w:vAlign w:val="center"/>
          </w:tcPr>
          <w:p w14:paraId="7B36ACB6">
            <w:pPr>
              <w:widowControl/>
              <w:adjustRightInd/>
              <w:spacing w:line="360" w:lineRule="exact"/>
              <w:jc w:val="center"/>
              <w:textAlignment w:val="center"/>
              <w:rPr>
                <w:rFonts w:hint="eastAsia" w:ascii="宋体" w:hAnsi="宋体" w:eastAsia="宋体" w:cs="宋体"/>
                <w:color w:val="auto"/>
                <w:kern w:val="0"/>
                <w:sz w:val="24"/>
                <w:highlight w:val="none"/>
                <w:lang w:bidi="ar"/>
              </w:rPr>
            </w:pPr>
          </w:p>
        </w:tc>
      </w:tr>
    </w:tbl>
    <w:p w14:paraId="0E5F4DCA">
      <w:pPr>
        <w:pStyle w:val="3"/>
        <w:keepNext w:val="0"/>
        <w:keepLines w:val="0"/>
        <w:numPr>
          <w:ilvl w:val="1"/>
          <w:numId w:val="0"/>
        </w:numPr>
        <w:spacing w:before="156" w:beforeLines="50" w:line="440" w:lineRule="exact"/>
        <w:ind w:firstLine="562"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二、技术要求</w:t>
      </w:r>
    </w:p>
    <w:p w14:paraId="3E25189D">
      <w:pPr>
        <w:spacing w:line="44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1、高精度CH</w:t>
      </w:r>
      <w:r>
        <w:rPr>
          <w:rFonts w:hint="eastAsia" w:ascii="宋体" w:hAnsi="宋体" w:eastAsia="宋体" w:cs="宋体"/>
          <w:b/>
          <w:bCs/>
          <w:color w:val="auto"/>
          <w:sz w:val="24"/>
          <w:highlight w:val="none"/>
          <w:vertAlign w:val="subscript"/>
        </w:rPr>
        <w:t>4</w:t>
      </w:r>
      <w:r>
        <w:rPr>
          <w:rFonts w:hint="eastAsia" w:ascii="宋体" w:hAnsi="宋体" w:eastAsia="宋体" w:cs="宋体"/>
          <w:b/>
          <w:bCs/>
          <w:color w:val="auto"/>
          <w:sz w:val="24"/>
          <w:highlight w:val="none"/>
        </w:rPr>
        <w:t>/CO</w:t>
      </w:r>
      <w:r>
        <w:rPr>
          <w:rFonts w:hint="eastAsia" w:ascii="宋体" w:hAnsi="宋体" w:eastAsia="宋体" w:cs="宋体"/>
          <w:b/>
          <w:bCs/>
          <w:color w:val="auto"/>
          <w:sz w:val="24"/>
          <w:highlight w:val="none"/>
          <w:vertAlign w:val="subscript"/>
        </w:rPr>
        <w:t>2</w:t>
      </w:r>
      <w:r>
        <w:rPr>
          <w:rFonts w:hint="eastAsia" w:ascii="宋体" w:hAnsi="宋体" w:eastAsia="宋体" w:cs="宋体"/>
          <w:b/>
          <w:bCs/>
          <w:color w:val="auto"/>
          <w:sz w:val="24"/>
          <w:highlight w:val="none"/>
        </w:rPr>
        <w:t>浓度在线观测系统</w:t>
      </w:r>
    </w:p>
    <w:p w14:paraId="1A21A873">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1.技术指标</w:t>
      </w:r>
    </w:p>
    <w:p w14:paraId="756B09E3">
      <w:pPr>
        <w:spacing w:line="440" w:lineRule="exact"/>
        <w:ind w:firstLine="482" w:firstLineChars="200"/>
        <w:rPr>
          <w:rFonts w:hint="eastAsia" w:ascii="宋体" w:hAnsi="宋体" w:eastAsia="宋体" w:cs="宋体"/>
          <w:color w:val="auto"/>
          <w:sz w:val="24"/>
          <w:highlight w:val="none"/>
          <w:u w:val="single"/>
        </w:rPr>
      </w:pPr>
      <w:r>
        <w:rPr>
          <w:rFonts w:hint="eastAsia" w:ascii="宋体" w:hAnsi="宋体" w:eastAsia="宋体" w:cs="宋体"/>
          <w:b/>
          <w:bCs/>
          <w:color w:val="auto"/>
          <w:sz w:val="24"/>
          <w:highlight w:val="none"/>
          <w:u w:val="single"/>
        </w:rPr>
        <w:t>▲1.1系统采用波长扫描光腔衰荡光谱技术(WS-CRDS)；</w:t>
      </w:r>
    </w:p>
    <w:p w14:paraId="3222A4F6">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1.2检测室有三面反射镜，构成腔内环形光路，镜面反射率：≥99.999%</w:t>
      </w:r>
    </w:p>
    <w:p w14:paraId="1EC85404">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1.3稳定的温度控制：准确度为≤0.005度； </w:t>
      </w:r>
    </w:p>
    <w:p w14:paraId="69EFAAF7">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1.4稳定的气压控制：准确度≤0.0002大气压； </w:t>
      </w:r>
    </w:p>
    <w:p w14:paraId="7555B88B">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1.5检测室物理长度：≤25cm，确保低的样品需求和更快的转换速率；</w:t>
      </w:r>
    </w:p>
    <w:p w14:paraId="133C3D7F">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1.6数据输出：水汽浓度下的CO</w:t>
      </w:r>
      <w:r>
        <w:rPr>
          <w:rFonts w:hint="eastAsia" w:ascii="宋体" w:hAnsi="宋体" w:eastAsia="宋体" w:cs="宋体"/>
          <w:color w:val="auto"/>
          <w:sz w:val="24"/>
          <w:highlight w:val="none"/>
          <w:vertAlign w:val="subscript"/>
        </w:rPr>
        <w:t>2</w:t>
      </w:r>
      <w:r>
        <w:rPr>
          <w:rFonts w:hint="eastAsia" w:ascii="宋体" w:hAnsi="宋体" w:eastAsia="宋体" w:cs="宋体"/>
          <w:color w:val="auto"/>
          <w:sz w:val="24"/>
          <w:highlight w:val="none"/>
        </w:rPr>
        <w:t>/CH</w:t>
      </w:r>
      <w:r>
        <w:rPr>
          <w:rFonts w:hint="eastAsia" w:ascii="宋体" w:hAnsi="宋体" w:eastAsia="宋体" w:cs="宋体"/>
          <w:color w:val="auto"/>
          <w:sz w:val="24"/>
          <w:highlight w:val="none"/>
          <w:vertAlign w:val="subscript"/>
        </w:rPr>
        <w:t>4</w:t>
      </w:r>
      <w:r>
        <w:rPr>
          <w:rFonts w:hint="eastAsia" w:ascii="宋体" w:hAnsi="宋体" w:eastAsia="宋体" w:cs="宋体"/>
          <w:color w:val="auto"/>
          <w:sz w:val="24"/>
          <w:highlight w:val="none"/>
        </w:rPr>
        <w:t>实测值以及对应当时水汽浓度下的CO</w:t>
      </w:r>
      <w:r>
        <w:rPr>
          <w:rFonts w:hint="eastAsia" w:ascii="宋体" w:hAnsi="宋体" w:eastAsia="宋体" w:cs="宋体"/>
          <w:color w:val="auto"/>
          <w:sz w:val="24"/>
          <w:highlight w:val="none"/>
          <w:vertAlign w:val="subscript"/>
        </w:rPr>
        <w:t>2</w:t>
      </w:r>
      <w:r>
        <w:rPr>
          <w:rFonts w:hint="eastAsia" w:ascii="宋体" w:hAnsi="宋体" w:eastAsia="宋体" w:cs="宋体"/>
          <w:color w:val="auto"/>
          <w:sz w:val="24"/>
          <w:highlight w:val="none"/>
        </w:rPr>
        <w:t>/CH</w:t>
      </w:r>
      <w:r>
        <w:rPr>
          <w:rFonts w:hint="eastAsia" w:ascii="宋体" w:hAnsi="宋体" w:eastAsia="宋体" w:cs="宋体"/>
          <w:color w:val="auto"/>
          <w:sz w:val="24"/>
          <w:highlight w:val="none"/>
          <w:vertAlign w:val="subscript"/>
        </w:rPr>
        <w:t>4</w:t>
      </w:r>
      <w:r>
        <w:rPr>
          <w:rFonts w:hint="eastAsia" w:ascii="宋体" w:hAnsi="宋体" w:eastAsia="宋体" w:cs="宋体"/>
          <w:color w:val="auto"/>
          <w:sz w:val="24"/>
          <w:highlight w:val="none"/>
        </w:rPr>
        <w:t>干值。</w:t>
      </w:r>
    </w:p>
    <w:p w14:paraId="70DD645E">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2.性能指标：需同时提供官方彩页和官网链接佐证</w:t>
      </w:r>
    </w:p>
    <w:p w14:paraId="1F231D1D">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CO</w:t>
      </w:r>
      <w:r>
        <w:rPr>
          <w:rFonts w:hint="eastAsia" w:ascii="宋体" w:hAnsi="宋体" w:eastAsia="宋体" w:cs="宋体"/>
          <w:color w:val="auto"/>
          <w:sz w:val="24"/>
          <w:highlight w:val="none"/>
          <w:vertAlign w:val="subscript"/>
        </w:rPr>
        <w:t>2</w:t>
      </w:r>
      <w:r>
        <w:rPr>
          <w:rFonts w:hint="eastAsia" w:ascii="宋体" w:hAnsi="宋体" w:eastAsia="宋体" w:cs="宋体"/>
          <w:color w:val="auto"/>
          <w:sz w:val="24"/>
          <w:highlight w:val="none"/>
        </w:rPr>
        <w:t>：精度(1σ，5min)≤5ppb；最大漂移峰-峰值(50min均值，24h) ≤20 ppb；（需同时提供官方彩页和官网链接佐证并加盖设备造商公章）</w:t>
      </w:r>
    </w:p>
    <w:p w14:paraId="3A7F12B2">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★2.2 </w:t>
      </w:r>
      <w:r>
        <w:rPr>
          <w:rFonts w:hint="eastAsia" w:ascii="宋体" w:hAnsi="宋体" w:eastAsia="宋体" w:cs="宋体"/>
          <w:color w:val="auto"/>
          <w:kern w:val="0"/>
          <w:sz w:val="24"/>
          <w:highlight w:val="none"/>
          <w:lang w:bidi="ar"/>
        </w:rPr>
        <w:t>CH</w:t>
      </w:r>
      <w:r>
        <w:rPr>
          <w:rFonts w:hint="eastAsia" w:ascii="宋体" w:hAnsi="宋体" w:eastAsia="宋体" w:cs="宋体"/>
          <w:color w:val="auto"/>
          <w:kern w:val="0"/>
          <w:sz w:val="24"/>
          <w:highlight w:val="none"/>
          <w:vertAlign w:val="subscript"/>
          <w:lang w:bidi="ar"/>
        </w:rPr>
        <w:t>4</w:t>
      </w:r>
      <w:r>
        <w:rPr>
          <w:rFonts w:hint="eastAsia" w:ascii="宋体" w:hAnsi="宋体" w:eastAsia="宋体" w:cs="宋体"/>
          <w:color w:val="auto"/>
          <w:sz w:val="24"/>
          <w:highlight w:val="none"/>
        </w:rPr>
        <w:t>：精度(1σ，5min)≤0.05ppb；最大漂移峰-峰值(50min均值，24h) ≤0.1 ppb；（需同时提供官方彩页和官网链接佐证并加盖设备制造商公章）</w:t>
      </w:r>
    </w:p>
    <w:p w14:paraId="36EE5E97">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H</w:t>
      </w:r>
      <w:r>
        <w:rPr>
          <w:rFonts w:hint="eastAsia" w:ascii="宋体" w:hAnsi="宋体" w:eastAsia="宋体" w:cs="宋体"/>
          <w:color w:val="auto"/>
          <w:sz w:val="24"/>
          <w:highlight w:val="none"/>
          <w:vertAlign w:val="subscript"/>
        </w:rPr>
        <w:t>2</w:t>
      </w:r>
      <w:r>
        <w:rPr>
          <w:rFonts w:hint="eastAsia" w:ascii="宋体" w:hAnsi="宋体" w:eastAsia="宋体" w:cs="宋体"/>
          <w:color w:val="auto"/>
          <w:sz w:val="24"/>
          <w:highlight w:val="none"/>
        </w:rPr>
        <w:t>O：精度&lt;80ppm(5秒)/30ppm(5分钟)；</w:t>
      </w:r>
    </w:p>
    <w:p w14:paraId="2633427D">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可比性：从除水设备前端通入某一浓度标气，由校准方程得到的修正浓度值与标气标称浓度值比较，CO</w:t>
      </w:r>
      <w:r>
        <w:rPr>
          <w:rFonts w:hint="eastAsia" w:ascii="宋体" w:hAnsi="宋体" w:eastAsia="宋体" w:cs="宋体"/>
          <w:color w:val="auto"/>
          <w:sz w:val="24"/>
          <w:highlight w:val="none"/>
          <w:vertAlign w:val="subscript"/>
        </w:rPr>
        <w:t>2</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bidi="ar"/>
        </w:rPr>
        <w:t>CH</w:t>
      </w:r>
      <w:r>
        <w:rPr>
          <w:rFonts w:hint="eastAsia" w:ascii="宋体" w:hAnsi="宋体" w:eastAsia="宋体" w:cs="宋体"/>
          <w:color w:val="auto"/>
          <w:kern w:val="0"/>
          <w:sz w:val="24"/>
          <w:highlight w:val="none"/>
          <w:vertAlign w:val="subscript"/>
          <w:lang w:bidi="ar"/>
        </w:rPr>
        <w:t>4</w:t>
      </w:r>
      <w:r>
        <w:rPr>
          <w:rFonts w:hint="eastAsia" w:ascii="宋体" w:hAnsi="宋体" w:eastAsia="宋体" w:cs="宋体"/>
          <w:color w:val="auto"/>
          <w:sz w:val="24"/>
          <w:highlight w:val="none"/>
        </w:rPr>
        <w:t>审核标气校正值与标称值差值不超过±0.2ppm/5ppb。（提供制造商对应的测试报告并加盖设备制造商公章）</w:t>
      </w:r>
    </w:p>
    <w:p w14:paraId="298A364F">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★2.5.重复性：在相同测量条件下，利用同一浓度的标气进行连续测量，测量时长不小于30min；计算300s时间步长的浓度响应平均值，测量时长内300s浓度响应平均值的标准差应满足CO</w:t>
      </w:r>
      <w:r>
        <w:rPr>
          <w:rFonts w:hint="eastAsia" w:ascii="宋体" w:hAnsi="宋体" w:eastAsia="宋体" w:cs="宋体"/>
          <w:color w:val="auto"/>
          <w:sz w:val="24"/>
          <w:highlight w:val="none"/>
          <w:vertAlign w:val="subscript"/>
        </w:rPr>
        <w:t>2</w:t>
      </w:r>
      <w:r>
        <w:rPr>
          <w:rFonts w:hint="eastAsia" w:ascii="宋体" w:hAnsi="宋体" w:eastAsia="宋体" w:cs="宋体"/>
          <w:color w:val="auto"/>
          <w:sz w:val="24"/>
          <w:highlight w:val="none"/>
        </w:rPr>
        <w:t>：＜100ppb；</w:t>
      </w:r>
      <w:r>
        <w:rPr>
          <w:rFonts w:hint="eastAsia" w:ascii="宋体" w:hAnsi="宋体" w:eastAsia="宋体" w:cs="宋体"/>
          <w:color w:val="auto"/>
          <w:kern w:val="0"/>
          <w:sz w:val="24"/>
          <w:highlight w:val="none"/>
          <w:lang w:bidi="ar"/>
        </w:rPr>
        <w:t>CH</w:t>
      </w:r>
      <w:r>
        <w:rPr>
          <w:rFonts w:hint="eastAsia" w:ascii="宋体" w:hAnsi="宋体" w:eastAsia="宋体" w:cs="宋体"/>
          <w:color w:val="auto"/>
          <w:kern w:val="0"/>
          <w:sz w:val="24"/>
          <w:highlight w:val="none"/>
          <w:vertAlign w:val="subscript"/>
          <w:lang w:bidi="ar"/>
        </w:rPr>
        <w:t>4</w:t>
      </w:r>
      <w:r>
        <w:rPr>
          <w:rFonts w:hint="eastAsia" w:ascii="宋体" w:hAnsi="宋体" w:eastAsia="宋体" w:cs="宋体"/>
          <w:color w:val="auto"/>
          <w:sz w:val="24"/>
          <w:highlight w:val="none"/>
        </w:rPr>
        <w:t>：＜2ppb；（提供制造商对应的测试报告并加盖设备制造商公章）</w:t>
      </w:r>
    </w:p>
    <w:p w14:paraId="319A1A9E">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测量间隔：&lt; 5s；</w:t>
      </w:r>
    </w:p>
    <w:p w14:paraId="7603549D">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操作范围：CO</w:t>
      </w:r>
      <w:r>
        <w:rPr>
          <w:rFonts w:hint="eastAsia" w:ascii="宋体" w:hAnsi="宋体" w:eastAsia="宋体" w:cs="宋体"/>
          <w:color w:val="auto"/>
          <w:sz w:val="24"/>
          <w:highlight w:val="none"/>
          <w:vertAlign w:val="subscript"/>
        </w:rPr>
        <w:t>2</w:t>
      </w:r>
      <w:r>
        <w:rPr>
          <w:rFonts w:hint="eastAsia" w:ascii="宋体" w:hAnsi="宋体" w:eastAsia="宋体" w:cs="宋体"/>
          <w:color w:val="auto"/>
          <w:sz w:val="24"/>
          <w:highlight w:val="none"/>
        </w:rPr>
        <w:t>：0-1000 ppm, CH</w:t>
      </w:r>
      <w:r>
        <w:rPr>
          <w:rFonts w:hint="eastAsia" w:ascii="宋体" w:hAnsi="宋体" w:eastAsia="宋体" w:cs="宋体"/>
          <w:color w:val="auto"/>
          <w:sz w:val="24"/>
          <w:highlight w:val="none"/>
          <w:vertAlign w:val="subscript"/>
        </w:rPr>
        <w:t>4</w:t>
      </w:r>
      <w:r>
        <w:rPr>
          <w:rFonts w:hint="eastAsia" w:ascii="宋体" w:hAnsi="宋体" w:eastAsia="宋体" w:cs="宋体"/>
          <w:color w:val="auto"/>
          <w:sz w:val="24"/>
          <w:highlight w:val="none"/>
        </w:rPr>
        <w:t>：0-20ppm, H</w:t>
      </w:r>
      <w:r>
        <w:rPr>
          <w:rFonts w:hint="eastAsia" w:ascii="宋体" w:hAnsi="宋体" w:eastAsia="宋体" w:cs="宋体"/>
          <w:color w:val="auto"/>
          <w:sz w:val="24"/>
          <w:highlight w:val="none"/>
          <w:vertAlign w:val="subscript"/>
        </w:rPr>
        <w:t>2</w:t>
      </w:r>
      <w:r>
        <w:rPr>
          <w:rFonts w:hint="eastAsia" w:ascii="宋体" w:hAnsi="宋体" w:eastAsia="宋体" w:cs="宋体"/>
          <w:color w:val="auto"/>
          <w:sz w:val="24"/>
          <w:highlight w:val="none"/>
        </w:rPr>
        <w:t>O：0-7%(非冷凝条件下）；</w:t>
      </w:r>
    </w:p>
    <w:p w14:paraId="5B2E983E">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3.系统运行参数</w:t>
      </w:r>
    </w:p>
    <w:p w14:paraId="509B9585">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3.1样品温度：-10-45℃；</w:t>
      </w:r>
    </w:p>
    <w:p w14:paraId="04083194">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3.2取样湿度：&lt;99%相对湿度，非冷凝条件下；</w:t>
      </w:r>
    </w:p>
    <w:p w14:paraId="6B42CED1">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3.3取样压力：40至133千帕；</w:t>
      </w:r>
    </w:p>
    <w:p w14:paraId="48141727">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3.4重量：&lt; 28kg（分析仪主机）；</w:t>
      </w:r>
    </w:p>
    <w:p w14:paraId="119EBA99">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3.5尺寸：宽≤17英寸；高≤7英寸；深≤18英寸（分析仪主机）；</w:t>
      </w:r>
    </w:p>
    <w:p w14:paraId="41DAB08B">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3.6取样流速范围：&lt;400mL/min，在101.325kpa气压下，无需过滤；</w:t>
      </w:r>
    </w:p>
    <w:p w14:paraId="1EE5F935">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 前端处理及配套系统：</w:t>
      </w:r>
    </w:p>
    <w:p w14:paraId="75E17828">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4.1 进样阀箱：采样泵、流量计、质量流量控制、八口阀采用独立开关控制，便于进行独立维护和故障排查；配备散热系统，电源保护系统；</w:t>
      </w:r>
    </w:p>
    <w:p w14:paraId="5F223088">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 标气：CO</w:t>
      </w:r>
      <w:r>
        <w:rPr>
          <w:rFonts w:hint="eastAsia" w:ascii="宋体" w:hAnsi="宋体" w:eastAsia="宋体" w:cs="宋体"/>
          <w:color w:val="auto"/>
          <w:sz w:val="24"/>
          <w:highlight w:val="none"/>
          <w:vertAlign w:val="subscript"/>
        </w:rPr>
        <w:t>2</w:t>
      </w:r>
      <w:r>
        <w:rPr>
          <w:rFonts w:hint="eastAsia" w:ascii="宋体" w:hAnsi="宋体" w:eastAsia="宋体" w:cs="宋体"/>
          <w:color w:val="auto"/>
          <w:sz w:val="24"/>
          <w:highlight w:val="none"/>
        </w:rPr>
        <w:t>/CH</w:t>
      </w:r>
      <w:r>
        <w:rPr>
          <w:rFonts w:hint="eastAsia" w:ascii="宋体" w:hAnsi="宋体" w:eastAsia="宋体" w:cs="宋体"/>
          <w:color w:val="auto"/>
          <w:sz w:val="24"/>
          <w:highlight w:val="none"/>
          <w:vertAlign w:val="subscript"/>
        </w:rPr>
        <w:t>4</w:t>
      </w:r>
      <w:r>
        <w:rPr>
          <w:rFonts w:hint="eastAsia" w:ascii="宋体" w:hAnsi="宋体" w:eastAsia="宋体" w:cs="宋体"/>
          <w:color w:val="auto"/>
          <w:sz w:val="24"/>
          <w:highlight w:val="none"/>
        </w:rPr>
        <w:t>混合标气3瓶，对观测数据进行</w:t>
      </w:r>
      <w:r>
        <w:rPr>
          <w:rFonts w:hint="eastAsia" w:ascii="宋体" w:hAnsi="宋体" w:eastAsia="宋体" w:cs="宋体"/>
          <w:color w:val="auto"/>
          <w:sz w:val="24"/>
          <w:highlight w:val="none"/>
          <w:lang w:val="en-US" w:eastAsia="zh-CN"/>
        </w:rPr>
        <w:t>定期校正</w:t>
      </w:r>
      <w:r>
        <w:rPr>
          <w:rFonts w:hint="eastAsia" w:ascii="宋体" w:hAnsi="宋体" w:eastAsia="宋体" w:cs="宋体"/>
          <w:color w:val="auto"/>
          <w:sz w:val="24"/>
          <w:highlight w:val="none"/>
        </w:rPr>
        <w:t xml:space="preserve">，浓度可溯源至WMO CCL维持的国际一级标气或者与WMO具有等效互认协议标气; </w:t>
      </w:r>
    </w:p>
    <w:p w14:paraId="2D6AE5FE">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 钢瓶：使用约30L铝合金瓶；</w:t>
      </w:r>
    </w:p>
    <w:p w14:paraId="025EC078">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4.4减压阀：使用高精度二级减压阀； </w:t>
      </w:r>
    </w:p>
    <w:p w14:paraId="66029C63">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4.5 进气管路：一用一备，管路长度根据实际需求配置，管径为10mm，材质内层为特氟龙防止化学渗透、中层为铝以保证强度、外层为耐腐蚀橡胶。采样系统采用多级过滤，防止昆虫、灰尘等污染；</w:t>
      </w:r>
    </w:p>
    <w:p w14:paraId="06E7143D">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4.6 外置标准泵：</w:t>
      </w:r>
    </w:p>
    <w:p w14:paraId="59E55CA1">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4.6.1无油泵；</w:t>
      </w:r>
    </w:p>
    <w:p w14:paraId="6E7484A8">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4.6.2 采用流速大于6L/min，按照管长50m计算气体管路滞留时间小于20s</w:t>
      </w:r>
    </w:p>
    <w:p w14:paraId="6784F0D7">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4.7 全自动超低温冷阱：</w:t>
      </w:r>
    </w:p>
    <w:p w14:paraId="2601AA91">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4.7.1 支持双层采样除水；</w:t>
      </w:r>
    </w:p>
    <w:p w14:paraId="3A1DB98A">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4.7.2除水效果，水汽浓度&lt;100ppm；制冷工作温度： 0℃~ -70℃,无需人工干预；</w:t>
      </w:r>
    </w:p>
    <w:p w14:paraId="006C556B">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4.7.3 冷阱前端采用电子冷凝器作为双级除水；</w:t>
      </w:r>
    </w:p>
    <w:p w14:paraId="116642F6">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4.7.4 备用试剂除水装置坚持时长超7天。</w:t>
      </w:r>
    </w:p>
    <w:p w14:paraId="3FE907CC">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5系统配置：</w:t>
      </w:r>
    </w:p>
    <w:p w14:paraId="6928A0E9">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5.1分析仪主机1台；</w:t>
      </w:r>
    </w:p>
    <w:p w14:paraId="2A039888">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 主机外置泵1台；</w:t>
      </w:r>
    </w:p>
    <w:p w14:paraId="1C8D3D38">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5.3 标气及气瓶3套；</w:t>
      </w:r>
    </w:p>
    <w:p w14:paraId="30E20688">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5.4 标气减压阀3个；</w:t>
      </w:r>
    </w:p>
    <w:p w14:paraId="2CDA786C">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5.5 进样阀箱1套；</w:t>
      </w:r>
    </w:p>
    <w:p w14:paraId="53B78172">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5.6 进气管路（双管路）1套；</w:t>
      </w:r>
    </w:p>
    <w:p w14:paraId="631B8ACE">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5.7 采样抽气泵1个；</w:t>
      </w:r>
    </w:p>
    <w:p w14:paraId="2AED637F">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5.8 超低温冷阱一套；</w:t>
      </w:r>
    </w:p>
    <w:p w14:paraId="43738596">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5.9 KVM多通道集成显示器1套；</w:t>
      </w:r>
    </w:p>
    <w:p w14:paraId="66941108">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5.10 工控机1台；</w:t>
      </w:r>
    </w:p>
    <w:p w14:paraId="347C68B3">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5.11 数采软件1套；</w:t>
      </w:r>
    </w:p>
    <w:p w14:paraId="3E847C21">
      <w:pPr>
        <w:spacing w:line="44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2、高精度气象参数仪（风速、风向、温度）</w:t>
      </w:r>
    </w:p>
    <w:p w14:paraId="3F8C725C">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1、设备用途：</w:t>
      </w:r>
    </w:p>
    <w:p w14:paraId="2254A681">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提供关于风速和风向的三维空间信息。</w:t>
      </w:r>
    </w:p>
    <w:p w14:paraId="206F9FC6">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2、性能指标：</w:t>
      </w:r>
    </w:p>
    <w:p w14:paraId="0EE71553">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①风速</w:t>
      </w:r>
    </w:p>
    <w:p w14:paraId="601DED4A">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测量范围：0~50m/s；</w:t>
      </w:r>
    </w:p>
    <w:p w14:paraId="19CDC9B7">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分辨率：0.01m/s；</w:t>
      </w:r>
    </w:p>
    <w:p w14:paraId="5CD14977">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精度：±0.2m/s (0-10m/s)、±2% (&gt;10m/s)；</w:t>
      </w:r>
      <w:r>
        <w:rPr>
          <w:rFonts w:hint="eastAsia" w:ascii="宋体" w:hAnsi="宋体" w:eastAsia="宋体" w:cs="宋体"/>
          <w:color w:val="auto"/>
          <w:sz w:val="24"/>
          <w:highlight w:val="none"/>
        </w:rPr>
        <w:tab/>
      </w:r>
    </w:p>
    <w:p w14:paraId="5A35D483">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②风向</w:t>
      </w:r>
    </w:p>
    <w:p w14:paraId="75C2179C">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测量范围：0~359.9°(U-V平面内的0~359.9°风向角，指北线朝正北，0.0°=北，90.0°=东，180.0°=南，270.0°=西)；</w:t>
      </w:r>
    </w:p>
    <w:p w14:paraId="2FE0969F">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分辨率：0.1°；</w:t>
      </w:r>
    </w:p>
    <w:p w14:paraId="147069CC">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精度：±2°；</w:t>
      </w:r>
    </w:p>
    <w:p w14:paraId="0695CBED">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③声波温度（风温）</w:t>
      </w:r>
    </w:p>
    <w:p w14:paraId="44EB9487">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温度范围：-50至+50℃；</w:t>
      </w:r>
    </w:p>
    <w:p w14:paraId="0BB41872">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分辨率：0.1</w:t>
      </w:r>
      <w:r>
        <w:rPr>
          <w:rFonts w:hint="eastAsia" w:ascii="宋体" w:hAnsi="宋体" w:eastAsia="宋体" w:cs="宋体"/>
          <w:color w:val="auto"/>
          <w:sz w:val="24"/>
          <w:highlight w:val="none"/>
          <w:lang w:val="en"/>
        </w:rPr>
        <w:t>℃</w:t>
      </w:r>
      <w:r>
        <w:rPr>
          <w:rFonts w:hint="eastAsia" w:ascii="宋体" w:hAnsi="宋体" w:eastAsia="宋体" w:cs="宋体"/>
          <w:color w:val="auto"/>
          <w:sz w:val="24"/>
          <w:highlight w:val="none"/>
        </w:rPr>
        <w:t>；</w:t>
      </w:r>
    </w:p>
    <w:p w14:paraId="5C0EC071">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精度：±2</w:t>
      </w:r>
      <w:r>
        <w:rPr>
          <w:rFonts w:hint="eastAsia" w:ascii="宋体" w:hAnsi="宋体" w:eastAsia="宋体" w:cs="宋体"/>
          <w:color w:val="auto"/>
          <w:sz w:val="24"/>
          <w:highlight w:val="none"/>
          <w:lang w:val="en"/>
        </w:rPr>
        <w:t>℃</w:t>
      </w:r>
      <w:r>
        <w:rPr>
          <w:rFonts w:hint="eastAsia" w:ascii="宋体" w:hAnsi="宋体" w:eastAsia="宋体" w:cs="宋体"/>
          <w:color w:val="auto"/>
          <w:sz w:val="24"/>
          <w:highlight w:val="none"/>
        </w:rPr>
        <w:t>（0~30m/s）；</w:t>
      </w:r>
    </w:p>
    <w:p w14:paraId="3A1E64D7">
      <w:pPr>
        <w:spacing w:line="44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3、站房及辅助设施技术要求</w:t>
      </w:r>
    </w:p>
    <w:p w14:paraId="46D527DC">
      <w:pPr>
        <w:widowControl/>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（1）必须是密闭性较好；</w:t>
      </w:r>
    </w:p>
    <w:p w14:paraId="035B58DF">
      <w:pPr>
        <w:widowControl/>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（2）采用无窗或双层密封窗结构，墙体应有较好的保温性能；</w:t>
      </w:r>
    </w:p>
    <w:p w14:paraId="55F3CE96">
      <w:pPr>
        <w:widowControl/>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（3）可以控制环境温度和湿度；</w:t>
      </w:r>
    </w:p>
    <w:p w14:paraId="0DFF521D">
      <w:pPr>
        <w:widowControl/>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（4）室内的温度需保持在15-35度；</w:t>
      </w:r>
    </w:p>
    <w:p w14:paraId="5D682989">
      <w:pPr>
        <w:widowControl/>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（5）采样装置抽气风机排气口和监测仪器排气口的位置，应设置在靠近方舱下部的墙壁上，排气口离方舱内地面的距离应保持在20cm 以上。</w:t>
      </w:r>
    </w:p>
    <w:p w14:paraId="14E235D7">
      <w:pPr>
        <w:widowControl/>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（6）需安装空调，1用1备；每台空调的功率不低于1.5匹，具备来电自启动功能；</w:t>
      </w:r>
    </w:p>
    <w:p w14:paraId="0F0167FF">
      <w:pPr>
        <w:widowControl/>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（7）湿度控制在30%-75%，仪器最佳使用湿度为60%，必要时需配置抽湿机，保障运行环境符合要求；</w:t>
      </w:r>
    </w:p>
    <w:p w14:paraId="1DA00B57">
      <w:pPr>
        <w:widowControl/>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（8）需提供稳压电源；</w:t>
      </w:r>
    </w:p>
    <w:p w14:paraId="0DF704A3">
      <w:pPr>
        <w:widowControl/>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（9）接地电阻小于4欧姆；</w:t>
      </w:r>
    </w:p>
    <w:p w14:paraId="30E85D5E">
      <w:pPr>
        <w:widowControl/>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（10）仪器用电需要与照明、空调等分离；</w:t>
      </w:r>
    </w:p>
    <w:p w14:paraId="47BA251A">
      <w:pPr>
        <w:widowControl/>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（11）需做防雷措施，包括感应，电话线防雷；</w:t>
      </w:r>
    </w:p>
    <w:p w14:paraId="770C9785">
      <w:pPr>
        <w:widowControl/>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（12）面积不小于9平方米；</w:t>
      </w:r>
    </w:p>
    <w:p w14:paraId="1E15D6F9">
      <w:pPr>
        <w:widowControl/>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（13）位置尽量接近测量点；</w:t>
      </w:r>
    </w:p>
    <w:p w14:paraId="5A2C5B5D">
      <w:pPr>
        <w:widowControl/>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（14）通过无线或有线方式传输到省中心平台；</w:t>
      </w:r>
    </w:p>
    <w:p w14:paraId="7318CF55">
      <w:pPr>
        <w:widowControl/>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4、全托管运维</w:t>
      </w:r>
    </w:p>
    <w:p w14:paraId="236CCBE6">
      <w:pPr>
        <w:adjustRightInd/>
        <w:spacing w:line="440" w:lineRule="exact"/>
        <w:ind w:firstLine="480" w:firstLineChars="200"/>
        <w:jc w:val="left"/>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中标单位提供专业的运维服务，执行中国生态环境部、中国环境监测总站、浙江省生态环境厅、浙江省生态环境监测中心等单位发布有关环境空气温室气体自动监测的标准、技术规范及考核指标要求，在服务期间按照国家技术规范，科学管理，要及时维修站点系统的故障，更要防范和减少故障，保障仪器运行正常，确保监测数据准确</w:t>
      </w:r>
      <w:r>
        <w:rPr>
          <w:rFonts w:hint="eastAsia" w:ascii="宋体" w:hAnsi="宋体" w:eastAsia="宋体" w:cs="宋体"/>
          <w:bCs/>
          <w:color w:val="auto"/>
          <w:sz w:val="24"/>
          <w:highlight w:val="none"/>
          <w:lang w:eastAsia="zh-CN"/>
        </w:rPr>
        <w:t>。</w:t>
      </w:r>
    </w:p>
    <w:p w14:paraId="4AA8079F">
      <w:pPr>
        <w:adjustRightInd/>
        <w:spacing w:line="440" w:lineRule="exact"/>
        <w:ind w:firstLine="480" w:firstLineChars="200"/>
        <w:jc w:val="left"/>
        <w:rPr>
          <w:rFonts w:hint="eastAsia" w:ascii="宋体" w:hAnsi="宋体" w:eastAsia="宋体" w:cs="宋体"/>
          <w:bCs/>
          <w:color w:val="auto"/>
          <w:sz w:val="24"/>
          <w:highlight w:val="none"/>
          <w:lang w:val="en" w:eastAsia="zh-CN"/>
        </w:rPr>
      </w:pPr>
      <w:r>
        <w:rPr>
          <w:rFonts w:hint="eastAsia" w:ascii="宋体" w:hAnsi="宋体" w:eastAsia="宋体" w:cs="宋体"/>
          <w:bCs/>
          <w:color w:val="auto"/>
          <w:sz w:val="24"/>
          <w:highlight w:val="none"/>
        </w:rPr>
        <w:t>按照总站印发的《环境空气温室气体及其示踪物（CO</w:t>
      </w:r>
      <w:r>
        <w:rPr>
          <w:rFonts w:hint="eastAsia" w:ascii="宋体" w:hAnsi="宋体" w:eastAsia="宋体" w:cs="宋体"/>
          <w:bCs/>
          <w:color w:val="auto"/>
          <w:sz w:val="24"/>
          <w:highlight w:val="none"/>
          <w:vertAlign w:val="subscript"/>
        </w:rPr>
        <w:t>2</w:t>
      </w:r>
      <w:r>
        <w:rPr>
          <w:rFonts w:hint="eastAsia" w:ascii="宋体" w:hAnsi="宋体" w:eastAsia="宋体" w:cs="宋体"/>
          <w:bCs/>
          <w:color w:val="auto"/>
          <w:sz w:val="24"/>
          <w:highlight w:val="none"/>
        </w:rPr>
        <w:t>、CH</w:t>
      </w:r>
      <w:r>
        <w:rPr>
          <w:rFonts w:hint="eastAsia" w:ascii="宋体" w:hAnsi="宋体" w:eastAsia="宋体" w:cs="宋体"/>
          <w:bCs/>
          <w:color w:val="auto"/>
          <w:sz w:val="24"/>
          <w:highlight w:val="none"/>
          <w:vertAlign w:val="subscript"/>
        </w:rPr>
        <w:t>4</w:t>
      </w:r>
      <w:r>
        <w:rPr>
          <w:rFonts w:hint="eastAsia" w:ascii="宋体" w:hAnsi="宋体" w:eastAsia="宋体" w:cs="宋体"/>
          <w:bCs/>
          <w:color w:val="auto"/>
          <w:sz w:val="24"/>
          <w:highlight w:val="none"/>
        </w:rPr>
        <w:t>、N</w:t>
      </w:r>
      <w:r>
        <w:rPr>
          <w:rFonts w:hint="eastAsia" w:ascii="宋体" w:hAnsi="宋体" w:eastAsia="宋体" w:cs="宋体"/>
          <w:bCs/>
          <w:color w:val="auto"/>
          <w:sz w:val="24"/>
          <w:highlight w:val="none"/>
          <w:vertAlign w:val="subscript"/>
        </w:rPr>
        <w:t>2</w:t>
      </w:r>
      <w:r>
        <w:rPr>
          <w:rFonts w:hint="eastAsia" w:ascii="宋体" w:hAnsi="宋体" w:eastAsia="宋体" w:cs="宋体"/>
          <w:bCs/>
          <w:color w:val="auto"/>
          <w:sz w:val="24"/>
          <w:highlight w:val="none"/>
        </w:rPr>
        <w:t>O 和 CO）光腔衰荡光谱法连续自动监测系统运行和质控技术指南》《大气温室气体监测数据审核工作方案》执行</w:t>
      </w:r>
      <w:r>
        <w:rPr>
          <w:rFonts w:hint="eastAsia" w:ascii="宋体" w:hAnsi="宋体" w:eastAsia="宋体" w:cs="宋体"/>
          <w:bCs/>
          <w:color w:val="auto"/>
          <w:sz w:val="24"/>
          <w:highlight w:val="none"/>
          <w:lang w:eastAsia="zh-CN"/>
        </w:rPr>
        <w:t>。</w:t>
      </w:r>
    </w:p>
    <w:p w14:paraId="2D24F0DA">
      <w:pPr>
        <w:pStyle w:val="259"/>
        <w:adjustRightInd/>
        <w:spacing w:line="440" w:lineRule="exact"/>
        <w:ind w:left="420" w:leftChars="200" w:firstLine="0" w:firstLineChars="0"/>
        <w:jc w:val="left"/>
        <w:rPr>
          <w:rFonts w:hint="eastAsia" w:ascii="宋体" w:hAnsi="宋体" w:eastAsia="宋体" w:cs="宋体"/>
          <w:b/>
          <w:bCs/>
          <w:color w:val="auto"/>
          <w:highlight w:val="none"/>
          <w:lang w:bidi="ar"/>
        </w:rPr>
      </w:pPr>
      <w:r>
        <w:rPr>
          <w:rFonts w:hint="eastAsia" w:ascii="宋体" w:hAnsi="宋体" w:eastAsia="宋体" w:cs="宋体"/>
          <w:b/>
          <w:bCs/>
          <w:color w:val="auto"/>
          <w:highlight w:val="none"/>
          <w:lang w:bidi="ar"/>
        </w:rPr>
        <w:t>（1）日常维护</w:t>
      </w:r>
    </w:p>
    <w:p w14:paraId="69E88F9E">
      <w:pPr>
        <w:adjustRightInd/>
        <w:spacing w:line="44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温室气体高精度监测设备运维人员每日通过专用电脑及账号远程查看各台站前24小时观测数据，查看数据质量，判断仪器运行状态，发现问题立即前往现场解决并做相应记录。</w:t>
      </w:r>
    </w:p>
    <w:p w14:paraId="238F18A1">
      <w:pPr>
        <w:pStyle w:val="259"/>
        <w:adjustRightInd/>
        <w:spacing w:line="440" w:lineRule="exact"/>
        <w:ind w:left="420" w:leftChars="200" w:firstLine="0" w:firstLineChars="0"/>
        <w:jc w:val="left"/>
        <w:rPr>
          <w:rFonts w:hint="eastAsia" w:ascii="宋体" w:hAnsi="宋体" w:eastAsia="宋体" w:cs="宋体"/>
          <w:b/>
          <w:bCs/>
          <w:color w:val="auto"/>
          <w:highlight w:val="none"/>
          <w:lang w:bidi="ar"/>
        </w:rPr>
      </w:pPr>
      <w:r>
        <w:rPr>
          <w:rFonts w:hint="eastAsia" w:ascii="宋体" w:hAnsi="宋体" w:eastAsia="宋体" w:cs="宋体"/>
          <w:b/>
          <w:bCs/>
          <w:color w:val="auto"/>
          <w:highlight w:val="none"/>
          <w:lang w:bidi="ar"/>
        </w:rPr>
        <w:t>（2）周维护</w:t>
      </w:r>
    </w:p>
    <w:p w14:paraId="631C9375">
      <w:pPr>
        <w:adjustRightInd/>
        <w:spacing w:line="44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检查标准气钢瓶阀门是否漏气，标准气的消耗情况，并详细记录。</w:t>
      </w:r>
    </w:p>
    <w:p w14:paraId="23E7A757">
      <w:pPr>
        <w:adjustRightInd/>
        <w:spacing w:line="44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检查采样和排气管路是否有漏气或堵塞现象以及监测仪器采样流量是否正常。清洗各监测仪器风扇过滤器。</w:t>
      </w:r>
    </w:p>
    <w:p w14:paraId="6AD24CCD">
      <w:pPr>
        <w:adjustRightInd/>
        <w:spacing w:line="44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检查监测仪器的采样入口与采样支路管线结合部之间安装的过滤膜的污染情况，若发现过滤膜明显污染应及时更换。</w:t>
      </w:r>
    </w:p>
    <w:p w14:paraId="4C3B2C7B">
      <w:pPr>
        <w:adjustRightInd/>
        <w:spacing w:line="44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检查监测仪器的运行状况和工作状态参数是否正常，填写维护记录表。</w:t>
      </w:r>
    </w:p>
    <w:p w14:paraId="44DA312C">
      <w:pPr>
        <w:adjustRightInd/>
        <w:spacing w:line="44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对监测仪器时钟和计算机时钟进行同步设置，确保各仪器时钟误差小于30s。</w:t>
      </w:r>
    </w:p>
    <w:p w14:paraId="43A99572">
      <w:pPr>
        <w:pStyle w:val="259"/>
        <w:adjustRightInd/>
        <w:spacing w:line="440" w:lineRule="exact"/>
        <w:ind w:left="420" w:leftChars="200" w:firstLine="0" w:firstLineChars="0"/>
        <w:jc w:val="left"/>
        <w:rPr>
          <w:rFonts w:hint="eastAsia" w:ascii="宋体" w:hAnsi="宋体" w:eastAsia="宋体" w:cs="宋体"/>
          <w:b/>
          <w:bCs/>
          <w:color w:val="auto"/>
          <w:highlight w:val="none"/>
          <w:lang w:bidi="ar"/>
        </w:rPr>
      </w:pPr>
      <w:r>
        <w:rPr>
          <w:rFonts w:hint="eastAsia" w:ascii="宋体" w:hAnsi="宋体" w:eastAsia="宋体" w:cs="宋体"/>
          <w:b/>
          <w:bCs/>
          <w:color w:val="auto"/>
          <w:highlight w:val="none"/>
          <w:lang w:bidi="ar"/>
        </w:rPr>
        <w:t>（3）月度维护内容</w:t>
      </w:r>
    </w:p>
    <w:p w14:paraId="77D6FF2E">
      <w:pPr>
        <w:adjustRightInd/>
        <w:spacing w:line="44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对温室气体分析仪进行清洁，更换相应的仪器配件。</w:t>
      </w:r>
    </w:p>
    <w:p w14:paraId="3B4F4504">
      <w:pPr>
        <w:adjustRightInd/>
        <w:spacing w:line="44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清洁站房内及采样区各种仪器设备的风扇过滤器、过滤网、采样头、切割头等部位。</w:t>
      </w:r>
    </w:p>
    <w:p w14:paraId="2B15402E">
      <w:pPr>
        <w:adjustRightInd/>
        <w:spacing w:line="44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检查站房内部辅助设备运行情况。</w:t>
      </w:r>
    </w:p>
    <w:p w14:paraId="7EABCC63">
      <w:pPr>
        <w:pStyle w:val="259"/>
        <w:adjustRightInd/>
        <w:spacing w:line="440" w:lineRule="exact"/>
        <w:ind w:left="420" w:leftChars="200" w:firstLine="0" w:firstLineChars="0"/>
        <w:jc w:val="left"/>
        <w:rPr>
          <w:rFonts w:hint="eastAsia" w:ascii="宋体" w:hAnsi="宋体" w:eastAsia="宋体" w:cs="宋体"/>
          <w:b/>
          <w:bCs/>
          <w:color w:val="auto"/>
          <w:highlight w:val="none"/>
          <w:lang w:bidi="ar"/>
        </w:rPr>
      </w:pPr>
      <w:r>
        <w:rPr>
          <w:rFonts w:hint="eastAsia" w:ascii="宋体" w:hAnsi="宋体" w:eastAsia="宋体" w:cs="宋体"/>
          <w:b/>
          <w:bCs/>
          <w:color w:val="auto"/>
          <w:highlight w:val="none"/>
          <w:lang w:bidi="ar"/>
        </w:rPr>
        <w:t>（4）半年度维护内容</w:t>
      </w:r>
    </w:p>
    <w:p w14:paraId="19EBECB7">
      <w:pPr>
        <w:adjustRightInd/>
        <w:spacing w:line="44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对气体分析仪进行精密度检查。</w:t>
      </w:r>
    </w:p>
    <w:p w14:paraId="7C631861">
      <w:pPr>
        <w:adjustRightInd/>
        <w:spacing w:line="44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温室气体仪器校准、密闭性检查，填写相应记录表。</w:t>
      </w:r>
    </w:p>
    <w:p w14:paraId="2D59C47F">
      <w:pPr>
        <w:adjustRightInd/>
        <w:spacing w:line="44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提交半年度运维记录表、故障记录表、维修记录表等</w:t>
      </w:r>
    </w:p>
    <w:p w14:paraId="7ABA0C48">
      <w:pPr>
        <w:adjustRightInd/>
        <w:spacing w:line="44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在10个工作日内出具年度维护报告。</w:t>
      </w:r>
    </w:p>
    <w:p w14:paraId="24F92615">
      <w:pPr>
        <w:pStyle w:val="259"/>
        <w:adjustRightInd/>
        <w:spacing w:line="440" w:lineRule="exact"/>
        <w:ind w:left="420" w:leftChars="200" w:firstLine="0" w:firstLineChars="0"/>
        <w:jc w:val="left"/>
        <w:rPr>
          <w:rFonts w:hint="eastAsia" w:ascii="宋体" w:hAnsi="宋体" w:eastAsia="宋体" w:cs="宋体"/>
          <w:b/>
          <w:bCs/>
          <w:color w:val="auto"/>
          <w:highlight w:val="none"/>
          <w:lang w:bidi="ar"/>
        </w:rPr>
      </w:pPr>
      <w:r>
        <w:rPr>
          <w:rFonts w:hint="eastAsia" w:ascii="宋体" w:hAnsi="宋体" w:eastAsia="宋体" w:cs="宋体"/>
          <w:b/>
          <w:bCs/>
          <w:color w:val="auto"/>
          <w:highlight w:val="none"/>
          <w:lang w:bidi="ar"/>
        </w:rPr>
        <w:t>（5）年度维护内容</w:t>
      </w:r>
    </w:p>
    <w:p w14:paraId="3E95A6A9">
      <w:pPr>
        <w:adjustRightInd/>
        <w:spacing w:line="44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对温室气体仪器进行多点校准。</w:t>
      </w:r>
    </w:p>
    <w:p w14:paraId="20A104F7">
      <w:pPr>
        <w:adjustRightInd/>
        <w:spacing w:line="44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对采样管路进行气密性排查、耗材更换。</w:t>
      </w:r>
    </w:p>
    <w:p w14:paraId="6221A288">
      <w:pPr>
        <w:adjustRightInd/>
        <w:spacing w:line="44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按照《环境空气温室气体及其示踪物（</w:t>
      </w:r>
      <w:r>
        <w:rPr>
          <w:rFonts w:hint="eastAsia" w:ascii="宋体" w:hAnsi="宋体" w:eastAsia="宋体" w:cs="宋体"/>
          <w:color w:val="auto"/>
          <w:sz w:val="24"/>
          <w:highlight w:val="none"/>
        </w:rPr>
        <w:t>CO</w:t>
      </w:r>
      <w:r>
        <w:rPr>
          <w:rFonts w:hint="eastAsia" w:ascii="宋体" w:hAnsi="宋体" w:eastAsia="宋体" w:cs="宋体"/>
          <w:color w:val="auto"/>
          <w:sz w:val="24"/>
          <w:highlight w:val="none"/>
          <w:vertAlign w:val="subscript"/>
        </w:rPr>
        <w:t>2</w:t>
      </w:r>
      <w:r>
        <w:rPr>
          <w:rFonts w:hint="eastAsia" w:ascii="宋体" w:hAnsi="宋体" w:eastAsia="宋体" w:cs="宋体"/>
          <w:bCs/>
          <w:color w:val="auto"/>
          <w:sz w:val="24"/>
          <w:highlight w:val="none"/>
        </w:rPr>
        <w:t>、</w:t>
      </w:r>
      <w:r>
        <w:rPr>
          <w:rFonts w:hint="eastAsia" w:ascii="宋体" w:hAnsi="宋体" w:eastAsia="宋体" w:cs="宋体"/>
          <w:color w:val="auto"/>
          <w:kern w:val="0"/>
          <w:sz w:val="24"/>
          <w:highlight w:val="none"/>
          <w:lang w:bidi="ar"/>
        </w:rPr>
        <w:t>CH</w:t>
      </w:r>
      <w:r>
        <w:rPr>
          <w:rFonts w:hint="eastAsia" w:ascii="宋体" w:hAnsi="宋体" w:eastAsia="宋体" w:cs="宋体"/>
          <w:color w:val="auto"/>
          <w:kern w:val="0"/>
          <w:sz w:val="24"/>
          <w:highlight w:val="none"/>
          <w:vertAlign w:val="subscript"/>
          <w:lang w:bidi="ar"/>
        </w:rPr>
        <w:t>4</w:t>
      </w:r>
      <w:r>
        <w:rPr>
          <w:rFonts w:hint="eastAsia" w:ascii="宋体" w:hAnsi="宋体" w:eastAsia="宋体" w:cs="宋体"/>
          <w:bCs/>
          <w:color w:val="auto"/>
          <w:sz w:val="24"/>
          <w:highlight w:val="none"/>
        </w:rPr>
        <w:t>、N</w:t>
      </w:r>
      <w:r>
        <w:rPr>
          <w:rFonts w:hint="eastAsia" w:ascii="宋体" w:hAnsi="宋体" w:eastAsia="宋体" w:cs="宋体"/>
          <w:bCs/>
          <w:color w:val="auto"/>
          <w:sz w:val="24"/>
          <w:highlight w:val="none"/>
          <w:vertAlign w:val="subscript"/>
        </w:rPr>
        <w:t>2</w:t>
      </w:r>
      <w:r>
        <w:rPr>
          <w:rFonts w:hint="eastAsia" w:ascii="宋体" w:hAnsi="宋体" w:eastAsia="宋体" w:cs="宋体"/>
          <w:bCs/>
          <w:color w:val="auto"/>
          <w:sz w:val="24"/>
          <w:highlight w:val="none"/>
        </w:rPr>
        <w:t>O和 CO）光腔衰荡光谱法连续自动监测系统运行和质控技术指南》对仪器进行年度性能审核，包括精密度、准确度、可比性、前处理影响。</w:t>
      </w:r>
    </w:p>
    <w:p w14:paraId="0E3A9024">
      <w:pPr>
        <w:adjustRightInd/>
        <w:spacing w:line="44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清洗所有仪器采样总管，清洗后进行检漏测试。</w:t>
      </w:r>
    </w:p>
    <w:p w14:paraId="3792DE0A">
      <w:pPr>
        <w:adjustRightInd/>
        <w:spacing w:line="44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完成仪器重要部件（如电光部件和光学部件等）后，对仪器重新进行多点校准和检查。</w:t>
      </w:r>
    </w:p>
    <w:p w14:paraId="53C0FB16">
      <w:pPr>
        <w:adjustRightInd/>
        <w:spacing w:line="44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对标准气体，辅助校准设备开展量值溯源工作。</w:t>
      </w:r>
    </w:p>
    <w:p w14:paraId="1B00B4B0">
      <w:pPr>
        <w:adjustRightInd/>
        <w:spacing w:line="440" w:lineRule="exact"/>
        <w:ind w:firstLine="480" w:firstLineChars="200"/>
        <w:jc w:val="left"/>
        <w:rPr>
          <w:rFonts w:hint="eastAsia" w:ascii="宋体" w:hAnsi="宋体" w:eastAsia="宋体" w:cs="宋体"/>
          <w:bCs/>
          <w:color w:val="auto"/>
          <w:sz w:val="24"/>
          <w:highlight w:val="none"/>
        </w:rPr>
      </w:pPr>
      <w:bookmarkStart w:id="62" w:name="OLE_LINK5"/>
      <w:r>
        <w:rPr>
          <w:rFonts w:hint="eastAsia" w:ascii="宋体" w:hAnsi="宋体" w:eastAsia="宋体" w:cs="宋体"/>
          <w:bCs/>
          <w:color w:val="auto"/>
          <w:sz w:val="24"/>
          <w:highlight w:val="none"/>
        </w:rPr>
        <w:t>在10个工作日内出具年度维护报告。</w:t>
      </w:r>
    </w:p>
    <w:p w14:paraId="335E31B8">
      <w:pPr>
        <w:pStyle w:val="259"/>
        <w:adjustRightInd/>
        <w:spacing w:line="440" w:lineRule="exact"/>
        <w:ind w:left="420" w:leftChars="200" w:firstLine="0" w:firstLineChars="0"/>
        <w:jc w:val="left"/>
        <w:rPr>
          <w:rFonts w:hint="eastAsia" w:ascii="宋体" w:hAnsi="宋体" w:eastAsia="宋体" w:cs="宋体"/>
          <w:b/>
          <w:bCs/>
          <w:color w:val="auto"/>
          <w:highlight w:val="none"/>
          <w:lang w:bidi="ar"/>
        </w:rPr>
      </w:pPr>
      <w:r>
        <w:rPr>
          <w:rFonts w:hint="eastAsia" w:ascii="宋体" w:hAnsi="宋体" w:eastAsia="宋体" w:cs="宋体"/>
          <w:b/>
          <w:bCs/>
          <w:color w:val="auto"/>
          <w:highlight w:val="none"/>
          <w:lang w:bidi="ar"/>
        </w:rPr>
        <w:t>（6）运营服务成果要求</w:t>
      </w:r>
    </w:p>
    <w:p w14:paraId="1D22F93D">
      <w:pPr>
        <w:adjustRightInd/>
        <w:spacing w:line="44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认真、及时做好各类记录，以月总结的形式报甲方，书面报告作为运行维护考核依据之一，包括：</w:t>
      </w:r>
    </w:p>
    <w:p w14:paraId="7CFFA4E6">
      <w:pPr>
        <w:numPr>
          <w:ilvl w:val="0"/>
          <w:numId w:val="1"/>
        </w:numPr>
        <w:adjustRightInd/>
        <w:spacing w:line="440" w:lineRule="exact"/>
        <w:ind w:left="0"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每日远程监控记录表</w:t>
      </w:r>
    </w:p>
    <w:p w14:paraId="5990C4EA">
      <w:pPr>
        <w:numPr>
          <w:ilvl w:val="0"/>
          <w:numId w:val="1"/>
        </w:numPr>
        <w:adjustRightInd/>
        <w:spacing w:line="440" w:lineRule="exact"/>
        <w:ind w:left="0"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每周巡视结果记录表</w:t>
      </w:r>
    </w:p>
    <w:p w14:paraId="4037234B">
      <w:pPr>
        <w:numPr>
          <w:ilvl w:val="0"/>
          <w:numId w:val="1"/>
        </w:numPr>
        <w:adjustRightInd/>
        <w:spacing w:line="440" w:lineRule="exact"/>
        <w:ind w:left="0"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仪器设备维护记录表</w:t>
      </w:r>
    </w:p>
    <w:p w14:paraId="2CD65373">
      <w:pPr>
        <w:numPr>
          <w:ilvl w:val="0"/>
          <w:numId w:val="1"/>
        </w:numPr>
        <w:adjustRightInd/>
        <w:spacing w:line="440" w:lineRule="exact"/>
        <w:ind w:left="0"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备件耗材更换记录表</w:t>
      </w:r>
    </w:p>
    <w:p w14:paraId="37BC4A86">
      <w:pPr>
        <w:numPr>
          <w:ilvl w:val="0"/>
          <w:numId w:val="1"/>
        </w:numPr>
        <w:adjustRightInd/>
        <w:spacing w:line="440" w:lineRule="exact"/>
        <w:ind w:left="0"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故障处理申报表</w:t>
      </w:r>
    </w:p>
    <w:p w14:paraId="3F816CD4">
      <w:pPr>
        <w:numPr>
          <w:ilvl w:val="0"/>
          <w:numId w:val="1"/>
        </w:numPr>
        <w:adjustRightInd/>
        <w:spacing w:line="440" w:lineRule="exact"/>
        <w:ind w:left="0"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质控检查结果记录表</w:t>
      </w:r>
    </w:p>
    <w:p w14:paraId="617B5246">
      <w:pPr>
        <w:numPr>
          <w:ilvl w:val="0"/>
          <w:numId w:val="1"/>
        </w:numPr>
        <w:adjustRightInd/>
        <w:spacing w:line="440" w:lineRule="exact"/>
        <w:ind w:left="0"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月度自动监测数据统计表</w:t>
      </w:r>
    </w:p>
    <w:p w14:paraId="71BA4493">
      <w:pPr>
        <w:adjustRightInd/>
        <w:spacing w:line="440" w:lineRule="exact"/>
        <w:ind w:firstLine="480" w:firstLineChars="200"/>
        <w:jc w:val="left"/>
        <w:rPr>
          <w:rFonts w:hint="eastAsia" w:ascii="宋体" w:hAnsi="宋体" w:eastAsia="宋体" w:cs="宋体"/>
          <w:color w:val="auto"/>
          <w:sz w:val="22"/>
          <w:szCs w:val="22"/>
          <w:highlight w:val="none"/>
        </w:rPr>
      </w:pPr>
      <w:r>
        <w:rPr>
          <w:rFonts w:hint="eastAsia" w:ascii="宋体" w:hAnsi="宋体" w:eastAsia="宋体" w:cs="宋体"/>
          <w:bCs/>
          <w:color w:val="auto"/>
          <w:sz w:val="24"/>
          <w:highlight w:val="none"/>
        </w:rPr>
        <w:t>每年维护结束后10日内提交年度维护报告。（含各子站整体运行状况、故障处理与原因分析、故障预防措施、异常监测数据分析等内容）</w:t>
      </w:r>
      <w:r>
        <w:rPr>
          <w:rFonts w:hint="eastAsia" w:ascii="宋体" w:hAnsi="宋体" w:eastAsia="宋体" w:cs="宋体"/>
          <w:color w:val="auto"/>
          <w:sz w:val="22"/>
          <w:szCs w:val="22"/>
          <w:highlight w:val="none"/>
        </w:rPr>
        <w:t>。</w:t>
      </w:r>
    </w:p>
    <w:bookmarkEnd w:id="62"/>
    <w:p w14:paraId="2CBC483E">
      <w:pPr>
        <w:pStyle w:val="259"/>
        <w:adjustRightInd/>
        <w:spacing w:line="440" w:lineRule="exact"/>
        <w:ind w:left="420" w:leftChars="200" w:firstLine="0" w:firstLineChars="0"/>
        <w:jc w:val="left"/>
        <w:rPr>
          <w:rFonts w:hint="eastAsia" w:ascii="宋体" w:hAnsi="宋体" w:eastAsia="宋体" w:cs="宋体"/>
          <w:b/>
          <w:bCs/>
          <w:color w:val="auto"/>
          <w:highlight w:val="none"/>
          <w:lang w:bidi="ar"/>
        </w:rPr>
      </w:pPr>
      <w:r>
        <w:rPr>
          <w:rFonts w:hint="eastAsia" w:ascii="宋体" w:hAnsi="宋体" w:eastAsia="宋体" w:cs="宋体"/>
          <w:b/>
          <w:bCs/>
          <w:color w:val="auto"/>
          <w:highlight w:val="none"/>
          <w:lang w:bidi="ar"/>
        </w:rPr>
        <w:t xml:space="preserve">（7）运维工作目标 </w:t>
      </w:r>
    </w:p>
    <w:p w14:paraId="4FDAD34E">
      <w:pPr>
        <w:adjustRightInd/>
        <w:spacing w:line="44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投标人应按安全生产有关规定，建立安全生产制度，切实消除安全隐患。确保提供及时、准确、有效的监测数据，站点位的运行质量应达到以下指标： </w:t>
      </w:r>
    </w:p>
    <w:p w14:paraId="51DC9C97">
      <w:pPr>
        <w:numPr>
          <w:ilvl w:val="0"/>
          <w:numId w:val="1"/>
        </w:numPr>
        <w:adjustRightInd/>
        <w:spacing w:line="440" w:lineRule="exact"/>
        <w:ind w:left="0"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获取的各项指标的有效监测数据获取率达到80%（以小时值计）以上； </w:t>
      </w:r>
    </w:p>
    <w:p w14:paraId="5991E7A1">
      <w:pPr>
        <w:numPr>
          <w:ilvl w:val="0"/>
          <w:numId w:val="1"/>
        </w:numPr>
        <w:adjustRightInd/>
        <w:spacing w:line="440" w:lineRule="exact"/>
        <w:ind w:left="0"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运维任务完成率 100%； </w:t>
      </w:r>
    </w:p>
    <w:p w14:paraId="531E43D5">
      <w:pPr>
        <w:numPr>
          <w:ilvl w:val="0"/>
          <w:numId w:val="1"/>
        </w:numPr>
        <w:adjustRightInd/>
        <w:spacing w:line="440" w:lineRule="exact"/>
        <w:ind w:left="0"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异常情况处理率 100%。</w:t>
      </w:r>
    </w:p>
    <w:p w14:paraId="023E3A6F">
      <w:pPr>
        <w:pStyle w:val="259"/>
        <w:adjustRightInd/>
        <w:spacing w:line="440" w:lineRule="exact"/>
        <w:ind w:left="420" w:leftChars="200" w:firstLine="0" w:firstLineChars="0"/>
        <w:jc w:val="left"/>
        <w:rPr>
          <w:rFonts w:hint="eastAsia" w:ascii="宋体" w:hAnsi="宋体" w:eastAsia="宋体" w:cs="宋体"/>
          <w:b/>
          <w:bCs/>
          <w:color w:val="auto"/>
          <w:highlight w:val="none"/>
          <w:lang w:bidi="ar"/>
        </w:rPr>
      </w:pPr>
      <w:r>
        <w:rPr>
          <w:rFonts w:hint="eastAsia" w:ascii="宋体" w:hAnsi="宋体" w:eastAsia="宋体" w:cs="宋体"/>
          <w:b/>
          <w:bCs/>
          <w:color w:val="auto"/>
          <w:highlight w:val="none"/>
          <w:lang w:bidi="ar"/>
        </w:rPr>
        <w:t>（8）考核办法</w:t>
      </w:r>
    </w:p>
    <w:p w14:paraId="45C16566">
      <w:pPr>
        <w:adjustRightInd/>
        <w:spacing w:line="440" w:lineRule="exact"/>
        <w:ind w:firstLine="480" w:firstLineChars="20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为规范温室气体自动监测系统的运行维护工作，确保自动监测系统长期、正常、稳定运行，根据《环境空气质量监测规范（试行）》、《国家环境空气质量监测城市自动监测站运行管理暂行规定》以及《浙江省环境自动监测监控系统技术规范》等国家、省相关文件和技术规范有关要求，结合温州市环境空气自动监测管理工作的实际情况，制定考核办法。主要考核中标单位运维情况（包括资质水平、备品配件、运维能力、管理制度等）和运维站点运维质量。</w:t>
      </w:r>
    </w:p>
    <w:p w14:paraId="45357AB5">
      <w:pPr>
        <w:pStyle w:val="259"/>
        <w:numPr>
          <w:ilvl w:val="0"/>
          <w:numId w:val="2"/>
        </w:numPr>
        <w:adjustRightInd/>
        <w:spacing w:line="440" w:lineRule="exact"/>
        <w:ind w:left="0" w:firstLine="480"/>
        <w:jc w:val="left"/>
        <w:rPr>
          <w:rFonts w:hint="eastAsia" w:ascii="宋体" w:hAnsi="宋体" w:eastAsia="宋体" w:cs="宋体"/>
          <w:color w:val="auto"/>
          <w:highlight w:val="none"/>
          <w:lang w:bidi="ar"/>
        </w:rPr>
      </w:pPr>
      <w:r>
        <w:rPr>
          <w:rFonts w:hint="eastAsia" w:ascii="宋体" w:hAnsi="宋体" w:eastAsia="宋体" w:cs="宋体"/>
          <w:color w:val="auto"/>
          <w:highlight w:val="none"/>
          <w:lang w:bidi="ar"/>
        </w:rPr>
        <w:t>考核由委托方组织实施，采取年度考核打分的方式。</w:t>
      </w:r>
    </w:p>
    <w:p w14:paraId="22340AEF">
      <w:pPr>
        <w:pStyle w:val="259"/>
        <w:numPr>
          <w:ilvl w:val="0"/>
          <w:numId w:val="2"/>
        </w:numPr>
        <w:adjustRightInd/>
        <w:spacing w:line="440" w:lineRule="exact"/>
        <w:ind w:left="0" w:firstLine="480"/>
        <w:jc w:val="left"/>
        <w:rPr>
          <w:rFonts w:hint="eastAsia" w:ascii="宋体" w:hAnsi="宋体" w:eastAsia="宋体" w:cs="宋体"/>
          <w:color w:val="auto"/>
          <w:highlight w:val="none"/>
          <w:lang w:bidi="ar"/>
        </w:rPr>
      </w:pPr>
      <w:r>
        <w:rPr>
          <w:rFonts w:hint="eastAsia" w:ascii="宋体" w:hAnsi="宋体" w:eastAsia="宋体" w:cs="宋体"/>
          <w:color w:val="auto"/>
          <w:highlight w:val="none"/>
          <w:lang w:bidi="ar"/>
        </w:rPr>
        <w:t>考核主要按附件《考核综合评议表》进行打分。</w:t>
      </w:r>
    </w:p>
    <w:p w14:paraId="4201E73A">
      <w:pPr>
        <w:pStyle w:val="259"/>
        <w:numPr>
          <w:ilvl w:val="0"/>
          <w:numId w:val="2"/>
        </w:numPr>
        <w:adjustRightInd/>
        <w:spacing w:line="440" w:lineRule="exact"/>
        <w:ind w:left="0" w:firstLine="480"/>
        <w:jc w:val="left"/>
        <w:rPr>
          <w:rFonts w:hint="eastAsia" w:ascii="宋体" w:hAnsi="宋体" w:eastAsia="宋体" w:cs="宋体"/>
          <w:color w:val="auto"/>
          <w:highlight w:val="none"/>
          <w:lang w:bidi="ar"/>
        </w:rPr>
      </w:pPr>
      <w:r>
        <w:rPr>
          <w:rFonts w:hint="eastAsia" w:ascii="宋体" w:hAnsi="宋体" w:eastAsia="宋体" w:cs="宋体"/>
          <w:color w:val="auto"/>
          <w:highlight w:val="none"/>
          <w:lang w:bidi="ar"/>
        </w:rPr>
        <w:t>一旦发现虚假数据或人为干扰采样，采购人有权终止合同，中标供应商退还采购人已支付的款项。</w:t>
      </w:r>
    </w:p>
    <w:p w14:paraId="097BE427">
      <w:pPr>
        <w:pStyle w:val="259"/>
        <w:numPr>
          <w:ilvl w:val="0"/>
          <w:numId w:val="2"/>
        </w:numPr>
        <w:adjustRightInd/>
        <w:spacing w:line="440" w:lineRule="exact"/>
        <w:ind w:left="0" w:firstLine="480"/>
        <w:jc w:val="left"/>
        <w:rPr>
          <w:rFonts w:hint="eastAsia" w:ascii="宋体" w:hAnsi="宋体" w:eastAsia="宋体" w:cs="宋体"/>
          <w:color w:val="auto"/>
          <w:highlight w:val="none"/>
          <w:lang w:bidi="ar"/>
        </w:rPr>
      </w:pPr>
      <w:r>
        <w:rPr>
          <w:rFonts w:hint="eastAsia" w:ascii="宋体" w:hAnsi="宋体" w:eastAsia="宋体" w:cs="宋体"/>
          <w:color w:val="auto"/>
          <w:highlight w:val="none"/>
          <w:lang w:bidi="ar"/>
        </w:rPr>
        <w:t>年度有效数据获取率根据浙江省生态环境监测管理系统导出数据的日平均值作为统计依据进行计算。</w:t>
      </w:r>
    </w:p>
    <w:p w14:paraId="353DFC84">
      <w:pPr>
        <w:pStyle w:val="259"/>
        <w:numPr>
          <w:ilvl w:val="0"/>
          <w:numId w:val="2"/>
        </w:numPr>
        <w:adjustRightInd/>
        <w:spacing w:line="440" w:lineRule="exact"/>
        <w:ind w:left="0" w:firstLine="480"/>
        <w:jc w:val="left"/>
        <w:rPr>
          <w:rFonts w:hint="eastAsia" w:ascii="宋体" w:hAnsi="宋体" w:eastAsia="宋体" w:cs="宋体"/>
          <w:strike w:val="0"/>
          <w:color w:val="auto"/>
          <w:highlight w:val="none"/>
          <w:lang w:bidi="ar"/>
        </w:rPr>
      </w:pPr>
      <w:r>
        <w:rPr>
          <w:rFonts w:hint="eastAsia" w:ascii="宋体" w:hAnsi="宋体" w:eastAsia="宋体" w:cs="宋体"/>
          <w:strike w:val="0"/>
          <w:color w:val="auto"/>
          <w:highlight w:val="none"/>
          <w:lang w:bidi="ar"/>
        </w:rPr>
        <w:t>按年度对每个分项单独考核，其中评分在80以上（含）的为合格</w:t>
      </w:r>
      <w:r>
        <w:rPr>
          <w:rFonts w:hint="eastAsia" w:ascii="宋体" w:hAnsi="宋体" w:eastAsia="宋体" w:cs="宋体"/>
          <w:strike w:val="0"/>
          <w:color w:val="auto"/>
          <w:sz w:val="24"/>
          <w:szCs w:val="24"/>
          <w:highlight w:val="none"/>
          <w:lang w:eastAsia="zh-CN" w:bidi="ar"/>
        </w:rPr>
        <w:t>，</w:t>
      </w:r>
      <w:r>
        <w:rPr>
          <w:rFonts w:hint="eastAsia" w:ascii="宋体" w:hAnsi="宋体" w:eastAsia="宋体" w:cs="宋体"/>
          <w:strike w:val="0"/>
          <w:color w:val="auto"/>
          <w:sz w:val="24"/>
          <w:szCs w:val="24"/>
          <w:highlight w:val="none"/>
          <w:lang w:val="en-US" w:eastAsia="zh-CN" w:bidi="ar"/>
        </w:rPr>
        <w:t>可以优先考虑中标单位第二年度运维资格</w:t>
      </w:r>
      <w:r>
        <w:rPr>
          <w:rFonts w:hint="eastAsia" w:ascii="宋体" w:hAnsi="宋体" w:eastAsia="宋体" w:cs="宋体"/>
          <w:strike w:val="0"/>
          <w:color w:val="auto"/>
          <w:highlight w:val="none"/>
          <w:lang w:bidi="ar"/>
        </w:rPr>
        <w:t>。</w:t>
      </w:r>
    </w:p>
    <w:p w14:paraId="71B1D86C">
      <w:pPr>
        <w:pStyle w:val="259"/>
        <w:numPr>
          <w:ilvl w:val="0"/>
          <w:numId w:val="3"/>
        </w:numPr>
        <w:adjustRightInd/>
        <w:spacing w:line="440" w:lineRule="exact"/>
        <w:ind w:left="0" w:firstLine="480"/>
        <w:jc w:val="left"/>
        <w:rPr>
          <w:rFonts w:hint="eastAsia" w:ascii="宋体" w:hAnsi="宋体" w:eastAsia="宋体" w:cs="宋体"/>
          <w:strike w:val="0"/>
          <w:color w:val="auto"/>
          <w:highlight w:val="none"/>
          <w:lang w:bidi="ar"/>
        </w:rPr>
      </w:pPr>
      <w:r>
        <w:rPr>
          <w:rFonts w:hint="eastAsia" w:ascii="宋体" w:hAnsi="宋体" w:eastAsia="宋体" w:cs="宋体"/>
          <w:strike w:val="0"/>
          <w:color w:val="auto"/>
          <w:highlight w:val="none"/>
          <w:lang w:bidi="ar"/>
        </w:rPr>
        <w:t>考核结果在80分以下，</w:t>
      </w:r>
      <w:r>
        <w:rPr>
          <w:rFonts w:hint="eastAsia" w:ascii="宋体" w:hAnsi="宋体" w:eastAsia="宋体" w:cs="宋体"/>
          <w:strike w:val="0"/>
          <w:color w:val="auto"/>
          <w:highlight w:val="none"/>
          <w:lang w:eastAsia="zh-CN" w:bidi="ar"/>
        </w:rPr>
        <w:t>6</w:t>
      </w:r>
      <w:r>
        <w:rPr>
          <w:rFonts w:hint="eastAsia" w:ascii="宋体" w:hAnsi="宋体" w:eastAsia="宋体" w:cs="宋体"/>
          <w:strike w:val="0"/>
          <w:color w:val="auto"/>
          <w:highlight w:val="none"/>
          <w:lang w:bidi="ar"/>
        </w:rPr>
        <w:t>0分以上，警告并责令整改；</w:t>
      </w:r>
    </w:p>
    <w:p w14:paraId="383AF3E7">
      <w:pPr>
        <w:pStyle w:val="259"/>
        <w:numPr>
          <w:ilvl w:val="0"/>
          <w:numId w:val="3"/>
        </w:numPr>
        <w:adjustRightInd/>
        <w:spacing w:line="440" w:lineRule="exact"/>
        <w:ind w:left="0" w:firstLine="480"/>
        <w:jc w:val="left"/>
        <w:rPr>
          <w:rFonts w:hint="eastAsia" w:ascii="宋体" w:hAnsi="宋体" w:eastAsia="宋体" w:cs="宋体"/>
          <w:strike w:val="0"/>
          <w:color w:val="auto"/>
          <w:highlight w:val="none"/>
          <w:lang w:bidi="ar"/>
        </w:rPr>
      </w:pPr>
      <w:r>
        <w:rPr>
          <w:rFonts w:hint="eastAsia" w:ascii="宋体" w:hAnsi="宋体" w:eastAsia="宋体" w:cs="宋体"/>
          <w:strike w:val="0"/>
          <w:color w:val="auto"/>
          <w:highlight w:val="none"/>
          <w:lang w:eastAsia="zh-CN" w:bidi="ar"/>
        </w:rPr>
        <w:t>年度考核</w:t>
      </w:r>
      <w:r>
        <w:rPr>
          <w:rFonts w:hint="eastAsia" w:ascii="宋体" w:hAnsi="宋体" w:eastAsia="宋体" w:cs="宋体"/>
          <w:strike w:val="0"/>
          <w:color w:val="auto"/>
          <w:highlight w:val="none"/>
          <w:lang w:val="en-US" w:eastAsia="zh-CN" w:bidi="ar"/>
        </w:rPr>
        <w:t>60分以下的，取消中标单位第二年度运维资格。</w:t>
      </w:r>
    </w:p>
    <w:p w14:paraId="530D5541">
      <w:pPr>
        <w:pStyle w:val="259"/>
        <w:numPr>
          <w:ilvl w:val="-1"/>
          <w:numId w:val="0"/>
        </w:numPr>
        <w:adjustRightInd/>
        <w:spacing w:line="440" w:lineRule="exact"/>
        <w:ind w:left="420" w:leftChars="200" w:firstLine="0" w:firstLineChars="0"/>
        <w:jc w:val="left"/>
        <w:rPr>
          <w:rFonts w:hint="eastAsia" w:ascii="宋体" w:hAnsi="宋体" w:eastAsia="宋体" w:cs="宋体"/>
          <w:strike w:val="0"/>
          <w:color w:val="auto"/>
          <w:highlight w:val="none"/>
          <w:lang w:bidi="ar"/>
        </w:rPr>
      </w:pPr>
    </w:p>
    <w:p w14:paraId="58D4265A">
      <w:pPr>
        <w:pStyle w:val="259"/>
        <w:adjustRightInd/>
        <w:spacing w:line="480" w:lineRule="exact"/>
        <w:ind w:firstLine="0" w:firstLineChars="0"/>
        <w:jc w:val="left"/>
        <w:rPr>
          <w:rFonts w:hint="eastAsia" w:ascii="宋体" w:hAnsi="宋体" w:eastAsia="宋体" w:cs="宋体"/>
          <w:color w:val="auto"/>
          <w:highlight w:val="none"/>
          <w:lang w:bidi="ar"/>
        </w:rPr>
      </w:pPr>
    </w:p>
    <w:p w14:paraId="4969C36B">
      <w:pPr>
        <w:ind w:firstLine="482"/>
        <w:rPr>
          <w:rFonts w:hint="eastAsia" w:ascii="宋体" w:hAnsi="宋体" w:eastAsia="宋体" w:cs="宋体"/>
          <w:b/>
          <w:bCs/>
          <w:color w:val="auto"/>
          <w:sz w:val="24"/>
          <w:highlight w:val="none"/>
          <w:lang w:bidi="ar"/>
        </w:rPr>
      </w:pPr>
    </w:p>
    <w:p w14:paraId="62198B24">
      <w:pPr>
        <w:ind w:firstLine="482"/>
        <w:rPr>
          <w:rFonts w:hint="eastAsia" w:ascii="宋体" w:hAnsi="宋体" w:eastAsia="宋体" w:cs="宋体"/>
          <w:b/>
          <w:bCs/>
          <w:color w:val="auto"/>
          <w:sz w:val="24"/>
          <w:highlight w:val="none"/>
          <w:lang w:bidi="ar"/>
        </w:rPr>
      </w:pPr>
    </w:p>
    <w:p w14:paraId="5C95F691">
      <w:pPr>
        <w:jc w:val="center"/>
        <w:rPr>
          <w:rFonts w:hint="eastAsia" w:ascii="宋体" w:hAnsi="宋体" w:eastAsia="宋体" w:cs="宋体"/>
          <w:color w:val="auto"/>
          <w:sz w:val="24"/>
          <w:highlight w:val="none"/>
        </w:rPr>
        <w:sectPr>
          <w:footerReference r:id="rId7" w:type="default"/>
          <w:pgSz w:w="11906" w:h="16838"/>
          <w:pgMar w:top="1020" w:right="1800" w:bottom="1440" w:left="1800" w:header="851" w:footer="992" w:gutter="0"/>
          <w:cols w:space="720" w:num="1"/>
          <w:docGrid w:type="lines" w:linePitch="312" w:charSpace="0"/>
        </w:sectPr>
      </w:pPr>
    </w:p>
    <w:p w14:paraId="0A841463">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bidi="ar"/>
        </w:rPr>
        <w:t>考核综合评议表</w:t>
      </w:r>
    </w:p>
    <w:p w14:paraId="3A3E48DD">
      <w:pP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考核站位：                        时间：                  总分： </w:t>
      </w:r>
    </w:p>
    <w:tbl>
      <w:tblPr>
        <w:tblStyle w:val="63"/>
        <w:tblW w:w="9592" w:type="dxa"/>
        <w:tblInd w:w="-484" w:type="dxa"/>
        <w:tblLayout w:type="fixed"/>
        <w:tblCellMar>
          <w:top w:w="0" w:type="dxa"/>
          <w:left w:w="108" w:type="dxa"/>
          <w:bottom w:w="0" w:type="dxa"/>
          <w:right w:w="108" w:type="dxa"/>
        </w:tblCellMar>
      </w:tblPr>
      <w:tblGrid>
        <w:gridCol w:w="763"/>
        <w:gridCol w:w="5270"/>
        <w:gridCol w:w="478"/>
        <w:gridCol w:w="449"/>
        <w:gridCol w:w="2632"/>
      </w:tblGrid>
      <w:tr w14:paraId="6480C4F1">
        <w:tblPrEx>
          <w:tblCellMar>
            <w:top w:w="0" w:type="dxa"/>
            <w:left w:w="108" w:type="dxa"/>
            <w:bottom w:w="0" w:type="dxa"/>
            <w:right w:w="108" w:type="dxa"/>
          </w:tblCellMar>
        </w:tblPrEx>
        <w:trPr>
          <w:trHeight w:val="270" w:hRule="atLeast"/>
        </w:trPr>
        <w:tc>
          <w:tcPr>
            <w:tcW w:w="763" w:type="dxa"/>
            <w:tcBorders>
              <w:top w:val="single" w:color="000000" w:sz="4" w:space="0"/>
              <w:left w:val="single" w:color="000000" w:sz="4" w:space="0"/>
              <w:bottom w:val="single" w:color="000000" w:sz="4" w:space="0"/>
              <w:right w:val="single" w:color="000000" w:sz="4" w:space="0"/>
            </w:tcBorders>
            <w:vAlign w:val="center"/>
          </w:tcPr>
          <w:p w14:paraId="5B17C9D0">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检查</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内容</w:t>
            </w:r>
          </w:p>
        </w:tc>
        <w:tc>
          <w:tcPr>
            <w:tcW w:w="5270" w:type="dxa"/>
            <w:tcBorders>
              <w:top w:val="single" w:color="000000" w:sz="4" w:space="0"/>
              <w:left w:val="single" w:color="000000" w:sz="4" w:space="0"/>
              <w:bottom w:val="single" w:color="000000" w:sz="4" w:space="0"/>
              <w:right w:val="single" w:color="000000" w:sz="4" w:space="0"/>
            </w:tcBorders>
            <w:vAlign w:val="center"/>
          </w:tcPr>
          <w:p w14:paraId="613A0D5A">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 分 标 准</w:t>
            </w:r>
          </w:p>
        </w:tc>
        <w:tc>
          <w:tcPr>
            <w:tcW w:w="478" w:type="dxa"/>
            <w:tcBorders>
              <w:top w:val="single" w:color="000000" w:sz="4" w:space="0"/>
              <w:left w:val="single" w:color="000000" w:sz="4" w:space="0"/>
              <w:bottom w:val="single" w:color="000000" w:sz="4" w:space="0"/>
              <w:right w:val="single" w:color="000000" w:sz="4" w:space="0"/>
            </w:tcBorders>
            <w:vAlign w:val="center"/>
          </w:tcPr>
          <w:p w14:paraId="496997FF">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分值</w:t>
            </w:r>
          </w:p>
        </w:tc>
        <w:tc>
          <w:tcPr>
            <w:tcW w:w="449" w:type="dxa"/>
            <w:tcBorders>
              <w:top w:val="single" w:color="000000" w:sz="4" w:space="0"/>
              <w:left w:val="single" w:color="000000" w:sz="4" w:space="0"/>
              <w:bottom w:val="single" w:color="000000" w:sz="4" w:space="0"/>
              <w:right w:val="single" w:color="000000" w:sz="4" w:space="0"/>
            </w:tcBorders>
            <w:vAlign w:val="center"/>
          </w:tcPr>
          <w:p w14:paraId="63DC854B">
            <w:pPr>
              <w:adjustRightInd/>
              <w:rPr>
                <w:rFonts w:hint="eastAsia" w:ascii="宋体" w:hAnsi="宋体" w:eastAsia="宋体" w:cs="宋体"/>
                <w:color w:val="auto"/>
                <w:szCs w:val="21"/>
                <w:highlight w:val="none"/>
              </w:rPr>
            </w:pPr>
            <w:r>
              <w:rPr>
                <w:rFonts w:hint="eastAsia" w:ascii="宋体" w:hAnsi="宋体" w:eastAsia="宋体" w:cs="宋体"/>
                <w:color w:val="auto"/>
                <w:szCs w:val="21"/>
                <w:highlight w:val="none"/>
              </w:rPr>
              <w:t>得分</w:t>
            </w:r>
          </w:p>
        </w:tc>
        <w:tc>
          <w:tcPr>
            <w:tcW w:w="2632" w:type="dxa"/>
            <w:tcBorders>
              <w:top w:val="single" w:color="000000" w:sz="4" w:space="0"/>
              <w:left w:val="single" w:color="000000" w:sz="4" w:space="0"/>
              <w:bottom w:val="single" w:color="000000" w:sz="4" w:space="0"/>
              <w:right w:val="single" w:color="000000" w:sz="4" w:space="0"/>
            </w:tcBorders>
            <w:vAlign w:val="center"/>
          </w:tcPr>
          <w:p w14:paraId="55F6768A">
            <w:pPr>
              <w:adjustRightInd/>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 细 说 明</w:t>
            </w:r>
          </w:p>
        </w:tc>
      </w:tr>
      <w:tr w14:paraId="47C7C36E">
        <w:tblPrEx>
          <w:tblCellMar>
            <w:top w:w="0" w:type="dxa"/>
            <w:left w:w="108" w:type="dxa"/>
            <w:bottom w:w="0" w:type="dxa"/>
            <w:right w:w="108" w:type="dxa"/>
          </w:tblCellMar>
        </w:tblPrEx>
        <w:trPr>
          <w:trHeight w:val="1065" w:hRule="atLeast"/>
        </w:trPr>
        <w:tc>
          <w:tcPr>
            <w:tcW w:w="763" w:type="dxa"/>
            <w:tcBorders>
              <w:top w:val="single" w:color="000000" w:sz="4" w:space="0"/>
              <w:left w:val="single" w:color="000000" w:sz="4" w:space="0"/>
              <w:bottom w:val="single" w:color="000000" w:sz="4" w:space="0"/>
              <w:right w:val="single" w:color="000000" w:sz="4" w:space="0"/>
            </w:tcBorders>
            <w:vAlign w:val="center"/>
          </w:tcPr>
          <w:p w14:paraId="19E2DA57">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运行环境</w:t>
            </w:r>
          </w:p>
        </w:tc>
        <w:tc>
          <w:tcPr>
            <w:tcW w:w="5270" w:type="dxa"/>
            <w:tcBorders>
              <w:top w:val="single" w:color="000000" w:sz="4" w:space="0"/>
              <w:left w:val="single" w:color="000000" w:sz="4" w:space="0"/>
              <w:bottom w:val="single" w:color="000000" w:sz="4" w:space="0"/>
              <w:right w:val="single" w:color="000000" w:sz="4" w:space="0"/>
            </w:tcBorders>
            <w:vAlign w:val="center"/>
          </w:tcPr>
          <w:p w14:paraId="18AE65A5">
            <w:pPr>
              <w:adjustRightInd/>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室内整洁、站房内温度是否保持在25℃±5℃，建议24小时变化幅度不超过±2℃，相对湿度保持在80%以下。在冬、夏季节应注意站房内外温差，及时调整站房温度或对采样管采取适当的温控措施，防止因温差造成采样装置出现冷凝水的现象</w:t>
            </w:r>
          </w:p>
        </w:tc>
        <w:tc>
          <w:tcPr>
            <w:tcW w:w="478" w:type="dxa"/>
            <w:tcBorders>
              <w:top w:val="single" w:color="000000" w:sz="4" w:space="0"/>
              <w:left w:val="single" w:color="000000" w:sz="4" w:space="0"/>
              <w:bottom w:val="single" w:color="000000" w:sz="4" w:space="0"/>
              <w:right w:val="single" w:color="000000" w:sz="4" w:space="0"/>
            </w:tcBorders>
            <w:vAlign w:val="center"/>
          </w:tcPr>
          <w:p w14:paraId="7C3805CE">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449" w:type="dxa"/>
            <w:tcBorders>
              <w:top w:val="single" w:color="000000" w:sz="4" w:space="0"/>
              <w:left w:val="single" w:color="000000" w:sz="4" w:space="0"/>
              <w:bottom w:val="single" w:color="000000" w:sz="4" w:space="0"/>
              <w:right w:val="single" w:color="000000" w:sz="4" w:space="0"/>
            </w:tcBorders>
            <w:vAlign w:val="center"/>
          </w:tcPr>
          <w:p w14:paraId="7CF1DEBF">
            <w:pPr>
              <w:adjustRightInd/>
              <w:jc w:val="left"/>
              <w:rPr>
                <w:rFonts w:hint="eastAsia" w:ascii="宋体" w:hAnsi="宋体" w:eastAsia="宋体" w:cs="宋体"/>
                <w:color w:val="auto"/>
                <w:szCs w:val="21"/>
                <w:highlight w:val="none"/>
              </w:rPr>
            </w:pPr>
          </w:p>
        </w:tc>
        <w:tc>
          <w:tcPr>
            <w:tcW w:w="2632" w:type="dxa"/>
            <w:tcBorders>
              <w:top w:val="single" w:color="000000" w:sz="4" w:space="0"/>
              <w:left w:val="single" w:color="000000" w:sz="4" w:space="0"/>
              <w:bottom w:val="single" w:color="000000" w:sz="4" w:space="0"/>
              <w:right w:val="single" w:color="000000" w:sz="4" w:space="0"/>
            </w:tcBorders>
            <w:vAlign w:val="center"/>
          </w:tcPr>
          <w:p w14:paraId="08FA2D3F">
            <w:pPr>
              <w:adjustRightInd/>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室内整洁，干燥（湿度），冷凝水和温度分别打分，缺少任一记录扣1.5分，直到扣完为止。</w:t>
            </w:r>
          </w:p>
        </w:tc>
      </w:tr>
      <w:tr w14:paraId="7C7FCCFE">
        <w:tblPrEx>
          <w:tblCellMar>
            <w:top w:w="0" w:type="dxa"/>
            <w:left w:w="108" w:type="dxa"/>
            <w:bottom w:w="0" w:type="dxa"/>
            <w:right w:w="108" w:type="dxa"/>
          </w:tblCellMar>
        </w:tblPrEx>
        <w:trPr>
          <w:trHeight w:val="1050" w:hRule="atLeast"/>
        </w:trPr>
        <w:tc>
          <w:tcPr>
            <w:tcW w:w="763" w:type="dxa"/>
            <w:tcBorders>
              <w:top w:val="single" w:color="000000" w:sz="4" w:space="0"/>
              <w:left w:val="single" w:color="000000" w:sz="4" w:space="0"/>
              <w:bottom w:val="single" w:color="000000" w:sz="4" w:space="0"/>
              <w:right w:val="single" w:color="000000" w:sz="4" w:space="0"/>
            </w:tcBorders>
            <w:vAlign w:val="center"/>
          </w:tcPr>
          <w:p w14:paraId="1759B617">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日常质控</w:t>
            </w:r>
          </w:p>
        </w:tc>
        <w:tc>
          <w:tcPr>
            <w:tcW w:w="5270" w:type="dxa"/>
            <w:tcBorders>
              <w:top w:val="single" w:color="000000" w:sz="4" w:space="0"/>
              <w:left w:val="single" w:color="000000" w:sz="4" w:space="0"/>
              <w:bottom w:val="single" w:color="000000" w:sz="4" w:space="0"/>
              <w:right w:val="single" w:color="000000" w:sz="4" w:space="0"/>
            </w:tcBorders>
            <w:vAlign w:val="center"/>
          </w:tcPr>
          <w:p w14:paraId="26681F45">
            <w:pPr>
              <w:adjustRightInd/>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巡检记录：检查采样、排气管路是否漏气；采样泵，校准阀箱流量是否正常；检查标气瓶是否漏气；检查巡检记录完整性；避免空调直吹，观察站点周围污染源、道路变化情况，异常要及时上报；</w:t>
            </w:r>
          </w:p>
        </w:tc>
        <w:tc>
          <w:tcPr>
            <w:tcW w:w="478" w:type="dxa"/>
            <w:tcBorders>
              <w:top w:val="single" w:color="000000" w:sz="4" w:space="0"/>
              <w:left w:val="single" w:color="000000" w:sz="4" w:space="0"/>
              <w:bottom w:val="single" w:color="000000" w:sz="4" w:space="0"/>
              <w:right w:val="single" w:color="000000" w:sz="4" w:space="0"/>
            </w:tcBorders>
            <w:vAlign w:val="center"/>
          </w:tcPr>
          <w:p w14:paraId="2A8D6869">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449" w:type="dxa"/>
            <w:tcBorders>
              <w:top w:val="single" w:color="000000" w:sz="4" w:space="0"/>
              <w:left w:val="single" w:color="000000" w:sz="4" w:space="0"/>
              <w:bottom w:val="single" w:color="000000" w:sz="4" w:space="0"/>
              <w:right w:val="single" w:color="000000" w:sz="4" w:space="0"/>
            </w:tcBorders>
            <w:vAlign w:val="center"/>
          </w:tcPr>
          <w:p w14:paraId="29F60C71">
            <w:pPr>
              <w:adjustRightInd/>
              <w:jc w:val="left"/>
              <w:rPr>
                <w:rFonts w:hint="eastAsia" w:ascii="宋体" w:hAnsi="宋体" w:eastAsia="宋体" w:cs="宋体"/>
                <w:color w:val="auto"/>
                <w:szCs w:val="21"/>
                <w:highlight w:val="none"/>
              </w:rPr>
            </w:pPr>
          </w:p>
        </w:tc>
        <w:tc>
          <w:tcPr>
            <w:tcW w:w="2632" w:type="dxa"/>
            <w:tcBorders>
              <w:top w:val="single" w:color="000000" w:sz="4" w:space="0"/>
              <w:left w:val="single" w:color="000000" w:sz="4" w:space="0"/>
              <w:bottom w:val="single" w:color="000000" w:sz="4" w:space="0"/>
              <w:right w:val="single" w:color="000000" w:sz="4" w:space="0"/>
            </w:tcBorders>
            <w:vAlign w:val="center"/>
          </w:tcPr>
          <w:p w14:paraId="3709CB71">
            <w:pPr>
              <w:adjustRightInd/>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缺少任一记录扣2分，直到扣完为止。</w:t>
            </w:r>
          </w:p>
        </w:tc>
      </w:tr>
      <w:tr w14:paraId="71B43E71">
        <w:tblPrEx>
          <w:tblCellMar>
            <w:top w:w="0" w:type="dxa"/>
            <w:left w:w="108" w:type="dxa"/>
            <w:bottom w:w="0" w:type="dxa"/>
            <w:right w:w="108" w:type="dxa"/>
          </w:tblCellMar>
        </w:tblPrEx>
        <w:trPr>
          <w:trHeight w:val="430" w:hRule="atLeast"/>
        </w:trPr>
        <w:tc>
          <w:tcPr>
            <w:tcW w:w="763" w:type="dxa"/>
            <w:tcBorders>
              <w:top w:val="single" w:color="000000" w:sz="4" w:space="0"/>
              <w:left w:val="single" w:color="000000" w:sz="4" w:space="0"/>
              <w:bottom w:val="single" w:color="000000" w:sz="4" w:space="0"/>
              <w:right w:val="single" w:color="000000" w:sz="4" w:space="0"/>
            </w:tcBorders>
            <w:vAlign w:val="center"/>
          </w:tcPr>
          <w:p w14:paraId="22A0529E">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持证上岗</w:t>
            </w:r>
          </w:p>
        </w:tc>
        <w:tc>
          <w:tcPr>
            <w:tcW w:w="5270" w:type="dxa"/>
            <w:tcBorders>
              <w:top w:val="single" w:color="000000" w:sz="4" w:space="0"/>
              <w:left w:val="single" w:color="000000" w:sz="4" w:space="0"/>
              <w:bottom w:val="single" w:color="000000" w:sz="4" w:space="0"/>
              <w:right w:val="single" w:color="000000" w:sz="4" w:space="0"/>
            </w:tcBorders>
            <w:vAlign w:val="center"/>
          </w:tcPr>
          <w:p w14:paraId="6501D971">
            <w:pPr>
              <w:adjustRightInd/>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持有大气环境类省级及以上环境行政主管部门培训合格证书或上岗证书，在有效期内。</w:t>
            </w:r>
          </w:p>
        </w:tc>
        <w:tc>
          <w:tcPr>
            <w:tcW w:w="478" w:type="dxa"/>
            <w:tcBorders>
              <w:top w:val="single" w:color="000000" w:sz="4" w:space="0"/>
              <w:left w:val="single" w:color="000000" w:sz="4" w:space="0"/>
              <w:bottom w:val="single" w:color="000000" w:sz="4" w:space="0"/>
              <w:right w:val="single" w:color="000000" w:sz="4" w:space="0"/>
            </w:tcBorders>
            <w:vAlign w:val="center"/>
          </w:tcPr>
          <w:p w14:paraId="566476AA">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449" w:type="dxa"/>
            <w:tcBorders>
              <w:top w:val="single" w:color="000000" w:sz="4" w:space="0"/>
              <w:left w:val="single" w:color="000000" w:sz="4" w:space="0"/>
              <w:bottom w:val="single" w:color="000000" w:sz="4" w:space="0"/>
              <w:right w:val="single" w:color="000000" w:sz="4" w:space="0"/>
            </w:tcBorders>
            <w:vAlign w:val="center"/>
          </w:tcPr>
          <w:p w14:paraId="7439EAD5">
            <w:pPr>
              <w:adjustRightInd/>
              <w:jc w:val="left"/>
              <w:rPr>
                <w:rFonts w:hint="eastAsia" w:ascii="宋体" w:hAnsi="宋体" w:eastAsia="宋体" w:cs="宋体"/>
                <w:color w:val="auto"/>
                <w:szCs w:val="21"/>
                <w:highlight w:val="none"/>
              </w:rPr>
            </w:pPr>
          </w:p>
        </w:tc>
        <w:tc>
          <w:tcPr>
            <w:tcW w:w="2632" w:type="dxa"/>
            <w:tcBorders>
              <w:top w:val="single" w:color="000000" w:sz="4" w:space="0"/>
              <w:left w:val="single" w:color="000000" w:sz="4" w:space="0"/>
              <w:bottom w:val="single" w:color="000000" w:sz="4" w:space="0"/>
              <w:right w:val="single" w:color="000000" w:sz="4" w:space="0"/>
            </w:tcBorders>
            <w:vAlign w:val="center"/>
          </w:tcPr>
          <w:p w14:paraId="6867FA5F">
            <w:pPr>
              <w:adjustRightInd/>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没有或过期扣2分</w:t>
            </w:r>
          </w:p>
        </w:tc>
      </w:tr>
      <w:tr w14:paraId="65AE18BC">
        <w:tblPrEx>
          <w:tblCellMar>
            <w:top w:w="0" w:type="dxa"/>
            <w:left w:w="108" w:type="dxa"/>
            <w:bottom w:w="0" w:type="dxa"/>
            <w:right w:w="108" w:type="dxa"/>
          </w:tblCellMar>
        </w:tblPrEx>
        <w:trPr>
          <w:trHeight w:val="1050" w:hRule="atLeast"/>
        </w:trPr>
        <w:tc>
          <w:tcPr>
            <w:tcW w:w="763" w:type="dxa"/>
            <w:tcBorders>
              <w:top w:val="single" w:color="000000" w:sz="4" w:space="0"/>
              <w:left w:val="single" w:color="000000" w:sz="4" w:space="0"/>
              <w:bottom w:val="single" w:color="000000" w:sz="4" w:space="0"/>
              <w:right w:val="single" w:color="000000" w:sz="4" w:space="0"/>
            </w:tcBorders>
            <w:vAlign w:val="center"/>
          </w:tcPr>
          <w:p w14:paraId="27150100">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档案记录和管理</w:t>
            </w:r>
          </w:p>
        </w:tc>
        <w:tc>
          <w:tcPr>
            <w:tcW w:w="5270" w:type="dxa"/>
            <w:tcBorders>
              <w:top w:val="single" w:color="000000" w:sz="4" w:space="0"/>
              <w:left w:val="single" w:color="000000" w:sz="4" w:space="0"/>
              <w:bottom w:val="single" w:color="000000" w:sz="4" w:space="0"/>
              <w:right w:val="single" w:color="000000" w:sz="4" w:space="0"/>
            </w:tcBorders>
            <w:vAlign w:val="center"/>
          </w:tcPr>
          <w:p w14:paraId="22AC1001">
            <w:pPr>
              <w:adjustRightInd/>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用于量值传递的计量器具，如流量计、气压表、压力计、真空表、温度计等，应在有效期内；仪器质控情况、标气使用、管路清洁维护、突发情况等信息记录在档。要求及时上报维护核查报告、仪器维修记录</w:t>
            </w:r>
          </w:p>
        </w:tc>
        <w:tc>
          <w:tcPr>
            <w:tcW w:w="478" w:type="dxa"/>
            <w:tcBorders>
              <w:top w:val="single" w:color="000000" w:sz="4" w:space="0"/>
              <w:left w:val="single" w:color="000000" w:sz="4" w:space="0"/>
              <w:bottom w:val="single" w:color="000000" w:sz="4" w:space="0"/>
              <w:right w:val="single" w:color="000000" w:sz="4" w:space="0"/>
            </w:tcBorders>
            <w:vAlign w:val="center"/>
          </w:tcPr>
          <w:p w14:paraId="3BC36686">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449" w:type="dxa"/>
            <w:tcBorders>
              <w:top w:val="single" w:color="000000" w:sz="4" w:space="0"/>
              <w:left w:val="single" w:color="000000" w:sz="4" w:space="0"/>
              <w:bottom w:val="single" w:color="000000" w:sz="4" w:space="0"/>
              <w:right w:val="single" w:color="000000" w:sz="4" w:space="0"/>
            </w:tcBorders>
            <w:vAlign w:val="center"/>
          </w:tcPr>
          <w:p w14:paraId="3C939EAC">
            <w:pPr>
              <w:adjustRightInd/>
              <w:jc w:val="left"/>
              <w:rPr>
                <w:rFonts w:hint="eastAsia" w:ascii="宋体" w:hAnsi="宋体" w:eastAsia="宋体" w:cs="宋体"/>
                <w:color w:val="auto"/>
                <w:szCs w:val="21"/>
                <w:highlight w:val="none"/>
              </w:rPr>
            </w:pPr>
          </w:p>
        </w:tc>
        <w:tc>
          <w:tcPr>
            <w:tcW w:w="2632" w:type="dxa"/>
            <w:tcBorders>
              <w:top w:val="single" w:color="000000" w:sz="4" w:space="0"/>
              <w:left w:val="single" w:color="000000" w:sz="4" w:space="0"/>
              <w:bottom w:val="single" w:color="000000" w:sz="4" w:space="0"/>
              <w:right w:val="single" w:color="000000" w:sz="4" w:space="0"/>
            </w:tcBorders>
            <w:vAlign w:val="center"/>
          </w:tcPr>
          <w:p w14:paraId="7026CC9B">
            <w:pPr>
              <w:adjustRightInd/>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缺少任一记录扣2分，直到扣完为止。</w:t>
            </w:r>
          </w:p>
        </w:tc>
      </w:tr>
      <w:tr w14:paraId="244C7B4D">
        <w:tblPrEx>
          <w:tblCellMar>
            <w:top w:w="0" w:type="dxa"/>
            <w:left w:w="108" w:type="dxa"/>
            <w:bottom w:w="0" w:type="dxa"/>
            <w:right w:w="108" w:type="dxa"/>
          </w:tblCellMar>
        </w:tblPrEx>
        <w:trPr>
          <w:trHeight w:val="992" w:hRule="atLeast"/>
        </w:trPr>
        <w:tc>
          <w:tcPr>
            <w:tcW w:w="763" w:type="dxa"/>
            <w:tcBorders>
              <w:top w:val="single" w:color="000000" w:sz="4" w:space="0"/>
              <w:left w:val="single" w:color="000000" w:sz="4" w:space="0"/>
              <w:bottom w:val="single" w:color="000000" w:sz="4" w:space="0"/>
              <w:right w:val="single" w:color="000000" w:sz="4" w:space="0"/>
            </w:tcBorders>
            <w:vAlign w:val="center"/>
          </w:tcPr>
          <w:p w14:paraId="136332D9">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巡检和考核</w:t>
            </w:r>
          </w:p>
        </w:tc>
        <w:tc>
          <w:tcPr>
            <w:tcW w:w="5270" w:type="dxa"/>
            <w:tcBorders>
              <w:top w:val="single" w:color="000000" w:sz="4" w:space="0"/>
              <w:left w:val="single" w:color="000000" w:sz="4" w:space="0"/>
              <w:bottom w:val="single" w:color="000000" w:sz="4" w:space="0"/>
              <w:right w:val="single" w:color="000000" w:sz="4" w:space="0"/>
            </w:tcBorders>
            <w:vAlign w:val="center"/>
          </w:tcPr>
          <w:p w14:paraId="10BFF3BB">
            <w:pPr>
              <w:adjustRightInd/>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1.要求接到通知后一个小时内达到检测点位配合巡检工作及考核情况，抽查一周的日常质控合格率，要求90%；</w:t>
            </w:r>
          </w:p>
          <w:p w14:paraId="10602D3C">
            <w:pPr>
              <w:adjustRightInd/>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2.国家、省进行检查，质控检查情况；</w:t>
            </w:r>
          </w:p>
        </w:tc>
        <w:tc>
          <w:tcPr>
            <w:tcW w:w="478" w:type="dxa"/>
            <w:tcBorders>
              <w:top w:val="single" w:color="000000" w:sz="4" w:space="0"/>
              <w:left w:val="single" w:color="000000" w:sz="4" w:space="0"/>
              <w:bottom w:val="single" w:color="000000" w:sz="4" w:space="0"/>
              <w:right w:val="single" w:color="000000" w:sz="4" w:space="0"/>
            </w:tcBorders>
            <w:vAlign w:val="center"/>
          </w:tcPr>
          <w:p w14:paraId="63705681">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449" w:type="dxa"/>
            <w:tcBorders>
              <w:top w:val="single" w:color="000000" w:sz="4" w:space="0"/>
              <w:left w:val="single" w:color="000000" w:sz="4" w:space="0"/>
              <w:bottom w:val="single" w:color="000000" w:sz="4" w:space="0"/>
              <w:right w:val="single" w:color="000000" w:sz="4" w:space="0"/>
            </w:tcBorders>
            <w:vAlign w:val="center"/>
          </w:tcPr>
          <w:p w14:paraId="1FC0F058">
            <w:pPr>
              <w:adjustRightInd/>
              <w:jc w:val="left"/>
              <w:rPr>
                <w:rFonts w:hint="eastAsia" w:ascii="宋体" w:hAnsi="宋体" w:eastAsia="宋体" w:cs="宋体"/>
                <w:color w:val="auto"/>
                <w:szCs w:val="21"/>
                <w:highlight w:val="none"/>
              </w:rPr>
            </w:pPr>
          </w:p>
        </w:tc>
        <w:tc>
          <w:tcPr>
            <w:tcW w:w="2632" w:type="dxa"/>
            <w:tcBorders>
              <w:top w:val="single" w:color="000000" w:sz="4" w:space="0"/>
              <w:left w:val="single" w:color="000000" w:sz="4" w:space="0"/>
              <w:bottom w:val="single" w:color="000000" w:sz="4" w:space="0"/>
              <w:right w:val="single" w:color="000000" w:sz="4" w:space="0"/>
            </w:tcBorders>
            <w:vAlign w:val="center"/>
          </w:tcPr>
          <w:p w14:paraId="7B012E08">
            <w:pPr>
              <w:adjustRightInd/>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1.现场标气考核，考核不合格，每项扣3分。2.以国家、省、市检查情况进行评分；</w:t>
            </w:r>
          </w:p>
        </w:tc>
      </w:tr>
      <w:tr w14:paraId="7561D933">
        <w:tblPrEx>
          <w:tblCellMar>
            <w:top w:w="0" w:type="dxa"/>
            <w:left w:w="108" w:type="dxa"/>
            <w:bottom w:w="0" w:type="dxa"/>
            <w:right w:w="108" w:type="dxa"/>
          </w:tblCellMar>
        </w:tblPrEx>
        <w:trPr>
          <w:trHeight w:val="525" w:hRule="atLeast"/>
        </w:trPr>
        <w:tc>
          <w:tcPr>
            <w:tcW w:w="763" w:type="dxa"/>
            <w:tcBorders>
              <w:top w:val="single" w:color="000000" w:sz="4" w:space="0"/>
              <w:left w:val="single" w:color="000000" w:sz="4" w:space="0"/>
              <w:bottom w:val="single" w:color="000000" w:sz="4" w:space="0"/>
              <w:right w:val="single" w:color="000000" w:sz="4" w:space="0"/>
            </w:tcBorders>
            <w:vAlign w:val="center"/>
          </w:tcPr>
          <w:p w14:paraId="31BFB61C">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数采传输</w:t>
            </w:r>
          </w:p>
        </w:tc>
        <w:tc>
          <w:tcPr>
            <w:tcW w:w="5270" w:type="dxa"/>
            <w:tcBorders>
              <w:top w:val="single" w:color="000000" w:sz="4" w:space="0"/>
              <w:left w:val="single" w:color="000000" w:sz="4" w:space="0"/>
              <w:bottom w:val="single" w:color="000000" w:sz="4" w:space="0"/>
              <w:right w:val="single" w:color="000000" w:sz="4" w:space="0"/>
            </w:tcBorders>
            <w:vAlign w:val="center"/>
          </w:tcPr>
          <w:p w14:paraId="7FA67A9B">
            <w:pPr>
              <w:adjustRightInd/>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数采仪工作正常，数据与仪器数据一致</w:t>
            </w:r>
          </w:p>
        </w:tc>
        <w:tc>
          <w:tcPr>
            <w:tcW w:w="478" w:type="dxa"/>
            <w:tcBorders>
              <w:top w:val="single" w:color="000000" w:sz="4" w:space="0"/>
              <w:left w:val="single" w:color="000000" w:sz="4" w:space="0"/>
              <w:bottom w:val="single" w:color="000000" w:sz="4" w:space="0"/>
              <w:right w:val="single" w:color="000000" w:sz="4" w:space="0"/>
            </w:tcBorders>
            <w:vAlign w:val="center"/>
          </w:tcPr>
          <w:p w14:paraId="795B0540">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449" w:type="dxa"/>
            <w:tcBorders>
              <w:top w:val="single" w:color="000000" w:sz="4" w:space="0"/>
              <w:left w:val="single" w:color="000000" w:sz="4" w:space="0"/>
              <w:bottom w:val="single" w:color="000000" w:sz="4" w:space="0"/>
              <w:right w:val="single" w:color="000000" w:sz="4" w:space="0"/>
            </w:tcBorders>
            <w:vAlign w:val="center"/>
          </w:tcPr>
          <w:p w14:paraId="6FBBD57C">
            <w:pPr>
              <w:adjustRightInd/>
              <w:jc w:val="left"/>
              <w:rPr>
                <w:rFonts w:hint="eastAsia" w:ascii="宋体" w:hAnsi="宋体" w:eastAsia="宋体" w:cs="宋体"/>
                <w:color w:val="auto"/>
                <w:szCs w:val="21"/>
                <w:highlight w:val="none"/>
              </w:rPr>
            </w:pPr>
          </w:p>
        </w:tc>
        <w:tc>
          <w:tcPr>
            <w:tcW w:w="2632" w:type="dxa"/>
            <w:tcBorders>
              <w:top w:val="single" w:color="000000" w:sz="4" w:space="0"/>
              <w:left w:val="single" w:color="000000" w:sz="4" w:space="0"/>
              <w:bottom w:val="single" w:color="000000" w:sz="4" w:space="0"/>
              <w:right w:val="single" w:color="000000" w:sz="4" w:space="0"/>
            </w:tcBorders>
            <w:vAlign w:val="center"/>
          </w:tcPr>
          <w:p w14:paraId="098CD531">
            <w:pPr>
              <w:adjustRightInd/>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仪器监测与数据平台不一致，一个指标扣3分，扣完为止。</w:t>
            </w:r>
          </w:p>
        </w:tc>
      </w:tr>
      <w:tr w14:paraId="749478C1">
        <w:tblPrEx>
          <w:tblCellMar>
            <w:top w:w="0" w:type="dxa"/>
            <w:left w:w="108" w:type="dxa"/>
            <w:bottom w:w="0" w:type="dxa"/>
            <w:right w:w="108" w:type="dxa"/>
          </w:tblCellMar>
        </w:tblPrEx>
        <w:trPr>
          <w:trHeight w:val="525" w:hRule="atLeast"/>
        </w:trPr>
        <w:tc>
          <w:tcPr>
            <w:tcW w:w="763" w:type="dxa"/>
            <w:tcBorders>
              <w:top w:val="single" w:color="000000" w:sz="4" w:space="0"/>
              <w:left w:val="single" w:color="000000" w:sz="4" w:space="0"/>
              <w:bottom w:val="single" w:color="000000" w:sz="4" w:space="0"/>
              <w:right w:val="single" w:color="000000" w:sz="4" w:space="0"/>
            </w:tcBorders>
            <w:vAlign w:val="center"/>
          </w:tcPr>
          <w:p w14:paraId="0AD1D09C">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标准气体</w:t>
            </w:r>
          </w:p>
        </w:tc>
        <w:tc>
          <w:tcPr>
            <w:tcW w:w="5270" w:type="dxa"/>
            <w:tcBorders>
              <w:top w:val="single" w:color="000000" w:sz="4" w:space="0"/>
              <w:left w:val="single" w:color="000000" w:sz="4" w:space="0"/>
              <w:bottom w:val="single" w:color="000000" w:sz="4" w:space="0"/>
              <w:right w:val="single" w:color="000000" w:sz="4" w:space="0"/>
            </w:tcBorders>
            <w:vAlign w:val="center"/>
          </w:tcPr>
          <w:p w14:paraId="4DFEC803">
            <w:pPr>
              <w:adjustRightInd/>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标准气体应溯源至我国温室气体测量基准，每个站点分别配置三种（高、中、低）气体，并在有效期内使用。</w:t>
            </w:r>
          </w:p>
        </w:tc>
        <w:tc>
          <w:tcPr>
            <w:tcW w:w="478" w:type="dxa"/>
            <w:tcBorders>
              <w:top w:val="single" w:color="000000" w:sz="4" w:space="0"/>
              <w:left w:val="single" w:color="000000" w:sz="4" w:space="0"/>
              <w:bottom w:val="single" w:color="000000" w:sz="4" w:space="0"/>
              <w:right w:val="single" w:color="000000" w:sz="4" w:space="0"/>
            </w:tcBorders>
            <w:vAlign w:val="center"/>
          </w:tcPr>
          <w:p w14:paraId="1F7B5328">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449" w:type="dxa"/>
            <w:tcBorders>
              <w:top w:val="single" w:color="000000" w:sz="4" w:space="0"/>
              <w:left w:val="single" w:color="000000" w:sz="4" w:space="0"/>
              <w:bottom w:val="single" w:color="000000" w:sz="4" w:space="0"/>
              <w:right w:val="single" w:color="000000" w:sz="4" w:space="0"/>
            </w:tcBorders>
            <w:vAlign w:val="center"/>
          </w:tcPr>
          <w:p w14:paraId="1D9E4BF9">
            <w:pPr>
              <w:adjustRightInd/>
              <w:jc w:val="left"/>
              <w:rPr>
                <w:rFonts w:hint="eastAsia" w:ascii="宋体" w:hAnsi="宋体" w:eastAsia="宋体" w:cs="宋体"/>
                <w:color w:val="auto"/>
                <w:szCs w:val="21"/>
                <w:highlight w:val="none"/>
              </w:rPr>
            </w:pPr>
          </w:p>
        </w:tc>
        <w:tc>
          <w:tcPr>
            <w:tcW w:w="2632" w:type="dxa"/>
            <w:tcBorders>
              <w:top w:val="single" w:color="000000" w:sz="4" w:space="0"/>
              <w:left w:val="single" w:color="000000" w:sz="4" w:space="0"/>
              <w:bottom w:val="single" w:color="000000" w:sz="4" w:space="0"/>
              <w:right w:val="single" w:color="000000" w:sz="4" w:space="0"/>
            </w:tcBorders>
            <w:vAlign w:val="center"/>
          </w:tcPr>
          <w:p w14:paraId="3382BA8D">
            <w:pPr>
              <w:adjustRightInd/>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不符合1项扣5分，扣完为止。</w:t>
            </w:r>
          </w:p>
        </w:tc>
      </w:tr>
      <w:tr w14:paraId="4C3B2C28">
        <w:tblPrEx>
          <w:tblCellMar>
            <w:top w:w="0" w:type="dxa"/>
            <w:left w:w="108" w:type="dxa"/>
            <w:bottom w:w="0" w:type="dxa"/>
            <w:right w:w="108" w:type="dxa"/>
          </w:tblCellMar>
        </w:tblPrEx>
        <w:trPr>
          <w:trHeight w:val="620" w:hRule="atLeast"/>
        </w:trPr>
        <w:tc>
          <w:tcPr>
            <w:tcW w:w="763" w:type="dxa"/>
            <w:tcBorders>
              <w:top w:val="single" w:color="000000" w:sz="4" w:space="0"/>
              <w:left w:val="single" w:color="000000" w:sz="4" w:space="0"/>
              <w:bottom w:val="single" w:color="000000" w:sz="4" w:space="0"/>
              <w:right w:val="single" w:color="000000" w:sz="4" w:space="0"/>
            </w:tcBorders>
            <w:vAlign w:val="center"/>
          </w:tcPr>
          <w:p w14:paraId="34D8D18B">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系统在线率、数据有效率</w:t>
            </w:r>
          </w:p>
        </w:tc>
        <w:tc>
          <w:tcPr>
            <w:tcW w:w="5270" w:type="dxa"/>
            <w:tcBorders>
              <w:top w:val="single" w:color="000000" w:sz="4" w:space="0"/>
              <w:left w:val="single" w:color="000000" w:sz="4" w:space="0"/>
              <w:bottom w:val="single" w:color="000000" w:sz="4" w:space="0"/>
              <w:right w:val="single" w:color="000000" w:sz="4" w:space="0"/>
            </w:tcBorders>
            <w:vAlign w:val="center"/>
          </w:tcPr>
          <w:p w14:paraId="301E4EAF">
            <w:pPr>
              <w:adjustRightInd/>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国家平台或委托方平台上，高精度示范站所获取的各项指标的有效监测数据获取率达到80%（以小时值计）以上；</w:t>
            </w:r>
          </w:p>
          <w:p w14:paraId="31205918">
            <w:pPr>
              <w:adjustRightInd/>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中精度区域站数据各项指标的有效监测数据获取率达到 70%（以小时值计）以上；</w:t>
            </w:r>
          </w:p>
        </w:tc>
        <w:tc>
          <w:tcPr>
            <w:tcW w:w="478" w:type="dxa"/>
            <w:tcBorders>
              <w:top w:val="single" w:color="000000" w:sz="4" w:space="0"/>
              <w:left w:val="single" w:color="000000" w:sz="4" w:space="0"/>
              <w:bottom w:val="single" w:color="000000" w:sz="4" w:space="0"/>
              <w:right w:val="single" w:color="000000" w:sz="4" w:space="0"/>
            </w:tcBorders>
            <w:noWrap/>
            <w:vAlign w:val="center"/>
          </w:tcPr>
          <w:p w14:paraId="5990E10E">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30</w:t>
            </w:r>
          </w:p>
        </w:tc>
        <w:tc>
          <w:tcPr>
            <w:tcW w:w="449" w:type="dxa"/>
            <w:tcBorders>
              <w:top w:val="single" w:color="000000" w:sz="4" w:space="0"/>
              <w:left w:val="single" w:color="000000" w:sz="4" w:space="0"/>
              <w:bottom w:val="single" w:color="000000" w:sz="4" w:space="0"/>
              <w:right w:val="single" w:color="000000" w:sz="4" w:space="0"/>
            </w:tcBorders>
            <w:noWrap/>
            <w:vAlign w:val="center"/>
          </w:tcPr>
          <w:p w14:paraId="0FAE955D">
            <w:pPr>
              <w:adjustRightInd/>
              <w:jc w:val="left"/>
              <w:rPr>
                <w:rFonts w:hint="eastAsia" w:ascii="宋体" w:hAnsi="宋体" w:eastAsia="宋体" w:cs="宋体"/>
                <w:color w:val="auto"/>
                <w:szCs w:val="21"/>
                <w:highlight w:val="none"/>
              </w:rPr>
            </w:pPr>
          </w:p>
        </w:tc>
        <w:tc>
          <w:tcPr>
            <w:tcW w:w="2632" w:type="dxa"/>
            <w:tcBorders>
              <w:top w:val="single" w:color="000000" w:sz="4" w:space="0"/>
              <w:left w:val="single" w:color="000000" w:sz="4" w:space="0"/>
              <w:bottom w:val="single" w:color="000000" w:sz="4" w:space="0"/>
              <w:right w:val="single" w:color="000000" w:sz="4" w:space="0"/>
            </w:tcBorders>
            <w:vAlign w:val="center"/>
          </w:tcPr>
          <w:p w14:paraId="04C58348">
            <w:pPr>
              <w:adjustRightInd/>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1项不符合扣5分，扣完为止</w:t>
            </w:r>
          </w:p>
        </w:tc>
      </w:tr>
      <w:tr w14:paraId="04648A06">
        <w:tblPrEx>
          <w:tblCellMar>
            <w:top w:w="0" w:type="dxa"/>
            <w:left w:w="108" w:type="dxa"/>
            <w:bottom w:w="0" w:type="dxa"/>
            <w:right w:w="108" w:type="dxa"/>
          </w:tblCellMar>
        </w:tblPrEx>
        <w:trPr>
          <w:trHeight w:val="620" w:hRule="atLeast"/>
        </w:trPr>
        <w:tc>
          <w:tcPr>
            <w:tcW w:w="763" w:type="dxa"/>
            <w:tcBorders>
              <w:top w:val="single" w:color="000000" w:sz="4" w:space="0"/>
              <w:left w:val="single" w:color="000000" w:sz="4" w:space="0"/>
              <w:bottom w:val="single" w:color="000000" w:sz="4" w:space="0"/>
              <w:right w:val="single" w:color="000000" w:sz="4" w:space="0"/>
            </w:tcBorders>
            <w:vAlign w:val="center"/>
          </w:tcPr>
          <w:p w14:paraId="318363E4">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服务响应时间</w:t>
            </w:r>
          </w:p>
        </w:tc>
        <w:tc>
          <w:tcPr>
            <w:tcW w:w="5270" w:type="dxa"/>
            <w:tcBorders>
              <w:top w:val="single" w:color="000000" w:sz="4" w:space="0"/>
              <w:left w:val="single" w:color="000000" w:sz="4" w:space="0"/>
              <w:bottom w:val="single" w:color="000000" w:sz="4" w:space="0"/>
              <w:right w:val="single" w:color="000000" w:sz="4" w:space="0"/>
            </w:tcBorders>
            <w:vAlign w:val="center"/>
          </w:tcPr>
          <w:p w14:paraId="6B230DD2">
            <w:pPr>
              <w:adjustRightInd/>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仪器故障应在24小时内响应和反馈 </w:t>
            </w:r>
          </w:p>
        </w:tc>
        <w:tc>
          <w:tcPr>
            <w:tcW w:w="478" w:type="dxa"/>
            <w:tcBorders>
              <w:top w:val="single" w:color="000000" w:sz="4" w:space="0"/>
              <w:left w:val="single" w:color="000000" w:sz="4" w:space="0"/>
              <w:bottom w:val="single" w:color="000000" w:sz="4" w:space="0"/>
              <w:right w:val="single" w:color="000000" w:sz="4" w:space="0"/>
            </w:tcBorders>
            <w:noWrap/>
            <w:vAlign w:val="center"/>
          </w:tcPr>
          <w:p w14:paraId="521637AB">
            <w:pPr>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449" w:type="dxa"/>
            <w:tcBorders>
              <w:top w:val="single" w:color="000000" w:sz="4" w:space="0"/>
              <w:left w:val="single" w:color="000000" w:sz="4" w:space="0"/>
              <w:bottom w:val="single" w:color="000000" w:sz="4" w:space="0"/>
              <w:right w:val="single" w:color="000000" w:sz="4" w:space="0"/>
            </w:tcBorders>
            <w:noWrap/>
            <w:vAlign w:val="center"/>
          </w:tcPr>
          <w:p w14:paraId="2912A12A">
            <w:pPr>
              <w:adjustRightInd/>
              <w:jc w:val="left"/>
              <w:rPr>
                <w:rFonts w:hint="eastAsia" w:ascii="宋体" w:hAnsi="宋体" w:eastAsia="宋体" w:cs="宋体"/>
                <w:color w:val="auto"/>
                <w:szCs w:val="21"/>
                <w:highlight w:val="none"/>
              </w:rPr>
            </w:pPr>
          </w:p>
        </w:tc>
        <w:tc>
          <w:tcPr>
            <w:tcW w:w="2632" w:type="dxa"/>
            <w:tcBorders>
              <w:top w:val="single" w:color="000000" w:sz="4" w:space="0"/>
              <w:left w:val="single" w:color="000000" w:sz="4" w:space="0"/>
              <w:bottom w:val="single" w:color="000000" w:sz="4" w:space="0"/>
              <w:right w:val="single" w:color="000000" w:sz="4" w:space="0"/>
            </w:tcBorders>
            <w:vAlign w:val="center"/>
          </w:tcPr>
          <w:p w14:paraId="7B357622">
            <w:pPr>
              <w:adjustRightInd/>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1项不符合扣1分，扣完为止</w:t>
            </w:r>
          </w:p>
        </w:tc>
      </w:tr>
    </w:tbl>
    <w:p w14:paraId="7CB63887">
      <w:pPr>
        <w:adjustRightInd/>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p w14:paraId="4E7CB4BE">
      <w:pPr>
        <w:adjustRightInd/>
        <w:jc w:val="left"/>
        <w:rPr>
          <w:rFonts w:hint="eastAsia" w:ascii="宋体" w:hAnsi="宋体" w:eastAsia="宋体" w:cs="宋体"/>
          <w:color w:val="auto"/>
          <w:sz w:val="24"/>
          <w:highlight w:val="none"/>
        </w:rPr>
      </w:pPr>
      <w:r>
        <w:rPr>
          <w:rFonts w:hint="eastAsia" w:ascii="宋体" w:hAnsi="宋体" w:eastAsia="宋体" w:cs="宋体"/>
          <w:color w:val="auto"/>
          <w:szCs w:val="21"/>
          <w:highlight w:val="none"/>
        </w:rPr>
        <w:t>1、根据《环境空气温室气体及其示踪物（</w:t>
      </w:r>
      <w:r>
        <w:rPr>
          <w:rFonts w:hint="eastAsia" w:ascii="宋体" w:hAnsi="宋体" w:eastAsia="宋体" w:cs="宋体"/>
          <w:color w:val="auto"/>
          <w:sz w:val="24"/>
          <w:highlight w:val="none"/>
        </w:rPr>
        <w:t>CO</w:t>
      </w:r>
      <w:r>
        <w:rPr>
          <w:rFonts w:hint="eastAsia" w:ascii="宋体" w:hAnsi="宋体" w:eastAsia="宋体" w:cs="宋体"/>
          <w:color w:val="auto"/>
          <w:sz w:val="24"/>
          <w:highlight w:val="none"/>
          <w:vertAlign w:val="subscript"/>
        </w:rPr>
        <w:t>2</w:t>
      </w:r>
      <w:r>
        <w:rPr>
          <w:rFonts w:hint="eastAsia" w:ascii="宋体" w:hAnsi="宋体" w:eastAsia="宋体" w:cs="宋体"/>
          <w:color w:val="auto"/>
          <w:szCs w:val="21"/>
          <w:highlight w:val="none"/>
        </w:rPr>
        <w:t>、</w:t>
      </w:r>
      <w:r>
        <w:rPr>
          <w:rFonts w:hint="eastAsia" w:ascii="宋体" w:hAnsi="宋体" w:eastAsia="宋体" w:cs="宋体"/>
          <w:color w:val="auto"/>
          <w:kern w:val="0"/>
          <w:sz w:val="24"/>
          <w:highlight w:val="none"/>
          <w:lang w:bidi="ar"/>
        </w:rPr>
        <w:t>CH</w:t>
      </w:r>
      <w:r>
        <w:rPr>
          <w:rFonts w:hint="eastAsia" w:ascii="宋体" w:hAnsi="宋体" w:eastAsia="宋体" w:cs="宋体"/>
          <w:color w:val="auto"/>
          <w:kern w:val="0"/>
          <w:sz w:val="24"/>
          <w:highlight w:val="none"/>
          <w:vertAlign w:val="subscript"/>
          <w:lang w:bidi="ar"/>
        </w:rPr>
        <w:t>4</w:t>
      </w:r>
      <w:r>
        <w:rPr>
          <w:rFonts w:hint="eastAsia" w:ascii="宋体" w:hAnsi="宋体" w:eastAsia="宋体" w:cs="宋体"/>
          <w:color w:val="auto"/>
          <w:szCs w:val="21"/>
          <w:highlight w:val="none"/>
        </w:rPr>
        <w:t>、</w:t>
      </w:r>
      <w:r>
        <w:rPr>
          <w:rFonts w:hint="eastAsia" w:ascii="宋体" w:hAnsi="宋体" w:eastAsia="宋体" w:cs="宋体"/>
          <w:bCs/>
          <w:color w:val="auto"/>
          <w:sz w:val="24"/>
          <w:highlight w:val="none"/>
        </w:rPr>
        <w:t>N</w:t>
      </w:r>
      <w:r>
        <w:rPr>
          <w:rFonts w:hint="eastAsia" w:ascii="宋体" w:hAnsi="宋体" w:eastAsia="宋体" w:cs="宋体"/>
          <w:bCs/>
          <w:color w:val="auto"/>
          <w:sz w:val="24"/>
          <w:highlight w:val="none"/>
          <w:vertAlign w:val="subscript"/>
        </w:rPr>
        <w:t>2</w:t>
      </w:r>
      <w:r>
        <w:rPr>
          <w:rFonts w:hint="eastAsia" w:ascii="宋体" w:hAnsi="宋体" w:eastAsia="宋体" w:cs="宋体"/>
          <w:bCs/>
          <w:color w:val="auto"/>
          <w:sz w:val="24"/>
          <w:highlight w:val="none"/>
        </w:rPr>
        <w:t>O</w:t>
      </w:r>
      <w:r>
        <w:rPr>
          <w:rFonts w:hint="eastAsia" w:ascii="宋体" w:hAnsi="宋体" w:eastAsia="宋体" w:cs="宋体"/>
          <w:color w:val="auto"/>
          <w:szCs w:val="21"/>
          <w:highlight w:val="none"/>
        </w:rPr>
        <w:t>和 CO）光腔衰荡光谱法连续自动监测系统运行和质控技术指南（第一版）》的要求执行。</w:t>
      </w:r>
    </w:p>
    <w:p w14:paraId="487D1E50">
      <w:pPr>
        <w:spacing w:line="360" w:lineRule="auto"/>
        <w:jc w:val="left"/>
        <w:rPr>
          <w:rFonts w:hint="eastAsia" w:ascii="宋体" w:hAnsi="宋体" w:eastAsia="宋体" w:cs="宋体"/>
          <w:color w:val="auto"/>
          <w:highlight w:val="none"/>
        </w:rPr>
      </w:pPr>
      <w:r>
        <w:rPr>
          <w:rFonts w:hint="eastAsia" w:ascii="宋体" w:hAnsi="宋体" w:eastAsia="宋体" w:cs="宋体"/>
          <w:color w:val="auto"/>
          <w:sz w:val="24"/>
          <w:highlight w:val="none"/>
        </w:rPr>
        <w:t xml:space="preserve">考核人：               </w:t>
      </w:r>
    </w:p>
    <w:p w14:paraId="2C2C7825">
      <w:pPr>
        <w:widowControl/>
        <w:spacing w:line="480" w:lineRule="exact"/>
        <w:ind w:firstLine="480" w:firstLineChars="200"/>
        <w:rPr>
          <w:rFonts w:hint="eastAsia" w:ascii="宋体" w:hAnsi="宋体" w:eastAsia="宋体" w:cs="宋体"/>
          <w:bCs/>
          <w:color w:val="auto"/>
          <w:sz w:val="24"/>
          <w:highlight w:val="none"/>
        </w:rPr>
        <w:sectPr>
          <w:headerReference r:id="rId8" w:type="default"/>
          <w:pgSz w:w="11906" w:h="16838"/>
          <w:pgMar w:top="1020" w:right="1800" w:bottom="1440" w:left="1800" w:header="851" w:footer="992" w:gutter="0"/>
          <w:cols w:space="720" w:num="1"/>
          <w:docGrid w:type="lines" w:linePitch="312" w:charSpace="0"/>
        </w:sectPr>
      </w:pPr>
    </w:p>
    <w:p w14:paraId="3F90621F">
      <w:pPr>
        <w:pStyle w:val="3"/>
        <w:keepNext w:val="0"/>
        <w:keepLines w:val="0"/>
        <w:numPr>
          <w:ilvl w:val="1"/>
          <w:numId w:val="0"/>
        </w:numPr>
        <w:spacing w:line="42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三、项目其它要求</w:t>
      </w:r>
    </w:p>
    <w:p w14:paraId="5D16BC7F">
      <w:pPr>
        <w:autoSpaceDE w:val="0"/>
        <w:autoSpaceDN w:val="0"/>
        <w:spacing w:line="42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zh-CN"/>
        </w:rPr>
        <w:t>项目实施人员要求：项目实施人员必须按招标文件要求确定，如对实施人员进行变更，应经过采购人书面同意；如果投标人认为有必要，可以增加项目实施人员。</w:t>
      </w:r>
    </w:p>
    <w:p w14:paraId="7849D6BE">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中标单位必须按项目需求及国家有关规范标准进行施工，确保施工现场的安全生产和文明施工，</w:t>
      </w:r>
      <w:bookmarkStart w:id="63" w:name="_Toc304756665"/>
      <w:r>
        <w:rPr>
          <w:rFonts w:hint="eastAsia" w:ascii="宋体" w:hAnsi="宋体" w:eastAsia="宋体" w:cs="宋体"/>
          <w:color w:val="auto"/>
          <w:sz w:val="24"/>
          <w:highlight w:val="none"/>
        </w:rPr>
        <w:t>中标单位在项目施工过程中如造成人员伤亡、财产损失的，有关责任均由中标单位承担。</w:t>
      </w:r>
      <w:bookmarkEnd w:id="63"/>
    </w:p>
    <w:p w14:paraId="5A0BB617">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3、项目建设完成后需经过采购人组织的技术验收，质保期为从验收之日起</w:t>
      </w:r>
      <w:r>
        <w:rPr>
          <w:rFonts w:hint="eastAsia" w:ascii="宋体" w:hAnsi="宋体" w:eastAsia="宋体" w:cs="宋体"/>
          <w:color w:val="auto"/>
          <w:sz w:val="24"/>
          <w:highlight w:val="none"/>
          <w:lang w:eastAsia="zh-CN"/>
        </w:rPr>
        <w:t>开始计算</w:t>
      </w:r>
      <w:r>
        <w:rPr>
          <w:rFonts w:hint="eastAsia" w:ascii="宋体" w:hAnsi="宋体" w:eastAsia="宋体" w:cs="宋体"/>
          <w:color w:val="auto"/>
          <w:sz w:val="24"/>
          <w:highlight w:val="none"/>
        </w:rPr>
        <w:t>。</w:t>
      </w:r>
    </w:p>
    <w:p w14:paraId="524DE06C">
      <w:pPr>
        <w:spacing w:line="420" w:lineRule="exact"/>
        <w:ind w:firstLine="480"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▲4、本次设备采购包含验收后一年期内运维，包括所有与仪器正常运行所相关的耗材、配件、维修等，以及电费、网络费用等。</w:t>
      </w:r>
    </w:p>
    <w:p w14:paraId="5B7A9DDC">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5、投标人负责仪器设备从安装、调试、试运行到验收合格前的全部运行维护工作,所有费用应包括在投标总价中，在验收合格前，采购人不负责系统的运行维护。</w:t>
      </w:r>
    </w:p>
    <w:p w14:paraId="7BD1B89D">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6、中标人运维期内需严格参照《环境空气温室气体及其示踪物（CO</w:t>
      </w:r>
      <w:r>
        <w:rPr>
          <w:rFonts w:hint="eastAsia" w:ascii="宋体" w:hAnsi="宋体" w:eastAsia="宋体" w:cs="宋体"/>
          <w:color w:val="auto"/>
          <w:sz w:val="24"/>
          <w:highlight w:val="none"/>
          <w:vertAlign w:val="subscript"/>
        </w:rPr>
        <w:t>2</w:t>
      </w:r>
      <w:r>
        <w:rPr>
          <w:rFonts w:hint="eastAsia" w:ascii="宋体" w:hAnsi="宋体" w:eastAsia="宋体" w:cs="宋体"/>
          <w:color w:val="auto"/>
          <w:sz w:val="24"/>
          <w:highlight w:val="none"/>
        </w:rPr>
        <w:t>、CH</w:t>
      </w:r>
      <w:r>
        <w:rPr>
          <w:rFonts w:hint="eastAsia" w:ascii="宋体" w:hAnsi="宋体" w:eastAsia="宋体" w:cs="宋体"/>
          <w:color w:val="auto"/>
          <w:sz w:val="24"/>
          <w:highlight w:val="none"/>
          <w:vertAlign w:val="subscript"/>
        </w:rPr>
        <w:t>4</w:t>
      </w:r>
      <w:r>
        <w:rPr>
          <w:rFonts w:hint="eastAsia" w:ascii="宋体" w:hAnsi="宋体" w:eastAsia="宋体" w:cs="宋体"/>
          <w:color w:val="auto"/>
          <w:sz w:val="24"/>
          <w:highlight w:val="none"/>
        </w:rPr>
        <w:t>、CO、N</w:t>
      </w:r>
      <w:r>
        <w:rPr>
          <w:rFonts w:hint="eastAsia" w:ascii="宋体" w:hAnsi="宋体" w:eastAsia="宋体" w:cs="宋体"/>
          <w:color w:val="auto"/>
          <w:sz w:val="24"/>
          <w:highlight w:val="none"/>
          <w:vertAlign w:val="subscript"/>
        </w:rPr>
        <w:t>2</w:t>
      </w:r>
      <w:r>
        <w:rPr>
          <w:rFonts w:hint="eastAsia" w:ascii="宋体" w:hAnsi="宋体" w:eastAsia="宋体" w:cs="宋体"/>
          <w:color w:val="auto"/>
          <w:sz w:val="24"/>
          <w:highlight w:val="none"/>
        </w:rPr>
        <w:t>O）光腔衰荡光谱法连续自动监测系统运行和质控技术指南(第一版)》规范要求开展运维工作。</w:t>
      </w:r>
    </w:p>
    <w:p w14:paraId="16291EA2">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投标人必须在投标文件中注明所投仪器的型号、生产厂家和技术指标。</w:t>
      </w:r>
    </w:p>
    <w:p w14:paraId="6291B300">
      <w:pPr>
        <w:spacing w:line="420" w:lineRule="exact"/>
        <w:ind w:firstLine="480"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w:t>
      </w:r>
      <w:r>
        <w:rPr>
          <w:rFonts w:hint="eastAsia" w:ascii="宋体" w:hAnsi="宋体" w:eastAsia="宋体" w:cs="宋体"/>
          <w:b/>
          <w:bCs/>
          <w:color w:val="auto"/>
          <w:sz w:val="24"/>
          <w:highlight w:val="none"/>
          <w:u w:val="single"/>
          <w:lang w:val="en-US" w:eastAsia="zh-CN"/>
        </w:rPr>
        <w:t>8</w:t>
      </w:r>
      <w:r>
        <w:rPr>
          <w:rFonts w:hint="eastAsia" w:ascii="宋体" w:hAnsi="宋体" w:eastAsia="宋体" w:cs="宋体"/>
          <w:b/>
          <w:bCs/>
          <w:color w:val="auto"/>
          <w:sz w:val="24"/>
          <w:highlight w:val="none"/>
          <w:u w:val="single"/>
        </w:rPr>
        <w:t>、合同签订后，中标人需根据温州市城市温室气体排放情况，通过走航监测等手段提供现场选点位排查筛选，提供符合《城市大气温室气体监测点位布设技术指南(第一版)》选址报告。</w:t>
      </w:r>
    </w:p>
    <w:p w14:paraId="6519A990">
      <w:pPr>
        <w:pStyle w:val="3"/>
        <w:numPr>
          <w:ilvl w:val="1"/>
          <w:numId w:val="0"/>
        </w:numPr>
        <w:spacing w:line="420" w:lineRule="exact"/>
        <w:ind w:firstLine="480" w:firstLineChars="20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四、售后服务要求</w:t>
      </w:r>
    </w:p>
    <w:p w14:paraId="114528E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1.在质保期内，供应商应对货物出现的质量及安全问题负责处理解决并承担一切费用。</w:t>
      </w:r>
    </w:p>
    <w:p w14:paraId="570FA9A9">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2.质保期内出现无法排除的问题，供应商需无条件更换同型号产品。</w:t>
      </w:r>
    </w:p>
    <w:p w14:paraId="748D9736">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3.质保期满后，供应商继续为采购人服务，仅收取零配件成本费。维修过程中所需零配件供应商在接到通知后最长不超过3天必须送达采购人。</w:t>
      </w:r>
    </w:p>
    <w:p w14:paraId="56B428B3">
      <w:pPr>
        <w:spacing w:line="360" w:lineRule="auto"/>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eastAsia="zh-CN"/>
        </w:rPr>
        <w:t>投标人应提供省内完善的售后服务网络，在温州设有常驻人员，</w:t>
      </w:r>
      <w:r>
        <w:rPr>
          <w:rFonts w:hint="eastAsia" w:ascii="宋体" w:hAnsi="宋体" w:cs="宋体"/>
          <w:color w:val="auto"/>
          <w:sz w:val="24"/>
          <w:szCs w:val="24"/>
          <w:highlight w:val="none"/>
        </w:rPr>
        <w:t>提供7×24小时技术支持，对采购人的需求应当积极响应，如在使用过程中发生质量问题，供应商维修响应时间：4小时以内；电话技术支持时间：8小时以内；若需上门维修，则在24小时内到达现场并进行维修。</w:t>
      </w:r>
    </w:p>
    <w:p w14:paraId="04F75364">
      <w:pPr>
        <w:spacing w:line="360" w:lineRule="auto"/>
        <w:ind w:firstLine="480" w:firstLineChars="200"/>
        <w:rPr>
          <w:rFonts w:hint="eastAsia" w:ascii="宋体" w:hAnsi="宋体" w:eastAsia="宋体" w:cs="宋体"/>
          <w:color w:val="auto"/>
          <w:sz w:val="24"/>
          <w:highlight w:val="none"/>
          <w:u w:val="single"/>
          <w:lang w:val="en-US" w:eastAsia="zh-CN"/>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投标人必须在投标文件中提供售后服务</w:t>
      </w:r>
      <w:r>
        <w:rPr>
          <w:rFonts w:hint="eastAsia" w:ascii="宋体" w:hAnsi="宋体" w:cs="宋体"/>
          <w:color w:val="auto"/>
          <w:sz w:val="24"/>
          <w:szCs w:val="24"/>
          <w:highlight w:val="none"/>
        </w:rPr>
        <w:t>方案</w:t>
      </w:r>
      <w:r>
        <w:rPr>
          <w:rFonts w:hint="eastAsia" w:ascii="宋体" w:hAnsi="宋体" w:eastAsia="宋体" w:cs="宋体"/>
          <w:color w:val="auto"/>
          <w:sz w:val="24"/>
          <w:highlight w:val="none"/>
        </w:rPr>
        <w:t>、响应时间计划，包括用户故障的响应、处理、定期巡检的情况</w:t>
      </w:r>
      <w:r>
        <w:rPr>
          <w:rFonts w:hint="eastAsia" w:ascii="宋体" w:hAnsi="宋体" w:eastAsia="宋体" w:cs="宋体"/>
          <w:color w:val="auto"/>
          <w:sz w:val="24"/>
          <w:highlight w:val="none"/>
          <w:lang w:eastAsia="zh-CN"/>
        </w:rPr>
        <w:t>、</w:t>
      </w:r>
      <w:r>
        <w:rPr>
          <w:rFonts w:hint="eastAsia" w:ascii="宋体" w:hAnsi="宋体" w:cs="宋体"/>
          <w:color w:val="auto"/>
          <w:sz w:val="24"/>
          <w:szCs w:val="24"/>
          <w:highlight w:val="none"/>
        </w:rPr>
        <w:t>售后服务机构备品备件储备及仓库地址及联系电话，固定维修点地址及联系电话，远程维修中心地址及联系电话，售后服务机构技术服务人员情况等。</w:t>
      </w:r>
    </w:p>
    <w:p w14:paraId="618B9B38">
      <w:pPr>
        <w:pStyle w:val="3"/>
        <w:keepNext w:val="0"/>
        <w:keepLines w:val="0"/>
        <w:numPr>
          <w:ilvl w:val="1"/>
          <w:numId w:val="0"/>
        </w:numPr>
        <w:spacing w:line="42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五</w:t>
      </w:r>
      <w:r>
        <w:rPr>
          <w:rFonts w:hint="eastAsia" w:ascii="宋体" w:hAnsi="宋体" w:eastAsia="宋体" w:cs="宋体"/>
          <w:color w:val="auto"/>
          <w:sz w:val="24"/>
          <w:szCs w:val="24"/>
          <w:highlight w:val="none"/>
        </w:rPr>
        <w:t>、质量保证</w:t>
      </w:r>
    </w:p>
    <w:p w14:paraId="76693597">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中标人（及制造商）对中标设备使用的安全性能与检测结果的可靠性负全部责任。</w:t>
      </w:r>
    </w:p>
    <w:p w14:paraId="3F83C5E5">
      <w:pPr>
        <w:pStyle w:val="15"/>
        <w:snapToGrid/>
        <w:spacing w:line="42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为确保系统高质量，投标人应制定有关实施期间的质量保证计划，包括系统设计与施工规范化管理、仪器设备质量保证、技术人员资质及管理等。</w:t>
      </w:r>
    </w:p>
    <w:p w14:paraId="7D96A8FC">
      <w:pPr>
        <w:pStyle w:val="3"/>
        <w:keepNext w:val="0"/>
        <w:keepLines w:val="0"/>
        <w:numPr>
          <w:ilvl w:val="-1"/>
          <w:numId w:val="0"/>
        </w:numPr>
        <w:spacing w:line="420" w:lineRule="exact"/>
        <w:ind w:left="420" w:leftChars="20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六、</w:t>
      </w:r>
      <w:r>
        <w:rPr>
          <w:rFonts w:hint="eastAsia" w:ascii="宋体" w:hAnsi="宋体" w:eastAsia="宋体" w:cs="宋体"/>
          <w:color w:val="auto"/>
          <w:sz w:val="24"/>
          <w:szCs w:val="24"/>
          <w:highlight w:val="none"/>
        </w:rPr>
        <w:t>验收</w:t>
      </w:r>
    </w:p>
    <w:p w14:paraId="64A977CB">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验收要求：</w:t>
      </w:r>
    </w:p>
    <w:p w14:paraId="08C42CC5">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参照《环境空气温室气体及其示踪物（CO</w:t>
      </w:r>
      <w:r>
        <w:rPr>
          <w:rFonts w:hint="eastAsia" w:ascii="宋体" w:hAnsi="宋体" w:eastAsia="宋体" w:cs="宋体"/>
          <w:color w:val="auto"/>
          <w:sz w:val="24"/>
          <w:highlight w:val="none"/>
          <w:vertAlign w:val="subscript"/>
        </w:rPr>
        <w:t>2</w:t>
      </w:r>
      <w:r>
        <w:rPr>
          <w:rFonts w:hint="eastAsia" w:ascii="宋体" w:hAnsi="宋体" w:eastAsia="宋体" w:cs="宋体"/>
          <w:color w:val="auto"/>
          <w:sz w:val="24"/>
          <w:highlight w:val="none"/>
        </w:rPr>
        <w:t>、CH</w:t>
      </w:r>
      <w:r>
        <w:rPr>
          <w:rFonts w:hint="eastAsia" w:ascii="宋体" w:hAnsi="宋体" w:eastAsia="宋体" w:cs="宋体"/>
          <w:color w:val="auto"/>
          <w:sz w:val="24"/>
          <w:highlight w:val="none"/>
          <w:vertAlign w:val="subscript"/>
        </w:rPr>
        <w:t>4</w:t>
      </w:r>
      <w:r>
        <w:rPr>
          <w:rFonts w:hint="eastAsia" w:ascii="宋体" w:hAnsi="宋体" w:eastAsia="宋体" w:cs="宋体"/>
          <w:color w:val="auto"/>
          <w:sz w:val="24"/>
          <w:highlight w:val="none"/>
        </w:rPr>
        <w:t>、CO、N</w:t>
      </w:r>
      <w:r>
        <w:rPr>
          <w:rFonts w:hint="eastAsia" w:ascii="宋体" w:hAnsi="宋体" w:eastAsia="宋体" w:cs="宋体"/>
          <w:color w:val="auto"/>
          <w:sz w:val="24"/>
          <w:highlight w:val="none"/>
          <w:vertAlign w:val="subscript"/>
        </w:rPr>
        <w:t>2</w:t>
      </w:r>
      <w:r>
        <w:rPr>
          <w:rFonts w:hint="eastAsia" w:ascii="宋体" w:hAnsi="宋体" w:eastAsia="宋体" w:cs="宋体"/>
          <w:color w:val="auto"/>
          <w:sz w:val="24"/>
          <w:highlight w:val="none"/>
        </w:rPr>
        <w:t>O）连续自动监测采样系统技术要求（第一版）》、生态环境部印发《碳监测评估试点工作方案》（环办监测函〔2021〕435号）、《环境空气气态污染物（SO</w:t>
      </w:r>
      <w:r>
        <w:rPr>
          <w:rFonts w:hint="eastAsia" w:ascii="宋体" w:hAnsi="宋体" w:eastAsia="宋体" w:cs="宋体"/>
          <w:color w:val="auto"/>
          <w:sz w:val="24"/>
          <w:highlight w:val="none"/>
          <w:vertAlign w:val="subscript"/>
        </w:rPr>
        <w:t>2</w:t>
      </w:r>
      <w:r>
        <w:rPr>
          <w:rFonts w:hint="eastAsia" w:ascii="宋体" w:hAnsi="宋体" w:eastAsia="宋体" w:cs="宋体"/>
          <w:color w:val="auto"/>
          <w:sz w:val="24"/>
          <w:highlight w:val="none"/>
        </w:rPr>
        <w:t>、NO</w:t>
      </w:r>
      <w:r>
        <w:rPr>
          <w:rFonts w:hint="eastAsia" w:ascii="宋体" w:hAnsi="宋体" w:eastAsia="宋体" w:cs="宋体"/>
          <w:color w:val="auto"/>
          <w:sz w:val="24"/>
          <w:highlight w:val="none"/>
          <w:vertAlign w:val="subscript"/>
        </w:rPr>
        <w:t>2</w:t>
      </w:r>
      <w:r>
        <w:rPr>
          <w:rFonts w:hint="eastAsia" w:ascii="宋体" w:hAnsi="宋体" w:eastAsia="宋体" w:cs="宋体"/>
          <w:color w:val="auto"/>
          <w:sz w:val="24"/>
          <w:highlight w:val="none"/>
        </w:rPr>
        <w:t>、O</w:t>
      </w:r>
      <w:r>
        <w:rPr>
          <w:rFonts w:hint="eastAsia" w:ascii="宋体" w:hAnsi="宋体" w:eastAsia="宋体" w:cs="宋体"/>
          <w:color w:val="auto"/>
          <w:sz w:val="24"/>
          <w:highlight w:val="none"/>
          <w:vertAlign w:val="subscript"/>
        </w:rPr>
        <w:t>3</w:t>
      </w:r>
      <w:r>
        <w:rPr>
          <w:rFonts w:hint="eastAsia" w:ascii="宋体" w:hAnsi="宋体" w:eastAsia="宋体" w:cs="宋体"/>
          <w:color w:val="auto"/>
          <w:sz w:val="24"/>
          <w:highlight w:val="none"/>
        </w:rPr>
        <w:t>、CO）连续自动监测系统运行和质控技术规范》HJ 818-2018、《大气二氧化碳（CO</w:t>
      </w:r>
      <w:r>
        <w:rPr>
          <w:rFonts w:hint="eastAsia" w:ascii="宋体" w:hAnsi="宋体" w:eastAsia="宋体" w:cs="宋体"/>
          <w:color w:val="auto"/>
          <w:sz w:val="24"/>
          <w:highlight w:val="none"/>
          <w:vertAlign w:val="subscript"/>
        </w:rPr>
        <w:t>2</w:t>
      </w:r>
      <w:r>
        <w:rPr>
          <w:rFonts w:hint="eastAsia" w:ascii="宋体" w:hAnsi="宋体" w:eastAsia="宋体" w:cs="宋体"/>
          <w:color w:val="auto"/>
          <w:sz w:val="24"/>
          <w:highlight w:val="none"/>
        </w:rPr>
        <w:t>）光腔衰荡光谱观测系统》 GB/T 33672-2017 、《大气甲烷光腔衰荡光谱观测系统》（GB/T 34415-2017）要求执行。</w:t>
      </w:r>
    </w:p>
    <w:p w14:paraId="46ACB1EA">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按照相关技术规范具备验收条件后，中标人以书面形式向采购人提交验收报告及验收申请，采购人审核同意后组织验收组进行。采购人只接收验收合格的设备。</w:t>
      </w:r>
    </w:p>
    <w:p w14:paraId="79D55D30">
      <w:pPr>
        <w:autoSpaceDE w:val="0"/>
        <w:autoSpaceDN w:val="0"/>
        <w:snapToGrid w:val="0"/>
        <w:spacing w:line="360" w:lineRule="auto"/>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br w:type="page"/>
      </w:r>
    </w:p>
    <w:p w14:paraId="0BF5096F">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第四部分</w:t>
      </w:r>
      <w:bookmarkStart w:id="64" w:name="_Toc184313270"/>
      <w:bookmarkEnd w:id="64"/>
      <w:bookmarkStart w:id="65" w:name="_Toc184314445"/>
      <w:bookmarkEnd w:id="65"/>
      <w:bookmarkStart w:id="66" w:name="_Toc184313278"/>
      <w:bookmarkEnd w:id="66"/>
      <w:bookmarkStart w:id="67" w:name="_Toc184313307"/>
      <w:bookmarkEnd w:id="67"/>
      <w:bookmarkStart w:id="68" w:name="_Toc184312114"/>
      <w:bookmarkEnd w:id="68"/>
      <w:bookmarkStart w:id="69" w:name="_Toc184313287"/>
      <w:bookmarkEnd w:id="69"/>
      <w:bookmarkStart w:id="70" w:name="_Toc184314468"/>
      <w:bookmarkEnd w:id="70"/>
      <w:bookmarkStart w:id="71" w:name="_Toc184308104"/>
      <w:bookmarkEnd w:id="71"/>
      <w:bookmarkStart w:id="72" w:name="_Toc184308079"/>
      <w:bookmarkEnd w:id="72"/>
      <w:bookmarkStart w:id="73" w:name="_Toc184312083"/>
      <w:bookmarkEnd w:id="73"/>
      <w:bookmarkStart w:id="74" w:name="_Toc184313247"/>
      <w:bookmarkEnd w:id="74"/>
      <w:bookmarkStart w:id="75" w:name="_Toc184310276"/>
      <w:bookmarkEnd w:id="75"/>
      <w:bookmarkStart w:id="76" w:name="_Toc184310316"/>
      <w:bookmarkEnd w:id="76"/>
      <w:bookmarkStart w:id="77" w:name="_Toc184310275"/>
      <w:bookmarkEnd w:id="77"/>
      <w:bookmarkStart w:id="78" w:name="_Toc184313268"/>
      <w:bookmarkEnd w:id="78"/>
      <w:bookmarkStart w:id="79" w:name="_Toc184314423"/>
      <w:bookmarkEnd w:id="79"/>
      <w:bookmarkStart w:id="80" w:name="_Toc184310308"/>
      <w:bookmarkEnd w:id="80"/>
      <w:bookmarkStart w:id="81" w:name="_Toc184310325"/>
      <w:bookmarkEnd w:id="81"/>
      <w:bookmarkStart w:id="82" w:name="_Toc184310296"/>
      <w:bookmarkEnd w:id="82"/>
      <w:bookmarkStart w:id="83" w:name="_Toc184310332"/>
      <w:bookmarkEnd w:id="83"/>
      <w:bookmarkStart w:id="84" w:name="_Toc184308086"/>
      <w:bookmarkEnd w:id="84"/>
      <w:bookmarkStart w:id="85" w:name="_Toc184314440"/>
      <w:bookmarkEnd w:id="85"/>
      <w:bookmarkStart w:id="86" w:name="_Toc184312098"/>
      <w:bookmarkEnd w:id="86"/>
      <w:bookmarkStart w:id="87" w:name="_Toc184308044"/>
      <w:bookmarkEnd w:id="87"/>
      <w:bookmarkStart w:id="88" w:name="_Toc184310302"/>
      <w:bookmarkEnd w:id="88"/>
      <w:bookmarkStart w:id="89" w:name="_Toc184314471"/>
      <w:bookmarkEnd w:id="89"/>
      <w:bookmarkStart w:id="90" w:name="_Toc184312134"/>
      <w:bookmarkEnd w:id="90"/>
      <w:bookmarkStart w:id="91" w:name="_Toc184312102"/>
      <w:bookmarkEnd w:id="91"/>
      <w:bookmarkStart w:id="92" w:name="_Toc184313282"/>
      <w:bookmarkEnd w:id="92"/>
      <w:bookmarkStart w:id="93" w:name="_Toc184314466"/>
      <w:bookmarkEnd w:id="93"/>
      <w:bookmarkStart w:id="94" w:name="_Toc184313271"/>
      <w:bookmarkEnd w:id="94"/>
      <w:bookmarkStart w:id="95" w:name="_Toc184312119"/>
      <w:bookmarkEnd w:id="95"/>
      <w:bookmarkStart w:id="96" w:name="_Toc184310293"/>
      <w:bookmarkEnd w:id="96"/>
      <w:bookmarkStart w:id="97" w:name="_Toc184312067"/>
      <w:bookmarkEnd w:id="97"/>
      <w:bookmarkStart w:id="98" w:name="_Toc184313264"/>
      <w:bookmarkEnd w:id="98"/>
      <w:bookmarkStart w:id="99" w:name="_Toc184313305"/>
      <w:bookmarkEnd w:id="99"/>
      <w:bookmarkStart w:id="100" w:name="_Toc184308102"/>
      <w:bookmarkEnd w:id="100"/>
      <w:bookmarkStart w:id="101" w:name="_Toc184312086"/>
      <w:bookmarkEnd w:id="101"/>
      <w:bookmarkStart w:id="102" w:name="_Toc184313284"/>
      <w:bookmarkEnd w:id="102"/>
      <w:bookmarkStart w:id="103" w:name="_Toc184314433"/>
      <w:bookmarkEnd w:id="103"/>
      <w:bookmarkStart w:id="104" w:name="_Toc184314451"/>
      <w:bookmarkEnd w:id="104"/>
      <w:bookmarkStart w:id="105" w:name="_Toc184313257"/>
      <w:bookmarkEnd w:id="105"/>
      <w:bookmarkStart w:id="106" w:name="_Toc184308039"/>
      <w:bookmarkEnd w:id="106"/>
      <w:bookmarkStart w:id="107" w:name="_Toc184312093"/>
      <w:bookmarkEnd w:id="107"/>
      <w:bookmarkStart w:id="108" w:name="_Toc184308092"/>
      <w:bookmarkEnd w:id="108"/>
      <w:bookmarkStart w:id="109" w:name="_Toc184314448"/>
      <w:bookmarkEnd w:id="109"/>
      <w:bookmarkStart w:id="110" w:name="_Toc184312125"/>
      <w:bookmarkEnd w:id="110"/>
      <w:bookmarkStart w:id="111" w:name="_Toc184308085"/>
      <w:bookmarkEnd w:id="111"/>
      <w:bookmarkStart w:id="112" w:name="_Toc184312105"/>
      <w:bookmarkEnd w:id="112"/>
      <w:bookmarkStart w:id="113" w:name="_Toc184313289"/>
      <w:bookmarkEnd w:id="113"/>
      <w:bookmarkStart w:id="114" w:name="_Toc184313258"/>
      <w:bookmarkEnd w:id="114"/>
      <w:bookmarkStart w:id="115" w:name="_Toc184308036"/>
      <w:bookmarkEnd w:id="115"/>
      <w:bookmarkStart w:id="116" w:name="_Toc184308070"/>
      <w:bookmarkEnd w:id="116"/>
      <w:bookmarkStart w:id="117" w:name="_Toc184314461"/>
      <w:bookmarkEnd w:id="117"/>
      <w:bookmarkStart w:id="118" w:name="_Toc184313265"/>
      <w:bookmarkEnd w:id="118"/>
      <w:bookmarkStart w:id="119" w:name="_Toc184313251"/>
      <w:bookmarkEnd w:id="119"/>
      <w:bookmarkStart w:id="120" w:name="_Toc184312132"/>
      <w:bookmarkEnd w:id="120"/>
      <w:bookmarkStart w:id="121" w:name="_Toc184312136"/>
      <w:bookmarkEnd w:id="121"/>
      <w:bookmarkStart w:id="122" w:name="_Toc184314422"/>
      <w:bookmarkEnd w:id="122"/>
      <w:bookmarkStart w:id="123" w:name="_Toc184308077"/>
      <w:bookmarkEnd w:id="123"/>
      <w:bookmarkStart w:id="124" w:name="_Toc184312116"/>
      <w:bookmarkEnd w:id="124"/>
      <w:bookmarkStart w:id="125" w:name="_Toc184314432"/>
      <w:bookmarkEnd w:id="125"/>
      <w:bookmarkStart w:id="126" w:name="_Toc184310314"/>
      <w:bookmarkEnd w:id="126"/>
      <w:bookmarkStart w:id="127" w:name="_Toc184313260"/>
      <w:bookmarkEnd w:id="127"/>
      <w:bookmarkStart w:id="128" w:name="_Toc184308058"/>
      <w:bookmarkEnd w:id="128"/>
      <w:bookmarkStart w:id="129" w:name="_Toc184313300"/>
      <w:bookmarkEnd w:id="129"/>
      <w:bookmarkStart w:id="130" w:name="_Toc184312079"/>
      <w:bookmarkEnd w:id="130"/>
      <w:bookmarkStart w:id="131" w:name="_Toc184314458"/>
      <w:bookmarkEnd w:id="131"/>
      <w:bookmarkStart w:id="132" w:name="_Toc184310290"/>
      <w:bookmarkEnd w:id="132"/>
      <w:bookmarkStart w:id="133" w:name="_Toc184312127"/>
      <w:bookmarkEnd w:id="133"/>
      <w:bookmarkStart w:id="134" w:name="_Toc184314454"/>
      <w:bookmarkEnd w:id="134"/>
      <w:bookmarkStart w:id="135" w:name="_Toc184313298"/>
      <w:bookmarkEnd w:id="135"/>
      <w:bookmarkStart w:id="136" w:name="_Toc184314430"/>
      <w:bookmarkEnd w:id="136"/>
      <w:bookmarkStart w:id="137" w:name="_Toc184312122"/>
      <w:bookmarkEnd w:id="137"/>
      <w:bookmarkStart w:id="138" w:name="_Toc184312117"/>
      <w:bookmarkEnd w:id="138"/>
      <w:bookmarkStart w:id="139" w:name="_Toc184313283"/>
      <w:bookmarkEnd w:id="139"/>
      <w:bookmarkStart w:id="140" w:name="_Toc184308055"/>
      <w:bookmarkEnd w:id="140"/>
      <w:bookmarkStart w:id="141" w:name="_Toc184308098"/>
      <w:bookmarkEnd w:id="141"/>
      <w:bookmarkStart w:id="142" w:name="_Toc184308107"/>
      <w:bookmarkEnd w:id="142"/>
      <w:bookmarkStart w:id="143" w:name="_Toc184310342"/>
      <w:bookmarkEnd w:id="143"/>
      <w:bookmarkStart w:id="144" w:name="_Toc184314450"/>
      <w:bookmarkEnd w:id="144"/>
      <w:bookmarkStart w:id="145" w:name="_Toc184310295"/>
      <w:bookmarkEnd w:id="145"/>
      <w:bookmarkStart w:id="146" w:name="_Toc184313261"/>
      <w:bookmarkEnd w:id="146"/>
      <w:bookmarkStart w:id="147" w:name="_Toc184313290"/>
      <w:bookmarkEnd w:id="147"/>
      <w:bookmarkStart w:id="148" w:name="_Toc184313248"/>
      <w:bookmarkEnd w:id="148"/>
      <w:bookmarkStart w:id="149" w:name="_Toc184313254"/>
      <w:bookmarkEnd w:id="149"/>
      <w:bookmarkStart w:id="150" w:name="_Toc184310299"/>
      <w:bookmarkEnd w:id="150"/>
      <w:bookmarkStart w:id="151" w:name="_Toc184313310"/>
      <w:bookmarkEnd w:id="151"/>
      <w:bookmarkStart w:id="152" w:name="_Toc184308071"/>
      <w:bookmarkEnd w:id="152"/>
      <w:bookmarkStart w:id="153" w:name="_Toc184308101"/>
      <w:bookmarkEnd w:id="153"/>
      <w:bookmarkStart w:id="154" w:name="_Toc184310321"/>
      <w:bookmarkEnd w:id="154"/>
      <w:bookmarkStart w:id="155" w:name="_Toc184308072"/>
      <w:bookmarkEnd w:id="155"/>
      <w:bookmarkStart w:id="156" w:name="_Toc184312138"/>
      <w:bookmarkEnd w:id="156"/>
      <w:bookmarkStart w:id="157" w:name="_Toc184314463"/>
      <w:bookmarkEnd w:id="157"/>
      <w:bookmarkStart w:id="158" w:name="_Toc184314415"/>
      <w:bookmarkEnd w:id="158"/>
      <w:bookmarkStart w:id="159" w:name="_Toc184310317"/>
      <w:bookmarkEnd w:id="159"/>
      <w:bookmarkStart w:id="160" w:name="_Toc184314418"/>
      <w:bookmarkEnd w:id="160"/>
      <w:bookmarkStart w:id="161" w:name="_Toc184313303"/>
      <w:bookmarkEnd w:id="161"/>
      <w:bookmarkStart w:id="162" w:name="_Toc184308078"/>
      <w:bookmarkEnd w:id="162"/>
      <w:bookmarkStart w:id="163" w:name="_Toc184310331"/>
      <w:bookmarkEnd w:id="163"/>
      <w:bookmarkStart w:id="164" w:name="_Toc184312106"/>
      <w:bookmarkEnd w:id="164"/>
      <w:bookmarkStart w:id="165" w:name="_Toc184314446"/>
      <w:bookmarkEnd w:id="165"/>
      <w:bookmarkStart w:id="166" w:name="_Toc184313249"/>
      <w:bookmarkEnd w:id="166"/>
      <w:bookmarkStart w:id="167" w:name="_Toc184308097"/>
      <w:bookmarkEnd w:id="167"/>
      <w:bookmarkStart w:id="168" w:name="_Toc184310283"/>
      <w:bookmarkEnd w:id="168"/>
      <w:bookmarkStart w:id="169" w:name="_Toc184308093"/>
      <w:bookmarkEnd w:id="169"/>
      <w:bookmarkStart w:id="170" w:name="_Toc184312103"/>
      <w:bookmarkEnd w:id="170"/>
      <w:bookmarkStart w:id="171" w:name="_Toc184312108"/>
      <w:bookmarkEnd w:id="171"/>
      <w:bookmarkStart w:id="172" w:name="_Toc184313267"/>
      <w:bookmarkEnd w:id="172"/>
      <w:bookmarkStart w:id="173" w:name="_Toc184308082"/>
      <w:bookmarkEnd w:id="173"/>
      <w:bookmarkStart w:id="174" w:name="_Toc184314472"/>
      <w:bookmarkEnd w:id="174"/>
      <w:bookmarkStart w:id="175" w:name="_Toc184314426"/>
      <w:bookmarkEnd w:id="175"/>
      <w:bookmarkStart w:id="176" w:name="_Toc184312128"/>
      <w:bookmarkEnd w:id="176"/>
      <w:bookmarkStart w:id="177" w:name="_Toc184313292"/>
      <w:bookmarkEnd w:id="177"/>
      <w:bookmarkStart w:id="178" w:name="_Toc184310338"/>
      <w:bookmarkEnd w:id="178"/>
      <w:bookmarkStart w:id="179" w:name="_Toc184310305"/>
      <w:bookmarkEnd w:id="179"/>
      <w:bookmarkStart w:id="180" w:name="_Toc184313304"/>
      <w:bookmarkEnd w:id="180"/>
      <w:bookmarkStart w:id="181" w:name="_Toc184308043"/>
      <w:bookmarkEnd w:id="181"/>
      <w:bookmarkStart w:id="182" w:name="_Toc184314474"/>
      <w:bookmarkEnd w:id="182"/>
      <w:bookmarkStart w:id="183" w:name="_Toc184313242"/>
      <w:bookmarkEnd w:id="183"/>
      <w:bookmarkStart w:id="184" w:name="_Toc184310327"/>
      <w:bookmarkEnd w:id="184"/>
      <w:bookmarkStart w:id="185" w:name="_Toc184312137"/>
      <w:bookmarkEnd w:id="185"/>
      <w:bookmarkStart w:id="186" w:name="_Toc184310343"/>
      <w:bookmarkEnd w:id="186"/>
      <w:bookmarkStart w:id="187" w:name="_Toc184308053"/>
      <w:bookmarkEnd w:id="187"/>
      <w:bookmarkStart w:id="188" w:name="_Toc184313256"/>
      <w:bookmarkEnd w:id="188"/>
      <w:bookmarkStart w:id="189" w:name="_Toc184314482"/>
      <w:bookmarkEnd w:id="189"/>
      <w:bookmarkStart w:id="190" w:name="_Toc184314434"/>
      <w:bookmarkEnd w:id="190"/>
      <w:bookmarkStart w:id="191" w:name="_Toc184314457"/>
      <w:bookmarkEnd w:id="191"/>
      <w:bookmarkStart w:id="192" w:name="_Toc184310281"/>
      <w:bookmarkEnd w:id="192"/>
      <w:bookmarkStart w:id="193" w:name="_Toc184314410"/>
      <w:bookmarkEnd w:id="193"/>
      <w:bookmarkStart w:id="194" w:name="_Toc184308065"/>
      <w:bookmarkEnd w:id="194"/>
      <w:bookmarkStart w:id="195" w:name="_Toc184310309"/>
      <w:bookmarkEnd w:id="195"/>
      <w:bookmarkStart w:id="196" w:name="_Toc184314477"/>
      <w:bookmarkEnd w:id="196"/>
      <w:bookmarkStart w:id="197" w:name="_Toc184310323"/>
      <w:bookmarkEnd w:id="197"/>
      <w:bookmarkStart w:id="198" w:name="_Toc184310333"/>
      <w:bookmarkEnd w:id="198"/>
      <w:bookmarkStart w:id="199" w:name="_Toc184310319"/>
      <w:bookmarkEnd w:id="199"/>
      <w:bookmarkStart w:id="200" w:name="_Toc184313245"/>
      <w:bookmarkEnd w:id="200"/>
      <w:bookmarkStart w:id="201" w:name="_Toc184308061"/>
      <w:bookmarkEnd w:id="201"/>
      <w:bookmarkStart w:id="202" w:name="_Toc184312074"/>
      <w:bookmarkEnd w:id="202"/>
      <w:bookmarkStart w:id="203" w:name="_Toc184310310"/>
      <w:bookmarkEnd w:id="203"/>
      <w:bookmarkStart w:id="204" w:name="_Toc184314443"/>
      <w:bookmarkEnd w:id="204"/>
      <w:bookmarkStart w:id="205" w:name="_Toc184310306"/>
      <w:bookmarkEnd w:id="205"/>
      <w:bookmarkStart w:id="206" w:name="_Toc184312131"/>
      <w:bookmarkEnd w:id="206"/>
      <w:bookmarkStart w:id="207" w:name="_Toc184308046"/>
      <w:bookmarkEnd w:id="207"/>
      <w:bookmarkStart w:id="208" w:name="_Toc184314437"/>
      <w:bookmarkEnd w:id="208"/>
      <w:bookmarkStart w:id="209" w:name="_Toc184312099"/>
      <w:bookmarkEnd w:id="209"/>
      <w:bookmarkStart w:id="210" w:name="_Toc184313291"/>
      <w:bookmarkEnd w:id="210"/>
      <w:bookmarkStart w:id="211" w:name="_Toc184313295"/>
      <w:bookmarkEnd w:id="211"/>
      <w:bookmarkStart w:id="212" w:name="_Toc184308040"/>
      <w:bookmarkEnd w:id="212"/>
      <w:bookmarkStart w:id="213" w:name="_Toc184313286"/>
      <w:bookmarkEnd w:id="213"/>
      <w:bookmarkStart w:id="214" w:name="_Toc184313285"/>
      <w:bookmarkEnd w:id="214"/>
      <w:bookmarkStart w:id="215" w:name="_Toc184310272"/>
      <w:bookmarkEnd w:id="215"/>
      <w:bookmarkStart w:id="216" w:name="_Toc184312068"/>
      <w:bookmarkEnd w:id="216"/>
      <w:bookmarkStart w:id="217" w:name="_Toc184310336"/>
      <w:bookmarkEnd w:id="217"/>
      <w:bookmarkStart w:id="218" w:name="_Toc184314425"/>
      <w:bookmarkEnd w:id="218"/>
      <w:bookmarkStart w:id="219" w:name="_Toc184310344"/>
      <w:bookmarkEnd w:id="219"/>
      <w:bookmarkStart w:id="220" w:name="_Toc184314419"/>
      <w:bookmarkEnd w:id="220"/>
      <w:bookmarkStart w:id="221" w:name="_Toc184314473"/>
      <w:bookmarkEnd w:id="221"/>
      <w:bookmarkStart w:id="222" w:name="_Toc184310300"/>
      <w:bookmarkEnd w:id="222"/>
      <w:bookmarkStart w:id="223" w:name="_Toc184308090"/>
      <w:bookmarkEnd w:id="223"/>
      <w:bookmarkStart w:id="224" w:name="_Toc184308073"/>
      <w:bookmarkEnd w:id="224"/>
      <w:bookmarkStart w:id="225" w:name="_Toc184313273"/>
      <w:bookmarkEnd w:id="225"/>
      <w:bookmarkStart w:id="226" w:name="_Toc184310291"/>
      <w:bookmarkEnd w:id="226"/>
      <w:bookmarkStart w:id="227" w:name="_Toc184312110"/>
      <w:bookmarkEnd w:id="227"/>
      <w:bookmarkStart w:id="228" w:name="_Toc184312096"/>
      <w:bookmarkEnd w:id="228"/>
      <w:bookmarkStart w:id="229" w:name="_Toc184310334"/>
      <w:bookmarkEnd w:id="229"/>
      <w:bookmarkStart w:id="230" w:name="_Toc184310311"/>
      <w:bookmarkEnd w:id="230"/>
      <w:bookmarkStart w:id="231" w:name="_Toc184308088"/>
      <w:bookmarkEnd w:id="231"/>
      <w:bookmarkStart w:id="232" w:name="_Toc184312088"/>
      <w:bookmarkEnd w:id="232"/>
      <w:bookmarkStart w:id="233" w:name="_Toc184312075"/>
      <w:bookmarkEnd w:id="233"/>
      <w:bookmarkStart w:id="234" w:name="_Toc184310320"/>
      <w:bookmarkEnd w:id="234"/>
      <w:bookmarkStart w:id="235" w:name="_Toc184310277"/>
      <w:bookmarkEnd w:id="235"/>
      <w:bookmarkStart w:id="236" w:name="_Toc184312094"/>
      <w:bookmarkEnd w:id="236"/>
      <w:bookmarkStart w:id="237" w:name="_Toc184310330"/>
      <w:bookmarkEnd w:id="237"/>
      <w:bookmarkStart w:id="238" w:name="_Toc184310304"/>
      <w:bookmarkEnd w:id="238"/>
      <w:bookmarkStart w:id="239" w:name="_Toc184313296"/>
      <w:bookmarkEnd w:id="239"/>
      <w:bookmarkStart w:id="240" w:name="_Toc184312073"/>
      <w:bookmarkEnd w:id="240"/>
      <w:bookmarkStart w:id="241" w:name="_Toc184312085"/>
      <w:bookmarkEnd w:id="241"/>
      <w:bookmarkStart w:id="242" w:name="_Toc184312115"/>
      <w:bookmarkEnd w:id="242"/>
      <w:bookmarkStart w:id="243" w:name="_Toc184308056"/>
      <w:bookmarkEnd w:id="243"/>
      <w:bookmarkStart w:id="244" w:name="_Toc184313306"/>
      <w:bookmarkEnd w:id="244"/>
      <w:bookmarkStart w:id="245" w:name="_Toc184308066"/>
      <w:bookmarkEnd w:id="245"/>
      <w:bookmarkStart w:id="246" w:name="_Toc184312092"/>
      <w:bookmarkEnd w:id="246"/>
      <w:bookmarkStart w:id="247" w:name="_Toc184312082"/>
      <w:bookmarkEnd w:id="247"/>
      <w:bookmarkStart w:id="248" w:name="_Toc184314476"/>
      <w:bookmarkEnd w:id="248"/>
      <w:bookmarkStart w:id="249" w:name="_Toc184310322"/>
      <w:bookmarkEnd w:id="249"/>
      <w:bookmarkStart w:id="250" w:name="_Toc184313293"/>
      <w:bookmarkEnd w:id="250"/>
      <w:bookmarkStart w:id="251" w:name="_Toc184313259"/>
      <w:bookmarkEnd w:id="251"/>
      <w:bookmarkStart w:id="252" w:name="_Toc184312081"/>
      <w:bookmarkEnd w:id="252"/>
      <w:bookmarkStart w:id="253" w:name="_Toc184310312"/>
      <w:bookmarkEnd w:id="253"/>
      <w:bookmarkStart w:id="254" w:name="_Toc184312087"/>
      <w:bookmarkEnd w:id="254"/>
      <w:bookmarkStart w:id="255" w:name="_Toc184312124"/>
      <w:bookmarkEnd w:id="255"/>
      <w:bookmarkStart w:id="256" w:name="_Toc184308063"/>
      <w:bookmarkEnd w:id="256"/>
      <w:bookmarkStart w:id="257" w:name="_Toc184314431"/>
      <w:bookmarkEnd w:id="257"/>
      <w:bookmarkStart w:id="258" w:name="_Toc184312100"/>
      <w:bookmarkEnd w:id="258"/>
      <w:bookmarkStart w:id="259" w:name="_Toc184308067"/>
      <w:bookmarkEnd w:id="259"/>
      <w:bookmarkStart w:id="260" w:name="_Toc184308108"/>
      <w:bookmarkEnd w:id="260"/>
      <w:bookmarkStart w:id="261" w:name="_Toc184312113"/>
      <w:bookmarkEnd w:id="261"/>
      <w:bookmarkStart w:id="262" w:name="_Toc184310294"/>
      <w:bookmarkEnd w:id="262"/>
      <w:bookmarkStart w:id="263" w:name="_Toc184313277"/>
      <w:bookmarkEnd w:id="263"/>
      <w:bookmarkStart w:id="264" w:name="_Toc184314436"/>
      <w:bookmarkEnd w:id="264"/>
      <w:bookmarkStart w:id="265" w:name="_Toc184308095"/>
      <w:bookmarkEnd w:id="265"/>
      <w:bookmarkStart w:id="266" w:name="_Toc184313255"/>
      <w:bookmarkEnd w:id="266"/>
      <w:bookmarkStart w:id="267" w:name="_Toc184312084"/>
      <w:bookmarkEnd w:id="267"/>
      <w:bookmarkStart w:id="268" w:name="_Toc184308042"/>
      <w:bookmarkEnd w:id="268"/>
      <w:bookmarkStart w:id="269" w:name="_Toc184313309"/>
      <w:bookmarkEnd w:id="269"/>
      <w:bookmarkStart w:id="270" w:name="_Toc184308076"/>
      <w:bookmarkEnd w:id="270"/>
      <w:bookmarkStart w:id="271" w:name="_Toc184310298"/>
      <w:bookmarkEnd w:id="271"/>
      <w:bookmarkStart w:id="272" w:name="_Toc184308048"/>
      <w:bookmarkEnd w:id="272"/>
      <w:bookmarkStart w:id="273" w:name="_Toc184313288"/>
      <w:bookmarkEnd w:id="273"/>
      <w:bookmarkStart w:id="274" w:name="_Toc184314469"/>
      <w:bookmarkEnd w:id="274"/>
      <w:bookmarkStart w:id="275" w:name="_Toc184308054"/>
      <w:bookmarkEnd w:id="275"/>
      <w:bookmarkStart w:id="276" w:name="_Toc184310273"/>
      <w:bookmarkEnd w:id="276"/>
      <w:bookmarkStart w:id="277" w:name="_Toc184308049"/>
      <w:bookmarkEnd w:id="277"/>
      <w:bookmarkStart w:id="278" w:name="_Toc184310297"/>
      <w:bookmarkEnd w:id="278"/>
      <w:bookmarkStart w:id="279" w:name="_Toc184308087"/>
      <w:bookmarkEnd w:id="279"/>
      <w:bookmarkStart w:id="280" w:name="_Toc184313240"/>
      <w:bookmarkEnd w:id="280"/>
      <w:bookmarkStart w:id="281" w:name="_Toc184313238"/>
      <w:bookmarkEnd w:id="281"/>
      <w:bookmarkStart w:id="282" w:name="_Toc184312109"/>
      <w:bookmarkEnd w:id="282"/>
      <w:bookmarkStart w:id="283" w:name="_Toc184310285"/>
      <w:bookmarkEnd w:id="283"/>
      <w:bookmarkStart w:id="284" w:name="_Toc184312123"/>
      <w:bookmarkEnd w:id="284"/>
      <w:bookmarkStart w:id="285" w:name="_Toc184308062"/>
      <w:bookmarkEnd w:id="285"/>
      <w:bookmarkStart w:id="286" w:name="_Toc184310280"/>
      <w:bookmarkEnd w:id="286"/>
      <w:bookmarkStart w:id="287" w:name="_Toc184308091"/>
      <w:bookmarkEnd w:id="287"/>
      <w:bookmarkStart w:id="288" w:name="_Toc184308037"/>
      <w:bookmarkEnd w:id="288"/>
      <w:bookmarkStart w:id="289" w:name="_Toc184310326"/>
      <w:bookmarkEnd w:id="289"/>
      <w:bookmarkStart w:id="290" w:name="_Toc184310339"/>
      <w:bookmarkEnd w:id="290"/>
      <w:bookmarkStart w:id="291" w:name="_Toc184310284"/>
      <w:bookmarkEnd w:id="291"/>
      <w:bookmarkStart w:id="292" w:name="_Toc184308084"/>
      <w:bookmarkEnd w:id="292"/>
      <w:bookmarkStart w:id="293" w:name="_Toc184314444"/>
      <w:bookmarkEnd w:id="293"/>
      <w:bookmarkStart w:id="294" w:name="_Toc184312112"/>
      <w:bookmarkEnd w:id="294"/>
      <w:bookmarkStart w:id="295" w:name="_Toc184310337"/>
      <w:bookmarkEnd w:id="295"/>
      <w:bookmarkStart w:id="296" w:name="_Toc184312069"/>
      <w:bookmarkEnd w:id="296"/>
      <w:bookmarkStart w:id="297" w:name="_Toc184310278"/>
      <w:bookmarkEnd w:id="297"/>
      <w:bookmarkStart w:id="298" w:name="_Toc184313250"/>
      <w:bookmarkEnd w:id="298"/>
      <w:bookmarkStart w:id="299" w:name="_Toc184308100"/>
      <w:bookmarkEnd w:id="299"/>
      <w:bookmarkStart w:id="300" w:name="_Toc184314475"/>
      <w:bookmarkEnd w:id="300"/>
      <w:bookmarkStart w:id="301" w:name="_Toc184310292"/>
      <w:bookmarkEnd w:id="301"/>
      <w:bookmarkStart w:id="302" w:name="_Toc184312089"/>
      <w:bookmarkEnd w:id="302"/>
      <w:bookmarkStart w:id="303" w:name="_Toc184310335"/>
      <w:bookmarkEnd w:id="303"/>
      <w:bookmarkStart w:id="304" w:name="_Toc184312072"/>
      <w:bookmarkEnd w:id="304"/>
      <w:bookmarkStart w:id="305" w:name="_Toc184308099"/>
      <w:bookmarkEnd w:id="305"/>
      <w:bookmarkStart w:id="306" w:name="_Toc184313275"/>
      <w:bookmarkEnd w:id="306"/>
      <w:bookmarkStart w:id="307" w:name="_Toc184310313"/>
      <w:bookmarkEnd w:id="307"/>
      <w:bookmarkStart w:id="308" w:name="_Toc184308074"/>
      <w:bookmarkEnd w:id="308"/>
      <w:bookmarkStart w:id="309" w:name="_Toc184313269"/>
      <w:bookmarkEnd w:id="309"/>
      <w:bookmarkStart w:id="310" w:name="_Toc184314428"/>
      <w:bookmarkEnd w:id="310"/>
      <w:bookmarkStart w:id="311" w:name="_Toc184308051"/>
      <w:bookmarkEnd w:id="311"/>
      <w:bookmarkStart w:id="312" w:name="_Toc184310274"/>
      <w:bookmarkEnd w:id="312"/>
      <w:bookmarkStart w:id="313" w:name="_Toc184312077"/>
      <w:bookmarkEnd w:id="313"/>
      <w:bookmarkStart w:id="314" w:name="_Toc184310286"/>
      <w:bookmarkEnd w:id="314"/>
      <w:bookmarkStart w:id="315" w:name="_Toc184312070"/>
      <w:bookmarkEnd w:id="315"/>
      <w:bookmarkStart w:id="316" w:name="_Toc184314453"/>
      <w:bookmarkEnd w:id="316"/>
      <w:bookmarkStart w:id="317" w:name="_Toc184313263"/>
      <w:bookmarkEnd w:id="317"/>
      <w:bookmarkStart w:id="318" w:name="_Toc184313243"/>
      <w:bookmarkEnd w:id="318"/>
      <w:bookmarkStart w:id="319" w:name="_Toc184313299"/>
      <w:bookmarkEnd w:id="319"/>
      <w:bookmarkStart w:id="320" w:name="_Toc184314441"/>
      <w:bookmarkEnd w:id="320"/>
      <w:bookmarkStart w:id="321" w:name="_Toc184314414"/>
      <w:bookmarkEnd w:id="321"/>
      <w:bookmarkStart w:id="322" w:name="_Toc184314459"/>
      <w:bookmarkEnd w:id="322"/>
      <w:bookmarkStart w:id="323" w:name="_Toc184313266"/>
      <w:bookmarkEnd w:id="323"/>
      <w:bookmarkStart w:id="324" w:name="_Toc184310303"/>
      <w:bookmarkEnd w:id="324"/>
      <w:bookmarkStart w:id="325" w:name="_Toc184313252"/>
      <w:bookmarkEnd w:id="325"/>
      <w:bookmarkStart w:id="326" w:name="_Toc184314464"/>
      <w:bookmarkEnd w:id="326"/>
      <w:bookmarkStart w:id="327" w:name="_Toc184314420"/>
      <w:bookmarkEnd w:id="327"/>
      <w:bookmarkStart w:id="328" w:name="_Toc184310279"/>
      <w:bookmarkEnd w:id="328"/>
      <w:bookmarkStart w:id="329" w:name="_Toc184313297"/>
      <w:bookmarkEnd w:id="329"/>
      <w:bookmarkStart w:id="330" w:name="_Toc184314480"/>
      <w:bookmarkEnd w:id="330"/>
      <w:bookmarkStart w:id="331" w:name="_Toc184308106"/>
      <w:bookmarkEnd w:id="331"/>
      <w:bookmarkStart w:id="332" w:name="_Toc184310301"/>
      <w:bookmarkEnd w:id="332"/>
      <w:bookmarkStart w:id="333" w:name="_Toc184314421"/>
      <w:bookmarkEnd w:id="333"/>
      <w:bookmarkStart w:id="334" w:name="_Toc184308060"/>
      <w:bookmarkEnd w:id="334"/>
      <w:bookmarkStart w:id="335" w:name="_Toc184310318"/>
      <w:bookmarkEnd w:id="335"/>
      <w:bookmarkStart w:id="336" w:name="_Toc184313246"/>
      <w:bookmarkEnd w:id="336"/>
      <w:bookmarkStart w:id="337" w:name="_Toc184308094"/>
      <w:bookmarkEnd w:id="337"/>
      <w:bookmarkStart w:id="338" w:name="_Toc184314447"/>
      <w:bookmarkEnd w:id="338"/>
      <w:bookmarkStart w:id="339" w:name="_Toc184312111"/>
      <w:bookmarkEnd w:id="339"/>
      <w:bookmarkStart w:id="340" w:name="_Toc184314467"/>
      <w:bookmarkEnd w:id="340"/>
      <w:bookmarkStart w:id="341" w:name="_Toc184314429"/>
      <w:bookmarkEnd w:id="341"/>
      <w:bookmarkStart w:id="342" w:name="_Toc184308041"/>
      <w:bookmarkEnd w:id="342"/>
      <w:bookmarkStart w:id="343" w:name="_Toc184314442"/>
      <w:bookmarkEnd w:id="343"/>
      <w:bookmarkStart w:id="344" w:name="_Toc184313272"/>
      <w:bookmarkEnd w:id="344"/>
      <w:bookmarkStart w:id="345" w:name="_Toc184314452"/>
      <w:bookmarkEnd w:id="345"/>
      <w:bookmarkStart w:id="346" w:name="_Toc184312120"/>
      <w:bookmarkEnd w:id="346"/>
      <w:bookmarkStart w:id="347" w:name="_Toc184312091"/>
      <w:bookmarkEnd w:id="347"/>
      <w:bookmarkStart w:id="348" w:name="_Toc184308068"/>
      <w:bookmarkEnd w:id="348"/>
      <w:bookmarkStart w:id="349" w:name="_Toc184314413"/>
      <w:bookmarkEnd w:id="349"/>
      <w:bookmarkStart w:id="350" w:name="_Toc184308096"/>
      <w:bookmarkEnd w:id="350"/>
      <w:bookmarkStart w:id="351" w:name="_Toc184313244"/>
      <w:bookmarkEnd w:id="351"/>
      <w:bookmarkStart w:id="352" w:name="_Toc184314456"/>
      <w:bookmarkEnd w:id="352"/>
      <w:bookmarkStart w:id="353" w:name="_Toc184314412"/>
      <w:bookmarkEnd w:id="353"/>
      <w:bookmarkStart w:id="354" w:name="_Toc184308105"/>
      <w:bookmarkEnd w:id="354"/>
      <w:bookmarkStart w:id="355" w:name="_Toc184312118"/>
      <w:bookmarkEnd w:id="355"/>
      <w:bookmarkStart w:id="356" w:name="_Toc184314439"/>
      <w:bookmarkEnd w:id="356"/>
      <w:bookmarkStart w:id="357" w:name="_Toc184313241"/>
      <w:bookmarkEnd w:id="357"/>
      <w:bookmarkStart w:id="358" w:name="_Toc184314481"/>
      <w:bookmarkEnd w:id="358"/>
      <w:bookmarkStart w:id="359" w:name="_Toc184312121"/>
      <w:bookmarkEnd w:id="359"/>
      <w:bookmarkStart w:id="360" w:name="_Toc184310287"/>
      <w:bookmarkEnd w:id="360"/>
      <w:bookmarkStart w:id="361" w:name="_Toc184312104"/>
      <w:bookmarkEnd w:id="361"/>
      <w:bookmarkStart w:id="362" w:name="_Toc184310324"/>
      <w:bookmarkEnd w:id="362"/>
      <w:bookmarkStart w:id="363" w:name="_Toc184314455"/>
      <w:bookmarkEnd w:id="363"/>
      <w:bookmarkStart w:id="364" w:name="_Toc184313262"/>
      <w:bookmarkEnd w:id="364"/>
      <w:bookmarkStart w:id="365" w:name="_Toc184314479"/>
      <w:bookmarkEnd w:id="365"/>
      <w:bookmarkStart w:id="366" w:name="_Toc184313294"/>
      <w:bookmarkEnd w:id="366"/>
      <w:bookmarkStart w:id="367" w:name="_Toc184313279"/>
      <w:bookmarkEnd w:id="367"/>
      <w:bookmarkStart w:id="368" w:name="_Toc184308050"/>
      <w:bookmarkEnd w:id="368"/>
      <w:bookmarkStart w:id="369" w:name="_Toc184308045"/>
      <w:bookmarkEnd w:id="369"/>
      <w:bookmarkStart w:id="370" w:name="_Toc184314416"/>
      <w:bookmarkEnd w:id="370"/>
      <w:bookmarkStart w:id="371" w:name="_Toc184313301"/>
      <w:bookmarkEnd w:id="371"/>
      <w:bookmarkStart w:id="372" w:name="_Toc184314435"/>
      <w:bookmarkEnd w:id="372"/>
      <w:bookmarkStart w:id="373" w:name="_Toc184312129"/>
      <w:bookmarkEnd w:id="373"/>
      <w:bookmarkStart w:id="374" w:name="_Toc184312090"/>
      <w:bookmarkEnd w:id="374"/>
      <w:bookmarkStart w:id="375" w:name="_Toc184314462"/>
      <w:bookmarkEnd w:id="375"/>
      <w:bookmarkStart w:id="376" w:name="_Toc184312078"/>
      <w:bookmarkEnd w:id="376"/>
      <w:bookmarkStart w:id="377" w:name="_Toc184313281"/>
      <w:bookmarkEnd w:id="377"/>
      <w:bookmarkStart w:id="378" w:name="_Toc184312135"/>
      <w:bookmarkEnd w:id="378"/>
      <w:bookmarkStart w:id="379" w:name="_Toc184314417"/>
      <w:bookmarkEnd w:id="379"/>
      <w:bookmarkStart w:id="380" w:name="_Toc184310288"/>
      <w:bookmarkEnd w:id="380"/>
      <w:bookmarkStart w:id="381" w:name="_Toc184308059"/>
      <w:bookmarkEnd w:id="381"/>
      <w:bookmarkStart w:id="382" w:name="_Toc184314470"/>
      <w:bookmarkEnd w:id="382"/>
      <w:bookmarkStart w:id="383" w:name="_Toc184310307"/>
      <w:bookmarkEnd w:id="383"/>
      <w:bookmarkStart w:id="384" w:name="_Toc184308064"/>
      <w:bookmarkEnd w:id="384"/>
      <w:bookmarkStart w:id="385" w:name="_Toc184312080"/>
      <w:bookmarkEnd w:id="385"/>
      <w:bookmarkStart w:id="386" w:name="_Toc184312076"/>
      <w:bookmarkEnd w:id="386"/>
      <w:bookmarkStart w:id="387" w:name="_Toc184308069"/>
      <w:bookmarkEnd w:id="387"/>
      <w:bookmarkStart w:id="388" w:name="_Toc184308081"/>
      <w:bookmarkEnd w:id="388"/>
      <w:bookmarkStart w:id="389" w:name="_Toc184308047"/>
      <w:bookmarkEnd w:id="389"/>
      <w:bookmarkStart w:id="390" w:name="_Toc184308057"/>
      <w:bookmarkEnd w:id="390"/>
      <w:bookmarkStart w:id="391" w:name="_Toc184313253"/>
      <w:bookmarkEnd w:id="391"/>
      <w:bookmarkStart w:id="392" w:name="_Toc184314460"/>
      <w:bookmarkEnd w:id="392"/>
      <w:bookmarkStart w:id="393" w:name="_Toc184314449"/>
      <w:bookmarkEnd w:id="393"/>
      <w:bookmarkStart w:id="394" w:name="_Toc184313276"/>
      <w:bookmarkEnd w:id="394"/>
      <w:bookmarkStart w:id="395" w:name="_Toc184308052"/>
      <w:bookmarkEnd w:id="395"/>
      <w:bookmarkStart w:id="396" w:name="_Toc184312139"/>
      <w:bookmarkEnd w:id="396"/>
      <w:bookmarkStart w:id="397" w:name="_Toc184308083"/>
      <w:bookmarkEnd w:id="397"/>
      <w:bookmarkStart w:id="398" w:name="_Toc184314427"/>
      <w:bookmarkEnd w:id="398"/>
      <w:bookmarkStart w:id="399" w:name="_Toc184313308"/>
      <w:bookmarkEnd w:id="399"/>
      <w:bookmarkStart w:id="400" w:name="_Toc184308080"/>
      <w:bookmarkEnd w:id="400"/>
      <w:bookmarkStart w:id="401" w:name="_Toc184313274"/>
      <w:bookmarkEnd w:id="401"/>
      <w:bookmarkStart w:id="402" w:name="_Toc184312101"/>
      <w:bookmarkEnd w:id="402"/>
      <w:bookmarkStart w:id="403" w:name="_Toc184313302"/>
      <w:bookmarkEnd w:id="403"/>
      <w:bookmarkStart w:id="404" w:name="_Toc184313280"/>
      <w:bookmarkEnd w:id="404"/>
      <w:bookmarkStart w:id="405" w:name="_Toc184310328"/>
      <w:bookmarkEnd w:id="405"/>
      <w:bookmarkStart w:id="406" w:name="_Toc184312107"/>
      <w:bookmarkEnd w:id="406"/>
      <w:bookmarkStart w:id="407" w:name="_Toc184310340"/>
      <w:bookmarkEnd w:id="407"/>
      <w:bookmarkStart w:id="408" w:name="_Toc184312133"/>
      <w:bookmarkEnd w:id="408"/>
      <w:bookmarkStart w:id="409" w:name="_Toc184310341"/>
      <w:bookmarkEnd w:id="409"/>
      <w:bookmarkStart w:id="410" w:name="_Toc184310315"/>
      <w:bookmarkEnd w:id="410"/>
      <w:bookmarkStart w:id="411" w:name="_Toc184314411"/>
      <w:bookmarkEnd w:id="411"/>
      <w:bookmarkStart w:id="412" w:name="_Toc184314478"/>
      <w:bookmarkEnd w:id="412"/>
      <w:bookmarkStart w:id="413" w:name="_Toc184313239"/>
      <w:bookmarkEnd w:id="413"/>
      <w:bookmarkStart w:id="414" w:name="_Toc184312071"/>
      <w:bookmarkEnd w:id="414"/>
      <w:bookmarkStart w:id="415" w:name="_Toc184310329"/>
      <w:bookmarkEnd w:id="415"/>
      <w:bookmarkStart w:id="416" w:name="_Toc184312097"/>
      <w:bookmarkEnd w:id="416"/>
      <w:bookmarkStart w:id="417" w:name="_Toc184314424"/>
      <w:bookmarkEnd w:id="417"/>
      <w:bookmarkStart w:id="418" w:name="_Toc184308038"/>
      <w:bookmarkEnd w:id="418"/>
      <w:bookmarkStart w:id="419" w:name="_Toc184308103"/>
      <w:bookmarkEnd w:id="419"/>
      <w:bookmarkStart w:id="420" w:name="_Toc184314438"/>
      <w:bookmarkEnd w:id="420"/>
      <w:bookmarkStart w:id="421" w:name="_Toc184314465"/>
      <w:bookmarkEnd w:id="421"/>
      <w:bookmarkStart w:id="422" w:name="_Toc184308089"/>
      <w:bookmarkEnd w:id="422"/>
      <w:bookmarkStart w:id="423" w:name="_Toc184310289"/>
      <w:bookmarkEnd w:id="423"/>
      <w:bookmarkStart w:id="424" w:name="_Toc184312126"/>
      <w:bookmarkEnd w:id="424"/>
      <w:bookmarkStart w:id="425" w:name="_Toc184312130"/>
      <w:bookmarkEnd w:id="425"/>
      <w:bookmarkStart w:id="426" w:name="_Toc184312095"/>
      <w:bookmarkEnd w:id="426"/>
      <w:bookmarkStart w:id="427" w:name="_Toc184308075"/>
      <w:bookmarkEnd w:id="427"/>
      <w:bookmarkStart w:id="428" w:name="_Toc184310282"/>
      <w:bookmarkEnd w:id="428"/>
      <w:r>
        <w:rPr>
          <w:rFonts w:hint="eastAsia" w:ascii="宋体" w:hAnsi="宋体" w:eastAsia="宋体" w:cs="宋体"/>
          <w:b/>
          <w:color w:val="auto"/>
          <w:sz w:val="36"/>
          <w:szCs w:val="20"/>
          <w:highlight w:val="none"/>
        </w:rPr>
        <w:t xml:space="preserve"> 评标办法</w:t>
      </w:r>
      <w:bookmarkEnd w:id="60"/>
      <w:bookmarkEnd w:id="61"/>
    </w:p>
    <w:bookmarkEnd w:id="59"/>
    <w:p w14:paraId="5CFDA11A">
      <w:pPr>
        <w:snapToGrid w:val="0"/>
        <w:spacing w:line="360" w:lineRule="auto"/>
        <w:jc w:val="center"/>
        <w:rPr>
          <w:rFonts w:hint="eastAsia" w:ascii="宋体" w:hAnsi="宋体" w:eastAsia="宋体" w:cs="宋体"/>
          <w:b/>
          <w:color w:val="auto"/>
          <w:sz w:val="32"/>
          <w:szCs w:val="20"/>
          <w:highlight w:val="none"/>
        </w:rPr>
      </w:pPr>
      <w:bookmarkStart w:id="429" w:name="第五部分"/>
      <w:bookmarkStart w:id="430" w:name="_Toc86217003"/>
      <w:r>
        <w:rPr>
          <w:rFonts w:hint="eastAsia" w:ascii="宋体" w:hAnsi="宋体" w:eastAsia="宋体" w:cs="宋体"/>
          <w:b/>
          <w:color w:val="auto"/>
          <w:sz w:val="32"/>
          <w:szCs w:val="20"/>
          <w:highlight w:val="none"/>
        </w:rPr>
        <w:t>评标办法前附表</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14:paraId="6E4F5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vAlign w:val="center"/>
          </w:tcPr>
          <w:p w14:paraId="7527A86D">
            <w:pPr>
              <w:snapToGrid w:val="0"/>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本项目采用综合评分法：</w:t>
            </w:r>
          </w:p>
          <w:p w14:paraId="1674B42B">
            <w:pPr>
              <w:snapToGrid w:val="0"/>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评标委员会将对各投标人的投标报价、投标人提供的资信与商务、技术部分等方面进行综合评审，评标委员会各成员应当独立对每个有效投标人的投标文件进行评价、打分。经统计，得出各投标人的最终评审分，按最终评审分由高到低顺序排列。得分相同的，按投标报价由低到高顺序排列，得分且投标报价相同的并列，并形成评标意见。 </w:t>
            </w:r>
          </w:p>
          <w:p w14:paraId="7142DE71">
            <w:pPr>
              <w:snapToGrid w:val="0"/>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各供应商的综合得分为：投标报价得分+商务技术得分之和，总和为100分，其中：其中商务技术分70分（商务技术权值70%），投标报价分30分（价格权值30%）。</w:t>
            </w:r>
          </w:p>
          <w:p w14:paraId="47840C59">
            <w:pPr>
              <w:snapToGrid w:val="0"/>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各投标人的商务技术得分为：评标委员会各成员评分的算术平均值（小数点后按四舍五入保留2位）。各投标人的投标价格得分按投标价格评分公式计算，评标委员会审核。根据上述评标原则，分值安排如下：</w:t>
            </w:r>
          </w:p>
          <w:p w14:paraId="7A509426">
            <w:pPr>
              <w:snapToGrid w:val="0"/>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（一）商务技术部分（70分）</w:t>
            </w:r>
          </w:p>
          <w:tbl>
            <w:tblPr>
              <w:tblStyle w:val="63"/>
              <w:tblW w:w="9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846"/>
              <w:gridCol w:w="840"/>
              <w:gridCol w:w="6093"/>
              <w:gridCol w:w="981"/>
            </w:tblGrid>
            <w:tr w14:paraId="31626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635" w:type="dxa"/>
                  <w:tcBorders>
                    <w:top w:val="single" w:color="auto" w:sz="4" w:space="0"/>
                    <w:left w:val="single" w:color="auto" w:sz="4" w:space="0"/>
                    <w:bottom w:val="single" w:color="auto" w:sz="4" w:space="0"/>
                    <w:right w:val="single" w:color="auto" w:sz="4" w:space="0"/>
                  </w:tcBorders>
                  <w:vAlign w:val="center"/>
                </w:tcPr>
                <w:p w14:paraId="5CF6D9C5">
                  <w:pPr>
                    <w:pStyle w:val="38"/>
                    <w:adjustRightInd/>
                    <w:spacing w:line="440" w:lineRule="exact"/>
                    <w:ind w:left="-29" w:leftChars="-14" w:firstLine="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846" w:type="dxa"/>
                  <w:tcBorders>
                    <w:top w:val="single" w:color="auto" w:sz="4" w:space="0"/>
                    <w:left w:val="single" w:color="auto" w:sz="4" w:space="0"/>
                    <w:bottom w:val="single" w:color="auto" w:sz="4" w:space="0"/>
                    <w:right w:val="single" w:color="auto" w:sz="4" w:space="0"/>
                  </w:tcBorders>
                  <w:vAlign w:val="center"/>
                </w:tcPr>
                <w:p w14:paraId="0FA602AC">
                  <w:pPr>
                    <w:pStyle w:val="38"/>
                    <w:adjustRightInd/>
                    <w:spacing w:line="440" w:lineRule="exact"/>
                    <w:ind w:firstLine="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评分</w:t>
                  </w:r>
                  <w:r>
                    <w:rPr>
                      <w:rFonts w:hint="eastAsia" w:ascii="宋体" w:hAnsi="宋体" w:eastAsia="宋体" w:cs="宋体"/>
                      <w:b/>
                      <w:color w:val="auto"/>
                      <w:sz w:val="22"/>
                      <w:szCs w:val="22"/>
                      <w:highlight w:val="none"/>
                    </w:rPr>
                    <w:br w:type="textWrapping"/>
                  </w:r>
                  <w:r>
                    <w:rPr>
                      <w:rFonts w:hint="eastAsia" w:ascii="宋体" w:hAnsi="宋体" w:eastAsia="宋体" w:cs="宋体"/>
                      <w:b/>
                      <w:color w:val="auto"/>
                      <w:sz w:val="22"/>
                      <w:szCs w:val="22"/>
                      <w:highlight w:val="none"/>
                    </w:rPr>
                    <w:t>类型</w:t>
                  </w:r>
                </w:p>
              </w:tc>
              <w:tc>
                <w:tcPr>
                  <w:tcW w:w="6933" w:type="dxa"/>
                  <w:gridSpan w:val="2"/>
                  <w:tcBorders>
                    <w:top w:val="single" w:color="auto" w:sz="4" w:space="0"/>
                    <w:left w:val="single" w:color="auto" w:sz="4" w:space="0"/>
                    <w:bottom w:val="single" w:color="auto" w:sz="4" w:space="0"/>
                    <w:right w:val="single" w:color="auto" w:sz="4" w:space="0"/>
                  </w:tcBorders>
                  <w:vAlign w:val="center"/>
                </w:tcPr>
                <w:p w14:paraId="141A2E94">
                  <w:pPr>
                    <w:pStyle w:val="38"/>
                    <w:adjustRightInd/>
                    <w:spacing w:line="440" w:lineRule="exact"/>
                    <w:ind w:firstLine="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评分项目内容</w:t>
                  </w:r>
                </w:p>
              </w:tc>
              <w:tc>
                <w:tcPr>
                  <w:tcW w:w="981" w:type="dxa"/>
                  <w:tcBorders>
                    <w:top w:val="single" w:color="auto" w:sz="4" w:space="0"/>
                    <w:left w:val="single" w:color="auto" w:sz="4" w:space="0"/>
                    <w:bottom w:val="single" w:color="auto" w:sz="4" w:space="0"/>
                    <w:right w:val="single" w:color="auto" w:sz="4" w:space="0"/>
                  </w:tcBorders>
                  <w:vAlign w:val="center"/>
                </w:tcPr>
                <w:p w14:paraId="73465EB0">
                  <w:pPr>
                    <w:pStyle w:val="38"/>
                    <w:adjustRightInd/>
                    <w:spacing w:line="440" w:lineRule="exact"/>
                    <w:ind w:firstLine="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分值范围</w:t>
                  </w:r>
                </w:p>
              </w:tc>
            </w:tr>
            <w:tr w14:paraId="2765C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jc w:val="center"/>
              </w:trPr>
              <w:tc>
                <w:tcPr>
                  <w:tcW w:w="635" w:type="dxa"/>
                  <w:tcBorders>
                    <w:top w:val="single" w:color="auto" w:sz="4" w:space="0"/>
                    <w:left w:val="single" w:color="auto" w:sz="4" w:space="0"/>
                    <w:bottom w:val="single" w:color="auto" w:sz="4" w:space="0"/>
                    <w:right w:val="single" w:color="auto" w:sz="4" w:space="0"/>
                  </w:tcBorders>
                  <w:vAlign w:val="center"/>
                </w:tcPr>
                <w:p w14:paraId="6E0CE239">
                  <w:pPr>
                    <w:pStyle w:val="38"/>
                    <w:adjustRightInd/>
                    <w:spacing w:line="440" w:lineRule="exact"/>
                    <w:ind w:firstLine="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846" w:type="dxa"/>
                  <w:vMerge w:val="restart"/>
                  <w:tcBorders>
                    <w:left w:val="single" w:color="auto" w:sz="4" w:space="0"/>
                    <w:right w:val="single" w:color="auto" w:sz="4" w:space="0"/>
                  </w:tcBorders>
                  <w:vAlign w:val="center"/>
                </w:tcPr>
                <w:p w14:paraId="325D72A4">
                  <w:pPr>
                    <w:widowControl/>
                    <w:adjustRightInd/>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商务</w:t>
                  </w:r>
                </w:p>
                <w:p w14:paraId="5A62059C">
                  <w:pPr>
                    <w:widowControl/>
                    <w:adjustRightInd/>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部分</w:t>
                  </w:r>
                </w:p>
                <w:p w14:paraId="74E68B90">
                  <w:pPr>
                    <w:widowControl/>
                    <w:adjustRightInd/>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（13分）</w:t>
                  </w:r>
                </w:p>
              </w:tc>
              <w:tc>
                <w:tcPr>
                  <w:tcW w:w="6933" w:type="dxa"/>
                  <w:gridSpan w:val="2"/>
                  <w:tcBorders>
                    <w:top w:val="single" w:color="auto" w:sz="4" w:space="0"/>
                    <w:left w:val="single" w:color="auto" w:sz="4" w:space="0"/>
                    <w:bottom w:val="single" w:color="auto" w:sz="4" w:space="0"/>
                    <w:right w:val="single" w:color="auto" w:sz="4" w:space="0"/>
                  </w:tcBorders>
                  <w:vAlign w:val="center"/>
                </w:tcPr>
                <w:p w14:paraId="394C2396">
                  <w:pPr>
                    <w:adjustRightInd/>
                    <w:spacing w:line="44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项目业绩：</w:t>
                  </w:r>
                </w:p>
                <w:p w14:paraId="0EEC2E27">
                  <w:pPr>
                    <w:adjustRightInd/>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投标人自2022年1月1日以来相关政府采购类项目案例（案例需关于温室气体建设等项目），每个得1.5分，最高3分。</w:t>
                  </w:r>
                </w:p>
                <w:p w14:paraId="57C0FADC">
                  <w:pPr>
                    <w:adjustRightInd/>
                    <w:spacing w:line="44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注：需同时提供中标通知书及项目合同复印件</w:t>
                  </w:r>
                  <w:r>
                    <w:rPr>
                      <w:rFonts w:hint="eastAsia" w:ascii="宋体" w:hAnsi="宋体" w:eastAsia="宋体" w:cs="宋体"/>
                      <w:b/>
                      <w:color w:val="auto"/>
                      <w:sz w:val="22"/>
                      <w:szCs w:val="22"/>
                      <w:highlight w:val="none"/>
                    </w:rPr>
                    <w:t>并加盖公章</w:t>
                  </w:r>
                  <w:r>
                    <w:rPr>
                      <w:rFonts w:hint="eastAsia" w:ascii="宋体" w:hAnsi="宋体" w:eastAsia="宋体" w:cs="宋体"/>
                      <w:b/>
                      <w:bCs/>
                      <w:color w:val="auto"/>
                      <w:sz w:val="22"/>
                      <w:szCs w:val="22"/>
                      <w:highlight w:val="none"/>
                    </w:rPr>
                    <w:t>，以合同签订时间为准，否则不得分。</w:t>
                  </w:r>
                </w:p>
              </w:tc>
              <w:tc>
                <w:tcPr>
                  <w:tcW w:w="981" w:type="dxa"/>
                  <w:tcBorders>
                    <w:top w:val="single" w:color="auto" w:sz="4" w:space="0"/>
                    <w:left w:val="single" w:color="auto" w:sz="4" w:space="0"/>
                    <w:bottom w:val="single" w:color="auto" w:sz="4" w:space="0"/>
                    <w:right w:val="single" w:color="auto" w:sz="4" w:space="0"/>
                  </w:tcBorders>
                  <w:vAlign w:val="center"/>
                </w:tcPr>
                <w:p w14:paraId="417B679F">
                  <w:pPr>
                    <w:adjustRightInd/>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0-3分</w:t>
                  </w:r>
                </w:p>
              </w:tc>
            </w:tr>
            <w:tr w14:paraId="56A4F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35" w:type="dxa"/>
                  <w:tcBorders>
                    <w:top w:val="single" w:color="auto" w:sz="4" w:space="0"/>
                    <w:left w:val="single" w:color="auto" w:sz="4" w:space="0"/>
                    <w:bottom w:val="single" w:color="auto" w:sz="4" w:space="0"/>
                    <w:right w:val="single" w:color="auto" w:sz="4" w:space="0"/>
                  </w:tcBorders>
                  <w:vAlign w:val="center"/>
                </w:tcPr>
                <w:p w14:paraId="22A8104A">
                  <w:pPr>
                    <w:pStyle w:val="38"/>
                    <w:adjustRightInd/>
                    <w:spacing w:line="440" w:lineRule="exact"/>
                    <w:ind w:firstLine="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846" w:type="dxa"/>
                  <w:vMerge w:val="continue"/>
                  <w:tcBorders>
                    <w:left w:val="single" w:color="auto" w:sz="4" w:space="0"/>
                    <w:right w:val="single" w:color="auto" w:sz="4" w:space="0"/>
                  </w:tcBorders>
                  <w:vAlign w:val="center"/>
                </w:tcPr>
                <w:p w14:paraId="7525CB99">
                  <w:pPr>
                    <w:pStyle w:val="15"/>
                    <w:adjustRightInd/>
                    <w:snapToGrid/>
                    <w:spacing w:line="440" w:lineRule="exact"/>
                    <w:ind w:firstLine="0"/>
                    <w:jc w:val="center"/>
                    <w:rPr>
                      <w:rFonts w:hint="eastAsia" w:ascii="宋体" w:hAnsi="宋体" w:eastAsia="宋体" w:cs="宋体"/>
                      <w:color w:val="auto"/>
                      <w:sz w:val="22"/>
                      <w:szCs w:val="22"/>
                      <w:highlight w:val="none"/>
                    </w:rPr>
                  </w:pPr>
                </w:p>
              </w:tc>
              <w:tc>
                <w:tcPr>
                  <w:tcW w:w="6933" w:type="dxa"/>
                  <w:gridSpan w:val="2"/>
                  <w:tcBorders>
                    <w:top w:val="single" w:color="auto" w:sz="4" w:space="0"/>
                    <w:left w:val="single" w:color="auto" w:sz="4" w:space="0"/>
                    <w:bottom w:val="single" w:color="auto" w:sz="4" w:space="0"/>
                    <w:right w:val="single" w:color="auto" w:sz="4" w:space="0"/>
                  </w:tcBorders>
                  <w:vAlign w:val="center"/>
                </w:tcPr>
                <w:p w14:paraId="133082F0">
                  <w:pPr>
                    <w:adjustRightInd/>
                    <w:spacing w:line="440" w:lineRule="exact"/>
                    <w:rPr>
                      <w:rFonts w:hint="eastAsia" w:ascii="宋体" w:hAnsi="宋体" w:eastAsia="宋体" w:cs="宋体"/>
                      <w:b/>
                      <w:bCs/>
                      <w:color w:val="auto"/>
                      <w:sz w:val="22"/>
                      <w:szCs w:val="22"/>
                      <w:highlight w:val="none"/>
                    </w:rPr>
                  </w:pPr>
                  <w:bookmarkStart w:id="431" w:name="OLE_LINK4"/>
                  <w:r>
                    <w:rPr>
                      <w:rFonts w:hint="eastAsia" w:ascii="宋体" w:hAnsi="宋体" w:eastAsia="宋体" w:cs="宋体"/>
                      <w:b/>
                      <w:bCs/>
                      <w:color w:val="auto"/>
                      <w:sz w:val="22"/>
                      <w:szCs w:val="22"/>
                      <w:highlight w:val="none"/>
                    </w:rPr>
                    <w:t>荣誉奖项：</w:t>
                  </w:r>
                </w:p>
                <w:p w14:paraId="77DCD881">
                  <w:pPr>
                    <w:adjustRightInd/>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投标人2022年1月1日以来获得过市级科学技术奖项的得1分，省级及以上科学技术奖项的得2分，本项最高得2分。</w:t>
                  </w:r>
                </w:p>
                <w:p w14:paraId="4E68AD5B">
                  <w:pPr>
                    <w:adjustRightInd/>
                    <w:spacing w:line="44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注：须提供</w:t>
                  </w:r>
                  <w:r>
                    <w:rPr>
                      <w:rFonts w:hint="eastAsia" w:ascii="宋体" w:hAnsi="宋体" w:cs="宋体"/>
                      <w:b/>
                      <w:bCs/>
                      <w:color w:val="auto"/>
                      <w:sz w:val="22"/>
                      <w:szCs w:val="22"/>
                      <w:highlight w:val="none"/>
                      <w:lang w:val="en-US" w:eastAsia="zh-CN"/>
                    </w:rPr>
                    <w:t>获奖</w:t>
                  </w:r>
                  <w:r>
                    <w:rPr>
                      <w:rFonts w:hint="eastAsia" w:ascii="宋体" w:hAnsi="宋体" w:eastAsia="宋体" w:cs="宋体"/>
                      <w:b/>
                      <w:bCs/>
                      <w:color w:val="auto"/>
                      <w:sz w:val="22"/>
                      <w:szCs w:val="22"/>
                      <w:highlight w:val="none"/>
                    </w:rPr>
                    <w:t>证书复印件并加盖投标人公章，以</w:t>
                  </w:r>
                  <w:r>
                    <w:rPr>
                      <w:rFonts w:hint="eastAsia" w:ascii="宋体" w:hAnsi="宋体" w:cs="宋体"/>
                      <w:b/>
                      <w:bCs/>
                      <w:color w:val="auto"/>
                      <w:sz w:val="22"/>
                      <w:szCs w:val="22"/>
                      <w:highlight w:val="none"/>
                      <w:lang w:val="en-US" w:eastAsia="zh-CN"/>
                    </w:rPr>
                    <w:t>获奖证书颁发时间</w:t>
                  </w:r>
                  <w:r>
                    <w:rPr>
                      <w:rFonts w:hint="eastAsia" w:ascii="宋体" w:hAnsi="宋体" w:eastAsia="宋体" w:cs="宋体"/>
                      <w:b/>
                      <w:bCs/>
                      <w:color w:val="auto"/>
                      <w:sz w:val="22"/>
                      <w:szCs w:val="22"/>
                      <w:highlight w:val="none"/>
                    </w:rPr>
                    <w:t>为准，</w:t>
                  </w:r>
                  <w:bookmarkEnd w:id="431"/>
                  <w:r>
                    <w:rPr>
                      <w:rFonts w:hint="eastAsia" w:ascii="宋体" w:hAnsi="宋体" w:eastAsia="宋体" w:cs="宋体"/>
                      <w:b/>
                      <w:bCs/>
                      <w:color w:val="auto"/>
                      <w:sz w:val="22"/>
                      <w:szCs w:val="22"/>
                      <w:highlight w:val="none"/>
                    </w:rPr>
                    <w:t>否则不得分。</w:t>
                  </w:r>
                </w:p>
              </w:tc>
              <w:tc>
                <w:tcPr>
                  <w:tcW w:w="981" w:type="dxa"/>
                  <w:tcBorders>
                    <w:top w:val="single" w:color="auto" w:sz="4" w:space="0"/>
                    <w:left w:val="single" w:color="auto" w:sz="4" w:space="0"/>
                    <w:bottom w:val="single" w:color="auto" w:sz="4" w:space="0"/>
                    <w:right w:val="single" w:color="auto" w:sz="4" w:space="0"/>
                  </w:tcBorders>
                  <w:vAlign w:val="center"/>
                </w:tcPr>
                <w:p w14:paraId="0C79E5FE">
                  <w:pPr>
                    <w:adjustRightInd/>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0-2分</w:t>
                  </w:r>
                </w:p>
              </w:tc>
            </w:tr>
            <w:tr w14:paraId="7135D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5" w:type="dxa"/>
                  <w:tcBorders>
                    <w:top w:val="single" w:color="auto" w:sz="4" w:space="0"/>
                    <w:left w:val="single" w:color="auto" w:sz="4" w:space="0"/>
                    <w:bottom w:val="single" w:color="auto" w:sz="4" w:space="0"/>
                    <w:right w:val="single" w:color="auto" w:sz="4" w:space="0"/>
                  </w:tcBorders>
                  <w:vAlign w:val="center"/>
                </w:tcPr>
                <w:p w14:paraId="0441AB3E">
                  <w:pPr>
                    <w:pStyle w:val="38"/>
                    <w:adjustRightInd/>
                    <w:spacing w:line="440" w:lineRule="exact"/>
                    <w:ind w:firstLine="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846" w:type="dxa"/>
                  <w:vMerge w:val="continue"/>
                  <w:tcBorders>
                    <w:left w:val="single" w:color="auto" w:sz="4" w:space="0"/>
                    <w:right w:val="single" w:color="auto" w:sz="4" w:space="0"/>
                  </w:tcBorders>
                  <w:vAlign w:val="center"/>
                </w:tcPr>
                <w:p w14:paraId="1424A781">
                  <w:pPr>
                    <w:pStyle w:val="15"/>
                    <w:adjustRightInd/>
                    <w:snapToGrid/>
                    <w:spacing w:line="440" w:lineRule="exact"/>
                    <w:ind w:firstLine="0"/>
                    <w:jc w:val="center"/>
                    <w:rPr>
                      <w:rFonts w:hint="eastAsia" w:ascii="宋体" w:hAnsi="宋体" w:eastAsia="宋体" w:cs="宋体"/>
                      <w:color w:val="auto"/>
                      <w:sz w:val="22"/>
                      <w:szCs w:val="22"/>
                      <w:highlight w:val="none"/>
                    </w:rPr>
                  </w:pPr>
                </w:p>
              </w:tc>
              <w:tc>
                <w:tcPr>
                  <w:tcW w:w="6933" w:type="dxa"/>
                  <w:gridSpan w:val="2"/>
                  <w:tcBorders>
                    <w:top w:val="single" w:color="auto" w:sz="4" w:space="0"/>
                    <w:left w:val="single" w:color="auto" w:sz="4" w:space="0"/>
                    <w:bottom w:val="single" w:color="auto" w:sz="4" w:space="0"/>
                    <w:right w:val="single" w:color="auto" w:sz="4" w:space="0"/>
                  </w:tcBorders>
                  <w:vAlign w:val="center"/>
                </w:tcPr>
                <w:p w14:paraId="7C2F8C64">
                  <w:pPr>
                    <w:adjustRightInd/>
                    <w:spacing w:line="44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相关能力：</w:t>
                  </w:r>
                </w:p>
                <w:p w14:paraId="2B87DD25">
                  <w:pPr>
                    <w:adjustRightInd/>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投标人具有环境空气和废气类别相关检验检测能力的，能力覆盖环境空气及废气中的二氧化碳和甲烷</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每满足一项监测参数得2.5分，最高得5分。</w:t>
                  </w:r>
                </w:p>
                <w:p w14:paraId="76D10192">
                  <w:pPr>
                    <w:adjustRightInd/>
                    <w:spacing w:line="44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注：需提供相关证明材料</w:t>
                  </w:r>
                  <w:r>
                    <w:rPr>
                      <w:rFonts w:hint="eastAsia" w:ascii="宋体" w:hAnsi="宋体" w:eastAsia="宋体" w:cs="宋体"/>
                      <w:b/>
                      <w:bCs/>
                      <w:color w:val="auto"/>
                      <w:sz w:val="22"/>
                      <w:szCs w:val="22"/>
                      <w:highlight w:val="none"/>
                    </w:rPr>
                    <w:t>复制件</w:t>
                  </w:r>
                  <w:r>
                    <w:rPr>
                      <w:rFonts w:hint="eastAsia" w:ascii="宋体" w:hAnsi="宋体" w:eastAsia="宋体" w:cs="宋体"/>
                      <w:b/>
                      <w:color w:val="auto"/>
                      <w:sz w:val="22"/>
                      <w:szCs w:val="22"/>
                      <w:highlight w:val="none"/>
                    </w:rPr>
                    <w:t>并加盖公章，不提供不得分。（检测能力以市场监督管理部门颁发的检验检测机构资质认定证书上的能力附表信息为准）。</w:t>
                  </w:r>
                </w:p>
              </w:tc>
              <w:tc>
                <w:tcPr>
                  <w:tcW w:w="981" w:type="dxa"/>
                  <w:tcBorders>
                    <w:top w:val="single" w:color="auto" w:sz="4" w:space="0"/>
                    <w:left w:val="single" w:color="auto" w:sz="4" w:space="0"/>
                    <w:bottom w:val="single" w:color="auto" w:sz="4" w:space="0"/>
                    <w:right w:val="single" w:color="auto" w:sz="4" w:space="0"/>
                  </w:tcBorders>
                  <w:vAlign w:val="center"/>
                </w:tcPr>
                <w:p w14:paraId="4A08AD6D">
                  <w:pPr>
                    <w:adjustRightInd/>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0-5分</w:t>
                  </w:r>
                </w:p>
              </w:tc>
            </w:tr>
            <w:tr w14:paraId="612E8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jc w:val="center"/>
              </w:trPr>
              <w:tc>
                <w:tcPr>
                  <w:tcW w:w="635" w:type="dxa"/>
                  <w:tcBorders>
                    <w:top w:val="single" w:color="auto" w:sz="4" w:space="0"/>
                    <w:left w:val="single" w:color="auto" w:sz="4" w:space="0"/>
                    <w:bottom w:val="single" w:color="auto" w:sz="4" w:space="0"/>
                    <w:right w:val="single" w:color="auto" w:sz="4" w:space="0"/>
                  </w:tcBorders>
                  <w:vAlign w:val="center"/>
                </w:tcPr>
                <w:p w14:paraId="47F0E745">
                  <w:pPr>
                    <w:pStyle w:val="38"/>
                    <w:adjustRightInd/>
                    <w:spacing w:line="440" w:lineRule="exact"/>
                    <w:ind w:firstLine="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846" w:type="dxa"/>
                  <w:vMerge w:val="continue"/>
                  <w:tcBorders>
                    <w:left w:val="single" w:color="auto" w:sz="4" w:space="0"/>
                    <w:right w:val="single" w:color="auto" w:sz="4" w:space="0"/>
                  </w:tcBorders>
                  <w:vAlign w:val="center"/>
                </w:tcPr>
                <w:p w14:paraId="1D036A2D">
                  <w:pPr>
                    <w:pStyle w:val="15"/>
                    <w:adjustRightInd/>
                    <w:snapToGrid/>
                    <w:spacing w:line="440" w:lineRule="exact"/>
                    <w:ind w:firstLine="0"/>
                    <w:jc w:val="center"/>
                    <w:rPr>
                      <w:rFonts w:hint="eastAsia" w:ascii="宋体" w:hAnsi="宋体" w:eastAsia="宋体" w:cs="宋体"/>
                      <w:color w:val="auto"/>
                      <w:sz w:val="22"/>
                      <w:szCs w:val="22"/>
                      <w:highlight w:val="none"/>
                    </w:rPr>
                  </w:pPr>
                </w:p>
              </w:tc>
              <w:tc>
                <w:tcPr>
                  <w:tcW w:w="6933" w:type="dxa"/>
                  <w:gridSpan w:val="2"/>
                  <w:tcBorders>
                    <w:top w:val="single" w:color="auto" w:sz="4" w:space="0"/>
                    <w:left w:val="single" w:color="auto" w:sz="4" w:space="0"/>
                    <w:bottom w:val="single" w:color="auto" w:sz="4" w:space="0"/>
                    <w:right w:val="single" w:color="auto" w:sz="4" w:space="0"/>
                  </w:tcBorders>
                  <w:vAlign w:val="center"/>
                </w:tcPr>
                <w:p w14:paraId="7A7F58BC">
                  <w:pPr>
                    <w:adjustRightInd/>
                    <w:spacing w:line="44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投标人具有有效期内的以下认证证书：</w:t>
                  </w:r>
                </w:p>
                <w:p w14:paraId="3CD0E22F">
                  <w:pPr>
                    <w:adjustRightInd/>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投标人具有有效的ISO9001质量管理体系认证</w:t>
                  </w:r>
                  <w:r>
                    <w:rPr>
                      <w:rFonts w:hint="eastAsia" w:ascii="宋体" w:hAnsi="宋体" w:cs="宋体"/>
                      <w:color w:val="auto"/>
                      <w:sz w:val="22"/>
                      <w:szCs w:val="22"/>
                      <w:highlight w:val="none"/>
                      <w:lang w:val="en-US" w:eastAsia="zh-CN"/>
                    </w:rPr>
                    <w:t>证书</w:t>
                  </w:r>
                  <w:r>
                    <w:rPr>
                      <w:rFonts w:hint="eastAsia" w:ascii="宋体" w:hAnsi="宋体" w:eastAsia="宋体" w:cs="宋体"/>
                      <w:color w:val="auto"/>
                      <w:sz w:val="22"/>
                      <w:szCs w:val="22"/>
                      <w:highlight w:val="none"/>
                    </w:rPr>
                    <w:t>、ISO14001环境管理体系认证</w:t>
                  </w:r>
                  <w:r>
                    <w:rPr>
                      <w:rFonts w:hint="eastAsia" w:ascii="宋体" w:hAnsi="宋体" w:cs="宋体"/>
                      <w:color w:val="auto"/>
                      <w:sz w:val="22"/>
                      <w:szCs w:val="22"/>
                      <w:highlight w:val="none"/>
                      <w:lang w:val="en-US" w:eastAsia="zh-CN"/>
                    </w:rPr>
                    <w:t>证书</w:t>
                  </w:r>
                  <w:r>
                    <w:rPr>
                      <w:rFonts w:hint="eastAsia" w:ascii="宋体" w:hAnsi="宋体" w:eastAsia="宋体" w:cs="宋体"/>
                      <w:color w:val="auto"/>
                      <w:sz w:val="22"/>
                      <w:szCs w:val="22"/>
                      <w:highlight w:val="none"/>
                    </w:rPr>
                    <w:t>、OHSAS18001（GB/T2800)或ISO45001（GB/T45001)职业健康安全管理体系认证</w:t>
                  </w:r>
                  <w:r>
                    <w:rPr>
                      <w:rFonts w:hint="eastAsia" w:ascii="宋体" w:hAnsi="宋体" w:cs="宋体"/>
                      <w:color w:val="auto"/>
                      <w:sz w:val="22"/>
                      <w:szCs w:val="22"/>
                      <w:highlight w:val="none"/>
                      <w:lang w:val="en-US" w:eastAsia="zh-CN"/>
                    </w:rPr>
                    <w:t>证书</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每具备1个得1分，最高3分。</w:t>
                  </w:r>
                </w:p>
                <w:p w14:paraId="45592C3F">
                  <w:pPr>
                    <w:adjustRightInd/>
                    <w:spacing w:line="440" w:lineRule="exact"/>
                    <w:rPr>
                      <w:rFonts w:hint="eastAsia" w:ascii="宋体" w:hAnsi="宋体" w:eastAsia="宋体" w:cs="宋体"/>
                      <w:b/>
                      <w:color w:val="auto"/>
                      <w:sz w:val="22"/>
                      <w:szCs w:val="22"/>
                      <w:highlight w:val="none"/>
                    </w:rPr>
                  </w:pPr>
                  <w:r>
                    <w:rPr>
                      <w:rFonts w:hint="eastAsia" w:ascii="宋体" w:hAnsi="宋体" w:eastAsia="宋体" w:cs="宋体"/>
                      <w:b/>
                      <w:bCs w:val="0"/>
                      <w:color w:val="auto"/>
                      <w:kern w:val="0"/>
                      <w:sz w:val="22"/>
                      <w:szCs w:val="22"/>
                      <w:highlight w:val="none"/>
                    </w:rPr>
                    <w:t>注：认证证书须在有效期内且证书</w:t>
                  </w:r>
                  <w:bookmarkStart w:id="671" w:name="_GoBack"/>
                  <w:bookmarkEnd w:id="671"/>
                  <w:r>
                    <w:rPr>
                      <w:rFonts w:hint="eastAsia" w:ascii="宋体" w:hAnsi="宋体" w:eastAsia="宋体" w:cs="宋体"/>
                      <w:b/>
                      <w:bCs w:val="0"/>
                      <w:color w:val="auto"/>
                      <w:kern w:val="0"/>
                      <w:sz w:val="22"/>
                      <w:szCs w:val="22"/>
                      <w:highlight w:val="none"/>
                    </w:rPr>
                    <w:t>状态为有效，并</w:t>
                  </w:r>
                  <w:r>
                    <w:rPr>
                      <w:rFonts w:hint="eastAsia" w:ascii="宋体" w:hAnsi="宋体" w:eastAsia="宋体" w:cs="宋体"/>
                      <w:b/>
                      <w:bCs w:val="0"/>
                      <w:color w:val="auto"/>
                      <w:kern w:val="0"/>
                      <w:sz w:val="22"/>
                      <w:szCs w:val="22"/>
                      <w:highlight w:val="none"/>
                      <w:lang w:val="en-US" w:eastAsia="zh-CN"/>
                    </w:rPr>
                    <w:t>同时</w:t>
                  </w:r>
                  <w:r>
                    <w:rPr>
                      <w:rFonts w:hint="eastAsia" w:ascii="宋体" w:hAnsi="宋体" w:eastAsia="宋体" w:cs="宋体"/>
                      <w:b/>
                      <w:bCs w:val="0"/>
                      <w:color w:val="auto"/>
                      <w:kern w:val="0"/>
                      <w:sz w:val="22"/>
                      <w:szCs w:val="22"/>
                      <w:highlight w:val="none"/>
                    </w:rPr>
                    <w:t>提供认证证书复印件加盖公章及全国认证认可信息公共服务平台(http://cx.cnca.cn/CertECloud/result/skipResultList）查询到相关有效的证书信息网页截图加盖公章</w:t>
                  </w:r>
                  <w:r>
                    <w:rPr>
                      <w:rFonts w:hint="eastAsia" w:ascii="宋体" w:hAnsi="宋体" w:eastAsia="宋体" w:cs="宋体"/>
                      <w:b/>
                      <w:bCs w:val="0"/>
                      <w:color w:val="auto"/>
                      <w:kern w:val="0"/>
                      <w:sz w:val="22"/>
                      <w:szCs w:val="22"/>
                      <w:highlight w:val="none"/>
                      <w:lang w:eastAsia="zh-CN"/>
                    </w:rPr>
                    <w:t>，</w:t>
                  </w:r>
                  <w:r>
                    <w:rPr>
                      <w:rFonts w:hint="eastAsia" w:ascii="宋体" w:hAnsi="宋体" w:eastAsia="宋体" w:cs="宋体"/>
                      <w:b/>
                      <w:bCs w:val="0"/>
                      <w:color w:val="auto"/>
                      <w:kern w:val="0"/>
                      <w:sz w:val="22"/>
                      <w:szCs w:val="22"/>
                      <w:highlight w:val="none"/>
                      <w:shd w:val="clear" w:color="auto" w:fill="FFFFFF"/>
                    </w:rPr>
                    <w:t>否则不得分。</w:t>
                  </w:r>
                </w:p>
              </w:tc>
              <w:tc>
                <w:tcPr>
                  <w:tcW w:w="981" w:type="dxa"/>
                  <w:tcBorders>
                    <w:top w:val="single" w:color="auto" w:sz="4" w:space="0"/>
                    <w:left w:val="single" w:color="auto" w:sz="4" w:space="0"/>
                    <w:bottom w:val="single" w:color="auto" w:sz="4" w:space="0"/>
                    <w:right w:val="single" w:color="auto" w:sz="4" w:space="0"/>
                  </w:tcBorders>
                  <w:vAlign w:val="center"/>
                </w:tcPr>
                <w:p w14:paraId="42A9D402">
                  <w:pPr>
                    <w:adjustRightInd/>
                    <w:spacing w:before="100" w:beforeAutospacing="1" w:after="100" w:afterAutospacing="1" w:line="44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0-3分</w:t>
                  </w:r>
                </w:p>
              </w:tc>
            </w:tr>
            <w:tr w14:paraId="0205B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tcBorders>
                    <w:top w:val="single" w:color="auto" w:sz="4" w:space="0"/>
                    <w:left w:val="single" w:color="auto" w:sz="4" w:space="0"/>
                    <w:bottom w:val="single" w:color="auto" w:sz="4" w:space="0"/>
                    <w:right w:val="single" w:color="auto" w:sz="4" w:space="0"/>
                  </w:tcBorders>
                  <w:shd w:val="clear" w:color="auto" w:fill="auto"/>
                  <w:vAlign w:val="center"/>
                </w:tcPr>
                <w:p w14:paraId="3F3B67E5">
                  <w:pPr>
                    <w:pStyle w:val="38"/>
                    <w:adjustRightInd/>
                    <w:spacing w:line="440" w:lineRule="exact"/>
                    <w:ind w:firstLine="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846" w:type="dxa"/>
                  <w:vMerge w:val="restart"/>
                  <w:tcBorders>
                    <w:top w:val="single" w:color="auto" w:sz="4" w:space="0"/>
                    <w:left w:val="single" w:color="auto" w:sz="4" w:space="0"/>
                    <w:right w:val="single" w:color="auto" w:sz="4" w:space="0"/>
                  </w:tcBorders>
                  <w:shd w:val="clear" w:color="auto" w:fill="auto"/>
                  <w:vAlign w:val="center"/>
                </w:tcPr>
                <w:p w14:paraId="5BDB976E">
                  <w:pPr>
                    <w:pStyle w:val="38"/>
                    <w:adjustRightInd/>
                    <w:spacing w:line="440" w:lineRule="exact"/>
                    <w:ind w:firstLine="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技术</w:t>
                  </w:r>
                </w:p>
                <w:p w14:paraId="70FA6C45">
                  <w:pPr>
                    <w:pStyle w:val="38"/>
                    <w:adjustRightInd/>
                    <w:spacing w:line="440" w:lineRule="exact"/>
                    <w:ind w:firstLine="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部分</w:t>
                  </w:r>
                </w:p>
                <w:p w14:paraId="464A3B8C">
                  <w:pPr>
                    <w:pStyle w:val="38"/>
                    <w:adjustRightInd/>
                    <w:spacing w:line="440" w:lineRule="exact"/>
                    <w:ind w:firstLine="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（57）</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5BB12459">
                  <w:pPr>
                    <w:adjustRightInd/>
                    <w:spacing w:line="440" w:lineRule="exact"/>
                    <w:jc w:val="center"/>
                    <w:rPr>
                      <w:rFonts w:hint="eastAsia" w:ascii="宋体" w:hAnsi="宋体" w:eastAsia="宋体" w:cs="宋体"/>
                      <w:b/>
                      <w:bCs/>
                      <w:color w:val="auto"/>
                      <w:kern w:val="0"/>
                      <w:sz w:val="22"/>
                      <w:szCs w:val="22"/>
                      <w:highlight w:val="none"/>
                      <w:lang w:val="zh-TW" w:eastAsia="zh-TW" w:bidi="ar"/>
                    </w:rPr>
                  </w:pPr>
                  <w:r>
                    <w:rPr>
                      <w:rFonts w:hint="eastAsia" w:ascii="宋体" w:hAnsi="宋体" w:eastAsia="宋体" w:cs="宋体"/>
                      <w:b/>
                      <w:bCs/>
                      <w:color w:val="auto"/>
                      <w:kern w:val="0"/>
                      <w:sz w:val="22"/>
                      <w:szCs w:val="22"/>
                      <w:highlight w:val="none"/>
                      <w:lang w:bidi="ar"/>
                    </w:rPr>
                    <w:t>技术响应偏离</w:t>
                  </w:r>
                </w:p>
              </w:tc>
              <w:tc>
                <w:tcPr>
                  <w:tcW w:w="6093" w:type="dxa"/>
                  <w:tcBorders>
                    <w:top w:val="single" w:color="auto" w:sz="4" w:space="0"/>
                    <w:left w:val="single" w:color="auto" w:sz="4" w:space="0"/>
                    <w:bottom w:val="single" w:color="auto" w:sz="4" w:space="0"/>
                    <w:right w:val="single" w:color="auto" w:sz="4" w:space="0"/>
                  </w:tcBorders>
                  <w:shd w:val="clear" w:color="auto" w:fill="FFFFFF"/>
                </w:tcPr>
                <w:p w14:paraId="127E708B">
                  <w:pPr>
                    <w:adjustRightInd/>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产品技术参数要求完全满足招标文件中主要设备参数要求的得27分。标“★”为核心参数，负偏离一项扣3分；对其他性能指标及技术参数属负偏离或缺漏项的每项扣1分。</w:t>
                  </w:r>
                </w:p>
                <w:p w14:paraId="5136367E">
                  <w:pPr>
                    <w:adjustRightInd/>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标“▲”为实质性参数，负偏离的作无效标处理。</w:t>
                  </w:r>
                </w:p>
                <w:p w14:paraId="516C805A">
                  <w:pPr>
                    <w:adjustRightInd/>
                    <w:spacing w:line="440" w:lineRule="exact"/>
                    <w:rPr>
                      <w:rFonts w:hint="eastAsia" w:ascii="宋体" w:hAnsi="宋体" w:eastAsia="宋体" w:cs="宋体"/>
                      <w:color w:val="auto"/>
                      <w:sz w:val="22"/>
                      <w:szCs w:val="22"/>
                      <w:highlight w:val="none"/>
                      <w:lang w:val="en-US" w:eastAsia="zh-CN"/>
                    </w:rPr>
                  </w:pPr>
                  <w:r>
                    <w:rPr>
                      <w:rFonts w:hint="eastAsia" w:ascii="宋体" w:hAnsi="宋体" w:eastAsia="宋体" w:cs="宋体"/>
                      <w:b/>
                      <w:bCs w:val="0"/>
                      <w:color w:val="auto"/>
                      <w:sz w:val="22"/>
                      <w:szCs w:val="22"/>
                      <w:highlight w:val="none"/>
                    </w:rPr>
                    <w:t>注：</w:t>
                  </w:r>
                  <w:r>
                    <w:rPr>
                      <w:rFonts w:hint="eastAsia" w:ascii="宋体" w:hAnsi="宋体" w:eastAsia="宋体" w:cs="宋体"/>
                      <w:b/>
                      <w:bCs w:val="0"/>
                      <w:color w:val="auto"/>
                      <w:sz w:val="22"/>
                      <w:szCs w:val="22"/>
                      <w:highlight w:val="none"/>
                      <w:lang w:eastAsia="zh-CN"/>
                    </w:rPr>
                    <w:t>提供的核心参数和实质性参数材料须加盖设备制造商和</w:t>
                  </w:r>
                  <w:r>
                    <w:rPr>
                      <w:rFonts w:hint="eastAsia" w:ascii="宋体" w:hAnsi="宋体" w:eastAsia="宋体" w:cs="宋体"/>
                      <w:b/>
                      <w:bCs w:val="0"/>
                      <w:color w:val="auto"/>
                      <w:sz w:val="22"/>
                      <w:szCs w:val="22"/>
                      <w:highlight w:val="none"/>
                      <w:lang w:val="en-US" w:eastAsia="zh-CN"/>
                    </w:rPr>
                    <w:t>供应商</w:t>
                  </w:r>
                  <w:r>
                    <w:rPr>
                      <w:rFonts w:hint="eastAsia" w:ascii="宋体" w:hAnsi="宋体" w:eastAsia="宋体" w:cs="宋体"/>
                      <w:b/>
                      <w:bCs w:val="0"/>
                      <w:color w:val="auto"/>
                      <w:sz w:val="22"/>
                      <w:szCs w:val="22"/>
                      <w:highlight w:val="none"/>
                      <w:lang w:eastAsia="zh-CN"/>
                    </w:rPr>
                    <w:t>公章。</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66F59D20">
                  <w:pPr>
                    <w:adjustRightInd/>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0-27分</w:t>
                  </w:r>
                </w:p>
              </w:tc>
            </w:tr>
            <w:tr w14:paraId="323D0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35" w:type="dxa"/>
                  <w:tcBorders>
                    <w:top w:val="single" w:color="auto" w:sz="4" w:space="0"/>
                    <w:left w:val="single" w:color="auto" w:sz="4" w:space="0"/>
                    <w:right w:val="single" w:color="auto" w:sz="4" w:space="0"/>
                  </w:tcBorders>
                  <w:shd w:val="clear" w:color="auto" w:fill="auto"/>
                  <w:vAlign w:val="center"/>
                </w:tcPr>
                <w:p w14:paraId="13662AF1">
                  <w:pPr>
                    <w:pStyle w:val="38"/>
                    <w:adjustRightInd/>
                    <w:spacing w:line="440" w:lineRule="exact"/>
                    <w:ind w:firstLine="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p>
              </w:tc>
              <w:tc>
                <w:tcPr>
                  <w:tcW w:w="846" w:type="dxa"/>
                  <w:vMerge w:val="continue"/>
                  <w:tcBorders>
                    <w:left w:val="single" w:color="auto" w:sz="4" w:space="0"/>
                    <w:right w:val="single" w:color="auto" w:sz="4" w:space="0"/>
                  </w:tcBorders>
                  <w:shd w:val="clear" w:color="auto" w:fill="auto"/>
                  <w:vAlign w:val="center"/>
                </w:tcPr>
                <w:p w14:paraId="4423ECA9">
                  <w:pPr>
                    <w:widowControl/>
                    <w:adjustRightInd/>
                    <w:spacing w:line="440" w:lineRule="exact"/>
                    <w:jc w:val="left"/>
                    <w:rPr>
                      <w:rFonts w:hint="eastAsia" w:ascii="宋体" w:hAnsi="宋体" w:eastAsia="宋体" w:cs="宋体"/>
                      <w:color w:val="auto"/>
                      <w:sz w:val="22"/>
                      <w:szCs w:val="22"/>
                      <w:highlight w:val="none"/>
                    </w:rPr>
                  </w:pPr>
                </w:p>
              </w:tc>
              <w:tc>
                <w:tcPr>
                  <w:tcW w:w="840" w:type="dxa"/>
                  <w:tcBorders>
                    <w:top w:val="single" w:color="auto" w:sz="4" w:space="0"/>
                    <w:left w:val="single" w:color="auto" w:sz="4" w:space="0"/>
                    <w:right w:val="single" w:color="auto" w:sz="4" w:space="0"/>
                  </w:tcBorders>
                  <w:shd w:val="clear" w:color="auto" w:fill="auto"/>
                  <w:vAlign w:val="center"/>
                </w:tcPr>
                <w:p w14:paraId="49B51185">
                  <w:pPr>
                    <w:widowControl/>
                    <w:adjustRightInd/>
                    <w:spacing w:line="440" w:lineRule="exact"/>
                    <w:jc w:val="center"/>
                    <w:rPr>
                      <w:rFonts w:hint="eastAsia" w:ascii="宋体" w:hAnsi="宋体" w:eastAsia="宋体" w:cs="宋体"/>
                      <w:b/>
                      <w:bCs/>
                      <w:color w:val="auto"/>
                      <w:sz w:val="22"/>
                      <w:szCs w:val="22"/>
                      <w:highlight w:val="none"/>
                      <w:lang w:val="zh-TW" w:eastAsia="zh-TW"/>
                    </w:rPr>
                  </w:pPr>
                  <w:r>
                    <w:rPr>
                      <w:rFonts w:hint="eastAsia" w:ascii="宋体" w:hAnsi="宋体" w:eastAsia="宋体" w:cs="宋体"/>
                      <w:b/>
                      <w:bCs/>
                      <w:color w:val="auto"/>
                      <w:sz w:val="22"/>
                      <w:szCs w:val="22"/>
                      <w:highlight w:val="none"/>
                    </w:rPr>
                    <w:t>项目组人员</w:t>
                  </w:r>
                </w:p>
              </w:tc>
              <w:tc>
                <w:tcPr>
                  <w:tcW w:w="6093" w:type="dxa"/>
                  <w:tcBorders>
                    <w:top w:val="single" w:color="auto" w:sz="4" w:space="0"/>
                    <w:left w:val="single" w:color="auto" w:sz="4" w:space="0"/>
                    <w:bottom w:val="single" w:color="auto" w:sz="4" w:space="0"/>
                    <w:right w:val="single" w:color="auto" w:sz="4" w:space="0"/>
                  </w:tcBorders>
                  <w:shd w:val="clear" w:color="auto" w:fill="FFFFFF"/>
                  <w:vAlign w:val="center"/>
                </w:tcPr>
                <w:p w14:paraId="13694D6B">
                  <w:pPr>
                    <w:adjustRightInd/>
                    <w:spacing w:line="440" w:lineRule="exact"/>
                    <w:rPr>
                      <w:rFonts w:hint="eastAsia" w:ascii="宋体" w:hAnsi="宋体" w:eastAsia="宋体" w:cs="宋体"/>
                      <w:color w:val="auto"/>
                      <w:sz w:val="22"/>
                      <w:szCs w:val="22"/>
                      <w:highlight w:val="none"/>
                      <w:lang w:val="zh-CN" w:eastAsia="zh-Hans"/>
                    </w:rPr>
                  </w:pPr>
                  <w:bookmarkStart w:id="432" w:name="OLE_LINK1"/>
                  <w:r>
                    <w:rPr>
                      <w:rFonts w:hint="eastAsia" w:ascii="宋体" w:hAnsi="宋体" w:eastAsia="宋体" w:cs="宋体"/>
                      <w:b/>
                      <w:bCs/>
                      <w:color w:val="auto"/>
                      <w:sz w:val="22"/>
                      <w:szCs w:val="22"/>
                      <w:highlight w:val="none"/>
                      <w:lang w:val="zh-CN"/>
                    </w:rPr>
                    <w:t>（1）</w:t>
                  </w:r>
                  <w:r>
                    <w:rPr>
                      <w:rFonts w:hint="eastAsia" w:ascii="宋体" w:hAnsi="宋体" w:eastAsia="宋体" w:cs="宋体"/>
                      <w:color w:val="auto"/>
                      <w:sz w:val="22"/>
                      <w:szCs w:val="22"/>
                      <w:highlight w:val="none"/>
                      <w:lang w:val="zh-CN" w:eastAsia="zh-Hans"/>
                    </w:rPr>
                    <w:t>项目负责人：</w:t>
                  </w:r>
                  <w:r>
                    <w:rPr>
                      <w:rFonts w:hint="eastAsia" w:ascii="宋体" w:hAnsi="宋体" w:eastAsia="宋体" w:cs="宋体"/>
                      <w:color w:val="auto"/>
                      <w:sz w:val="22"/>
                      <w:szCs w:val="22"/>
                      <w:highlight w:val="none"/>
                      <w:lang w:val="zh-CN"/>
                    </w:rPr>
                    <w:t>具备生态环境类高级职称的，得1.5分；具备注册环保工程师的，得1.5分。最高得3分。</w:t>
                  </w:r>
                </w:p>
                <w:p w14:paraId="14B31CCF">
                  <w:pPr>
                    <w:adjustRightInd/>
                    <w:spacing w:line="440" w:lineRule="exact"/>
                    <w:rPr>
                      <w:rFonts w:hint="eastAsia" w:ascii="宋体" w:hAnsi="宋体" w:eastAsia="宋体" w:cs="宋体"/>
                      <w:color w:val="auto"/>
                      <w:sz w:val="22"/>
                      <w:szCs w:val="22"/>
                      <w:highlight w:val="none"/>
                      <w:lang w:val="zh-CN"/>
                    </w:rPr>
                  </w:pPr>
                  <w:r>
                    <w:rPr>
                      <w:rFonts w:hint="eastAsia" w:ascii="宋体" w:hAnsi="宋体" w:eastAsia="宋体" w:cs="宋体"/>
                      <w:b/>
                      <w:bCs/>
                      <w:color w:val="auto"/>
                      <w:sz w:val="22"/>
                      <w:szCs w:val="22"/>
                      <w:highlight w:val="none"/>
                      <w:lang w:val="zh-CN"/>
                    </w:rPr>
                    <w:t>（2）</w:t>
                  </w:r>
                  <w:r>
                    <w:rPr>
                      <w:rFonts w:hint="eastAsia" w:ascii="宋体" w:hAnsi="宋体" w:eastAsia="宋体" w:cs="宋体"/>
                      <w:color w:val="auto"/>
                      <w:sz w:val="22"/>
                      <w:szCs w:val="22"/>
                      <w:highlight w:val="none"/>
                      <w:lang w:val="zh-CN"/>
                    </w:rPr>
                    <w:t>投标人成员项目团队人员(项目负责人除外)情况：</w:t>
                  </w:r>
                </w:p>
                <w:p w14:paraId="2FC6FE33">
                  <w:pPr>
                    <w:adjustRightInd/>
                    <w:spacing w:line="440" w:lineRule="exact"/>
                    <w:ind w:firstLine="660" w:firstLineChars="3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1）团队人员(项目负责人除外)具有生态环境相关专业的高级及以上职称的每人得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val="zh-CN"/>
                    </w:rPr>
                    <w:t>分、生态环境相关专业</w:t>
                  </w:r>
                  <w:r>
                    <w:rPr>
                      <w:rFonts w:hint="eastAsia" w:ascii="宋体" w:hAnsi="宋体" w:eastAsia="宋体" w:cs="宋体"/>
                      <w:color w:val="auto"/>
                      <w:sz w:val="22"/>
                      <w:szCs w:val="22"/>
                      <w:highlight w:val="none"/>
                      <w:lang w:val="en-US" w:eastAsia="zh-CN"/>
                    </w:rPr>
                    <w:t>的中级</w:t>
                  </w:r>
                  <w:r>
                    <w:rPr>
                      <w:rFonts w:hint="eastAsia" w:ascii="宋体" w:hAnsi="宋体" w:eastAsia="宋体" w:cs="宋体"/>
                      <w:color w:val="auto"/>
                      <w:sz w:val="22"/>
                      <w:szCs w:val="22"/>
                      <w:highlight w:val="none"/>
                      <w:lang w:val="zh-CN"/>
                    </w:rPr>
                    <w:t>职称每人得0.5分，最高得</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val="zh-CN"/>
                    </w:rPr>
                    <w:t>分；</w:t>
                  </w:r>
                </w:p>
                <w:p w14:paraId="1BD71DC0">
                  <w:pPr>
                    <w:adjustRightInd/>
                    <w:spacing w:line="440" w:lineRule="exact"/>
                    <w:ind w:firstLine="660" w:firstLineChars="3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2）团队人员(项目负责人除外)具有注册环保工程师的每人得0.5分，最高得1分</w:t>
                  </w:r>
                  <w:r>
                    <w:rPr>
                      <w:rFonts w:hint="eastAsia" w:ascii="宋体" w:hAnsi="宋体" w:cs="宋体"/>
                      <w:color w:val="auto"/>
                      <w:sz w:val="22"/>
                      <w:szCs w:val="22"/>
                      <w:highlight w:val="none"/>
                      <w:lang w:val="zh-CN"/>
                    </w:rPr>
                    <w:t>。</w:t>
                  </w:r>
                </w:p>
                <w:p w14:paraId="29170105">
                  <w:pPr>
                    <w:adjustRightInd/>
                    <w:spacing w:line="440" w:lineRule="exact"/>
                    <w:rPr>
                      <w:rFonts w:hint="eastAsia" w:ascii="宋体" w:hAnsi="宋体" w:eastAsia="宋体" w:cs="宋体"/>
                      <w:color w:val="auto"/>
                      <w:sz w:val="22"/>
                      <w:szCs w:val="22"/>
                      <w:highlight w:val="none"/>
                      <w:lang w:val="zh-CN" w:eastAsia="zh-Hans"/>
                    </w:rPr>
                  </w:pPr>
                  <w:r>
                    <w:rPr>
                      <w:rFonts w:hint="eastAsia" w:ascii="宋体" w:hAnsi="宋体" w:eastAsia="宋体" w:cs="宋体"/>
                      <w:b/>
                      <w:bCs/>
                      <w:color w:val="auto"/>
                      <w:sz w:val="22"/>
                      <w:szCs w:val="22"/>
                      <w:highlight w:val="none"/>
                      <w:lang w:val="zh-CN"/>
                    </w:rPr>
                    <w:t>（3）</w:t>
                  </w:r>
                  <w:r>
                    <w:rPr>
                      <w:rFonts w:hint="eastAsia" w:ascii="宋体" w:hAnsi="宋体" w:eastAsia="宋体" w:cs="宋体"/>
                      <w:color w:val="auto"/>
                      <w:sz w:val="22"/>
                      <w:szCs w:val="22"/>
                      <w:highlight w:val="none"/>
                      <w:lang w:val="zh-CN"/>
                    </w:rPr>
                    <w:t>团队人员获得省级及以上检测相关职业技能竞赛奖项的，每人得1分，最高得2分。</w:t>
                  </w:r>
                </w:p>
                <w:p w14:paraId="4E399627">
                  <w:pPr>
                    <w:adjustRightInd/>
                    <w:spacing w:line="440" w:lineRule="exact"/>
                    <w:rPr>
                      <w:rFonts w:hint="eastAsia" w:ascii="宋体" w:hAnsi="宋体" w:eastAsia="宋体" w:cs="宋体"/>
                      <w:color w:val="auto"/>
                      <w:sz w:val="22"/>
                      <w:szCs w:val="22"/>
                      <w:highlight w:val="none"/>
                      <w:lang w:val="zh-CN"/>
                    </w:rPr>
                  </w:pPr>
                  <w:r>
                    <w:rPr>
                      <w:rFonts w:hint="eastAsia" w:ascii="宋体" w:hAnsi="宋体" w:eastAsia="宋体" w:cs="宋体"/>
                      <w:b/>
                      <w:color w:val="auto"/>
                      <w:sz w:val="22"/>
                      <w:szCs w:val="22"/>
                      <w:highlight w:val="none"/>
                    </w:rPr>
                    <w:t>注：</w:t>
                  </w:r>
                  <w:r>
                    <w:rPr>
                      <w:rFonts w:hint="eastAsia" w:ascii="宋体" w:hAnsi="宋体" w:eastAsia="宋体" w:cs="宋体"/>
                      <w:b/>
                      <w:color w:val="auto"/>
                      <w:sz w:val="22"/>
                      <w:szCs w:val="22"/>
                      <w:highlight w:val="none"/>
                      <w:lang w:val="zh-CN"/>
                    </w:rPr>
                    <w:t>以上三项需</w:t>
                  </w:r>
                  <w:r>
                    <w:rPr>
                      <w:rFonts w:hint="eastAsia" w:ascii="宋体" w:hAnsi="宋体" w:eastAsia="宋体" w:cs="宋体"/>
                      <w:b/>
                      <w:color w:val="auto"/>
                      <w:sz w:val="22"/>
                      <w:szCs w:val="22"/>
                      <w:highlight w:val="none"/>
                    </w:rPr>
                    <w:t>同时</w:t>
                  </w:r>
                  <w:r>
                    <w:rPr>
                      <w:rFonts w:hint="eastAsia" w:ascii="宋体" w:hAnsi="宋体" w:eastAsia="宋体" w:cs="宋体"/>
                      <w:b/>
                      <w:color w:val="auto"/>
                      <w:sz w:val="22"/>
                      <w:szCs w:val="22"/>
                      <w:highlight w:val="none"/>
                      <w:lang w:val="zh-CN"/>
                    </w:rPr>
                    <w:t>提供相关人员的证书复印件</w:t>
                  </w:r>
                  <w:r>
                    <w:rPr>
                      <w:rFonts w:hint="eastAsia" w:ascii="宋体" w:hAnsi="宋体" w:eastAsia="宋体" w:cs="宋体"/>
                      <w:b/>
                      <w:color w:val="auto"/>
                      <w:sz w:val="22"/>
                      <w:szCs w:val="22"/>
                      <w:highlight w:val="none"/>
                    </w:rPr>
                    <w:t>加盖公章</w:t>
                  </w:r>
                  <w:r>
                    <w:rPr>
                      <w:rFonts w:hint="eastAsia" w:ascii="宋体" w:hAnsi="宋体" w:eastAsia="宋体" w:cs="宋体"/>
                      <w:b/>
                      <w:color w:val="auto"/>
                      <w:sz w:val="22"/>
                      <w:szCs w:val="22"/>
                      <w:highlight w:val="none"/>
                      <w:lang w:val="zh-CN"/>
                    </w:rPr>
                    <w:t>和</w:t>
                  </w:r>
                  <w:r>
                    <w:rPr>
                      <w:rFonts w:hint="eastAsia" w:ascii="宋体" w:hAnsi="宋体" w:eastAsia="宋体" w:cs="宋体"/>
                      <w:b/>
                      <w:color w:val="auto"/>
                      <w:sz w:val="22"/>
                      <w:szCs w:val="22"/>
                      <w:highlight w:val="none"/>
                    </w:rPr>
                    <w:t>公告发布之日起至投标截止时间前出具的</w:t>
                  </w:r>
                  <w:r>
                    <w:rPr>
                      <w:rFonts w:hint="eastAsia" w:ascii="宋体" w:hAnsi="宋体" w:eastAsia="宋体" w:cs="宋体"/>
                      <w:b/>
                      <w:color w:val="auto"/>
                      <w:sz w:val="22"/>
                      <w:szCs w:val="22"/>
                      <w:highlight w:val="none"/>
                      <w:lang w:val="zh-CN"/>
                    </w:rPr>
                    <w:t>在投标单位的社保证明</w:t>
                  </w:r>
                  <w:r>
                    <w:rPr>
                      <w:rFonts w:hint="eastAsia" w:ascii="宋体" w:hAnsi="宋体" w:eastAsia="宋体" w:cs="宋体"/>
                      <w:b/>
                      <w:color w:val="auto"/>
                      <w:sz w:val="22"/>
                      <w:szCs w:val="22"/>
                      <w:highlight w:val="none"/>
                    </w:rPr>
                    <w:t>材料并加盖公章，不提供不得分。</w:t>
                  </w:r>
                  <w:bookmarkEnd w:id="432"/>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2B96B3E4">
                  <w:pPr>
                    <w:adjustRightInd/>
                    <w:spacing w:line="440" w:lineRule="exac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0-</w:t>
                  </w:r>
                  <w:r>
                    <w:rPr>
                      <w:rFonts w:hint="eastAsia" w:ascii="宋体" w:hAnsi="宋体" w:eastAsia="宋体" w:cs="宋体"/>
                      <w:color w:val="auto"/>
                      <w:sz w:val="22"/>
                      <w:szCs w:val="22"/>
                      <w:highlight w:val="none"/>
                      <w:lang w:val="en-US" w:eastAsia="zh-CN"/>
                    </w:rPr>
                    <w:t>10</w:t>
                  </w:r>
                  <w:r>
                    <w:rPr>
                      <w:rFonts w:hint="eastAsia" w:ascii="宋体" w:hAnsi="宋体" w:eastAsia="宋体" w:cs="宋体"/>
                      <w:color w:val="auto"/>
                      <w:sz w:val="22"/>
                      <w:szCs w:val="22"/>
                      <w:highlight w:val="none"/>
                      <w:lang w:val="zh-CN"/>
                    </w:rPr>
                    <w:t>分</w:t>
                  </w:r>
                </w:p>
              </w:tc>
            </w:tr>
            <w:tr w14:paraId="187B2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tcBorders>
                    <w:left w:val="single" w:color="auto" w:sz="4" w:space="0"/>
                    <w:right w:val="single" w:color="auto" w:sz="4" w:space="0"/>
                  </w:tcBorders>
                  <w:shd w:val="clear" w:color="auto" w:fill="auto"/>
                  <w:vAlign w:val="center"/>
                </w:tcPr>
                <w:p w14:paraId="7972053A">
                  <w:pPr>
                    <w:pStyle w:val="38"/>
                    <w:adjustRightInd/>
                    <w:spacing w:line="440" w:lineRule="exact"/>
                    <w:ind w:firstLine="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w:t>
                  </w:r>
                </w:p>
              </w:tc>
              <w:tc>
                <w:tcPr>
                  <w:tcW w:w="846" w:type="dxa"/>
                  <w:vMerge w:val="continue"/>
                  <w:tcBorders>
                    <w:left w:val="single" w:color="auto" w:sz="4" w:space="0"/>
                    <w:right w:val="single" w:color="auto" w:sz="4" w:space="0"/>
                  </w:tcBorders>
                  <w:shd w:val="clear" w:color="auto" w:fill="auto"/>
                  <w:vAlign w:val="center"/>
                </w:tcPr>
                <w:p w14:paraId="434CD8DD">
                  <w:pPr>
                    <w:widowControl/>
                    <w:adjustRightInd/>
                    <w:spacing w:line="440" w:lineRule="exact"/>
                    <w:jc w:val="left"/>
                    <w:rPr>
                      <w:rFonts w:hint="eastAsia" w:ascii="宋体" w:hAnsi="宋体" w:eastAsia="宋体" w:cs="宋体"/>
                      <w:color w:val="auto"/>
                      <w:sz w:val="22"/>
                      <w:szCs w:val="22"/>
                      <w:highlight w:val="none"/>
                    </w:rPr>
                  </w:pPr>
                </w:p>
              </w:tc>
              <w:tc>
                <w:tcPr>
                  <w:tcW w:w="840" w:type="dxa"/>
                  <w:tcBorders>
                    <w:left w:val="single" w:color="auto" w:sz="4" w:space="0"/>
                    <w:right w:val="single" w:color="auto" w:sz="4" w:space="0"/>
                  </w:tcBorders>
                  <w:shd w:val="clear" w:color="auto" w:fill="auto"/>
                  <w:vAlign w:val="center"/>
                </w:tcPr>
                <w:p w14:paraId="6396AD27">
                  <w:pPr>
                    <w:widowControl/>
                    <w:adjustRightInd/>
                    <w:spacing w:line="440" w:lineRule="exact"/>
                    <w:jc w:val="center"/>
                    <w:rPr>
                      <w:rFonts w:hint="eastAsia" w:ascii="宋体" w:hAnsi="宋体" w:eastAsia="宋体" w:cs="宋体"/>
                      <w:color w:val="auto"/>
                      <w:kern w:val="0"/>
                      <w:sz w:val="22"/>
                      <w:szCs w:val="22"/>
                      <w:highlight w:val="none"/>
                      <w:lang w:val="zh-TW" w:eastAsia="zh-TW"/>
                    </w:rPr>
                  </w:pPr>
                  <w:r>
                    <w:rPr>
                      <w:rFonts w:hint="eastAsia" w:ascii="宋体" w:hAnsi="宋体" w:eastAsia="宋体" w:cs="宋体"/>
                      <w:b/>
                      <w:bCs/>
                      <w:color w:val="auto"/>
                      <w:sz w:val="22"/>
                      <w:szCs w:val="22"/>
                      <w:highlight w:val="none"/>
                    </w:rPr>
                    <w:t>项目实施方案</w:t>
                  </w:r>
                </w:p>
              </w:tc>
              <w:tc>
                <w:tcPr>
                  <w:tcW w:w="6093" w:type="dxa"/>
                  <w:tcBorders>
                    <w:top w:val="single" w:color="auto" w:sz="4" w:space="0"/>
                    <w:left w:val="single" w:color="auto" w:sz="4" w:space="0"/>
                    <w:bottom w:val="single" w:color="auto" w:sz="4" w:space="0"/>
                    <w:right w:val="single" w:color="auto" w:sz="4" w:space="0"/>
                  </w:tcBorders>
                  <w:shd w:val="clear" w:color="auto" w:fill="auto"/>
                  <w:vAlign w:val="center"/>
                </w:tcPr>
                <w:p w14:paraId="798A2C36">
                  <w:pPr>
                    <w:adjustRightInd/>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根据各供应商提供的项目实施方案（包括但不限于系统选址方案、集成方案、安装调试方案和验收方案等）进行综合评审，根据方案完整性、合理性综合评分</w:t>
                  </w:r>
                  <w:r>
                    <w:rPr>
                      <w:rFonts w:hint="eastAsia" w:ascii="宋体" w:hAnsi="宋体" w:eastAsia="宋体" w:cs="宋体"/>
                      <w:bCs/>
                      <w:color w:val="auto"/>
                      <w:sz w:val="22"/>
                      <w:szCs w:val="22"/>
                      <w:highlight w:val="none"/>
                    </w:rPr>
                    <w:t>【评分分值范围：</w:t>
                  </w:r>
                  <w:r>
                    <w:rPr>
                      <w:rFonts w:hint="eastAsia" w:ascii="宋体" w:hAnsi="宋体" w:eastAsia="宋体" w:cs="宋体"/>
                      <w:bCs/>
                      <w:color w:val="auto"/>
                      <w:sz w:val="22"/>
                      <w:szCs w:val="22"/>
                      <w:highlight w:val="none"/>
                      <w:lang w:val="en-US" w:eastAsia="zh-CN"/>
                    </w:rPr>
                    <w:t>5、</w:t>
                  </w:r>
                  <w:r>
                    <w:rPr>
                      <w:rFonts w:hint="eastAsia" w:ascii="宋体" w:hAnsi="宋体" w:eastAsia="宋体" w:cs="宋体"/>
                      <w:bCs/>
                      <w:color w:val="auto"/>
                      <w:sz w:val="22"/>
                      <w:szCs w:val="22"/>
                      <w:highlight w:val="none"/>
                    </w:rPr>
                    <w:t>4、3、2、1、0】</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5946C9E4">
                  <w:pPr>
                    <w:adjustRightInd/>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分</w:t>
                  </w:r>
                </w:p>
              </w:tc>
            </w:tr>
            <w:tr w14:paraId="41FBE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tcBorders>
                    <w:left w:val="single" w:color="auto" w:sz="4" w:space="0"/>
                    <w:right w:val="single" w:color="auto" w:sz="4" w:space="0"/>
                  </w:tcBorders>
                  <w:shd w:val="clear" w:color="auto" w:fill="auto"/>
                  <w:vAlign w:val="center"/>
                </w:tcPr>
                <w:p w14:paraId="1CC2A003">
                  <w:pPr>
                    <w:pStyle w:val="38"/>
                    <w:adjustRightInd/>
                    <w:spacing w:line="440" w:lineRule="exact"/>
                    <w:ind w:firstLine="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w:t>
                  </w:r>
                </w:p>
              </w:tc>
              <w:tc>
                <w:tcPr>
                  <w:tcW w:w="846" w:type="dxa"/>
                  <w:vMerge w:val="continue"/>
                  <w:tcBorders>
                    <w:left w:val="single" w:color="auto" w:sz="4" w:space="0"/>
                    <w:right w:val="single" w:color="auto" w:sz="4" w:space="0"/>
                  </w:tcBorders>
                  <w:shd w:val="clear" w:color="auto" w:fill="auto"/>
                  <w:vAlign w:val="center"/>
                </w:tcPr>
                <w:p w14:paraId="79F1D3FE">
                  <w:pPr>
                    <w:widowControl/>
                    <w:adjustRightInd/>
                    <w:spacing w:line="440" w:lineRule="exact"/>
                    <w:jc w:val="left"/>
                    <w:rPr>
                      <w:rFonts w:hint="eastAsia" w:ascii="宋体" w:hAnsi="宋体" w:eastAsia="宋体" w:cs="宋体"/>
                      <w:color w:val="auto"/>
                      <w:sz w:val="22"/>
                      <w:szCs w:val="22"/>
                      <w:highlight w:val="none"/>
                    </w:rPr>
                  </w:pPr>
                </w:p>
              </w:tc>
              <w:tc>
                <w:tcPr>
                  <w:tcW w:w="840" w:type="dxa"/>
                  <w:tcBorders>
                    <w:left w:val="single" w:color="auto" w:sz="4" w:space="0"/>
                    <w:right w:val="single" w:color="auto" w:sz="4" w:space="0"/>
                  </w:tcBorders>
                  <w:shd w:val="clear" w:color="auto" w:fill="auto"/>
                  <w:vAlign w:val="center"/>
                </w:tcPr>
                <w:p w14:paraId="4F429220">
                  <w:pPr>
                    <w:widowControl/>
                    <w:adjustRightInd/>
                    <w:spacing w:line="44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项目组织部署方案</w:t>
                  </w:r>
                </w:p>
              </w:tc>
              <w:tc>
                <w:tcPr>
                  <w:tcW w:w="6093" w:type="dxa"/>
                  <w:tcBorders>
                    <w:top w:val="single" w:color="auto" w:sz="4" w:space="0"/>
                    <w:left w:val="single" w:color="auto" w:sz="4" w:space="0"/>
                    <w:bottom w:val="single" w:color="auto" w:sz="4" w:space="0"/>
                    <w:right w:val="single" w:color="auto" w:sz="4" w:space="0"/>
                  </w:tcBorders>
                  <w:shd w:val="clear" w:color="auto" w:fill="auto"/>
                  <w:vAlign w:val="center"/>
                </w:tcPr>
                <w:p w14:paraId="77C16297">
                  <w:pPr>
                    <w:adjustRightInd/>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根据各供应商提供的项目组织部署方案（包括但不限于项目供货安排和实施进度计划，项目组织管理和人员及机构设置等）进行综合评审，根据方案完整性、合理性综合评分</w:t>
                  </w:r>
                  <w:r>
                    <w:rPr>
                      <w:rFonts w:hint="eastAsia" w:ascii="宋体" w:hAnsi="宋体" w:eastAsia="宋体" w:cs="宋体"/>
                      <w:bCs/>
                      <w:color w:val="auto"/>
                      <w:sz w:val="22"/>
                      <w:szCs w:val="22"/>
                      <w:highlight w:val="none"/>
                    </w:rPr>
                    <w:t>【评分分值范围：4、3、2、1、0】</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0B9297DD">
                  <w:pPr>
                    <w:adjustRightInd/>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0-4分</w:t>
                  </w:r>
                </w:p>
              </w:tc>
            </w:tr>
            <w:tr w14:paraId="45C4B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tcBorders>
                    <w:left w:val="single" w:color="auto" w:sz="4" w:space="0"/>
                    <w:right w:val="single" w:color="auto" w:sz="4" w:space="0"/>
                  </w:tcBorders>
                  <w:shd w:val="clear" w:color="auto" w:fill="auto"/>
                  <w:vAlign w:val="center"/>
                </w:tcPr>
                <w:p w14:paraId="719273D7">
                  <w:pPr>
                    <w:pStyle w:val="38"/>
                    <w:adjustRightInd/>
                    <w:spacing w:line="440" w:lineRule="exact"/>
                    <w:ind w:firstLine="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9</w:t>
                  </w:r>
                </w:p>
              </w:tc>
              <w:tc>
                <w:tcPr>
                  <w:tcW w:w="846" w:type="dxa"/>
                  <w:vMerge w:val="continue"/>
                  <w:tcBorders>
                    <w:left w:val="single" w:color="auto" w:sz="4" w:space="0"/>
                    <w:right w:val="single" w:color="auto" w:sz="4" w:space="0"/>
                  </w:tcBorders>
                  <w:shd w:val="clear" w:color="auto" w:fill="auto"/>
                  <w:vAlign w:val="center"/>
                </w:tcPr>
                <w:p w14:paraId="2B802832">
                  <w:pPr>
                    <w:widowControl/>
                    <w:adjustRightInd/>
                    <w:spacing w:line="440" w:lineRule="exact"/>
                    <w:jc w:val="left"/>
                    <w:rPr>
                      <w:rFonts w:hint="eastAsia" w:ascii="宋体" w:hAnsi="宋体" w:eastAsia="宋体" w:cs="宋体"/>
                      <w:color w:val="auto"/>
                      <w:sz w:val="22"/>
                      <w:szCs w:val="22"/>
                      <w:highlight w:val="none"/>
                    </w:rPr>
                  </w:pPr>
                </w:p>
              </w:tc>
              <w:tc>
                <w:tcPr>
                  <w:tcW w:w="840" w:type="dxa"/>
                  <w:tcBorders>
                    <w:left w:val="single" w:color="auto" w:sz="4" w:space="0"/>
                    <w:right w:val="single" w:color="auto" w:sz="4" w:space="0"/>
                  </w:tcBorders>
                  <w:shd w:val="clear" w:color="auto" w:fill="auto"/>
                  <w:vAlign w:val="center"/>
                </w:tcPr>
                <w:p w14:paraId="6F8DC0A6">
                  <w:pPr>
                    <w:widowControl/>
                    <w:adjustRightInd/>
                    <w:spacing w:line="44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服务方案</w:t>
                  </w:r>
                </w:p>
              </w:tc>
              <w:tc>
                <w:tcPr>
                  <w:tcW w:w="6093" w:type="dxa"/>
                  <w:tcBorders>
                    <w:top w:val="single" w:color="auto" w:sz="4" w:space="0"/>
                    <w:left w:val="single" w:color="auto" w:sz="4" w:space="0"/>
                    <w:bottom w:val="single" w:color="auto" w:sz="4" w:space="0"/>
                    <w:right w:val="single" w:color="auto" w:sz="4" w:space="0"/>
                  </w:tcBorders>
                  <w:shd w:val="clear" w:color="auto" w:fill="auto"/>
                  <w:vAlign w:val="center"/>
                </w:tcPr>
                <w:p w14:paraId="4DB4BC6D">
                  <w:pPr>
                    <w:adjustRightInd/>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根据各供应商提供的服务方案（包括但不限于运维服务方案、培训方案等）进行综合评审，根据方案完整性、合理性综合评分</w:t>
                  </w:r>
                  <w:r>
                    <w:rPr>
                      <w:rFonts w:hint="eastAsia" w:ascii="宋体" w:hAnsi="宋体" w:eastAsia="宋体" w:cs="宋体"/>
                      <w:bCs/>
                      <w:color w:val="auto"/>
                      <w:sz w:val="22"/>
                      <w:szCs w:val="22"/>
                      <w:highlight w:val="none"/>
                    </w:rPr>
                    <w:t>【评分分值范围：</w:t>
                  </w:r>
                  <w:r>
                    <w:rPr>
                      <w:rFonts w:hint="eastAsia" w:ascii="宋体" w:hAnsi="宋体" w:eastAsia="宋体" w:cs="宋体"/>
                      <w:bCs/>
                      <w:color w:val="auto"/>
                      <w:sz w:val="22"/>
                      <w:szCs w:val="22"/>
                      <w:highlight w:val="none"/>
                      <w:lang w:val="en-US" w:eastAsia="zh-CN"/>
                    </w:rPr>
                    <w:t>5、</w:t>
                  </w:r>
                  <w:r>
                    <w:rPr>
                      <w:rFonts w:hint="eastAsia" w:ascii="宋体" w:hAnsi="宋体" w:eastAsia="宋体" w:cs="宋体"/>
                      <w:bCs/>
                      <w:color w:val="auto"/>
                      <w:sz w:val="22"/>
                      <w:szCs w:val="22"/>
                      <w:highlight w:val="none"/>
                    </w:rPr>
                    <w:t>4、3、2、1、0】</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339B432E">
                  <w:pPr>
                    <w:adjustRightInd/>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分</w:t>
                  </w:r>
                </w:p>
              </w:tc>
            </w:tr>
            <w:tr w14:paraId="6D1B1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tcBorders>
                    <w:left w:val="single" w:color="auto" w:sz="4" w:space="0"/>
                    <w:right w:val="single" w:color="auto" w:sz="4" w:space="0"/>
                  </w:tcBorders>
                  <w:shd w:val="clear" w:color="auto" w:fill="auto"/>
                  <w:vAlign w:val="center"/>
                </w:tcPr>
                <w:p w14:paraId="6F1503F1">
                  <w:pPr>
                    <w:pStyle w:val="38"/>
                    <w:adjustRightInd/>
                    <w:spacing w:line="440" w:lineRule="exact"/>
                    <w:ind w:firstLine="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10</w:t>
                  </w:r>
                </w:p>
              </w:tc>
              <w:tc>
                <w:tcPr>
                  <w:tcW w:w="846" w:type="dxa"/>
                  <w:vMerge w:val="continue"/>
                  <w:tcBorders>
                    <w:left w:val="single" w:color="auto" w:sz="4" w:space="0"/>
                    <w:right w:val="single" w:color="auto" w:sz="4" w:space="0"/>
                  </w:tcBorders>
                  <w:shd w:val="clear" w:color="auto" w:fill="auto"/>
                  <w:vAlign w:val="center"/>
                </w:tcPr>
                <w:p w14:paraId="6DC1F6D5">
                  <w:pPr>
                    <w:widowControl/>
                    <w:adjustRightInd/>
                    <w:spacing w:line="440" w:lineRule="exact"/>
                    <w:jc w:val="left"/>
                    <w:rPr>
                      <w:rFonts w:hint="eastAsia" w:ascii="宋体" w:hAnsi="宋体" w:eastAsia="宋体" w:cs="宋体"/>
                      <w:color w:val="auto"/>
                      <w:sz w:val="22"/>
                      <w:szCs w:val="22"/>
                      <w:highlight w:val="none"/>
                    </w:rPr>
                  </w:pPr>
                </w:p>
              </w:tc>
              <w:tc>
                <w:tcPr>
                  <w:tcW w:w="840" w:type="dxa"/>
                  <w:tcBorders>
                    <w:left w:val="single" w:color="auto" w:sz="4" w:space="0"/>
                    <w:right w:val="single" w:color="auto" w:sz="4" w:space="0"/>
                  </w:tcBorders>
                  <w:shd w:val="clear" w:color="auto" w:fill="auto"/>
                  <w:vAlign w:val="center"/>
                </w:tcPr>
                <w:p w14:paraId="72F843EF">
                  <w:pPr>
                    <w:widowControl/>
                    <w:adjustRightInd/>
                    <w:spacing w:line="440" w:lineRule="exact"/>
                    <w:jc w:val="center"/>
                    <w:rPr>
                      <w:rFonts w:hint="eastAsia" w:ascii="宋体" w:hAnsi="宋体" w:eastAsia="宋体" w:cs="宋体"/>
                      <w:b/>
                      <w:bCs/>
                      <w:color w:val="auto"/>
                      <w:sz w:val="22"/>
                      <w:szCs w:val="22"/>
                      <w:highlight w:val="none"/>
                      <w:lang w:val="zh-TW" w:eastAsia="zh-TW"/>
                    </w:rPr>
                  </w:pPr>
                  <w:r>
                    <w:rPr>
                      <w:rFonts w:hint="eastAsia" w:ascii="宋体" w:hAnsi="宋体" w:eastAsia="宋体" w:cs="宋体"/>
                      <w:b/>
                      <w:bCs/>
                      <w:color w:val="auto"/>
                      <w:sz w:val="22"/>
                      <w:szCs w:val="22"/>
                      <w:highlight w:val="none"/>
                    </w:rPr>
                    <w:t>售后方案</w:t>
                  </w:r>
                </w:p>
              </w:tc>
              <w:tc>
                <w:tcPr>
                  <w:tcW w:w="6093" w:type="dxa"/>
                  <w:tcBorders>
                    <w:top w:val="single" w:color="auto" w:sz="4" w:space="0"/>
                    <w:left w:val="single" w:color="auto" w:sz="4" w:space="0"/>
                    <w:bottom w:val="single" w:color="auto" w:sz="4" w:space="0"/>
                    <w:right w:val="single" w:color="auto" w:sz="4" w:space="0"/>
                  </w:tcBorders>
                  <w:shd w:val="clear" w:color="auto" w:fill="FFFFFF"/>
                  <w:vAlign w:val="center"/>
                </w:tcPr>
                <w:p w14:paraId="6E47FFC6">
                  <w:pPr>
                    <w:adjustRightInd/>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根据各供应商提供的售后方案（包括但不限于售后服务管理制度、售后服务承诺、原厂售后服务等）进行综合评审，根据方案完整性、合理性综合评分</w:t>
                  </w:r>
                  <w:r>
                    <w:rPr>
                      <w:rFonts w:hint="eastAsia" w:ascii="宋体" w:hAnsi="宋体" w:eastAsia="宋体" w:cs="宋体"/>
                      <w:bCs/>
                      <w:color w:val="auto"/>
                      <w:sz w:val="22"/>
                      <w:szCs w:val="22"/>
                      <w:highlight w:val="none"/>
                    </w:rPr>
                    <w:t>【评分分值范围：3、2、1、0】</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0C15EEAA">
                  <w:pPr>
                    <w:adjustRightInd/>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tc>
            </w:tr>
            <w:tr w14:paraId="44A65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tcBorders>
                    <w:left w:val="single" w:color="auto" w:sz="4" w:space="0"/>
                    <w:right w:val="single" w:color="auto" w:sz="4" w:space="0"/>
                  </w:tcBorders>
                  <w:shd w:val="clear" w:color="auto" w:fill="auto"/>
                  <w:vAlign w:val="center"/>
                </w:tcPr>
                <w:p w14:paraId="1EA0BEF5">
                  <w:pPr>
                    <w:pStyle w:val="38"/>
                    <w:adjustRightInd/>
                    <w:spacing w:line="440" w:lineRule="exact"/>
                    <w:ind w:firstLine="0"/>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1</w:t>
                  </w:r>
                </w:p>
              </w:tc>
              <w:tc>
                <w:tcPr>
                  <w:tcW w:w="846" w:type="dxa"/>
                  <w:tcBorders>
                    <w:left w:val="single" w:color="auto" w:sz="4" w:space="0"/>
                    <w:right w:val="single" w:color="auto" w:sz="4" w:space="0"/>
                  </w:tcBorders>
                  <w:shd w:val="clear" w:color="auto" w:fill="auto"/>
                  <w:vAlign w:val="center"/>
                </w:tcPr>
                <w:p w14:paraId="3B6B5E8A">
                  <w:pPr>
                    <w:widowControl/>
                    <w:adjustRightInd/>
                    <w:spacing w:line="440" w:lineRule="exact"/>
                    <w:jc w:val="left"/>
                    <w:rPr>
                      <w:rFonts w:hint="eastAsia" w:ascii="宋体" w:hAnsi="宋体" w:eastAsia="宋体" w:cs="宋体"/>
                      <w:color w:val="auto"/>
                      <w:sz w:val="22"/>
                      <w:szCs w:val="22"/>
                      <w:highlight w:val="none"/>
                    </w:rPr>
                  </w:pPr>
                </w:p>
              </w:tc>
              <w:tc>
                <w:tcPr>
                  <w:tcW w:w="840" w:type="dxa"/>
                  <w:tcBorders>
                    <w:left w:val="single" w:color="auto" w:sz="4" w:space="0"/>
                    <w:right w:val="single" w:color="auto" w:sz="4" w:space="0"/>
                  </w:tcBorders>
                  <w:shd w:val="clear" w:color="auto" w:fill="auto"/>
                  <w:vAlign w:val="center"/>
                </w:tcPr>
                <w:p w14:paraId="32C4E222">
                  <w:pPr>
                    <w:widowControl/>
                    <w:adjustRightInd/>
                    <w:spacing w:line="44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合理化建议</w:t>
                  </w:r>
                </w:p>
              </w:tc>
              <w:tc>
                <w:tcPr>
                  <w:tcW w:w="6093" w:type="dxa"/>
                  <w:tcBorders>
                    <w:top w:val="single" w:color="auto" w:sz="4" w:space="0"/>
                    <w:left w:val="single" w:color="auto" w:sz="4" w:space="0"/>
                    <w:bottom w:val="single" w:color="auto" w:sz="4" w:space="0"/>
                    <w:right w:val="single" w:color="auto" w:sz="4" w:space="0"/>
                  </w:tcBorders>
                  <w:shd w:val="clear" w:color="auto" w:fill="FFFFFF"/>
                  <w:vAlign w:val="center"/>
                </w:tcPr>
                <w:p w14:paraId="2A4C05DB">
                  <w:pPr>
                    <w:adjustRightInd/>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对温州市温室气体监测点位的运行环境分析及针对性运维措施提供合理建议，进行综合评审，根据建议合理性综合评分</w:t>
                  </w:r>
                  <w:r>
                    <w:rPr>
                      <w:rFonts w:hint="eastAsia" w:ascii="宋体" w:hAnsi="宋体" w:eastAsia="宋体" w:cs="宋体"/>
                      <w:bCs/>
                      <w:color w:val="auto"/>
                      <w:sz w:val="22"/>
                      <w:szCs w:val="22"/>
                      <w:highlight w:val="none"/>
                    </w:rPr>
                    <w:t>【评分分值范围：3、2、1、0】</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60FA0DA3">
                  <w:pPr>
                    <w:adjustRightInd/>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tc>
            </w:tr>
          </w:tbl>
          <w:p w14:paraId="3AE6F756">
            <w:pPr>
              <w:pStyle w:val="44"/>
              <w:rPr>
                <w:rFonts w:hint="eastAsia" w:ascii="宋体" w:hAnsi="宋体" w:eastAsia="宋体" w:cs="宋体"/>
                <w:color w:val="auto"/>
                <w:highlight w:val="none"/>
              </w:rPr>
            </w:pPr>
          </w:p>
          <w:p w14:paraId="4215F476">
            <w:pPr>
              <w:snapToGrid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（二）投标报价分（30分）</w:t>
            </w:r>
          </w:p>
          <w:tbl>
            <w:tblPr>
              <w:tblStyle w:val="6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7498"/>
            </w:tblGrid>
            <w:tr w14:paraId="646EC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106" w:type="pct"/>
                  <w:tcBorders>
                    <w:top w:val="single" w:color="auto" w:sz="4" w:space="0"/>
                    <w:left w:val="single" w:color="auto" w:sz="4" w:space="0"/>
                    <w:bottom w:val="single" w:color="auto" w:sz="4" w:space="0"/>
                    <w:right w:val="single" w:color="auto" w:sz="4" w:space="0"/>
                  </w:tcBorders>
                  <w:vAlign w:val="center"/>
                </w:tcPr>
                <w:p w14:paraId="5D104B56">
                  <w:pPr>
                    <w:widowControl/>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价格权值</w:t>
                  </w:r>
                </w:p>
              </w:tc>
              <w:tc>
                <w:tcPr>
                  <w:tcW w:w="3893" w:type="pct"/>
                  <w:tcBorders>
                    <w:top w:val="single" w:color="auto" w:sz="4" w:space="0"/>
                    <w:left w:val="single" w:color="auto" w:sz="4" w:space="0"/>
                    <w:bottom w:val="single" w:color="auto" w:sz="4" w:space="0"/>
                    <w:right w:val="single" w:color="auto" w:sz="4" w:space="0"/>
                  </w:tcBorders>
                  <w:vAlign w:val="center"/>
                </w:tcPr>
                <w:p w14:paraId="641BBAA4">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计算方法</w:t>
                  </w:r>
                </w:p>
              </w:tc>
            </w:tr>
            <w:tr w14:paraId="373A1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106" w:type="pct"/>
                  <w:tcBorders>
                    <w:top w:val="single" w:color="auto" w:sz="4" w:space="0"/>
                    <w:left w:val="single" w:color="auto" w:sz="4" w:space="0"/>
                    <w:bottom w:val="single" w:color="auto" w:sz="4" w:space="0"/>
                    <w:right w:val="single" w:color="auto" w:sz="4" w:space="0"/>
                  </w:tcBorders>
                  <w:vAlign w:val="center"/>
                </w:tcPr>
                <w:p w14:paraId="7A37498E">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投标报价得分</w:t>
                  </w:r>
                </w:p>
              </w:tc>
              <w:tc>
                <w:tcPr>
                  <w:tcW w:w="3893" w:type="pct"/>
                  <w:tcBorders>
                    <w:top w:val="single" w:color="auto" w:sz="4" w:space="0"/>
                    <w:left w:val="single" w:color="auto" w:sz="4" w:space="0"/>
                    <w:bottom w:val="single" w:color="auto" w:sz="4" w:space="0"/>
                    <w:right w:val="single" w:color="auto" w:sz="4" w:space="0"/>
                  </w:tcBorders>
                  <w:vAlign w:val="center"/>
                </w:tcPr>
                <w:p w14:paraId="1BAD8780">
                  <w:pPr>
                    <w:spacing w:line="380" w:lineRule="exact"/>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（1）满足采购文件要求且报价最低的投标报价为评标基准价，其价格分为满分。</w:t>
                  </w:r>
                </w:p>
                <w:p w14:paraId="35EE44C6">
                  <w:pPr>
                    <w:spacing w:line="380" w:lineRule="exact"/>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（2）其他投标人的投标价格得分按以下公式计算：</w:t>
                  </w:r>
                </w:p>
                <w:p w14:paraId="2E919581">
                  <w:pPr>
                    <w:spacing w:line="380" w:lineRule="exact"/>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投标报价得分=（评标基准价/</w:t>
                  </w:r>
                  <w:r>
                    <w:rPr>
                      <w:rFonts w:hint="eastAsia" w:ascii="宋体" w:hAnsi="宋体" w:eastAsia="宋体" w:cs="宋体"/>
                      <w:snapToGrid w:val="0"/>
                      <w:color w:val="auto"/>
                      <w:sz w:val="22"/>
                      <w:szCs w:val="22"/>
                      <w:highlight w:val="none"/>
                      <w:lang w:val="zh-CN"/>
                    </w:rPr>
                    <w:t>有效投标报价</w:t>
                  </w:r>
                  <w:r>
                    <w:rPr>
                      <w:rFonts w:hint="eastAsia" w:ascii="宋体" w:hAnsi="宋体" w:eastAsia="宋体" w:cs="宋体"/>
                      <w:snapToGrid w:val="0"/>
                      <w:color w:val="auto"/>
                      <w:sz w:val="22"/>
                      <w:szCs w:val="22"/>
                      <w:highlight w:val="none"/>
                    </w:rPr>
                    <w:t>）× 价格权值 ×100（四舍五入，保留小数点后2位）</w:t>
                  </w:r>
                </w:p>
              </w:tc>
            </w:tr>
            <w:tr w14:paraId="59359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106" w:type="pct"/>
                  <w:tcBorders>
                    <w:top w:val="single" w:color="auto" w:sz="4" w:space="0"/>
                    <w:left w:val="single" w:color="auto" w:sz="4" w:space="0"/>
                    <w:bottom w:val="single" w:color="auto" w:sz="4" w:space="0"/>
                    <w:right w:val="single" w:color="auto" w:sz="4" w:space="0"/>
                  </w:tcBorders>
                  <w:vAlign w:val="center"/>
                </w:tcPr>
                <w:p w14:paraId="006B6D9D">
                  <w:pPr>
                    <w:widowControl/>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落实政府采购政策需进行的价格扣除</w:t>
                  </w:r>
                </w:p>
              </w:tc>
              <w:tc>
                <w:tcPr>
                  <w:tcW w:w="3893" w:type="pct"/>
                  <w:tcBorders>
                    <w:top w:val="single" w:color="auto" w:sz="4" w:space="0"/>
                    <w:left w:val="single" w:color="auto" w:sz="4" w:space="0"/>
                    <w:bottom w:val="single" w:color="auto" w:sz="4" w:space="0"/>
                    <w:right w:val="single" w:color="auto" w:sz="4" w:space="0"/>
                  </w:tcBorders>
                  <w:vAlign w:val="center"/>
                </w:tcPr>
                <w:p w14:paraId="52AAF91A">
                  <w:pPr>
                    <w:rPr>
                      <w:rFonts w:hint="eastAsia" w:ascii="宋体" w:hAnsi="宋体" w:eastAsia="宋体" w:cs="宋体"/>
                      <w:b/>
                      <w:bCs/>
                      <w:snapToGrid w:val="0"/>
                      <w:color w:val="auto"/>
                      <w:sz w:val="22"/>
                      <w:szCs w:val="22"/>
                      <w:highlight w:val="none"/>
                    </w:rPr>
                  </w:pPr>
                  <w:r>
                    <w:rPr>
                      <w:rFonts w:hint="eastAsia" w:ascii="宋体" w:hAnsi="宋体" w:eastAsia="宋体" w:cs="宋体"/>
                      <w:b/>
                      <w:bCs/>
                      <w:color w:val="auto"/>
                      <w:sz w:val="24"/>
                      <w:highlight w:val="none"/>
                    </w:rPr>
                    <w:t>本项目为专门面向中小企业采购项目，不再执行价格折扣。</w:t>
                  </w:r>
                </w:p>
              </w:tc>
            </w:tr>
          </w:tbl>
          <w:p w14:paraId="2A695212">
            <w:pPr>
              <w:pStyle w:val="2"/>
              <w:ind w:left="0" w:firstLine="0"/>
              <w:rPr>
                <w:rFonts w:hint="eastAsia" w:ascii="宋体" w:hAnsi="宋体" w:eastAsia="宋体" w:cs="宋体"/>
                <w:color w:val="auto"/>
                <w:sz w:val="22"/>
                <w:szCs w:val="22"/>
                <w:highlight w:val="none"/>
              </w:rPr>
            </w:pPr>
          </w:p>
        </w:tc>
      </w:tr>
    </w:tbl>
    <w:p w14:paraId="73B85114">
      <w:pPr>
        <w:snapToGrid w:val="0"/>
        <w:spacing w:line="360" w:lineRule="auto"/>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shd w:val="clear" w:color="auto" w:fill="FFFFFF"/>
        </w:rPr>
        <w:t> *</w:t>
      </w:r>
      <w:r>
        <w:rPr>
          <w:rFonts w:hint="eastAsia" w:ascii="宋体" w:hAnsi="宋体" w:eastAsia="宋体" w:cs="宋体"/>
          <w:b/>
          <w:color w:val="auto"/>
          <w:sz w:val="22"/>
          <w:szCs w:val="22"/>
          <w:highlight w:val="none"/>
        </w:rPr>
        <w:t>备注：</w:t>
      </w:r>
      <w:r>
        <w:rPr>
          <w:rFonts w:hint="eastAsia" w:ascii="宋体" w:hAnsi="宋体" w:eastAsia="宋体" w:cs="宋体"/>
          <w:color w:val="auto"/>
          <w:sz w:val="22"/>
          <w:szCs w:val="22"/>
          <w:highlight w:val="none"/>
        </w:rPr>
        <w:t>投标人编制投标文件（商务技术文件部分）时，建议按此目录（序号和内容）提供评标标准相应的商务技术资料。 </w:t>
      </w:r>
    </w:p>
    <w:p w14:paraId="1324A0BD">
      <w:pPr>
        <w:pStyle w:val="53"/>
        <w:snapToGrid w:val="0"/>
        <w:ind w:firstLine="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一、评标方法</w:t>
      </w:r>
    </w:p>
    <w:p w14:paraId="6BCB0126">
      <w:pPr>
        <w:adjustRightInd/>
        <w:spacing w:line="360" w:lineRule="auto"/>
        <w:ind w:firstLine="431" w:firstLineChars="196"/>
        <w:rPr>
          <w:rFonts w:hint="eastAsia" w:ascii="宋体" w:hAnsi="宋体" w:eastAsia="宋体" w:cs="宋体"/>
          <w:color w:val="auto"/>
          <w:kern w:val="0"/>
          <w:sz w:val="22"/>
          <w:szCs w:val="22"/>
          <w:highlight w:val="none"/>
        </w:rPr>
      </w:pPr>
      <w:r>
        <w:rPr>
          <w:rFonts w:hint="eastAsia" w:ascii="宋体" w:hAnsi="宋体" w:eastAsia="宋体" w:cs="宋体"/>
          <w:b/>
          <w:color w:val="auto"/>
          <w:kern w:val="0"/>
          <w:sz w:val="22"/>
          <w:szCs w:val="22"/>
          <w:highlight w:val="none"/>
        </w:rPr>
        <w:t>1.本项目采用综合评分法。</w:t>
      </w:r>
      <w:r>
        <w:rPr>
          <w:rFonts w:hint="eastAsia" w:ascii="宋体" w:hAnsi="宋体" w:eastAsia="宋体" w:cs="宋体"/>
          <w:color w:val="auto"/>
          <w:kern w:val="0"/>
          <w:sz w:val="22"/>
          <w:szCs w:val="22"/>
          <w:highlight w:val="none"/>
        </w:rPr>
        <w:t>综合评分法，是指投标文件满足招标文件全部实质性要求，且按照评审因素的量化指标评审得分最高的投标人为中标候选人的评标方法。</w:t>
      </w:r>
    </w:p>
    <w:p w14:paraId="2609A4EB">
      <w:pPr>
        <w:pStyle w:val="53"/>
        <w:snapToGrid w:val="0"/>
        <w:ind w:firstLine="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二、评标标准</w:t>
      </w:r>
    </w:p>
    <w:p w14:paraId="4844931B">
      <w:pPr>
        <w:spacing w:line="360" w:lineRule="auto"/>
        <w:ind w:firstLine="431" w:firstLineChars="196"/>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w:t>
      </w:r>
      <w:r>
        <w:rPr>
          <w:rFonts w:hint="eastAsia" w:ascii="宋体" w:hAnsi="宋体" w:eastAsia="宋体" w:cs="宋体"/>
          <w:color w:val="auto"/>
          <w:sz w:val="22"/>
          <w:szCs w:val="22"/>
          <w:highlight w:val="none"/>
        </w:rPr>
        <w:t xml:space="preserve"> </w:t>
      </w:r>
      <w:r>
        <w:rPr>
          <w:rFonts w:hint="eastAsia" w:ascii="宋体" w:hAnsi="宋体" w:eastAsia="宋体" w:cs="宋体"/>
          <w:b/>
          <w:color w:val="auto"/>
          <w:sz w:val="22"/>
          <w:szCs w:val="22"/>
          <w:highlight w:val="none"/>
        </w:rPr>
        <w:t>评标标准：</w:t>
      </w:r>
      <w:r>
        <w:rPr>
          <w:rFonts w:hint="eastAsia" w:ascii="宋体" w:hAnsi="宋体" w:eastAsia="宋体" w:cs="宋体"/>
          <w:color w:val="auto"/>
          <w:kern w:val="0"/>
          <w:sz w:val="22"/>
          <w:szCs w:val="22"/>
          <w:highlight w:val="none"/>
        </w:rPr>
        <w:t>见评标办法前附表。</w:t>
      </w:r>
    </w:p>
    <w:p w14:paraId="3C83EE24">
      <w:pPr>
        <w:pStyle w:val="53"/>
        <w:snapToGrid w:val="0"/>
        <w:ind w:firstLine="0"/>
        <w:rPr>
          <w:rFonts w:hint="eastAsia" w:ascii="宋体" w:hAnsi="宋体" w:eastAsia="宋体" w:cs="宋体"/>
          <w:b/>
          <w:color w:val="auto"/>
          <w:sz w:val="22"/>
          <w:szCs w:val="22"/>
          <w:highlight w:val="none"/>
        </w:rPr>
      </w:pPr>
      <w:bookmarkStart w:id="433" w:name="_Toc15096"/>
      <w:r>
        <w:rPr>
          <w:rFonts w:hint="eastAsia" w:ascii="宋体" w:hAnsi="宋体" w:eastAsia="宋体" w:cs="宋体"/>
          <w:b/>
          <w:color w:val="auto"/>
          <w:sz w:val="22"/>
          <w:szCs w:val="22"/>
          <w:highlight w:val="none"/>
        </w:rPr>
        <w:t>三、评标程序</w:t>
      </w:r>
      <w:bookmarkEnd w:id="433"/>
    </w:p>
    <w:p w14:paraId="2EEBBF46">
      <w:pPr>
        <w:spacing w:line="360" w:lineRule="auto"/>
        <w:ind w:firstLine="431" w:firstLineChars="196"/>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3.1资格审查</w:t>
      </w:r>
    </w:p>
    <w:p w14:paraId="61CBC1EC">
      <w:pPr>
        <w:spacing w:line="360" w:lineRule="auto"/>
        <w:ind w:firstLine="431" w:firstLineChars="196"/>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开标后，采购人或采购代理机构对各投标人按照</w:t>
      </w:r>
      <w:r>
        <w:rPr>
          <w:rFonts w:hint="eastAsia" w:ascii="宋体" w:hAnsi="宋体" w:eastAsia="宋体" w:cs="宋体"/>
          <w:bCs/>
          <w:color w:val="auto"/>
          <w:kern w:val="0"/>
          <w:sz w:val="22"/>
          <w:szCs w:val="22"/>
          <w:highlight w:val="none"/>
        </w:rPr>
        <w:t>第二部分“</w:t>
      </w:r>
      <w:r>
        <w:rPr>
          <w:rFonts w:hint="eastAsia" w:ascii="宋体" w:hAnsi="宋体" w:eastAsia="宋体" w:cs="宋体"/>
          <w:color w:val="auto"/>
          <w:sz w:val="22"/>
          <w:szCs w:val="22"/>
          <w:highlight w:val="none"/>
          <w:lang w:val="zh-CN"/>
        </w:rPr>
        <w:t>投标人须知</w:t>
      </w:r>
      <w:r>
        <w:rPr>
          <w:rFonts w:hint="eastAsia" w:ascii="宋体" w:hAnsi="宋体" w:eastAsia="宋体" w:cs="宋体"/>
          <w:bCs/>
          <w:color w:val="auto"/>
          <w:kern w:val="0"/>
          <w:sz w:val="22"/>
          <w:szCs w:val="22"/>
          <w:highlight w:val="none"/>
        </w:rPr>
        <w:t>”</w:t>
      </w:r>
      <w:r>
        <w:rPr>
          <w:rFonts w:hint="eastAsia" w:ascii="宋体" w:hAnsi="宋体" w:eastAsia="宋体" w:cs="宋体"/>
          <w:color w:val="auto"/>
          <w:sz w:val="22"/>
          <w:szCs w:val="22"/>
          <w:highlight w:val="none"/>
          <w:lang w:val="zh-CN"/>
        </w:rPr>
        <w:t>第</w:t>
      </w:r>
      <w:r>
        <w:rPr>
          <w:rFonts w:hint="eastAsia" w:ascii="宋体" w:hAnsi="宋体" w:eastAsia="宋体" w:cs="宋体"/>
          <w:color w:val="auto"/>
          <w:sz w:val="22"/>
          <w:szCs w:val="22"/>
          <w:highlight w:val="none"/>
        </w:rPr>
        <w:t>11.1</w:t>
      </w:r>
      <w:r>
        <w:rPr>
          <w:rFonts w:hint="eastAsia" w:ascii="宋体" w:hAnsi="宋体" w:eastAsia="宋体" w:cs="宋体"/>
          <w:color w:val="auto"/>
          <w:sz w:val="22"/>
          <w:szCs w:val="22"/>
          <w:highlight w:val="none"/>
          <w:lang w:val="zh-CN"/>
        </w:rPr>
        <w:t>款</w:t>
      </w:r>
      <w:r>
        <w:rPr>
          <w:rFonts w:hint="eastAsia" w:ascii="宋体" w:hAnsi="宋体" w:eastAsia="宋体" w:cs="宋体"/>
          <w:color w:val="auto"/>
          <w:sz w:val="22"/>
          <w:szCs w:val="22"/>
          <w:highlight w:val="none"/>
        </w:rPr>
        <w:t>进行资格审查，有一项不符合评审标准的，投标无效；</w:t>
      </w:r>
    </w:p>
    <w:p w14:paraId="3180B3C8">
      <w:pPr>
        <w:spacing w:line="360" w:lineRule="auto"/>
        <w:ind w:firstLine="431" w:firstLineChars="196"/>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3.2符合性审查</w:t>
      </w:r>
    </w:p>
    <w:p w14:paraId="7552433C">
      <w:pPr>
        <w:spacing w:line="360" w:lineRule="auto"/>
        <w:ind w:firstLine="431" w:firstLineChars="196"/>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评标委员会应当对符合资格的投标人的投标文件进行符合性审查，以确定其是否满足招标文件的实质性要求。不满足招标文件的实质性要求的，投标无效。</w:t>
      </w:r>
    </w:p>
    <w:p w14:paraId="5EB0BDE6">
      <w:pPr>
        <w:spacing w:line="360" w:lineRule="auto"/>
        <w:ind w:firstLine="431" w:firstLineChars="196"/>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3.3比较与评价</w:t>
      </w:r>
    </w:p>
    <w:p w14:paraId="19A8F343">
      <w:pPr>
        <w:spacing w:line="360" w:lineRule="auto"/>
        <w:ind w:firstLine="431" w:firstLineChars="196"/>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评标委员会应当按照招标文件中规定的评标方法和标准，对符合性审查合格的投标文件进行商务和技术评估，综合比较与评价。</w:t>
      </w:r>
    </w:p>
    <w:p w14:paraId="08BDC5A0">
      <w:pPr>
        <w:spacing w:line="360" w:lineRule="auto"/>
        <w:ind w:firstLine="431" w:firstLineChars="196"/>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3.4汇总商务技术得分</w:t>
      </w:r>
    </w:p>
    <w:p w14:paraId="42591A13">
      <w:pPr>
        <w:spacing w:line="360" w:lineRule="auto"/>
        <w:ind w:firstLine="431" w:firstLineChars="196"/>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评标委员会各成员应当独立对每个投标人的商务和技术文件进行评价，并汇总商务技术得分情况。</w:t>
      </w:r>
    </w:p>
    <w:p w14:paraId="028DE974">
      <w:pPr>
        <w:spacing w:line="360" w:lineRule="auto"/>
        <w:ind w:firstLine="431" w:firstLineChars="196"/>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3.5报价评审。</w:t>
      </w:r>
    </w:p>
    <w:p w14:paraId="2BFB8E86">
      <w:pPr>
        <w:pStyle w:val="132"/>
        <w:spacing w:before="0"/>
        <w:ind w:firstLine="466" w:firstLineChars="212"/>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3.5.1投标文件报价出现前后不一致的，按照下列规定修正：</w:t>
      </w:r>
    </w:p>
    <w:p w14:paraId="49B9927C">
      <w:pPr>
        <w:pStyle w:val="132"/>
        <w:spacing w:before="0"/>
        <w:ind w:firstLine="44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3.5.1.1投标文件中开标一览表（报价表）内容与投标文件中相应内容不一致的，以开标一览表（报价表）为准；</w:t>
      </w:r>
    </w:p>
    <w:p w14:paraId="580AD977">
      <w:pPr>
        <w:pStyle w:val="132"/>
        <w:spacing w:before="0"/>
        <w:ind w:firstLine="44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3.5.1.2大写金额和小写金额不一致的，以大写金额为准；</w:t>
      </w:r>
    </w:p>
    <w:p w14:paraId="45D3A381">
      <w:pPr>
        <w:pStyle w:val="132"/>
        <w:spacing w:before="0"/>
        <w:ind w:firstLine="44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3.5.1.3单价金额小数点或者百分比有明显错位的，以开标一览表的总价为准，并修改单价；</w:t>
      </w:r>
    </w:p>
    <w:p w14:paraId="008629CB">
      <w:pPr>
        <w:pStyle w:val="132"/>
        <w:spacing w:before="0"/>
        <w:ind w:firstLine="44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3.5.1.4总价金额与按单价汇总金额不一致的，以单价金额计算结果为准。</w:t>
      </w:r>
    </w:p>
    <w:p w14:paraId="71D9E88E">
      <w:pPr>
        <w:pStyle w:val="132"/>
        <w:spacing w:before="0"/>
        <w:ind w:firstLine="44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3.5.1.5同时出现两种以上不一致的，按照3.4.1规定的顺序修正。修正后的报价按照财政部第87号令 《政府采购货物和服务招标投标管理办法》第五十一条第二款的规定经投标人确认后产生约束力。</w:t>
      </w:r>
    </w:p>
    <w:p w14:paraId="20320131">
      <w:pPr>
        <w:snapToGrid w:val="0"/>
        <w:spacing w:line="360" w:lineRule="auto"/>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3.5.2投标文件出现不是唯一的、有选择性投标报价的，投标无效。</w:t>
      </w:r>
    </w:p>
    <w:p w14:paraId="1033A72A">
      <w:pPr>
        <w:snapToGrid w:val="0"/>
        <w:spacing w:line="360" w:lineRule="auto"/>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3.5.3投标报价超过招标文件中规定的预算金额或者最高限价的，投标无效。</w:t>
      </w:r>
    </w:p>
    <w:p w14:paraId="67A94A94">
      <w:pPr>
        <w:pStyle w:val="132"/>
        <w:spacing w:before="0"/>
        <w:ind w:firstLine="44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3.5.4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E8A199A">
      <w:pPr>
        <w:pStyle w:val="132"/>
        <w:spacing w:before="0"/>
        <w:ind w:firstLine="44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3.5.5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18D69CD5">
      <w:pPr>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b/>
          <w:color w:val="auto"/>
          <w:kern w:val="0"/>
          <w:sz w:val="22"/>
          <w:szCs w:val="22"/>
          <w:highlight w:val="none"/>
        </w:rPr>
        <w:t>3.6排序与推荐。</w:t>
      </w:r>
      <w:r>
        <w:rPr>
          <w:rFonts w:hint="eastAsia" w:ascii="宋体" w:hAnsi="宋体" w:eastAsia="宋体" w:cs="宋体"/>
          <w:color w:val="auto"/>
          <w:kern w:val="0"/>
          <w:sz w:val="22"/>
          <w:szCs w:val="22"/>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38BD77D">
      <w:pPr>
        <w:spacing w:line="360" w:lineRule="auto"/>
        <w:ind w:firstLine="440" w:firstLineChars="200"/>
        <w:rPr>
          <w:rFonts w:hint="eastAsia" w:ascii="宋体" w:hAnsi="宋体" w:eastAsia="宋体" w:cs="宋体"/>
          <w:b/>
          <w:color w:val="auto"/>
          <w:kern w:val="0"/>
          <w:sz w:val="22"/>
          <w:szCs w:val="22"/>
          <w:highlight w:val="none"/>
        </w:rPr>
      </w:pPr>
      <w:r>
        <w:rPr>
          <w:rFonts w:hint="eastAsia" w:ascii="宋体" w:hAnsi="宋体" w:eastAsia="宋体" w:cs="宋体"/>
          <w:color w:val="auto"/>
          <w:kern w:val="0"/>
          <w:sz w:val="22"/>
          <w:szCs w:val="22"/>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4A6B4D5">
      <w:pPr>
        <w:spacing w:line="360" w:lineRule="auto"/>
        <w:ind w:firstLine="431" w:firstLineChars="196"/>
        <w:rPr>
          <w:rFonts w:hint="eastAsia" w:ascii="宋体" w:hAnsi="宋体" w:eastAsia="宋体" w:cs="宋体"/>
          <w:color w:val="auto"/>
          <w:kern w:val="0"/>
          <w:sz w:val="22"/>
          <w:szCs w:val="22"/>
          <w:highlight w:val="none"/>
        </w:rPr>
      </w:pPr>
      <w:r>
        <w:rPr>
          <w:rFonts w:hint="eastAsia" w:ascii="宋体" w:hAnsi="宋体" w:eastAsia="宋体" w:cs="宋体"/>
          <w:b/>
          <w:color w:val="auto"/>
          <w:kern w:val="0"/>
          <w:sz w:val="22"/>
          <w:szCs w:val="22"/>
          <w:highlight w:val="none"/>
        </w:rPr>
        <w:t>3.7编写评标报告。</w:t>
      </w:r>
      <w:r>
        <w:rPr>
          <w:rFonts w:hint="eastAsia" w:ascii="宋体" w:hAnsi="宋体" w:eastAsia="宋体" w:cs="宋体"/>
          <w:color w:val="auto"/>
          <w:kern w:val="0"/>
          <w:sz w:val="22"/>
          <w:szCs w:val="22"/>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DF6A2F3">
      <w:pPr>
        <w:pStyle w:val="53"/>
        <w:snapToGrid w:val="0"/>
        <w:ind w:firstLine="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四、评标中的其他事项</w:t>
      </w:r>
    </w:p>
    <w:p w14:paraId="5EEBAB47">
      <w:pPr>
        <w:pStyle w:val="132"/>
        <w:spacing w:before="0"/>
        <w:ind w:firstLine="431" w:firstLineChars="196"/>
        <w:rPr>
          <w:rFonts w:hint="eastAsia" w:ascii="宋体" w:hAnsi="宋体" w:eastAsia="宋体" w:cs="宋体"/>
          <w:color w:val="auto"/>
          <w:kern w:val="0"/>
          <w:sz w:val="22"/>
          <w:szCs w:val="22"/>
          <w:highlight w:val="none"/>
        </w:rPr>
      </w:pPr>
      <w:r>
        <w:rPr>
          <w:rFonts w:hint="eastAsia" w:ascii="宋体" w:hAnsi="宋体" w:eastAsia="宋体" w:cs="宋体"/>
          <w:b/>
          <w:color w:val="auto"/>
          <w:kern w:val="0"/>
          <w:sz w:val="22"/>
          <w:szCs w:val="22"/>
          <w:highlight w:val="none"/>
        </w:rPr>
        <w:t>4.1投标人澄清、说明或者补正。</w:t>
      </w:r>
      <w:r>
        <w:rPr>
          <w:rFonts w:hint="eastAsia" w:ascii="宋体" w:hAnsi="宋体" w:eastAsia="宋体" w:cs="宋体"/>
          <w:color w:val="auto"/>
          <w:kern w:val="0"/>
          <w:sz w:val="22"/>
          <w:szCs w:val="22"/>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1ED4D0C">
      <w:pPr>
        <w:pStyle w:val="25"/>
        <w:spacing w:line="360" w:lineRule="auto"/>
        <w:ind w:left="953" w:leftChars="226" w:hanging="479" w:firstLineChars="0"/>
        <w:rPr>
          <w:rFonts w:hint="eastAsia" w:ascii="宋体" w:hAnsi="宋体" w:eastAsia="宋体" w:cs="宋体"/>
          <w:color w:val="auto"/>
          <w:sz w:val="22"/>
          <w:szCs w:val="22"/>
          <w:highlight w:val="none"/>
        </w:rPr>
      </w:pPr>
      <w:r>
        <w:rPr>
          <w:rFonts w:hint="eastAsia" w:ascii="宋体" w:hAnsi="宋体" w:eastAsia="宋体" w:cs="宋体"/>
          <w:b/>
          <w:color w:val="auto"/>
          <w:kern w:val="0"/>
          <w:sz w:val="22"/>
          <w:szCs w:val="22"/>
          <w:highlight w:val="none"/>
        </w:rPr>
        <w:t>4.2投标无效。</w:t>
      </w:r>
      <w:r>
        <w:rPr>
          <w:rFonts w:hint="eastAsia" w:ascii="宋体" w:hAnsi="宋体" w:eastAsia="宋体" w:cs="宋体"/>
          <w:color w:val="auto"/>
          <w:sz w:val="22"/>
          <w:szCs w:val="22"/>
          <w:highlight w:val="none"/>
        </w:rPr>
        <w:t>有下列情形之一的，投标无效：</w:t>
      </w:r>
    </w:p>
    <w:p w14:paraId="1B299DB9">
      <w:pPr>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4.2.1投标人不具备招标文件中规定的资格要求的（投标人未提供有效的资格文件的，视为投标人不具备招标文件中规定的资格要求）；</w:t>
      </w:r>
    </w:p>
    <w:p w14:paraId="720F10F0">
      <w:pPr>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4.2.2投标文件未按照招标文件要求签署、盖章的；</w:t>
      </w:r>
    </w:p>
    <w:p w14:paraId="4C4F74A1">
      <w:pPr>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4.2.3采购人拟采购的产品属于政府强制采购的节能产品品目清单范围的，投标人相应的投标产品未获得国家确定的认证机构出具的、处于有效期之内的节能产品认证证书的；</w:t>
      </w:r>
    </w:p>
    <w:p w14:paraId="2261CD58">
      <w:pPr>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4.2.4投标文件含有采购人不能接受的附加条件的；</w:t>
      </w:r>
    </w:p>
    <w:p w14:paraId="790A4D91">
      <w:pPr>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4.2.5投标文件中承诺的投标有效期少于招标文件中载明的投标有效期的；</w:t>
      </w:r>
    </w:p>
    <w:p w14:paraId="50FE836C">
      <w:pPr>
        <w:snapToGrid w:val="0"/>
        <w:spacing w:line="360" w:lineRule="auto"/>
        <w:ind w:firstLine="110" w:firstLineChars="5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4.2.6投标文件出现不是唯一的、有选择性投标报价的；</w:t>
      </w:r>
    </w:p>
    <w:p w14:paraId="59A107EE">
      <w:pPr>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4.2.7投标报价超过招标文件中规定的预算金额或者最高限价的；</w:t>
      </w:r>
    </w:p>
    <w:p w14:paraId="2AFBD09D">
      <w:pPr>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4.2.8报价明显低于其他通过符合性审查投标人的报价，有可能影响产品质量或者不能诚信履约的，未能按要求提供书面说明或者提交相关证明材料，不能证明其报价合理性的；</w:t>
      </w:r>
    </w:p>
    <w:p w14:paraId="00F9281D">
      <w:pPr>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4.2.9投标人对根据修正原则修正后的报价不确认的；</w:t>
      </w:r>
    </w:p>
    <w:p w14:paraId="3940DB05">
      <w:pPr>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4.2.10投标人提供虚假材料投标的；</w:t>
      </w:r>
    </w:p>
    <w:p w14:paraId="5C2EBD80">
      <w:pPr>
        <w:spacing w:line="360" w:lineRule="auto"/>
        <w:ind w:firstLine="220" w:firstLineChars="1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4.2.11投标人有恶意串通、妨碍其他投标人的竞争行为、损害采购人或者其他投标人的合法权益情形的；</w:t>
      </w:r>
    </w:p>
    <w:p w14:paraId="5A183C76">
      <w:pPr>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4.2.12投标人仅提交备份投标文件，未在电子交易平台传输递交投标文件的，投标无效；</w:t>
      </w:r>
    </w:p>
    <w:p w14:paraId="184AA526">
      <w:pPr>
        <w:keepNext w:val="0"/>
        <w:keepLines w:val="0"/>
        <w:pageBreakBefore w:val="0"/>
        <w:widowControl w:val="0"/>
        <w:kinsoku/>
        <w:wordWrap/>
        <w:overflowPunct/>
        <w:topLinePunct w:val="0"/>
        <w:autoSpaceDE/>
        <w:autoSpaceDN/>
        <w:bidi w:val="0"/>
        <w:adjustRightInd w:val="0"/>
        <w:snapToGrid/>
        <w:spacing w:line="440" w:lineRule="exact"/>
        <w:ind w:firstLine="440" w:firstLineChars="200"/>
        <w:textAlignment w:val="auto"/>
        <w:rPr>
          <w:rFonts w:hint="eastAsia" w:ascii="宋体" w:hAnsi="宋体" w:cs="宋体"/>
          <w:color w:val="auto"/>
          <w:kern w:val="0"/>
          <w:sz w:val="22"/>
          <w:szCs w:val="22"/>
          <w:highlight w:val="none"/>
        </w:rPr>
      </w:pPr>
      <w:bookmarkStart w:id="434" w:name="_Toc25554"/>
      <w:r>
        <w:rPr>
          <w:rFonts w:hint="eastAsia" w:ascii="宋体" w:hAnsi="宋体" w:cs="宋体"/>
          <w:color w:val="auto"/>
          <w:kern w:val="0"/>
          <w:sz w:val="22"/>
          <w:szCs w:val="22"/>
          <w:highlight w:val="none"/>
        </w:rPr>
        <w:t>4.2.1</w:t>
      </w:r>
      <w:r>
        <w:rPr>
          <w:rFonts w:hint="eastAsia" w:ascii="宋体" w:hAnsi="宋体" w:cs="宋体"/>
          <w:color w:val="auto"/>
          <w:kern w:val="0"/>
          <w:sz w:val="22"/>
          <w:szCs w:val="22"/>
          <w:highlight w:val="none"/>
          <w:lang w:val="en-US" w:eastAsia="zh-CN"/>
        </w:rPr>
        <w:t>3</w:t>
      </w:r>
      <w:r>
        <w:rPr>
          <w:rFonts w:hint="eastAsia" w:ascii="宋体" w:hAnsi="宋体" w:cs="宋体"/>
          <w:color w:val="auto"/>
          <w:kern w:val="0"/>
          <w:sz w:val="22"/>
          <w:szCs w:val="22"/>
          <w:highlight w:val="none"/>
        </w:rPr>
        <w:t xml:space="preserve"> 参与同一个采购包（标段）的供应商存在下列情形之一且无法合理解释的，其投标（响应）文件无效：1.不同供应商的电子投标（响应）文件上传计算机的IP地址、网卡MAC地址、CPU序列号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2DA50B6">
      <w:pPr>
        <w:pStyle w:val="3"/>
        <w:ind w:left="862" w:leftChars="205"/>
        <w:rPr>
          <w:rFonts w:hint="eastAsia" w:ascii="宋体" w:hAnsi="宋体" w:eastAsia="宋体" w:cs="宋体"/>
          <w:b w:val="0"/>
          <w:bCs w:val="0"/>
          <w:color w:val="auto"/>
          <w:kern w:val="0"/>
          <w:sz w:val="22"/>
          <w:szCs w:val="22"/>
          <w:highlight w:val="none"/>
          <w:lang w:val="en-US"/>
        </w:rPr>
      </w:pPr>
      <w:r>
        <w:rPr>
          <w:rFonts w:hint="eastAsia" w:ascii="宋体" w:hAnsi="宋体" w:eastAsia="宋体" w:cs="宋体"/>
          <w:b w:val="0"/>
          <w:bCs w:val="0"/>
          <w:color w:val="auto"/>
          <w:kern w:val="0"/>
          <w:sz w:val="22"/>
          <w:szCs w:val="22"/>
          <w:highlight w:val="none"/>
          <w:lang w:val="en-US"/>
        </w:rPr>
        <w:t>4.2.1</w:t>
      </w:r>
      <w:r>
        <w:rPr>
          <w:rFonts w:hint="eastAsia" w:ascii="宋体" w:hAnsi="宋体" w:eastAsia="宋体" w:cs="宋体"/>
          <w:b w:val="0"/>
          <w:bCs w:val="0"/>
          <w:color w:val="auto"/>
          <w:kern w:val="0"/>
          <w:sz w:val="22"/>
          <w:szCs w:val="22"/>
          <w:highlight w:val="none"/>
          <w:lang w:val="en-US" w:eastAsia="zh-CN"/>
        </w:rPr>
        <w:t>4</w:t>
      </w:r>
      <w:r>
        <w:rPr>
          <w:rFonts w:hint="eastAsia" w:ascii="宋体" w:hAnsi="宋体" w:eastAsia="宋体" w:cs="宋体"/>
          <w:b w:val="0"/>
          <w:bCs w:val="0"/>
          <w:color w:val="auto"/>
          <w:kern w:val="0"/>
          <w:sz w:val="22"/>
          <w:szCs w:val="22"/>
          <w:highlight w:val="none"/>
          <w:lang w:val="en-US"/>
        </w:rPr>
        <w:t xml:space="preserve"> 投标文件不满足招标文件的其它实质性要求的；</w:t>
      </w:r>
    </w:p>
    <w:p w14:paraId="5575A8E7">
      <w:pPr>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4.2.1</w:t>
      </w:r>
      <w:r>
        <w:rPr>
          <w:rFonts w:hint="eastAsia" w:ascii="宋体" w:hAnsi="宋体" w:cs="宋体"/>
          <w:color w:val="auto"/>
          <w:kern w:val="0"/>
          <w:sz w:val="22"/>
          <w:szCs w:val="22"/>
          <w:highlight w:val="none"/>
          <w:lang w:val="en-US" w:eastAsia="zh-CN"/>
        </w:rPr>
        <w:t>5</w:t>
      </w:r>
      <w:r>
        <w:rPr>
          <w:rFonts w:hint="eastAsia" w:ascii="宋体" w:hAnsi="宋体" w:cs="宋体"/>
          <w:color w:val="auto"/>
          <w:kern w:val="0"/>
          <w:sz w:val="22"/>
          <w:szCs w:val="22"/>
          <w:highlight w:val="none"/>
        </w:rPr>
        <w:t>法律法规、规章（适用本市的）及省级以上规范性文件（适用本市的）规定的其他无效情形。</w:t>
      </w:r>
    </w:p>
    <w:bookmarkEnd w:id="434"/>
    <w:p w14:paraId="5A3AA6E0">
      <w:pPr>
        <w:pStyle w:val="25"/>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5.废标。</w:t>
      </w:r>
      <w:r>
        <w:rPr>
          <w:rFonts w:hint="eastAsia" w:ascii="宋体" w:hAnsi="宋体" w:eastAsia="宋体" w:cs="宋体"/>
          <w:color w:val="auto"/>
          <w:sz w:val="22"/>
          <w:szCs w:val="22"/>
          <w:highlight w:val="none"/>
        </w:rPr>
        <w:t>根据《中华人民共和国政府采购法》第三十六条之规定，在采购中，出现下列情形之一的，应予废标：</w:t>
      </w:r>
    </w:p>
    <w:p w14:paraId="50D3375C">
      <w:pPr>
        <w:pStyle w:val="25"/>
        <w:snapToGrid w:val="0"/>
        <w:spacing w:line="360" w:lineRule="auto"/>
        <w:ind w:firstLine="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5.1符合专业条件的供应商或者对招标文件作实质响应的供应商不足3家的；</w:t>
      </w:r>
    </w:p>
    <w:p w14:paraId="4751F682">
      <w:pPr>
        <w:pStyle w:val="25"/>
        <w:snapToGrid w:val="0"/>
        <w:spacing w:line="360" w:lineRule="auto"/>
        <w:ind w:firstLine="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5.2出现影响采购公正的违法、违规行为的；</w:t>
      </w:r>
    </w:p>
    <w:p w14:paraId="34C93BD7">
      <w:pPr>
        <w:pStyle w:val="25"/>
        <w:snapToGrid w:val="0"/>
        <w:spacing w:line="360" w:lineRule="auto"/>
        <w:ind w:firstLine="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5.3投标人的报价均超过了采购预算，采购人不能支付的；</w:t>
      </w:r>
    </w:p>
    <w:p w14:paraId="65CE2329">
      <w:pPr>
        <w:pStyle w:val="25"/>
        <w:snapToGrid w:val="0"/>
        <w:spacing w:line="360" w:lineRule="auto"/>
        <w:ind w:firstLine="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5.4因重大变故，采购任务取消的。</w:t>
      </w:r>
    </w:p>
    <w:p w14:paraId="1045A418">
      <w:pPr>
        <w:pStyle w:val="25"/>
        <w:snapToGrid w:val="0"/>
        <w:spacing w:line="360" w:lineRule="auto"/>
        <w:ind w:firstLine="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废标后，采购代理机构应当将废标理由通知所有投标人。</w:t>
      </w:r>
    </w:p>
    <w:p w14:paraId="69BEE284">
      <w:pPr>
        <w:pStyle w:val="25"/>
        <w:snapToGrid w:val="0"/>
        <w:spacing w:line="360" w:lineRule="auto"/>
        <w:ind w:firstLine="539" w:firstLineChars="245"/>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6.修改招标文件，重新组织采购活动。</w:t>
      </w:r>
      <w:r>
        <w:rPr>
          <w:rFonts w:hint="eastAsia" w:ascii="宋体" w:hAnsi="宋体" w:eastAsia="宋体" w:cs="宋体"/>
          <w:color w:val="auto"/>
          <w:sz w:val="22"/>
          <w:szCs w:val="22"/>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E99F829">
      <w:pPr>
        <w:pStyle w:val="25"/>
        <w:snapToGrid w:val="0"/>
        <w:spacing w:line="360" w:lineRule="auto"/>
        <w:ind w:firstLine="442"/>
        <w:rPr>
          <w:rFonts w:hint="eastAsia" w:ascii="宋体" w:hAnsi="宋体" w:eastAsia="宋体" w:cs="宋体"/>
          <w:color w:val="auto"/>
          <w:sz w:val="22"/>
          <w:szCs w:val="22"/>
          <w:highlight w:val="none"/>
        </w:rPr>
      </w:pPr>
      <w:r>
        <w:rPr>
          <w:rFonts w:hint="eastAsia" w:ascii="宋体" w:hAnsi="宋体" w:eastAsia="宋体" w:cs="宋体"/>
          <w:b/>
          <w:color w:val="auto"/>
          <w:kern w:val="0"/>
          <w:sz w:val="22"/>
          <w:szCs w:val="22"/>
          <w:highlight w:val="none"/>
        </w:rPr>
        <w:t>7.重新开展采购。</w:t>
      </w:r>
      <w:r>
        <w:rPr>
          <w:rFonts w:hint="eastAsia" w:ascii="宋体" w:hAnsi="宋体" w:eastAsia="宋体" w:cs="宋体"/>
          <w:color w:val="auto"/>
          <w:sz w:val="22"/>
          <w:szCs w:val="22"/>
          <w:highlight w:val="none"/>
        </w:rPr>
        <w:t>有政府采购法第七十一条、第七十二条规定的违法行为之一，影响或者可能影响中标结果的，依照下列规定处理：</w:t>
      </w:r>
    </w:p>
    <w:p w14:paraId="252986ED">
      <w:pPr>
        <w:pStyle w:val="25"/>
        <w:snapToGrid w:val="0"/>
        <w:spacing w:line="360" w:lineRule="auto"/>
        <w:ind w:firstLine="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7.1未确定中标供应商的，终止本次政府采购活动，重新开展政府采购活动。</w:t>
      </w:r>
    </w:p>
    <w:p w14:paraId="435E2E7A">
      <w:pPr>
        <w:pStyle w:val="25"/>
        <w:snapToGrid w:val="0"/>
        <w:spacing w:line="360" w:lineRule="auto"/>
        <w:ind w:firstLine="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7.2已确定中标供应商但尚未签订政府采购合同的，中标结果无效，从合格的中标候选人中另行确定中标供应商；没有合格的中标候选人的，重新开展政府采购活动。</w:t>
      </w:r>
    </w:p>
    <w:p w14:paraId="212E859D">
      <w:pPr>
        <w:pStyle w:val="25"/>
        <w:snapToGrid w:val="0"/>
        <w:spacing w:line="360" w:lineRule="auto"/>
        <w:ind w:firstLine="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7.3政府采购合同已签订但尚未履行的，撤销合同，从合格的中标候选人中另行确定中标供应商；没有合格的中标候选人的，重新开展政府采购活动。</w:t>
      </w:r>
    </w:p>
    <w:p w14:paraId="667187AC">
      <w:pPr>
        <w:pStyle w:val="25"/>
        <w:snapToGrid w:val="0"/>
        <w:spacing w:line="360" w:lineRule="auto"/>
        <w:ind w:firstLine="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7.4政府采购合同已经履行，给采购人、供应商造成损失的，由责任人承担赔偿责任。</w:t>
      </w:r>
    </w:p>
    <w:p w14:paraId="66CD0FB7">
      <w:pPr>
        <w:pStyle w:val="25"/>
        <w:snapToGrid w:val="0"/>
        <w:spacing w:line="360" w:lineRule="auto"/>
        <w:ind w:firstLine="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7954E521">
      <w:pPr>
        <w:pStyle w:val="53"/>
        <w:snapToGrid w:val="0"/>
        <w:ind w:firstLine="440"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五、根据浙财采监〔2025〕2号文件精神，本项目要求中标（成交）供应商在评审结束后3个工作日内提供本次评审办法中涉及客观分评审内容的检测报告、合同原件资料对其真实性进行复核，相关原件提供地点为浙江德丰项目管理有限公司（温州市鹿城区南汇街道锦江路458号</w:t>
      </w:r>
      <w:r>
        <w:rPr>
          <w:rFonts w:hint="eastAsia" w:ascii="宋体" w:hAnsi="宋体" w:cs="宋体"/>
          <w:b/>
          <w:color w:val="auto"/>
          <w:sz w:val="22"/>
          <w:szCs w:val="22"/>
          <w:highlight w:val="none"/>
          <w:lang w:eastAsia="zh-CN"/>
        </w:rPr>
        <w:t>深蓝国际大厦</w:t>
      </w:r>
      <w:r>
        <w:rPr>
          <w:rFonts w:hint="eastAsia" w:ascii="宋体" w:hAnsi="宋体" w:eastAsia="宋体" w:cs="宋体"/>
          <w:b/>
          <w:color w:val="auto"/>
          <w:sz w:val="22"/>
          <w:szCs w:val="22"/>
          <w:highlight w:val="none"/>
        </w:rPr>
        <w:t>501-1室西首）。</w:t>
      </w:r>
    </w:p>
    <w:p w14:paraId="4E665F58">
      <w:pPr>
        <w:adjustRightInd/>
        <w:spacing w:line="360" w:lineRule="auto"/>
        <w:jc w:val="center"/>
        <w:outlineLvl w:val="0"/>
        <w:rPr>
          <w:rFonts w:hint="eastAsia" w:ascii="宋体" w:hAnsi="宋体" w:eastAsia="宋体" w:cs="宋体"/>
          <w:b/>
          <w:color w:val="auto"/>
          <w:sz w:val="36"/>
          <w:szCs w:val="20"/>
          <w:highlight w:val="none"/>
        </w:rPr>
      </w:pPr>
      <w:bookmarkStart w:id="435" w:name="_Toc8744"/>
      <w:bookmarkStart w:id="436" w:name="_Toc129952589"/>
    </w:p>
    <w:p w14:paraId="53FE35A5">
      <w:pPr>
        <w:adjustRightInd/>
        <w:spacing w:line="360" w:lineRule="auto"/>
        <w:jc w:val="center"/>
        <w:outlineLvl w:val="0"/>
        <w:rPr>
          <w:rFonts w:hint="eastAsia" w:ascii="宋体" w:hAnsi="宋体" w:eastAsia="宋体" w:cs="宋体"/>
          <w:b/>
          <w:color w:val="auto"/>
          <w:sz w:val="36"/>
          <w:szCs w:val="20"/>
          <w:highlight w:val="none"/>
        </w:rPr>
      </w:pPr>
    </w:p>
    <w:p w14:paraId="44BC4992">
      <w:pPr>
        <w:adjustRightInd/>
        <w:spacing w:line="360" w:lineRule="auto"/>
        <w:jc w:val="center"/>
        <w:outlineLvl w:val="0"/>
        <w:rPr>
          <w:rFonts w:hint="eastAsia" w:ascii="宋体" w:hAnsi="宋体" w:eastAsia="宋体" w:cs="宋体"/>
          <w:b/>
          <w:color w:val="auto"/>
          <w:sz w:val="36"/>
          <w:szCs w:val="20"/>
          <w:highlight w:val="none"/>
        </w:rPr>
      </w:pPr>
    </w:p>
    <w:p w14:paraId="7FD1038D">
      <w:pPr>
        <w:adjustRightInd/>
        <w:spacing w:line="360" w:lineRule="auto"/>
        <w:jc w:val="center"/>
        <w:outlineLvl w:val="0"/>
        <w:rPr>
          <w:rFonts w:hint="eastAsia" w:ascii="宋体" w:hAnsi="宋体" w:eastAsia="宋体" w:cs="宋体"/>
          <w:b/>
          <w:color w:val="auto"/>
          <w:sz w:val="36"/>
          <w:szCs w:val="20"/>
          <w:highlight w:val="none"/>
        </w:rPr>
      </w:pPr>
    </w:p>
    <w:p w14:paraId="5AD34388">
      <w:pPr>
        <w:adjustRightInd/>
        <w:spacing w:line="360" w:lineRule="auto"/>
        <w:jc w:val="center"/>
        <w:outlineLvl w:val="0"/>
        <w:rPr>
          <w:rFonts w:hint="eastAsia" w:ascii="宋体" w:hAnsi="宋体" w:eastAsia="宋体" w:cs="宋体"/>
          <w:b/>
          <w:color w:val="auto"/>
          <w:sz w:val="36"/>
          <w:szCs w:val="20"/>
          <w:highlight w:val="none"/>
        </w:rPr>
      </w:pPr>
    </w:p>
    <w:p w14:paraId="4A1EED46">
      <w:pPr>
        <w:adjustRightInd/>
        <w:spacing w:line="360" w:lineRule="auto"/>
        <w:jc w:val="center"/>
        <w:outlineLvl w:val="0"/>
        <w:rPr>
          <w:rFonts w:hint="eastAsia" w:ascii="宋体" w:hAnsi="宋体" w:eastAsia="宋体" w:cs="宋体"/>
          <w:b/>
          <w:color w:val="auto"/>
          <w:sz w:val="36"/>
          <w:szCs w:val="20"/>
          <w:highlight w:val="none"/>
        </w:rPr>
      </w:pPr>
    </w:p>
    <w:p w14:paraId="054E3470">
      <w:pPr>
        <w:adjustRightInd/>
        <w:spacing w:line="360" w:lineRule="auto"/>
        <w:jc w:val="center"/>
        <w:outlineLvl w:val="0"/>
        <w:rPr>
          <w:rFonts w:hint="eastAsia" w:ascii="宋体" w:hAnsi="宋体" w:eastAsia="宋体" w:cs="宋体"/>
          <w:b/>
          <w:color w:val="auto"/>
          <w:sz w:val="36"/>
          <w:szCs w:val="20"/>
          <w:highlight w:val="none"/>
        </w:rPr>
      </w:pPr>
    </w:p>
    <w:p w14:paraId="75F3DE48">
      <w:pPr>
        <w:adjustRightInd/>
        <w:spacing w:line="360" w:lineRule="auto"/>
        <w:jc w:val="center"/>
        <w:outlineLvl w:val="0"/>
        <w:rPr>
          <w:rFonts w:hint="eastAsia" w:ascii="宋体" w:hAnsi="宋体" w:eastAsia="宋体" w:cs="宋体"/>
          <w:b/>
          <w:color w:val="auto"/>
          <w:sz w:val="36"/>
          <w:szCs w:val="20"/>
          <w:highlight w:val="none"/>
        </w:rPr>
      </w:pPr>
    </w:p>
    <w:p w14:paraId="1862D0F3">
      <w:pPr>
        <w:adjustRightInd/>
        <w:spacing w:line="360" w:lineRule="auto"/>
        <w:jc w:val="center"/>
        <w:outlineLvl w:val="0"/>
        <w:rPr>
          <w:rFonts w:hint="eastAsia" w:ascii="宋体" w:hAnsi="宋体" w:eastAsia="宋体" w:cs="宋体"/>
          <w:b/>
          <w:color w:val="auto"/>
          <w:sz w:val="36"/>
          <w:szCs w:val="20"/>
          <w:highlight w:val="none"/>
        </w:rPr>
      </w:pPr>
    </w:p>
    <w:p w14:paraId="567B13FA">
      <w:pPr>
        <w:adjustRightInd/>
        <w:spacing w:line="360" w:lineRule="auto"/>
        <w:jc w:val="center"/>
        <w:outlineLvl w:val="0"/>
        <w:rPr>
          <w:rFonts w:hint="eastAsia" w:ascii="宋体" w:hAnsi="宋体" w:eastAsia="宋体" w:cs="宋体"/>
          <w:b/>
          <w:color w:val="auto"/>
          <w:sz w:val="36"/>
          <w:szCs w:val="20"/>
          <w:highlight w:val="none"/>
        </w:rPr>
      </w:pPr>
    </w:p>
    <w:p w14:paraId="48F20FBF">
      <w:pPr>
        <w:adjustRightInd/>
        <w:spacing w:line="360" w:lineRule="auto"/>
        <w:jc w:val="center"/>
        <w:outlineLvl w:val="0"/>
        <w:rPr>
          <w:rFonts w:hint="eastAsia" w:ascii="宋体" w:hAnsi="宋体" w:eastAsia="宋体" w:cs="宋体"/>
          <w:b/>
          <w:color w:val="auto"/>
          <w:sz w:val="36"/>
          <w:szCs w:val="20"/>
          <w:highlight w:val="none"/>
        </w:rPr>
      </w:pPr>
    </w:p>
    <w:p w14:paraId="6F49001C">
      <w:pPr>
        <w:adjustRightInd/>
        <w:spacing w:line="360" w:lineRule="auto"/>
        <w:jc w:val="center"/>
        <w:outlineLvl w:val="0"/>
        <w:rPr>
          <w:rFonts w:hint="eastAsia" w:ascii="宋体" w:hAnsi="宋体" w:eastAsia="宋体" w:cs="宋体"/>
          <w:b/>
          <w:color w:val="auto"/>
          <w:sz w:val="36"/>
          <w:szCs w:val="20"/>
          <w:highlight w:val="none"/>
        </w:rPr>
      </w:pPr>
    </w:p>
    <w:p w14:paraId="0C346EE1">
      <w:pPr>
        <w:adjustRightInd/>
        <w:spacing w:line="360" w:lineRule="auto"/>
        <w:jc w:val="center"/>
        <w:outlineLvl w:val="0"/>
        <w:rPr>
          <w:rFonts w:hint="eastAsia" w:ascii="宋体" w:hAnsi="宋体" w:eastAsia="宋体" w:cs="宋体"/>
          <w:b/>
          <w:color w:val="auto"/>
          <w:sz w:val="36"/>
          <w:szCs w:val="20"/>
          <w:highlight w:val="none"/>
        </w:rPr>
      </w:pPr>
    </w:p>
    <w:p w14:paraId="3EDA092C">
      <w:pPr>
        <w:adjustRightInd/>
        <w:spacing w:line="360" w:lineRule="auto"/>
        <w:jc w:val="center"/>
        <w:outlineLvl w:val="0"/>
        <w:rPr>
          <w:rFonts w:hint="eastAsia" w:ascii="宋体" w:hAnsi="宋体" w:eastAsia="宋体" w:cs="宋体"/>
          <w:b/>
          <w:color w:val="auto"/>
          <w:sz w:val="36"/>
          <w:szCs w:val="20"/>
          <w:highlight w:val="none"/>
        </w:rPr>
      </w:pPr>
    </w:p>
    <w:p w14:paraId="2FD98A83">
      <w:pPr>
        <w:adjustRightInd/>
        <w:spacing w:line="360" w:lineRule="auto"/>
        <w:jc w:val="center"/>
        <w:outlineLvl w:val="0"/>
        <w:rPr>
          <w:rFonts w:hint="eastAsia" w:ascii="宋体" w:hAnsi="宋体" w:eastAsia="宋体" w:cs="宋体"/>
          <w:b/>
          <w:color w:val="auto"/>
          <w:sz w:val="36"/>
          <w:szCs w:val="20"/>
          <w:highlight w:val="none"/>
        </w:rPr>
      </w:pPr>
    </w:p>
    <w:p w14:paraId="29DA3921">
      <w:pPr>
        <w:adjustRightInd/>
        <w:spacing w:line="360" w:lineRule="auto"/>
        <w:jc w:val="center"/>
        <w:outlineLvl w:val="0"/>
        <w:rPr>
          <w:rFonts w:hint="eastAsia" w:ascii="宋体" w:hAnsi="宋体" w:eastAsia="宋体" w:cs="宋体"/>
          <w:b/>
          <w:color w:val="auto"/>
          <w:sz w:val="36"/>
          <w:szCs w:val="20"/>
          <w:highlight w:val="none"/>
        </w:rPr>
      </w:pPr>
    </w:p>
    <w:p w14:paraId="1FFA2BD2">
      <w:pPr>
        <w:adjustRightInd/>
        <w:spacing w:line="360" w:lineRule="auto"/>
        <w:jc w:val="center"/>
        <w:outlineLvl w:val="0"/>
        <w:rPr>
          <w:rFonts w:hint="eastAsia" w:ascii="宋体" w:hAnsi="宋体" w:eastAsia="宋体" w:cs="宋体"/>
          <w:b/>
          <w:color w:val="auto"/>
          <w:sz w:val="36"/>
          <w:szCs w:val="20"/>
          <w:highlight w:val="none"/>
        </w:rPr>
      </w:pPr>
    </w:p>
    <w:p w14:paraId="3F4463CF">
      <w:pPr>
        <w:adjustRightInd/>
        <w:spacing w:line="360" w:lineRule="auto"/>
        <w:jc w:val="center"/>
        <w:outlineLvl w:val="0"/>
        <w:rPr>
          <w:rFonts w:hint="eastAsia" w:ascii="宋体" w:hAnsi="宋体" w:eastAsia="宋体" w:cs="宋体"/>
          <w:b/>
          <w:color w:val="auto"/>
          <w:sz w:val="36"/>
          <w:szCs w:val="20"/>
          <w:highlight w:val="none"/>
        </w:rPr>
      </w:pPr>
    </w:p>
    <w:p w14:paraId="18E506E3">
      <w:pPr>
        <w:adjustRightInd/>
        <w:spacing w:line="360" w:lineRule="auto"/>
        <w:jc w:val="center"/>
        <w:outlineLvl w:val="0"/>
        <w:rPr>
          <w:rFonts w:hint="eastAsia" w:ascii="宋体" w:hAnsi="宋体" w:eastAsia="宋体" w:cs="宋体"/>
          <w:b/>
          <w:color w:val="auto"/>
          <w:sz w:val="36"/>
          <w:szCs w:val="20"/>
          <w:highlight w:val="none"/>
        </w:rPr>
      </w:pPr>
    </w:p>
    <w:p w14:paraId="64893988">
      <w:pPr>
        <w:adjustRightInd/>
        <w:spacing w:line="360" w:lineRule="auto"/>
        <w:jc w:val="center"/>
        <w:outlineLvl w:val="0"/>
        <w:rPr>
          <w:rFonts w:hint="eastAsia" w:ascii="宋体" w:hAnsi="宋体" w:eastAsia="宋体" w:cs="宋体"/>
          <w:b/>
          <w:color w:val="auto"/>
          <w:sz w:val="36"/>
          <w:szCs w:val="20"/>
          <w:highlight w:val="none"/>
        </w:rPr>
      </w:pPr>
    </w:p>
    <w:p w14:paraId="63C89037">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第五部分 拟签订的合同文本</w:t>
      </w:r>
      <w:bookmarkEnd w:id="435"/>
      <w:bookmarkEnd w:id="436"/>
    </w:p>
    <w:p w14:paraId="6EE817AB">
      <w:pPr>
        <w:spacing w:line="360" w:lineRule="auto"/>
        <w:rPr>
          <w:rFonts w:hint="eastAsia" w:ascii="宋体" w:hAnsi="宋体" w:eastAsia="宋体" w:cs="宋体"/>
          <w:b/>
          <w:color w:val="auto"/>
          <w:szCs w:val="21"/>
          <w:highlight w:val="none"/>
        </w:rPr>
      </w:pPr>
      <w:bookmarkStart w:id="437" w:name="_Toc129952590"/>
    </w:p>
    <w:p w14:paraId="45E4443D">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4F3E21AA">
      <w:pPr>
        <w:rPr>
          <w:rFonts w:hint="eastAsia" w:ascii="宋体" w:hAnsi="宋体" w:eastAsia="宋体" w:cs="宋体"/>
          <w:color w:val="auto"/>
          <w:highlight w:val="none"/>
        </w:rPr>
      </w:pPr>
    </w:p>
    <w:p w14:paraId="6D139978">
      <w:pPr>
        <w:spacing w:line="480" w:lineRule="auto"/>
        <w:jc w:val="center"/>
        <w:rPr>
          <w:rFonts w:hint="eastAsia" w:ascii="宋体" w:hAnsi="宋体" w:eastAsia="宋体" w:cs="宋体"/>
          <w:b/>
          <w:color w:val="auto"/>
          <w:sz w:val="24"/>
          <w:highlight w:val="none"/>
        </w:rPr>
      </w:pPr>
    </w:p>
    <w:p w14:paraId="4C33933B">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14:paraId="7D5BB50A">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（货物类）</w:t>
      </w:r>
    </w:p>
    <w:p w14:paraId="560D7BC9">
      <w:pPr>
        <w:pStyle w:val="703"/>
        <w:rPr>
          <w:rFonts w:hint="eastAsia" w:ascii="宋体" w:hAnsi="宋体" w:eastAsia="宋体" w:cs="宋体"/>
          <w:color w:val="auto"/>
          <w:szCs w:val="24"/>
          <w:highlight w:val="none"/>
        </w:rPr>
      </w:pPr>
    </w:p>
    <w:p w14:paraId="35C1D42F">
      <w:pPr>
        <w:pStyle w:val="703"/>
        <w:jc w:val="center"/>
        <w:rPr>
          <w:rFonts w:hint="eastAsia" w:ascii="宋体" w:hAnsi="宋体" w:eastAsia="宋体" w:cs="宋体"/>
          <w:color w:val="auto"/>
          <w:szCs w:val="24"/>
          <w:highlight w:val="none"/>
        </w:rPr>
      </w:pPr>
    </w:p>
    <w:p w14:paraId="29E0D0A4">
      <w:pPr>
        <w:pStyle w:val="703"/>
        <w:ind w:firstLine="2832" w:firstLineChars="118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第一部分 合同书</w:t>
      </w:r>
    </w:p>
    <w:p w14:paraId="485F93B5">
      <w:pPr>
        <w:pStyle w:val="703"/>
        <w:rPr>
          <w:rFonts w:hint="eastAsia" w:ascii="宋体" w:hAnsi="宋体" w:eastAsia="宋体" w:cs="宋体"/>
          <w:color w:val="auto"/>
          <w:szCs w:val="24"/>
          <w:highlight w:val="none"/>
        </w:rPr>
      </w:pPr>
    </w:p>
    <w:p w14:paraId="36364976">
      <w:pPr>
        <w:pStyle w:val="703"/>
        <w:rPr>
          <w:rFonts w:hint="eastAsia" w:ascii="宋体" w:hAnsi="宋体" w:eastAsia="宋体" w:cs="宋体"/>
          <w:color w:val="auto"/>
          <w:szCs w:val="24"/>
          <w:highlight w:val="none"/>
        </w:rPr>
      </w:pPr>
    </w:p>
    <w:p w14:paraId="1EB5ECA3">
      <w:pPr>
        <w:spacing w:before="120" w:line="22" w:lineRule="atLeast"/>
        <w:rPr>
          <w:rFonts w:hint="eastAsia" w:ascii="宋体" w:hAnsi="宋体" w:eastAsia="宋体" w:cs="宋体"/>
          <w:color w:val="auto"/>
          <w:sz w:val="24"/>
          <w:highlight w:val="none"/>
        </w:rPr>
      </w:pPr>
    </w:p>
    <w:p w14:paraId="7FCBEAF2">
      <w:pPr>
        <w:spacing w:before="120" w:line="22" w:lineRule="atLeast"/>
        <w:ind w:left="96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6C47B587">
      <w:pPr>
        <w:pStyle w:val="601"/>
        <w:spacing w:before="120" w:line="22" w:lineRule="atLeast"/>
        <w:rPr>
          <w:rFonts w:hint="eastAsia" w:ascii="宋体" w:hAnsi="宋体" w:eastAsia="宋体" w:cs="宋体"/>
          <w:color w:val="auto"/>
          <w:szCs w:val="24"/>
          <w:highlight w:val="none"/>
        </w:rPr>
      </w:pPr>
    </w:p>
    <w:p w14:paraId="667FDD16">
      <w:pPr>
        <w:rPr>
          <w:rFonts w:hint="eastAsia" w:ascii="宋体" w:hAnsi="宋体" w:eastAsia="宋体" w:cs="宋体"/>
          <w:color w:val="auto"/>
          <w:sz w:val="24"/>
          <w:highlight w:val="none"/>
        </w:rPr>
      </w:pPr>
    </w:p>
    <w:p w14:paraId="5520547D">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p>
    <w:p w14:paraId="6EC0B64F">
      <w:pPr>
        <w:spacing w:before="120" w:line="22" w:lineRule="atLeast"/>
        <w:rPr>
          <w:rFonts w:hint="eastAsia" w:ascii="宋体" w:hAnsi="宋体" w:eastAsia="宋体" w:cs="宋体"/>
          <w:color w:val="auto"/>
          <w:sz w:val="24"/>
          <w:highlight w:val="none"/>
        </w:rPr>
      </w:pPr>
    </w:p>
    <w:p w14:paraId="5AB8ADEF">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14:paraId="1A1DC691">
      <w:pPr>
        <w:spacing w:before="120" w:line="22" w:lineRule="atLeast"/>
        <w:rPr>
          <w:rFonts w:hint="eastAsia" w:ascii="宋体" w:hAnsi="宋体" w:eastAsia="宋体" w:cs="宋体"/>
          <w:color w:val="auto"/>
          <w:sz w:val="24"/>
          <w:highlight w:val="none"/>
        </w:rPr>
      </w:pPr>
    </w:p>
    <w:p w14:paraId="5BA8EED7">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14:paraId="6698168B">
      <w:pPr>
        <w:spacing w:before="120" w:line="22" w:lineRule="atLeast"/>
        <w:rPr>
          <w:rFonts w:hint="eastAsia" w:ascii="宋体" w:hAnsi="宋体" w:eastAsia="宋体" w:cs="宋体"/>
          <w:color w:val="auto"/>
          <w:sz w:val="24"/>
          <w:highlight w:val="none"/>
        </w:rPr>
      </w:pPr>
    </w:p>
    <w:p w14:paraId="7B47919B">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19908939">
      <w:pPr>
        <w:snapToGrid w:val="0"/>
        <w:spacing w:before="119" w:line="272" w:lineRule="atLeast"/>
        <w:ind w:left="958"/>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 xml:space="preserve">                                           </w:t>
      </w:r>
    </w:p>
    <w:p w14:paraId="6D98F43C">
      <w:pPr>
        <w:snapToGrid w:val="0"/>
        <w:spacing w:before="119" w:line="232" w:lineRule="atLeast"/>
        <w:ind w:left="958"/>
        <w:rPr>
          <w:rFonts w:hint="eastAsia" w:ascii="宋体" w:hAnsi="宋体" w:eastAsia="宋体" w:cs="宋体"/>
          <w:color w:val="auto"/>
          <w:sz w:val="24"/>
          <w:szCs w:val="21"/>
          <w:highlight w:val="none"/>
        </w:rPr>
      </w:pPr>
    </w:p>
    <w:p w14:paraId="212C2900">
      <w:pPr>
        <w:spacing w:line="360" w:lineRule="auto"/>
        <w:ind w:firstLine="480" w:firstLineChars="200"/>
        <w:rPr>
          <w:rFonts w:hint="eastAsia" w:ascii="宋体" w:hAnsi="宋体" w:eastAsia="宋体" w:cs="宋体"/>
          <w:color w:val="auto"/>
          <w:sz w:val="22"/>
          <w:szCs w:val="22"/>
          <w:highlight w:val="none"/>
        </w:rPr>
      </w:pPr>
      <w:r>
        <w:rPr>
          <w:rFonts w:hint="eastAsia" w:ascii="宋体" w:hAnsi="宋体" w:eastAsia="宋体" w:cs="宋体"/>
          <w:color w:val="auto"/>
          <w:sz w:val="24"/>
          <w:szCs w:val="21"/>
          <w:highlight w:val="none"/>
        </w:rPr>
        <w:br w:type="page"/>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年</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月</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日</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u w:val="single"/>
        </w:rPr>
        <w:t xml:space="preserve"> 浙江省温州生态环境监测中心  </w:t>
      </w:r>
      <w:r>
        <w:rPr>
          <w:rFonts w:hint="eastAsia" w:ascii="宋体" w:hAnsi="宋体" w:eastAsia="宋体" w:cs="宋体"/>
          <w:color w:val="auto"/>
          <w:sz w:val="22"/>
          <w:szCs w:val="22"/>
          <w:highlight w:val="none"/>
        </w:rPr>
        <w:t>以</w:t>
      </w:r>
      <w:r>
        <w:rPr>
          <w:rFonts w:hint="eastAsia" w:ascii="宋体" w:hAnsi="宋体" w:eastAsia="宋体" w:cs="宋体"/>
          <w:color w:val="auto"/>
          <w:sz w:val="22"/>
          <w:szCs w:val="22"/>
          <w:highlight w:val="none"/>
          <w:u w:val="single"/>
        </w:rPr>
        <w:t xml:space="preserve"> 公开招标  </w:t>
      </w:r>
      <w:r>
        <w:rPr>
          <w:rFonts w:hint="eastAsia" w:ascii="宋体" w:hAnsi="宋体" w:eastAsia="宋体" w:cs="宋体"/>
          <w:color w:val="auto"/>
          <w:sz w:val="22"/>
          <w:szCs w:val="22"/>
          <w:highlight w:val="none"/>
        </w:rPr>
        <w:t>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eastAsia="zh-CN"/>
        </w:rPr>
        <w:t>温室气体城市站建设</w:t>
      </w:r>
      <w:r>
        <w:rPr>
          <w:rFonts w:hint="eastAsia" w:ascii="宋体" w:hAnsi="宋体" w:eastAsia="宋体" w:cs="宋体"/>
          <w:color w:val="auto"/>
          <w:sz w:val="22"/>
          <w:szCs w:val="22"/>
          <w:highlight w:val="none"/>
          <w:u w:val="single"/>
        </w:rPr>
        <w:t xml:space="preserve">（项目编号：ZJDFZB-2025050142） </w:t>
      </w:r>
      <w:r>
        <w:rPr>
          <w:rFonts w:hint="eastAsia" w:ascii="宋体" w:hAnsi="宋体" w:eastAsia="宋体" w:cs="宋体"/>
          <w:color w:val="auto"/>
          <w:sz w:val="22"/>
          <w:szCs w:val="22"/>
          <w:highlight w:val="none"/>
        </w:rPr>
        <w:t>进行了采购。经评标委员会评定，</w:t>
      </w:r>
      <w:r>
        <w:rPr>
          <w:rFonts w:hint="eastAsia" w:ascii="宋体" w:hAnsi="宋体" w:eastAsia="宋体" w:cs="宋体"/>
          <w:color w:val="auto"/>
          <w:sz w:val="22"/>
          <w:szCs w:val="22"/>
          <w:highlight w:val="none"/>
          <w:u w:val="single"/>
        </w:rPr>
        <w:t xml:space="preserve">   （中标或者成交供应商名称）</w:t>
      </w:r>
      <w:r>
        <w:rPr>
          <w:rFonts w:hint="eastAsia" w:ascii="宋体" w:hAnsi="宋体" w:eastAsia="宋体" w:cs="宋体"/>
          <w:color w:val="auto"/>
          <w:sz w:val="22"/>
          <w:szCs w:val="22"/>
          <w:highlight w:val="none"/>
        </w:rPr>
        <w:t>为该项目中标或者成交供应商。现按照采购文件等确定的事项签订本合同。</w:t>
      </w:r>
    </w:p>
    <w:p w14:paraId="398C5DDE">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根据《中华人民共和国民法典》《中华人民共和国政府采购法》等相关法律法规之规定，按照平等、自愿、公平、诚实信用和绿色的原则，经</w:t>
      </w:r>
      <w:r>
        <w:rPr>
          <w:rFonts w:hint="eastAsia" w:ascii="宋体" w:hAnsi="宋体" w:eastAsia="宋体" w:cs="宋体"/>
          <w:color w:val="auto"/>
          <w:sz w:val="22"/>
          <w:szCs w:val="22"/>
          <w:highlight w:val="none"/>
          <w:u w:val="single"/>
        </w:rPr>
        <w:t xml:space="preserve">  浙江省温州生态环境监测中心  </w:t>
      </w:r>
      <w:r>
        <w:rPr>
          <w:rFonts w:hint="eastAsia" w:ascii="宋体" w:hAnsi="宋体" w:eastAsia="宋体" w:cs="宋体"/>
          <w:color w:val="auto"/>
          <w:sz w:val="22"/>
          <w:szCs w:val="22"/>
          <w:highlight w:val="none"/>
          <w:lang w:val="zh-CN"/>
        </w:rPr>
        <w:t>(以下简称：甲方)和</w:t>
      </w:r>
      <w:r>
        <w:rPr>
          <w:rFonts w:hint="eastAsia" w:ascii="宋体" w:hAnsi="宋体" w:eastAsia="宋体" w:cs="宋体"/>
          <w:color w:val="auto"/>
          <w:sz w:val="22"/>
          <w:szCs w:val="22"/>
          <w:highlight w:val="none"/>
          <w:u w:val="single"/>
        </w:rPr>
        <w:t xml:space="preserve">   （中标或者成交供应商名称）   </w:t>
      </w:r>
      <w:r>
        <w:rPr>
          <w:rFonts w:hint="eastAsia" w:ascii="宋体" w:hAnsi="宋体" w:eastAsia="宋体" w:cs="宋体"/>
          <w:color w:val="auto"/>
          <w:sz w:val="22"/>
          <w:szCs w:val="22"/>
          <w:highlight w:val="none"/>
          <w:lang w:val="zh-CN"/>
        </w:rPr>
        <w:t>(以下简称：乙方)协商一致，约定以下合同</w:t>
      </w:r>
      <w:r>
        <w:rPr>
          <w:rFonts w:hint="eastAsia" w:ascii="宋体" w:hAnsi="宋体" w:eastAsia="宋体" w:cs="宋体"/>
          <w:color w:val="auto"/>
          <w:sz w:val="22"/>
          <w:szCs w:val="22"/>
          <w:highlight w:val="none"/>
        </w:rPr>
        <w:t>条款，以兹共同遵守、全面履行。</w:t>
      </w:r>
    </w:p>
    <w:p w14:paraId="784114F8">
      <w:pPr>
        <w:spacing w:line="360" w:lineRule="auto"/>
        <w:ind w:firstLine="440" w:firstLineChars="200"/>
        <w:outlineLvl w:val="0"/>
        <w:rPr>
          <w:rFonts w:hint="eastAsia" w:ascii="宋体" w:hAnsi="宋体" w:eastAsia="宋体" w:cs="宋体"/>
          <w:b/>
          <w:color w:val="auto"/>
          <w:sz w:val="22"/>
          <w:szCs w:val="22"/>
          <w:highlight w:val="none"/>
        </w:rPr>
      </w:pPr>
      <w:bookmarkStart w:id="438" w:name="_Toc3029"/>
      <w:bookmarkStart w:id="439" w:name="_Toc24059"/>
      <w:bookmarkStart w:id="440" w:name="_Toc2232"/>
      <w:r>
        <w:rPr>
          <w:rFonts w:hint="eastAsia" w:ascii="宋体" w:hAnsi="宋体" w:eastAsia="宋体" w:cs="宋体"/>
          <w:b/>
          <w:color w:val="auto"/>
          <w:sz w:val="22"/>
          <w:szCs w:val="22"/>
          <w:highlight w:val="none"/>
        </w:rPr>
        <w:t>1.1 合同组成部分</w:t>
      </w:r>
      <w:bookmarkEnd w:id="438"/>
      <w:bookmarkEnd w:id="439"/>
      <w:bookmarkEnd w:id="440"/>
    </w:p>
    <w:p w14:paraId="53914DAA">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DFF3DCB">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1.1.1 本合同及其补充合同、变更协议；</w:t>
      </w:r>
    </w:p>
    <w:p w14:paraId="702CFB92">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1.1.2 中标或者成交通知书；</w:t>
      </w:r>
    </w:p>
    <w:p w14:paraId="7FCA41CD">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1.1.3 投标或者响应文件（含澄清或者说明文件）；</w:t>
      </w:r>
    </w:p>
    <w:p w14:paraId="78373ACE">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1.1.4 采购文件（含澄清或者修改文件）；</w:t>
      </w:r>
    </w:p>
    <w:p w14:paraId="557269D7">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1.1.5 其他相关采购文件。</w:t>
      </w:r>
    </w:p>
    <w:p w14:paraId="5A6D6C91">
      <w:pPr>
        <w:spacing w:line="360" w:lineRule="auto"/>
        <w:ind w:firstLine="440" w:firstLineChars="200"/>
        <w:outlineLvl w:val="0"/>
        <w:rPr>
          <w:rFonts w:hint="eastAsia" w:ascii="宋体" w:hAnsi="宋体" w:eastAsia="宋体" w:cs="宋体"/>
          <w:b/>
          <w:color w:val="auto"/>
          <w:sz w:val="22"/>
          <w:szCs w:val="22"/>
          <w:highlight w:val="none"/>
        </w:rPr>
      </w:pPr>
      <w:bookmarkStart w:id="441" w:name="_Toc21295"/>
      <w:bookmarkStart w:id="442" w:name="_Toc27126"/>
      <w:bookmarkStart w:id="443" w:name="_Toc24300"/>
      <w:r>
        <w:rPr>
          <w:rFonts w:hint="eastAsia" w:ascii="宋体" w:hAnsi="宋体" w:eastAsia="宋体" w:cs="宋体"/>
          <w:b/>
          <w:color w:val="auto"/>
          <w:sz w:val="22"/>
          <w:szCs w:val="22"/>
          <w:highlight w:val="none"/>
        </w:rPr>
        <w:t>1.2 货物</w:t>
      </w:r>
      <w:bookmarkEnd w:id="441"/>
      <w:bookmarkEnd w:id="442"/>
      <w:bookmarkEnd w:id="443"/>
    </w:p>
    <w:p w14:paraId="4A3E1342">
      <w:pPr>
        <w:spacing w:line="360" w:lineRule="auto"/>
        <w:ind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1.2.1 货物名称、品牌、规格型号：</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14:paraId="393C5A0D">
      <w:pPr>
        <w:spacing w:line="360" w:lineRule="auto"/>
        <w:ind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1.2.2 货物数量：</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14:paraId="6FE18B7D">
      <w:pPr>
        <w:spacing w:line="360" w:lineRule="auto"/>
        <w:ind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1.2.3 货物质量：</w:t>
      </w:r>
      <w:r>
        <w:rPr>
          <w:rFonts w:hint="eastAsia" w:ascii="宋体" w:hAnsi="宋体" w:eastAsia="宋体" w:cs="宋体"/>
          <w:color w:val="auto"/>
          <w:sz w:val="22"/>
          <w:szCs w:val="22"/>
          <w:highlight w:val="none"/>
          <w:u w:val="single"/>
        </w:rPr>
        <w:t>　　　　　　　　　                      　      ；</w:t>
      </w:r>
    </w:p>
    <w:p w14:paraId="72F85929">
      <w:pPr>
        <w:spacing w:line="360" w:lineRule="auto"/>
        <w:ind w:firstLine="440" w:firstLineChars="200"/>
        <w:outlineLvl w:val="0"/>
        <w:rPr>
          <w:rFonts w:hint="eastAsia" w:ascii="宋体" w:hAnsi="宋体" w:eastAsia="宋体" w:cs="宋体"/>
          <w:b/>
          <w:color w:val="auto"/>
          <w:sz w:val="22"/>
          <w:szCs w:val="22"/>
          <w:highlight w:val="none"/>
        </w:rPr>
      </w:pPr>
      <w:bookmarkStart w:id="444" w:name="_Toc21551"/>
      <w:bookmarkStart w:id="445" w:name="_Toc21631"/>
      <w:bookmarkStart w:id="446" w:name="_Toc23292"/>
      <w:r>
        <w:rPr>
          <w:rFonts w:hint="eastAsia" w:ascii="宋体" w:hAnsi="宋体" w:eastAsia="宋体" w:cs="宋体"/>
          <w:b/>
          <w:color w:val="auto"/>
          <w:sz w:val="22"/>
          <w:szCs w:val="22"/>
          <w:highlight w:val="none"/>
        </w:rPr>
        <w:t>1.3 价款</w:t>
      </w:r>
      <w:bookmarkEnd w:id="444"/>
      <w:bookmarkEnd w:id="445"/>
      <w:bookmarkEnd w:id="446"/>
    </w:p>
    <w:p w14:paraId="382EE0B8">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本合同总价（含税）为：￥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元（大写：</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元人民币）。</w:t>
      </w:r>
    </w:p>
    <w:p w14:paraId="0B3BF8EF">
      <w:pPr>
        <w:spacing w:line="360" w:lineRule="auto"/>
        <w:ind w:firstLine="539" w:firstLineChars="245"/>
        <w:rPr>
          <w:rFonts w:hint="eastAsia" w:ascii="宋体" w:hAnsi="宋体" w:eastAsia="宋体" w:cs="宋体"/>
          <w:color w:val="auto"/>
          <w:szCs w:val="21"/>
          <w:highlight w:val="none"/>
        </w:rPr>
      </w:pPr>
      <w:r>
        <w:rPr>
          <w:rFonts w:hint="eastAsia" w:ascii="宋体" w:hAnsi="宋体" w:eastAsia="宋体" w:cs="宋体"/>
          <w:color w:val="auto"/>
          <w:sz w:val="22"/>
          <w:szCs w:val="22"/>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FE45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C02016F">
            <w:pPr>
              <w:pStyle w:val="321"/>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0BC827FD">
            <w:pPr>
              <w:pStyle w:val="321"/>
              <w:spacing w:line="360" w:lineRule="auto"/>
              <w:ind w:firstLine="20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156AFEEE">
            <w:pPr>
              <w:pStyle w:val="321"/>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分项价格</w:t>
            </w:r>
          </w:p>
        </w:tc>
      </w:tr>
      <w:tr w14:paraId="12327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6FBA5E7">
            <w:pPr>
              <w:pStyle w:val="321"/>
              <w:spacing w:line="360" w:lineRule="auto"/>
              <w:ind w:firstLine="200"/>
              <w:jc w:val="center"/>
              <w:rPr>
                <w:rFonts w:hint="eastAsia" w:ascii="宋体" w:hAnsi="宋体" w:eastAsia="宋体" w:cs="宋体"/>
                <w:color w:val="auto"/>
                <w:sz w:val="22"/>
                <w:szCs w:val="22"/>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BB00ABB">
            <w:pPr>
              <w:pStyle w:val="321"/>
              <w:spacing w:line="360" w:lineRule="auto"/>
              <w:ind w:firstLine="200"/>
              <w:jc w:val="center"/>
              <w:rPr>
                <w:rFonts w:hint="eastAsia" w:ascii="宋体" w:hAnsi="宋体" w:eastAsia="宋体" w:cs="宋体"/>
                <w:color w:val="auto"/>
                <w:sz w:val="22"/>
                <w:szCs w:val="22"/>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CF540BA">
            <w:pPr>
              <w:pStyle w:val="321"/>
              <w:spacing w:line="360" w:lineRule="auto"/>
              <w:ind w:firstLine="200"/>
              <w:jc w:val="center"/>
              <w:rPr>
                <w:rFonts w:hint="eastAsia" w:ascii="宋体" w:hAnsi="宋体" w:eastAsia="宋体" w:cs="宋体"/>
                <w:color w:val="auto"/>
                <w:sz w:val="22"/>
                <w:szCs w:val="22"/>
                <w:highlight w:val="none"/>
              </w:rPr>
            </w:pPr>
          </w:p>
        </w:tc>
      </w:tr>
      <w:tr w14:paraId="2BF57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6E78EAD">
            <w:pPr>
              <w:pStyle w:val="321"/>
              <w:spacing w:line="360" w:lineRule="auto"/>
              <w:ind w:firstLine="200"/>
              <w:jc w:val="center"/>
              <w:rPr>
                <w:rFonts w:hint="eastAsia" w:ascii="宋体" w:hAnsi="宋体" w:eastAsia="宋体" w:cs="宋体"/>
                <w:color w:val="auto"/>
                <w:sz w:val="22"/>
                <w:szCs w:val="22"/>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2A08149A">
            <w:pPr>
              <w:pStyle w:val="321"/>
              <w:spacing w:line="360" w:lineRule="auto"/>
              <w:ind w:firstLine="200"/>
              <w:jc w:val="center"/>
              <w:rPr>
                <w:rFonts w:hint="eastAsia" w:ascii="宋体" w:hAnsi="宋体" w:eastAsia="宋体" w:cs="宋体"/>
                <w:color w:val="auto"/>
                <w:sz w:val="22"/>
                <w:szCs w:val="22"/>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9D423BA">
            <w:pPr>
              <w:pStyle w:val="321"/>
              <w:spacing w:line="360" w:lineRule="auto"/>
              <w:ind w:firstLine="200"/>
              <w:jc w:val="center"/>
              <w:rPr>
                <w:rFonts w:hint="eastAsia" w:ascii="宋体" w:hAnsi="宋体" w:eastAsia="宋体" w:cs="宋体"/>
                <w:color w:val="auto"/>
                <w:sz w:val="22"/>
                <w:szCs w:val="22"/>
                <w:highlight w:val="none"/>
              </w:rPr>
            </w:pPr>
          </w:p>
        </w:tc>
      </w:tr>
      <w:tr w14:paraId="036CE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3A2FC4B">
            <w:pPr>
              <w:pStyle w:val="321"/>
              <w:spacing w:line="360" w:lineRule="auto"/>
              <w:ind w:firstLine="200"/>
              <w:jc w:val="center"/>
              <w:rPr>
                <w:rFonts w:hint="eastAsia" w:ascii="宋体" w:hAnsi="宋体" w:eastAsia="宋体" w:cs="宋体"/>
                <w:color w:val="auto"/>
                <w:sz w:val="22"/>
                <w:szCs w:val="22"/>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405C6F9">
            <w:pPr>
              <w:pStyle w:val="321"/>
              <w:spacing w:line="360" w:lineRule="auto"/>
              <w:ind w:firstLine="200"/>
              <w:jc w:val="center"/>
              <w:rPr>
                <w:rFonts w:hint="eastAsia" w:ascii="宋体" w:hAnsi="宋体" w:eastAsia="宋体" w:cs="宋体"/>
                <w:color w:val="auto"/>
                <w:sz w:val="22"/>
                <w:szCs w:val="22"/>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84F02C2">
            <w:pPr>
              <w:pStyle w:val="321"/>
              <w:spacing w:line="360" w:lineRule="auto"/>
              <w:ind w:firstLine="200"/>
              <w:jc w:val="center"/>
              <w:rPr>
                <w:rFonts w:hint="eastAsia" w:ascii="宋体" w:hAnsi="宋体" w:eastAsia="宋体" w:cs="宋体"/>
                <w:color w:val="auto"/>
                <w:sz w:val="22"/>
                <w:szCs w:val="22"/>
                <w:highlight w:val="none"/>
              </w:rPr>
            </w:pPr>
          </w:p>
        </w:tc>
      </w:tr>
      <w:tr w14:paraId="5EE42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16E798B">
            <w:pPr>
              <w:pStyle w:val="321"/>
              <w:spacing w:line="360" w:lineRule="auto"/>
              <w:ind w:firstLine="200"/>
              <w:jc w:val="center"/>
              <w:rPr>
                <w:rFonts w:hint="eastAsia" w:ascii="宋体" w:hAnsi="宋体" w:eastAsia="宋体" w:cs="宋体"/>
                <w:color w:val="auto"/>
                <w:sz w:val="22"/>
                <w:szCs w:val="22"/>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2B1A7F75">
            <w:pPr>
              <w:pStyle w:val="321"/>
              <w:spacing w:line="360" w:lineRule="auto"/>
              <w:ind w:firstLine="200"/>
              <w:jc w:val="center"/>
              <w:rPr>
                <w:rFonts w:hint="eastAsia" w:ascii="宋体" w:hAnsi="宋体" w:eastAsia="宋体" w:cs="宋体"/>
                <w:color w:val="auto"/>
                <w:sz w:val="22"/>
                <w:szCs w:val="22"/>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63CD3CDC">
            <w:pPr>
              <w:pStyle w:val="321"/>
              <w:spacing w:line="360" w:lineRule="auto"/>
              <w:ind w:firstLine="200"/>
              <w:jc w:val="center"/>
              <w:rPr>
                <w:rFonts w:hint="eastAsia" w:ascii="宋体" w:hAnsi="宋体" w:eastAsia="宋体" w:cs="宋体"/>
                <w:color w:val="auto"/>
                <w:sz w:val="22"/>
                <w:szCs w:val="22"/>
                <w:highlight w:val="none"/>
              </w:rPr>
            </w:pPr>
          </w:p>
        </w:tc>
      </w:tr>
      <w:tr w14:paraId="2B696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608E548B">
            <w:pPr>
              <w:pStyle w:val="321"/>
              <w:spacing w:line="360" w:lineRule="auto"/>
              <w:ind w:firstLine="20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54D8891C">
            <w:pPr>
              <w:pStyle w:val="321"/>
              <w:spacing w:line="360" w:lineRule="auto"/>
              <w:ind w:firstLine="200"/>
              <w:jc w:val="center"/>
              <w:rPr>
                <w:rFonts w:hint="eastAsia" w:ascii="宋体" w:hAnsi="宋体" w:eastAsia="宋体" w:cs="宋体"/>
                <w:color w:val="auto"/>
                <w:sz w:val="22"/>
                <w:szCs w:val="22"/>
                <w:highlight w:val="none"/>
              </w:rPr>
            </w:pPr>
          </w:p>
        </w:tc>
      </w:tr>
    </w:tbl>
    <w:p w14:paraId="5C39FA3E">
      <w:pPr>
        <w:pStyle w:val="961"/>
        <w:spacing w:before="0" w:beforeAutospacing="0" w:after="0" w:afterAutospacing="0" w:line="360" w:lineRule="auto"/>
        <w:ind w:firstLine="48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1.4付款方式、时间和条件</w:t>
      </w:r>
    </w:p>
    <w:p w14:paraId="72EAA57F">
      <w:pPr>
        <w:pStyle w:val="961"/>
        <w:spacing w:before="0" w:beforeAutospacing="0" w:after="0" w:afterAutospacing="0" w:line="360" w:lineRule="auto"/>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1.4.1付款方式、时间和条件：</w:t>
      </w:r>
    </w:p>
    <w:p w14:paraId="74BAE960">
      <w:pPr>
        <w:pStyle w:val="961"/>
        <w:spacing w:before="0" w:beforeAutospacing="0" w:after="0" w:afterAutospacing="0" w:line="360" w:lineRule="auto"/>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合同生效以及具备实施条件后，甲方在收到乙方正式发票后7个工作日内向乙方支付合同总价的60%作为预付款，如合同总价的60%超过100万元，则预付款金额为100万元；</w:t>
      </w:r>
    </w:p>
    <w:p w14:paraId="47B02280">
      <w:pPr>
        <w:pStyle w:val="961"/>
        <w:spacing w:before="0" w:beforeAutospacing="0" w:after="0" w:afterAutospacing="0" w:line="360" w:lineRule="auto"/>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在设备安装完毕，通过履约验收合格，2026年预算资金下达后，甲方收到乙方正式发票后7个工作日内，支付剩余合同尾款。</w:t>
      </w:r>
    </w:p>
    <w:p w14:paraId="32D6BAE3">
      <w:pPr>
        <w:pStyle w:val="961"/>
        <w:spacing w:before="0" w:beforeAutospacing="0" w:after="0" w:afterAutospacing="0" w:line="360" w:lineRule="auto"/>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项目资金属财政资金，最终以实际资金到位为准。</w:t>
      </w:r>
    </w:p>
    <w:p w14:paraId="6A665549">
      <w:pPr>
        <w:spacing w:line="360" w:lineRule="auto"/>
        <w:ind w:firstLine="440" w:firstLineChars="200"/>
        <w:outlineLvl w:val="0"/>
        <w:rPr>
          <w:rFonts w:hint="eastAsia" w:ascii="宋体" w:hAnsi="宋体" w:eastAsia="宋体" w:cs="宋体"/>
          <w:b/>
          <w:color w:val="auto"/>
          <w:sz w:val="22"/>
          <w:szCs w:val="22"/>
          <w:highlight w:val="none"/>
        </w:rPr>
      </w:pPr>
      <w:bookmarkStart w:id="447" w:name="_Toc2846"/>
      <w:bookmarkStart w:id="448" w:name="_Toc32071"/>
      <w:bookmarkStart w:id="449" w:name="_Toc19304"/>
      <w:r>
        <w:rPr>
          <w:rFonts w:hint="eastAsia" w:ascii="宋体" w:hAnsi="宋体" w:eastAsia="宋体" w:cs="宋体"/>
          <w:b/>
          <w:color w:val="auto"/>
          <w:sz w:val="22"/>
          <w:szCs w:val="22"/>
          <w:highlight w:val="none"/>
        </w:rPr>
        <w:t>1.5货物交付期限、地点和方式</w:t>
      </w:r>
      <w:bookmarkEnd w:id="447"/>
      <w:bookmarkEnd w:id="448"/>
      <w:bookmarkEnd w:id="449"/>
    </w:p>
    <w:p w14:paraId="6911E1A5">
      <w:pPr>
        <w:spacing w:line="360" w:lineRule="auto"/>
        <w:ind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1.5.1 交付期限：</w:t>
      </w:r>
      <w:r>
        <w:rPr>
          <w:rFonts w:hint="eastAsia" w:ascii="宋体" w:hAnsi="宋体" w:eastAsia="宋体" w:cs="宋体"/>
          <w:color w:val="auto"/>
          <w:sz w:val="22"/>
          <w:szCs w:val="22"/>
          <w:highlight w:val="none"/>
          <w:u w:val="single"/>
        </w:rPr>
        <w:t>交付期限：合同签订后2个月内将货物或产品送至指定地点，到货后2个月内完成所有设备的安装、调试；</w:t>
      </w:r>
    </w:p>
    <w:p w14:paraId="3792AC43">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1.5.2 交付地点：</w:t>
      </w:r>
      <w:r>
        <w:rPr>
          <w:rFonts w:hint="eastAsia" w:ascii="宋体" w:hAnsi="宋体" w:eastAsia="宋体" w:cs="宋体"/>
          <w:color w:val="auto"/>
          <w:sz w:val="22"/>
          <w:szCs w:val="22"/>
          <w:highlight w:val="none"/>
          <w:u w:val="single"/>
        </w:rPr>
        <w:t>甲方指定地点</w:t>
      </w:r>
      <w:r>
        <w:rPr>
          <w:rFonts w:hint="eastAsia" w:ascii="宋体" w:hAnsi="宋体" w:eastAsia="宋体" w:cs="宋体"/>
          <w:color w:val="auto"/>
          <w:sz w:val="22"/>
          <w:szCs w:val="22"/>
          <w:highlight w:val="none"/>
        </w:rPr>
        <w:t>；</w:t>
      </w:r>
    </w:p>
    <w:p w14:paraId="3B6D93B5">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1.5.3 交付方式：</w:t>
      </w:r>
      <w:r>
        <w:rPr>
          <w:rFonts w:hint="eastAsia" w:ascii="宋体" w:hAnsi="宋体" w:eastAsia="宋体" w:cs="宋体"/>
          <w:color w:val="auto"/>
          <w:sz w:val="22"/>
          <w:szCs w:val="22"/>
          <w:highlight w:val="none"/>
          <w:u w:val="single"/>
        </w:rPr>
        <w:t>乙方将完工的所有产品打包完整，由乙方直接配送（邮寄）至甲方指定地点，所产生的配送等相关费用由乙方承担（需提供相关配送签收底单作为结算依据）</w:t>
      </w:r>
      <w:r>
        <w:rPr>
          <w:rFonts w:hint="eastAsia" w:ascii="宋体" w:hAnsi="宋体" w:eastAsia="宋体" w:cs="宋体"/>
          <w:color w:val="auto"/>
          <w:sz w:val="22"/>
          <w:szCs w:val="22"/>
          <w:highlight w:val="none"/>
        </w:rPr>
        <w:t>；</w:t>
      </w:r>
    </w:p>
    <w:p w14:paraId="1E87C1C2">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1.5.4 质保期：</w:t>
      </w:r>
      <w:r>
        <w:rPr>
          <w:rFonts w:hint="eastAsia" w:ascii="宋体" w:hAnsi="宋体" w:eastAsia="宋体" w:cs="宋体"/>
          <w:color w:val="auto"/>
          <w:sz w:val="22"/>
          <w:szCs w:val="22"/>
          <w:highlight w:val="none"/>
          <w:u w:val="single"/>
        </w:rPr>
        <w:t>自验收合格并交付使用后开始计算,质保期为24个月。</w:t>
      </w:r>
    </w:p>
    <w:p w14:paraId="07AF08B7">
      <w:pPr>
        <w:spacing w:line="360" w:lineRule="auto"/>
        <w:ind w:firstLine="440" w:firstLineChars="200"/>
        <w:outlineLvl w:val="0"/>
        <w:rPr>
          <w:rFonts w:hint="eastAsia" w:ascii="宋体" w:hAnsi="宋体" w:eastAsia="宋体" w:cs="宋体"/>
          <w:b/>
          <w:color w:val="auto"/>
          <w:sz w:val="22"/>
          <w:szCs w:val="22"/>
          <w:highlight w:val="none"/>
        </w:rPr>
      </w:pPr>
      <w:bookmarkStart w:id="450" w:name="_Toc21423"/>
      <w:bookmarkStart w:id="451" w:name="_Toc19554"/>
      <w:bookmarkStart w:id="452" w:name="_Toc27250"/>
      <w:r>
        <w:rPr>
          <w:rFonts w:hint="eastAsia" w:ascii="宋体" w:hAnsi="宋体" w:eastAsia="宋体" w:cs="宋体"/>
          <w:b/>
          <w:color w:val="auto"/>
          <w:sz w:val="22"/>
          <w:szCs w:val="22"/>
          <w:highlight w:val="none"/>
        </w:rPr>
        <w:t>1.6违约责任</w:t>
      </w:r>
      <w:bookmarkEnd w:id="450"/>
      <w:bookmarkEnd w:id="451"/>
      <w:bookmarkEnd w:id="452"/>
    </w:p>
    <w:p w14:paraId="4C5B7CBF">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color w:val="auto"/>
          <w:sz w:val="22"/>
          <w:szCs w:val="22"/>
          <w:highlight w:val="none"/>
          <w:u w:val="single"/>
        </w:rPr>
        <w:t xml:space="preserve">  1  </w:t>
      </w:r>
      <w:r>
        <w:rPr>
          <w:rFonts w:hint="eastAsia" w:ascii="宋体" w:hAnsi="宋体" w:eastAsia="宋体" w:cs="宋体"/>
          <w:color w:val="auto"/>
          <w:sz w:val="22"/>
          <w:szCs w:val="22"/>
          <w:highlight w:val="none"/>
        </w:rPr>
        <w:t>%计算，最高限额为本合同总价的</w:t>
      </w:r>
      <w:r>
        <w:rPr>
          <w:rFonts w:hint="eastAsia" w:ascii="宋体" w:hAnsi="宋体" w:eastAsia="宋体" w:cs="宋体"/>
          <w:color w:val="auto"/>
          <w:sz w:val="22"/>
          <w:szCs w:val="22"/>
          <w:highlight w:val="none"/>
          <w:u w:val="single"/>
        </w:rPr>
        <w:t xml:space="preserve">  20  </w:t>
      </w:r>
      <w:r>
        <w:rPr>
          <w:rFonts w:hint="eastAsia" w:ascii="宋体" w:hAnsi="宋体" w:eastAsia="宋体" w:cs="宋体"/>
          <w:color w:val="auto"/>
          <w:sz w:val="22"/>
          <w:szCs w:val="22"/>
          <w:highlight w:val="none"/>
        </w:rPr>
        <w:t>%；迟延交付货物的违约金计算数额达到前述最高限额之日起，甲方有权在要求乙方支付违约金的同时，书面通知乙方解除本合同；</w:t>
      </w:r>
    </w:p>
    <w:p w14:paraId="79E8A09C">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1.6.2 甲方应当自收到发票后在约定时间内将相应资金支付到乙方账户，不得以机构变动、人员更替、政策调整等为由延迟付款，不得将采购文件和合同中未规定的义务作为向供应商付款的条件。甲方延迟支付款项的，应当支付逾期利息。</w:t>
      </w:r>
    </w:p>
    <w:p w14:paraId="2089963E">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62A90EC">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707C8B3">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1.6.5如果出现政府采购监督管理部门在处理投诉事项期间，书面通知甲方暂停采购活动的情形，或者询问或质疑事项可能影响中标或者成交结果的，导致甲方中止履行合同的情形，均不视为甲方违约。</w:t>
      </w:r>
    </w:p>
    <w:p w14:paraId="5CB2F37F">
      <w:pPr>
        <w:spacing w:line="360" w:lineRule="auto"/>
        <w:ind w:firstLine="440" w:firstLineChars="200"/>
        <w:outlineLvl w:val="0"/>
        <w:rPr>
          <w:rFonts w:hint="eastAsia" w:ascii="宋体" w:hAnsi="宋体" w:eastAsia="宋体" w:cs="宋体"/>
          <w:b/>
          <w:color w:val="auto"/>
          <w:sz w:val="22"/>
          <w:szCs w:val="22"/>
          <w:highlight w:val="none"/>
        </w:rPr>
      </w:pPr>
      <w:bookmarkStart w:id="453" w:name="_Toc16021"/>
      <w:bookmarkStart w:id="454" w:name="_Toc28375"/>
      <w:bookmarkStart w:id="455" w:name="_Toc15583"/>
      <w:r>
        <w:rPr>
          <w:rFonts w:hint="eastAsia" w:ascii="宋体" w:hAnsi="宋体" w:eastAsia="宋体" w:cs="宋体"/>
          <w:b/>
          <w:color w:val="auto"/>
          <w:sz w:val="22"/>
          <w:szCs w:val="22"/>
          <w:highlight w:val="none"/>
        </w:rPr>
        <w:t>1.7合同争议的解决</w:t>
      </w:r>
      <w:bookmarkEnd w:id="453"/>
      <w:bookmarkEnd w:id="454"/>
      <w:bookmarkEnd w:id="455"/>
    </w:p>
    <w:p w14:paraId="1F86ECBE">
      <w:pPr>
        <w:spacing w:line="360" w:lineRule="auto"/>
        <w:ind w:left="-60" w:leftChars="-29" w:right="-420" w:rightChars="-200"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2"/>
          <w:szCs w:val="22"/>
          <w:highlight w:val="none"/>
          <w:u w:val="single"/>
        </w:rPr>
        <w:t xml:space="preserve"> </w:t>
      </w:r>
      <w:r>
        <w:rPr>
          <w:rFonts w:hint="eastAsia" w:ascii="宋体" w:hAnsi="宋体" w:eastAsia="宋体" w:cs="宋体"/>
          <w:b/>
          <w:iCs/>
          <w:color w:val="auto"/>
          <w:sz w:val="22"/>
          <w:szCs w:val="22"/>
          <w:highlight w:val="none"/>
          <w:u w:val="single"/>
        </w:rPr>
        <w:t xml:space="preserve">1.7.2 </w:t>
      </w:r>
      <w:r>
        <w:rPr>
          <w:rFonts w:hint="eastAsia" w:ascii="宋体" w:hAnsi="宋体" w:eastAsia="宋体" w:cs="宋体"/>
          <w:b/>
          <w:i/>
          <w:color w:val="auto"/>
          <w:sz w:val="22"/>
          <w:szCs w:val="22"/>
          <w:highlight w:val="none"/>
          <w:u w:val="single"/>
        </w:rPr>
        <w:t xml:space="preserve"> </w:t>
      </w:r>
      <w:r>
        <w:rPr>
          <w:rFonts w:hint="eastAsia" w:ascii="宋体" w:hAnsi="宋体" w:eastAsia="宋体" w:cs="宋体"/>
          <w:color w:val="auto"/>
          <w:sz w:val="22"/>
          <w:szCs w:val="22"/>
          <w:highlight w:val="none"/>
        </w:rPr>
        <w:t>条款规定的方式解决：</w:t>
      </w:r>
    </w:p>
    <w:p w14:paraId="32298150">
      <w:pPr>
        <w:spacing w:line="360" w:lineRule="auto"/>
        <w:ind w:left="-420" w:leftChars="-200" w:right="-420" w:rightChars="-200" w:firstLine="770" w:firstLineChars="3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1.7.1 将争议提交甲方</w:t>
      </w:r>
      <w:r>
        <w:rPr>
          <w:rFonts w:hint="eastAsia" w:ascii="宋体" w:hAnsi="宋体" w:eastAsia="宋体" w:cs="宋体"/>
          <w:bCs/>
          <w:iCs/>
          <w:color w:val="auto"/>
          <w:sz w:val="22"/>
          <w:szCs w:val="22"/>
          <w:highlight w:val="none"/>
        </w:rPr>
        <w:t>所在地</w:t>
      </w:r>
      <w:r>
        <w:rPr>
          <w:rFonts w:hint="eastAsia" w:ascii="宋体" w:hAnsi="宋体" w:eastAsia="宋体" w:cs="宋体"/>
          <w:color w:val="auto"/>
          <w:sz w:val="22"/>
          <w:szCs w:val="22"/>
          <w:highlight w:val="none"/>
        </w:rPr>
        <w:t>仲裁委员会依申请仲裁时其现行有效的仲裁规则裁决。</w:t>
      </w:r>
    </w:p>
    <w:p w14:paraId="64C7C40E">
      <w:pPr>
        <w:spacing w:line="360" w:lineRule="auto"/>
        <w:ind w:left="-420" w:leftChars="-200" w:right="-420" w:rightChars="-200" w:firstLine="770" w:firstLineChars="3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1.7.2 向甲方所在地人民法院起诉，由此产生的一切费用包括但不限于诉讼费、律师费、执行费等由败诉方承担。</w:t>
      </w:r>
    </w:p>
    <w:p w14:paraId="0D90DFF3">
      <w:pPr>
        <w:spacing w:line="360" w:lineRule="auto"/>
        <w:ind w:firstLine="440" w:firstLineChars="200"/>
        <w:outlineLvl w:val="0"/>
        <w:rPr>
          <w:rFonts w:hint="eastAsia" w:ascii="宋体" w:hAnsi="宋体" w:eastAsia="宋体" w:cs="宋体"/>
          <w:b/>
          <w:color w:val="auto"/>
          <w:sz w:val="22"/>
          <w:szCs w:val="22"/>
          <w:highlight w:val="none"/>
        </w:rPr>
      </w:pPr>
      <w:bookmarkStart w:id="456" w:name="_Toc15322"/>
      <w:bookmarkStart w:id="457" w:name="_Toc7245"/>
      <w:bookmarkStart w:id="458" w:name="_Toc11173"/>
      <w:r>
        <w:rPr>
          <w:rFonts w:hint="eastAsia" w:ascii="宋体" w:hAnsi="宋体" w:eastAsia="宋体" w:cs="宋体"/>
          <w:b/>
          <w:color w:val="auto"/>
          <w:sz w:val="22"/>
          <w:szCs w:val="22"/>
          <w:highlight w:val="none"/>
        </w:rPr>
        <w:t>1.8 合同生效</w:t>
      </w:r>
      <w:bookmarkEnd w:id="456"/>
      <w:bookmarkEnd w:id="457"/>
      <w:bookmarkEnd w:id="458"/>
    </w:p>
    <w:p w14:paraId="5A63B234">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本合同自双方当事人盖章或者签字时生效。</w:t>
      </w:r>
    </w:p>
    <w:p w14:paraId="4DC0E5FC">
      <w:pPr>
        <w:spacing w:line="360" w:lineRule="auto"/>
        <w:ind w:firstLine="514" w:firstLineChars="245"/>
        <w:rPr>
          <w:rFonts w:hint="eastAsia" w:ascii="宋体" w:hAnsi="宋体" w:eastAsia="宋体" w:cs="宋体"/>
          <w:color w:val="auto"/>
          <w:szCs w:val="21"/>
          <w:highlight w:val="none"/>
        </w:rPr>
      </w:pPr>
    </w:p>
    <w:p w14:paraId="3A424E54">
      <w:pPr>
        <w:autoSpaceDE w:val="0"/>
        <w:autoSpaceDN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b/>
          <w:color w:val="auto"/>
          <w:sz w:val="22"/>
          <w:szCs w:val="22"/>
          <w:highlight w:val="none"/>
          <w:lang w:val="zh-CN"/>
        </w:rPr>
        <w:t>甲方</w:t>
      </w:r>
      <w:r>
        <w:rPr>
          <w:rFonts w:hint="eastAsia" w:ascii="宋体" w:hAnsi="宋体" w:eastAsia="宋体" w:cs="宋体"/>
          <w:color w:val="auto"/>
          <w:sz w:val="22"/>
          <w:szCs w:val="22"/>
          <w:highlight w:val="none"/>
          <w:lang w:val="zh-CN"/>
        </w:rPr>
        <w:t xml:space="preserve">：                             </w:t>
      </w:r>
      <w:r>
        <w:rPr>
          <w:rFonts w:hint="eastAsia" w:ascii="宋体" w:hAnsi="宋体" w:eastAsia="宋体" w:cs="宋体"/>
          <w:b/>
          <w:color w:val="auto"/>
          <w:sz w:val="22"/>
          <w:szCs w:val="22"/>
          <w:highlight w:val="none"/>
          <w:lang w:val="zh-CN"/>
        </w:rPr>
        <w:t xml:space="preserve">      乙方</w:t>
      </w:r>
      <w:r>
        <w:rPr>
          <w:rFonts w:hint="eastAsia" w:ascii="宋体" w:hAnsi="宋体" w:eastAsia="宋体" w:cs="宋体"/>
          <w:color w:val="auto"/>
          <w:sz w:val="22"/>
          <w:szCs w:val="22"/>
          <w:highlight w:val="none"/>
          <w:lang w:val="zh-CN"/>
        </w:rPr>
        <w:t>：</w:t>
      </w:r>
    </w:p>
    <w:p w14:paraId="439FF15A">
      <w:pPr>
        <w:autoSpaceDE w:val="0"/>
        <w:autoSpaceDN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统一社会信用代码：                        统一社会信用代码或身份证号码：</w:t>
      </w:r>
    </w:p>
    <w:p w14:paraId="067FA1E8">
      <w:pPr>
        <w:autoSpaceDE w:val="0"/>
        <w:autoSpaceDN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住所：                                   住所：</w:t>
      </w:r>
    </w:p>
    <w:p w14:paraId="6CCEDC8A">
      <w:pPr>
        <w:autoSpaceDE w:val="0"/>
        <w:autoSpaceDN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法定代表人或                             法定代表人</w:t>
      </w:r>
    </w:p>
    <w:p w14:paraId="666B8BBF">
      <w:pPr>
        <w:autoSpaceDE w:val="0"/>
        <w:autoSpaceDN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 xml:space="preserve">授权代表（签字）：                        或授权代表（签字）: </w:t>
      </w:r>
    </w:p>
    <w:p w14:paraId="34EB223C">
      <w:pPr>
        <w:autoSpaceDE w:val="0"/>
        <w:autoSpaceDN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联系人：                                 联系人：</w:t>
      </w:r>
    </w:p>
    <w:p w14:paraId="69A2AAE5">
      <w:pPr>
        <w:autoSpaceDE w:val="0"/>
        <w:autoSpaceDN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约定送达地址：                           约定送达地址：</w:t>
      </w:r>
    </w:p>
    <w:p w14:paraId="4237EF2A">
      <w:pPr>
        <w:autoSpaceDE w:val="0"/>
        <w:autoSpaceDN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邮政编码：                               邮政编码：</w:t>
      </w:r>
    </w:p>
    <w:p w14:paraId="11159081">
      <w:pPr>
        <w:autoSpaceDE w:val="0"/>
        <w:autoSpaceDN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 xml:space="preserve">电话:                                    电话: </w:t>
      </w:r>
    </w:p>
    <w:p w14:paraId="58E6E6B5">
      <w:pPr>
        <w:autoSpaceDE w:val="0"/>
        <w:autoSpaceDN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传真:                                    传真:</w:t>
      </w:r>
    </w:p>
    <w:p w14:paraId="41EC3834">
      <w:pPr>
        <w:autoSpaceDE w:val="0"/>
        <w:autoSpaceDN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电子邮箱：                               电子邮箱：</w:t>
      </w:r>
    </w:p>
    <w:p w14:paraId="4F2E5151">
      <w:pPr>
        <w:autoSpaceDE w:val="0"/>
        <w:autoSpaceDN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开户银行：                               开户银行： </w:t>
      </w:r>
    </w:p>
    <w:p w14:paraId="5FAD3661">
      <w:pPr>
        <w:autoSpaceDE w:val="0"/>
        <w:autoSpaceDN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开户名称：                               开户名称： </w:t>
      </w:r>
    </w:p>
    <w:p w14:paraId="054F0B33">
      <w:pPr>
        <w:autoSpaceDE w:val="0"/>
        <w:autoSpaceDN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开户账号：</w:t>
      </w:r>
      <w:r>
        <w:rPr>
          <w:rFonts w:hint="eastAsia" w:ascii="宋体" w:hAnsi="宋体" w:eastAsia="宋体" w:cs="宋体"/>
          <w:color w:val="auto"/>
          <w:sz w:val="22"/>
          <w:szCs w:val="22"/>
          <w:highlight w:val="none"/>
          <w:lang w:val="zh-CN"/>
        </w:rPr>
        <w:t xml:space="preserve">                               </w:t>
      </w:r>
      <w:r>
        <w:rPr>
          <w:rFonts w:hint="eastAsia" w:ascii="宋体" w:hAnsi="宋体" w:eastAsia="宋体" w:cs="宋体"/>
          <w:color w:val="auto"/>
          <w:sz w:val="22"/>
          <w:szCs w:val="22"/>
          <w:highlight w:val="none"/>
        </w:rPr>
        <w:t>开户账号：</w:t>
      </w:r>
    </w:p>
    <w:p w14:paraId="4C94BEBC">
      <w:pPr>
        <w:spacing w:line="288" w:lineRule="auto"/>
        <w:rPr>
          <w:rFonts w:hint="eastAsia" w:ascii="宋体" w:hAnsi="宋体" w:eastAsia="宋体" w:cs="宋体"/>
          <w:color w:val="auto"/>
          <w:sz w:val="28"/>
          <w:highlight w:val="none"/>
        </w:rPr>
      </w:pPr>
      <w:r>
        <w:rPr>
          <w:rFonts w:hint="eastAsia" w:ascii="宋体" w:hAnsi="宋体" w:eastAsia="宋体" w:cs="宋体"/>
          <w:color w:val="auto"/>
          <w:sz w:val="28"/>
          <w:highlight w:val="none"/>
        </w:rPr>
        <w:tab/>
      </w:r>
    </w:p>
    <w:p w14:paraId="295402F2">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注：本合同作为示范文本，具体以中标供应商与采购人所签定正式合同为准。</w:t>
      </w:r>
    </w:p>
    <w:p w14:paraId="084AE4B7">
      <w:pPr>
        <w:spacing w:line="440" w:lineRule="atLeast"/>
        <w:rPr>
          <w:rFonts w:hint="eastAsia" w:ascii="宋体" w:hAnsi="宋体" w:eastAsia="宋体" w:cs="宋体"/>
          <w:color w:val="auto"/>
          <w:sz w:val="22"/>
          <w:szCs w:val="22"/>
          <w:highlight w:val="none"/>
        </w:rPr>
      </w:pPr>
    </w:p>
    <w:p w14:paraId="146A9108">
      <w:pPr>
        <w:spacing w:line="440" w:lineRule="atLeast"/>
        <w:rPr>
          <w:rFonts w:hint="eastAsia" w:ascii="宋体" w:hAnsi="宋体" w:eastAsia="宋体" w:cs="宋体"/>
          <w:b/>
          <w:bCs/>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"mailto:（合同签订后供应商须在2个工作日内将合同副本（原件）送达龙湾区公共资源交易中心采购科、合同扫描发至250453502@qq.com备案后方可退保证金）" </w:instrText>
      </w:r>
      <w:r>
        <w:rPr>
          <w:rFonts w:hint="eastAsia" w:ascii="宋体" w:hAnsi="宋体" w:eastAsia="宋体" w:cs="宋体"/>
          <w:color w:val="auto"/>
          <w:highlight w:val="none"/>
        </w:rPr>
        <w:fldChar w:fldCharType="separate"/>
      </w:r>
      <w:r>
        <w:rPr>
          <w:rStyle w:val="77"/>
          <w:rFonts w:hint="eastAsia" w:ascii="宋体" w:hAnsi="宋体" w:eastAsia="宋体" w:cs="宋体"/>
          <w:b/>
          <w:bCs/>
          <w:color w:val="auto"/>
          <w:sz w:val="22"/>
          <w:szCs w:val="22"/>
          <w:highlight w:val="none"/>
        </w:rPr>
        <w:t>（合同签订后供应商须将合同扫描发至513392567@qq.com邮箱备案）</w:t>
      </w:r>
      <w:r>
        <w:rPr>
          <w:rStyle w:val="77"/>
          <w:rFonts w:hint="eastAsia" w:ascii="宋体" w:hAnsi="宋体" w:eastAsia="宋体" w:cs="宋体"/>
          <w:b/>
          <w:bCs/>
          <w:color w:val="auto"/>
          <w:sz w:val="22"/>
          <w:szCs w:val="22"/>
          <w:highlight w:val="none"/>
        </w:rPr>
        <w:fldChar w:fldCharType="end"/>
      </w:r>
    </w:p>
    <w:p w14:paraId="5F004934">
      <w:pPr>
        <w:jc w:val="center"/>
        <w:rPr>
          <w:rFonts w:hint="eastAsia" w:ascii="宋体" w:hAnsi="宋体" w:eastAsia="宋体" w:cs="宋体"/>
          <w:b/>
          <w:color w:val="auto"/>
          <w:sz w:val="28"/>
          <w:szCs w:val="28"/>
          <w:highlight w:val="none"/>
        </w:rPr>
      </w:pPr>
      <w:r>
        <w:rPr>
          <w:rFonts w:hint="eastAsia" w:ascii="宋体" w:hAnsi="宋体" w:eastAsia="宋体" w:cs="宋体"/>
          <w:b/>
          <w:bCs/>
          <w:color w:val="auto"/>
          <w:highlight w:val="none"/>
        </w:rPr>
        <w:br w:type="page"/>
      </w:r>
      <w:r>
        <w:rPr>
          <w:rFonts w:hint="eastAsia" w:ascii="宋体" w:hAnsi="宋体" w:eastAsia="宋体" w:cs="宋体"/>
          <w:b/>
          <w:color w:val="auto"/>
          <w:sz w:val="28"/>
          <w:szCs w:val="28"/>
          <w:highlight w:val="none"/>
        </w:rPr>
        <w:t>合同一般条款</w:t>
      </w:r>
    </w:p>
    <w:p w14:paraId="64714766">
      <w:pPr>
        <w:spacing w:line="360" w:lineRule="auto"/>
        <w:ind w:firstLine="440" w:firstLineChars="200"/>
        <w:outlineLvl w:val="0"/>
        <w:rPr>
          <w:rFonts w:hint="eastAsia" w:ascii="宋体" w:hAnsi="宋体" w:eastAsia="宋体" w:cs="宋体"/>
          <w:b/>
          <w:color w:val="auto"/>
          <w:sz w:val="22"/>
          <w:szCs w:val="22"/>
          <w:highlight w:val="none"/>
        </w:rPr>
      </w:pPr>
      <w:bookmarkStart w:id="459" w:name="_Ref467379094"/>
      <w:bookmarkStart w:id="460" w:name="_Toc259093669"/>
      <w:bookmarkStart w:id="461" w:name="_Toc487900349"/>
      <w:bookmarkStart w:id="462" w:name="_Toc5873"/>
      <w:bookmarkStart w:id="463" w:name="_Toc23270"/>
      <w:bookmarkStart w:id="464" w:name="_Ref467379205"/>
      <w:bookmarkStart w:id="465" w:name="_Ref467379101"/>
      <w:bookmarkStart w:id="466" w:name="_Toc12315"/>
      <w:bookmarkStart w:id="467" w:name="_Toc19614"/>
      <w:bookmarkStart w:id="468" w:name="_Ref467378499"/>
      <w:bookmarkStart w:id="469" w:name="_Ref467379214"/>
      <w:bookmarkStart w:id="470" w:name="_Ref467379225"/>
      <w:bookmarkStart w:id="471" w:name="_Ref467379109"/>
      <w:bookmarkStart w:id="472" w:name="_Ref467378404"/>
      <w:bookmarkStart w:id="473" w:name="_Toc16917"/>
      <w:bookmarkStart w:id="474" w:name="_Ref467378463"/>
      <w:bookmarkStart w:id="475" w:name="_Toc28763"/>
      <w:bookmarkStart w:id="476" w:name="_Ref467379195"/>
      <w:bookmarkStart w:id="477" w:name="_Toc279701240"/>
      <w:r>
        <w:rPr>
          <w:rFonts w:hint="eastAsia" w:ascii="宋体" w:hAnsi="宋体" w:eastAsia="宋体" w:cs="宋体"/>
          <w:b/>
          <w:color w:val="auto"/>
          <w:sz w:val="22"/>
          <w:szCs w:val="22"/>
          <w:highlight w:val="none"/>
        </w:rPr>
        <w:t>2.1 定义</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14:paraId="6A04E86C">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本合同中的下列词语应按以下内容进行解释：</w:t>
      </w:r>
    </w:p>
    <w:p w14:paraId="6BFF647B">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2.1.1 “合同”系指采购人和成交供应商签订的载明双方当事人所达成的协议，并包括所有的附件、附录和构成合同的其他文件。</w:t>
      </w:r>
    </w:p>
    <w:p w14:paraId="76593B22">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2.1.2 “合同价”系指根据合同约定，成交供应商在完全履行合同义务后，采购人应支付给成交供应商的价格。</w:t>
      </w:r>
    </w:p>
    <w:p w14:paraId="018635BF">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2.1.3 “货物”系指成交供应商根据合同约定应向采购人交付的一切各种形态和种类的物品，包括原材料、燃料、设备、机械、仪表、备件、计算机软件、产品等，并包括工具、手册等其他相关资料。</w:t>
      </w:r>
    </w:p>
    <w:p w14:paraId="6189B668">
      <w:pPr>
        <w:spacing w:line="360" w:lineRule="auto"/>
        <w:ind w:firstLine="440" w:firstLineChars="200"/>
        <w:rPr>
          <w:rFonts w:hint="eastAsia" w:ascii="宋体" w:hAnsi="宋体" w:eastAsia="宋体" w:cs="宋体"/>
          <w:color w:val="auto"/>
          <w:sz w:val="22"/>
          <w:szCs w:val="22"/>
          <w:highlight w:val="none"/>
        </w:rPr>
      </w:pPr>
      <w:bookmarkStart w:id="478" w:name="_Ref467378840"/>
      <w:r>
        <w:rPr>
          <w:rFonts w:hint="eastAsia" w:ascii="宋体" w:hAnsi="宋体" w:eastAsia="宋体" w:cs="宋体"/>
          <w:color w:val="auto"/>
          <w:sz w:val="22"/>
          <w:szCs w:val="22"/>
          <w:highlight w:val="none"/>
        </w:rPr>
        <w:t>2.1.4 “甲方”系指与成交供应商签署合同的采购人</w:t>
      </w:r>
      <w:bookmarkEnd w:id="478"/>
      <w:r>
        <w:rPr>
          <w:rFonts w:hint="eastAsia" w:ascii="宋体" w:hAnsi="宋体" w:eastAsia="宋体" w:cs="宋体"/>
          <w:color w:val="auto"/>
          <w:sz w:val="22"/>
          <w:szCs w:val="22"/>
          <w:highlight w:val="none"/>
        </w:rPr>
        <w:t>；采购人委托采购代理机构代表其与乙方签订合同的，采购人的授权委托书作为合同附件。</w:t>
      </w:r>
    </w:p>
    <w:p w14:paraId="7ED80ECB">
      <w:pPr>
        <w:spacing w:line="360" w:lineRule="auto"/>
        <w:ind w:firstLine="440" w:firstLineChars="200"/>
        <w:rPr>
          <w:rFonts w:hint="eastAsia" w:ascii="宋体" w:hAnsi="宋体" w:eastAsia="宋体" w:cs="宋体"/>
          <w:color w:val="auto"/>
          <w:sz w:val="22"/>
          <w:szCs w:val="22"/>
          <w:highlight w:val="none"/>
        </w:rPr>
      </w:pPr>
      <w:bookmarkStart w:id="479" w:name="_Ref467379400"/>
      <w:r>
        <w:rPr>
          <w:rFonts w:hint="eastAsia" w:ascii="宋体" w:hAnsi="宋体" w:eastAsia="宋体" w:cs="宋体"/>
          <w:color w:val="auto"/>
          <w:sz w:val="22"/>
          <w:szCs w:val="22"/>
          <w:highlight w:val="none"/>
        </w:rPr>
        <w:t>2.1.5 “乙方”系指根据合同约定交付货物的</w:t>
      </w:r>
      <w:bookmarkEnd w:id="479"/>
      <w:r>
        <w:rPr>
          <w:rFonts w:hint="eastAsia" w:ascii="宋体" w:hAnsi="宋体" w:eastAsia="宋体" w:cs="宋体"/>
          <w:color w:val="auto"/>
          <w:sz w:val="22"/>
          <w:szCs w:val="22"/>
          <w:highlight w:val="none"/>
        </w:rPr>
        <w:t>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68AF9A6A">
      <w:pPr>
        <w:spacing w:line="360" w:lineRule="auto"/>
        <w:ind w:firstLine="440" w:firstLineChars="200"/>
        <w:rPr>
          <w:rFonts w:hint="eastAsia" w:ascii="宋体" w:hAnsi="宋体" w:eastAsia="宋体" w:cs="宋体"/>
          <w:color w:val="auto"/>
          <w:sz w:val="22"/>
          <w:szCs w:val="22"/>
          <w:highlight w:val="none"/>
        </w:rPr>
      </w:pPr>
      <w:bookmarkStart w:id="480" w:name="_Ref467379436"/>
      <w:r>
        <w:rPr>
          <w:rFonts w:hint="eastAsia" w:ascii="宋体" w:hAnsi="宋体" w:eastAsia="宋体" w:cs="宋体"/>
          <w:color w:val="auto"/>
          <w:sz w:val="22"/>
          <w:szCs w:val="22"/>
          <w:highlight w:val="none"/>
        </w:rPr>
        <w:t>2.1.6 “现场”系指合同约定货物将要运至或者安装的地点。</w:t>
      </w:r>
      <w:bookmarkEnd w:id="480"/>
    </w:p>
    <w:p w14:paraId="6534EC86">
      <w:pPr>
        <w:spacing w:line="360" w:lineRule="auto"/>
        <w:ind w:firstLine="440" w:firstLineChars="200"/>
        <w:outlineLvl w:val="0"/>
        <w:rPr>
          <w:rFonts w:hint="eastAsia" w:ascii="宋体" w:hAnsi="宋体" w:eastAsia="宋体" w:cs="宋体"/>
          <w:b/>
          <w:color w:val="auto"/>
          <w:sz w:val="22"/>
          <w:szCs w:val="22"/>
          <w:highlight w:val="none"/>
        </w:rPr>
      </w:pPr>
      <w:bookmarkStart w:id="481" w:name="_Toc259093670"/>
      <w:bookmarkStart w:id="482" w:name="_Toc27635"/>
      <w:bookmarkStart w:id="483" w:name="_Toc279701241"/>
      <w:bookmarkStart w:id="484" w:name="_Toc32504"/>
      <w:bookmarkStart w:id="485" w:name="_Toc5080"/>
      <w:bookmarkStart w:id="486" w:name="_Toc13336"/>
      <w:bookmarkStart w:id="487" w:name="_Toc15792"/>
      <w:bookmarkStart w:id="488" w:name="_Toc487900350"/>
      <w:bookmarkStart w:id="489" w:name="_Toc7029"/>
      <w:r>
        <w:rPr>
          <w:rFonts w:hint="eastAsia" w:ascii="宋体" w:hAnsi="宋体" w:eastAsia="宋体" w:cs="宋体"/>
          <w:b/>
          <w:color w:val="auto"/>
          <w:sz w:val="22"/>
          <w:szCs w:val="22"/>
          <w:highlight w:val="none"/>
        </w:rPr>
        <w:t>2.2 技术规范</w:t>
      </w:r>
      <w:bookmarkEnd w:id="481"/>
      <w:bookmarkEnd w:id="482"/>
      <w:bookmarkEnd w:id="483"/>
      <w:bookmarkEnd w:id="484"/>
      <w:bookmarkEnd w:id="485"/>
      <w:bookmarkEnd w:id="486"/>
      <w:bookmarkEnd w:id="487"/>
      <w:bookmarkEnd w:id="488"/>
      <w:bookmarkEnd w:id="489"/>
    </w:p>
    <w:p w14:paraId="3F26EA24">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C86188F">
      <w:pPr>
        <w:spacing w:line="360" w:lineRule="auto"/>
        <w:ind w:firstLine="440" w:firstLineChars="200"/>
        <w:outlineLvl w:val="0"/>
        <w:rPr>
          <w:rFonts w:hint="eastAsia" w:ascii="宋体" w:hAnsi="宋体" w:eastAsia="宋体" w:cs="宋体"/>
          <w:b/>
          <w:color w:val="auto"/>
          <w:sz w:val="22"/>
          <w:szCs w:val="22"/>
          <w:highlight w:val="none"/>
        </w:rPr>
      </w:pPr>
      <w:bookmarkStart w:id="490" w:name="_Toc27194"/>
      <w:bookmarkStart w:id="491" w:name="_Toc9829"/>
      <w:bookmarkStart w:id="492" w:name="_Toc259093671"/>
      <w:bookmarkStart w:id="493" w:name="_Toc487900351"/>
      <w:bookmarkStart w:id="494" w:name="_Toc27853"/>
      <w:bookmarkStart w:id="495" w:name="_Toc32146"/>
      <w:bookmarkStart w:id="496" w:name="_Toc23231"/>
      <w:bookmarkStart w:id="497" w:name="_Toc31634"/>
      <w:bookmarkStart w:id="498" w:name="_Toc279701242"/>
      <w:r>
        <w:rPr>
          <w:rFonts w:hint="eastAsia" w:ascii="宋体" w:hAnsi="宋体" w:eastAsia="宋体" w:cs="宋体"/>
          <w:b/>
          <w:color w:val="auto"/>
          <w:sz w:val="22"/>
          <w:szCs w:val="22"/>
          <w:highlight w:val="none"/>
        </w:rPr>
        <w:t>2.3 知识产权</w:t>
      </w:r>
      <w:bookmarkEnd w:id="490"/>
      <w:bookmarkEnd w:id="491"/>
      <w:bookmarkEnd w:id="492"/>
      <w:bookmarkEnd w:id="493"/>
      <w:bookmarkEnd w:id="494"/>
      <w:bookmarkEnd w:id="495"/>
      <w:bookmarkEnd w:id="496"/>
      <w:bookmarkEnd w:id="497"/>
      <w:bookmarkEnd w:id="498"/>
    </w:p>
    <w:p w14:paraId="17F7B73E">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eastAsia="宋体" w:cs="宋体"/>
          <w:color w:val="auto"/>
          <w:sz w:val="22"/>
          <w:szCs w:val="22"/>
          <w:highlight w:val="none"/>
          <w:lang w:eastAsia="zh-Hans"/>
        </w:rPr>
        <w:t>因乙方没有履行上述义务造成甲方被第三方追责或损失的，所有责任与损失均由乙方承担，如甲方先行承担的，有权向乙方追偿。</w:t>
      </w:r>
    </w:p>
    <w:p w14:paraId="2EC1AD67">
      <w:pPr>
        <w:spacing w:line="360" w:lineRule="auto"/>
        <w:ind w:firstLine="440" w:firstLineChars="200"/>
        <w:outlineLvl w:val="0"/>
        <w:rPr>
          <w:rFonts w:hint="eastAsia" w:ascii="宋体" w:hAnsi="宋体" w:eastAsia="宋体" w:cs="宋体"/>
          <w:b/>
          <w:color w:val="auto"/>
          <w:sz w:val="22"/>
          <w:szCs w:val="22"/>
          <w:highlight w:val="none"/>
        </w:rPr>
      </w:pPr>
      <w:bookmarkStart w:id="499" w:name="_Toc11969"/>
      <w:bookmarkStart w:id="500" w:name="_Toc3901"/>
      <w:bookmarkStart w:id="501" w:name="_Toc2789"/>
      <w:bookmarkStart w:id="502" w:name="_Toc4194"/>
      <w:bookmarkStart w:id="503" w:name="_Toc11932"/>
      <w:bookmarkStart w:id="504" w:name="_Toc29149"/>
      <w:r>
        <w:rPr>
          <w:rFonts w:hint="eastAsia" w:ascii="宋体" w:hAnsi="宋体" w:eastAsia="宋体" w:cs="宋体"/>
          <w:b/>
          <w:color w:val="auto"/>
          <w:sz w:val="22"/>
          <w:szCs w:val="22"/>
          <w:highlight w:val="none"/>
        </w:rPr>
        <w:t>2.4 包装和装运</w:t>
      </w:r>
      <w:bookmarkEnd w:id="499"/>
      <w:bookmarkEnd w:id="500"/>
      <w:bookmarkEnd w:id="501"/>
      <w:bookmarkEnd w:id="502"/>
      <w:bookmarkEnd w:id="503"/>
      <w:bookmarkEnd w:id="504"/>
    </w:p>
    <w:p w14:paraId="044C8BB6">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2.4.1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677924F3">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1269C9FA">
      <w:pPr>
        <w:spacing w:line="360" w:lineRule="auto"/>
        <w:ind w:firstLine="440" w:firstLineChars="200"/>
        <w:outlineLvl w:val="0"/>
        <w:rPr>
          <w:rFonts w:hint="eastAsia" w:ascii="宋体" w:hAnsi="宋体" w:eastAsia="宋体" w:cs="宋体"/>
          <w:b/>
          <w:color w:val="auto"/>
          <w:sz w:val="22"/>
          <w:szCs w:val="22"/>
          <w:highlight w:val="none"/>
        </w:rPr>
      </w:pPr>
      <w:bookmarkStart w:id="505" w:name="_Ref467378541"/>
      <w:bookmarkStart w:id="506" w:name="_Ref467378591"/>
      <w:bookmarkStart w:id="507" w:name="_Toc259093674"/>
      <w:bookmarkStart w:id="508" w:name="_Toc487900354"/>
      <w:bookmarkStart w:id="509" w:name="_Ref467379527"/>
      <w:bookmarkStart w:id="510" w:name="_Ref467379536"/>
      <w:bookmarkStart w:id="511" w:name="_Ref467379542"/>
      <w:bookmarkStart w:id="512" w:name="_Toc279701245"/>
      <w:bookmarkStart w:id="513" w:name="_Toc26182"/>
      <w:bookmarkStart w:id="514" w:name="_Toc23863"/>
      <w:bookmarkStart w:id="515" w:name="_Toc6744"/>
      <w:bookmarkStart w:id="516" w:name="_Toc30272"/>
      <w:bookmarkStart w:id="517" w:name="_Toc26647"/>
      <w:bookmarkStart w:id="518" w:name="_Toc19074"/>
      <w:r>
        <w:rPr>
          <w:rFonts w:hint="eastAsia" w:ascii="宋体" w:hAnsi="宋体" w:eastAsia="宋体" w:cs="宋体"/>
          <w:b/>
          <w:color w:val="auto"/>
          <w:sz w:val="22"/>
          <w:szCs w:val="22"/>
          <w:highlight w:val="none"/>
        </w:rPr>
        <w:t>2.</w:t>
      </w:r>
      <w:bookmarkEnd w:id="505"/>
      <w:bookmarkEnd w:id="506"/>
      <w:bookmarkEnd w:id="507"/>
      <w:bookmarkEnd w:id="508"/>
      <w:bookmarkEnd w:id="509"/>
      <w:bookmarkEnd w:id="510"/>
      <w:bookmarkEnd w:id="511"/>
      <w:bookmarkEnd w:id="512"/>
      <w:r>
        <w:rPr>
          <w:rFonts w:hint="eastAsia" w:ascii="宋体" w:hAnsi="宋体" w:eastAsia="宋体" w:cs="宋体"/>
          <w:b/>
          <w:color w:val="auto"/>
          <w:sz w:val="22"/>
          <w:szCs w:val="22"/>
          <w:highlight w:val="none"/>
        </w:rPr>
        <w:t>5 履约检查和问题反馈</w:t>
      </w:r>
      <w:bookmarkEnd w:id="513"/>
      <w:bookmarkEnd w:id="514"/>
      <w:bookmarkEnd w:id="515"/>
      <w:bookmarkEnd w:id="516"/>
      <w:bookmarkEnd w:id="517"/>
      <w:bookmarkEnd w:id="518"/>
    </w:p>
    <w:p w14:paraId="3D903F84">
      <w:pPr>
        <w:spacing w:line="360" w:lineRule="auto"/>
        <w:ind w:firstLine="440" w:firstLineChars="200"/>
        <w:rPr>
          <w:rFonts w:hint="eastAsia" w:ascii="宋体" w:hAnsi="宋体" w:eastAsia="宋体" w:cs="宋体"/>
          <w:color w:val="auto"/>
          <w:sz w:val="22"/>
          <w:szCs w:val="22"/>
          <w:highlight w:val="none"/>
        </w:rPr>
      </w:pPr>
      <w:bookmarkStart w:id="519" w:name="_Ref467379657"/>
      <w:r>
        <w:rPr>
          <w:rFonts w:hint="eastAsia" w:ascii="宋体" w:hAnsi="宋体" w:eastAsia="宋体" w:cs="宋体"/>
          <w:color w:val="auto"/>
          <w:sz w:val="22"/>
          <w:szCs w:val="22"/>
          <w:highlight w:val="none"/>
        </w:rPr>
        <w:t>2.5.1</w:t>
      </w:r>
      <w:bookmarkEnd w:id="519"/>
      <w:bookmarkStart w:id="520" w:name="_Toc186431854"/>
      <w:bookmarkStart w:id="521" w:name="_Ref467379793"/>
      <w:bookmarkStart w:id="522" w:name="_Toc487900357"/>
      <w:bookmarkStart w:id="523" w:name="_Toc259093676"/>
      <w:bookmarkStart w:id="524" w:name="_Ref467379807"/>
      <w:bookmarkStart w:id="525" w:name="_Toc279701247"/>
      <w:r>
        <w:rPr>
          <w:rFonts w:hint="eastAsia" w:ascii="宋体" w:hAnsi="宋体" w:eastAsia="宋体" w:cs="宋体"/>
          <w:color w:val="auto"/>
          <w:sz w:val="22"/>
          <w:szCs w:val="22"/>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2F18EB28">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2.5.2 合同履行期间，甲方有权将履行过程中出现的问题反馈给乙方，双方当事人应以书面形式约定需要完善和改进的内容</w:t>
      </w:r>
      <w:bookmarkEnd w:id="520"/>
      <w:bookmarkStart w:id="526" w:name="_Toc186431855"/>
      <w:r>
        <w:rPr>
          <w:rFonts w:hint="eastAsia" w:ascii="宋体" w:hAnsi="宋体" w:eastAsia="宋体" w:cs="宋体"/>
          <w:color w:val="auto"/>
          <w:sz w:val="22"/>
          <w:szCs w:val="22"/>
          <w:highlight w:val="none"/>
        </w:rPr>
        <w:t>。</w:t>
      </w:r>
    </w:p>
    <w:bookmarkEnd w:id="521"/>
    <w:bookmarkEnd w:id="522"/>
    <w:bookmarkEnd w:id="523"/>
    <w:bookmarkEnd w:id="524"/>
    <w:bookmarkEnd w:id="525"/>
    <w:bookmarkEnd w:id="526"/>
    <w:p w14:paraId="3AA2B0CF">
      <w:pPr>
        <w:spacing w:line="360" w:lineRule="auto"/>
        <w:ind w:firstLine="440" w:firstLineChars="200"/>
        <w:outlineLvl w:val="0"/>
        <w:rPr>
          <w:rFonts w:hint="eastAsia" w:ascii="宋体" w:hAnsi="宋体" w:eastAsia="宋体" w:cs="宋体"/>
          <w:b/>
          <w:color w:val="auto"/>
          <w:sz w:val="22"/>
          <w:szCs w:val="22"/>
          <w:highlight w:val="none"/>
        </w:rPr>
      </w:pPr>
      <w:bookmarkStart w:id="527" w:name="_Ref467379863"/>
      <w:bookmarkStart w:id="528" w:name="_Toc279701248"/>
      <w:bookmarkStart w:id="529" w:name="_Toc259093677"/>
      <w:bookmarkStart w:id="530" w:name="_Toc487900358"/>
      <w:bookmarkStart w:id="531" w:name="_Ref467379923"/>
      <w:bookmarkStart w:id="532" w:name="_Ref467379852"/>
      <w:bookmarkStart w:id="533" w:name="_Toc774"/>
      <w:bookmarkStart w:id="534" w:name="_Toc17794"/>
      <w:bookmarkStart w:id="535" w:name="_Toc16110"/>
      <w:bookmarkStart w:id="536" w:name="_Toc6921"/>
      <w:bookmarkStart w:id="537" w:name="_Toc3225"/>
      <w:bookmarkStart w:id="538" w:name="_Toc16638"/>
      <w:r>
        <w:rPr>
          <w:rFonts w:hint="eastAsia" w:ascii="宋体" w:hAnsi="宋体" w:eastAsia="宋体" w:cs="宋体"/>
          <w:b/>
          <w:color w:val="auto"/>
          <w:sz w:val="22"/>
          <w:szCs w:val="22"/>
          <w:highlight w:val="none"/>
        </w:rPr>
        <w:t>2.6 技术资料</w:t>
      </w:r>
      <w:bookmarkEnd w:id="527"/>
      <w:bookmarkEnd w:id="528"/>
      <w:bookmarkEnd w:id="529"/>
      <w:bookmarkEnd w:id="530"/>
      <w:bookmarkEnd w:id="531"/>
      <w:bookmarkEnd w:id="532"/>
      <w:r>
        <w:rPr>
          <w:rFonts w:hint="eastAsia" w:ascii="宋体" w:hAnsi="宋体" w:eastAsia="宋体" w:cs="宋体"/>
          <w:b/>
          <w:color w:val="auto"/>
          <w:sz w:val="22"/>
          <w:szCs w:val="22"/>
          <w:highlight w:val="none"/>
        </w:rPr>
        <w:t>和保密义务</w:t>
      </w:r>
      <w:bookmarkEnd w:id="533"/>
      <w:bookmarkEnd w:id="534"/>
      <w:bookmarkEnd w:id="535"/>
      <w:bookmarkEnd w:id="536"/>
      <w:bookmarkEnd w:id="537"/>
      <w:bookmarkEnd w:id="538"/>
    </w:p>
    <w:p w14:paraId="6977B0EE">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2.6.1 乙方有权依据合同约定和项目需要，向甲方了解有关情况，调阅有关资料等，甲方应予积极配合；</w:t>
      </w:r>
    </w:p>
    <w:p w14:paraId="01BE638A">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2.6.2 乙方有义务妥善保管和保护由甲方提供的前款信息和资料等；</w:t>
      </w:r>
    </w:p>
    <w:p w14:paraId="26AEE97C">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2D4DD48">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2.6.4 造成泄密事件的，有过错的一方应当承担有关法律责任，并赔偿相应经济损失。双方当事人都有过错的，各自承担相应的责任。</w:t>
      </w:r>
    </w:p>
    <w:p w14:paraId="51411E51">
      <w:pPr>
        <w:spacing w:line="360" w:lineRule="auto"/>
        <w:ind w:firstLine="440" w:firstLineChars="200"/>
        <w:outlineLvl w:val="0"/>
        <w:rPr>
          <w:rFonts w:hint="eastAsia" w:ascii="宋体" w:hAnsi="宋体" w:eastAsia="宋体" w:cs="宋体"/>
          <w:b/>
          <w:color w:val="auto"/>
          <w:sz w:val="22"/>
          <w:szCs w:val="22"/>
          <w:highlight w:val="none"/>
        </w:rPr>
      </w:pPr>
      <w:bookmarkStart w:id="539" w:name="_Toc28670"/>
      <w:bookmarkStart w:id="540" w:name="_Toc19011"/>
      <w:bookmarkStart w:id="541" w:name="_Toc7860"/>
      <w:bookmarkStart w:id="542" w:name="_Toc17512"/>
      <w:r>
        <w:rPr>
          <w:rFonts w:hint="eastAsia" w:ascii="宋体" w:hAnsi="宋体" w:eastAsia="宋体" w:cs="宋体"/>
          <w:b/>
          <w:color w:val="auto"/>
          <w:sz w:val="22"/>
          <w:szCs w:val="22"/>
          <w:highlight w:val="none"/>
        </w:rPr>
        <w:t>2.7 质量保证</w:t>
      </w:r>
      <w:bookmarkEnd w:id="539"/>
      <w:bookmarkEnd w:id="540"/>
      <w:bookmarkEnd w:id="541"/>
      <w:bookmarkEnd w:id="542"/>
    </w:p>
    <w:p w14:paraId="77B0BF24">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2.7.1 乙方应建立和完善履行合同的内部质量保证体系，并提供相关内部规章制度给甲方，以便甲方进行监督检查；</w:t>
      </w:r>
    </w:p>
    <w:p w14:paraId="5EB28188">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2.7.2 乙方应保证履行合同的人员数量和素质、软件和硬件设备的配置、场地、环境和设施等满足全面履行合同的要求，并应接受甲方的监督检查。</w:t>
      </w:r>
    </w:p>
    <w:p w14:paraId="359DF74F">
      <w:pPr>
        <w:spacing w:line="360" w:lineRule="auto"/>
        <w:ind w:firstLine="440" w:firstLineChars="200"/>
        <w:outlineLvl w:val="0"/>
        <w:rPr>
          <w:rFonts w:hint="eastAsia" w:ascii="宋体" w:hAnsi="宋体" w:eastAsia="宋体" w:cs="宋体"/>
          <w:b/>
          <w:color w:val="auto"/>
          <w:sz w:val="22"/>
          <w:szCs w:val="22"/>
          <w:highlight w:val="none"/>
        </w:rPr>
      </w:pPr>
      <w:bookmarkStart w:id="543" w:name="_Toc21595"/>
      <w:bookmarkStart w:id="544" w:name="_Toc21782"/>
      <w:bookmarkStart w:id="545" w:name="_Toc30094"/>
      <w:bookmarkStart w:id="546" w:name="_Toc17244"/>
      <w:bookmarkStart w:id="547" w:name="_Toc259093681"/>
      <w:bookmarkStart w:id="548" w:name="_Toc279701252"/>
      <w:bookmarkStart w:id="549" w:name="_Toc487900362"/>
      <w:r>
        <w:rPr>
          <w:rFonts w:hint="eastAsia" w:ascii="宋体" w:hAnsi="宋体" w:eastAsia="宋体" w:cs="宋体"/>
          <w:b/>
          <w:color w:val="auto"/>
          <w:sz w:val="22"/>
          <w:szCs w:val="22"/>
          <w:highlight w:val="none"/>
        </w:rPr>
        <w:t>2.8 货物的风险负担</w:t>
      </w:r>
      <w:bookmarkEnd w:id="543"/>
      <w:bookmarkEnd w:id="544"/>
      <w:bookmarkEnd w:id="545"/>
      <w:bookmarkEnd w:id="546"/>
    </w:p>
    <w:p w14:paraId="1880B4E6">
      <w:pPr>
        <w:spacing w:line="360" w:lineRule="auto"/>
        <w:ind w:firstLine="440" w:firstLineChars="20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货物或者在途货物或者交付给第一承运人后的货物毁损、灭失的风险由乙方负担。</w:t>
      </w:r>
    </w:p>
    <w:p w14:paraId="4A223E98">
      <w:pPr>
        <w:spacing w:line="360" w:lineRule="auto"/>
        <w:ind w:firstLine="440" w:firstLineChars="200"/>
        <w:outlineLvl w:val="0"/>
        <w:rPr>
          <w:rFonts w:hint="eastAsia" w:ascii="宋体" w:hAnsi="宋体" w:eastAsia="宋体" w:cs="宋体"/>
          <w:b/>
          <w:color w:val="auto"/>
          <w:sz w:val="22"/>
          <w:szCs w:val="22"/>
          <w:highlight w:val="none"/>
        </w:rPr>
      </w:pPr>
      <w:bookmarkStart w:id="550" w:name="_Toc21812"/>
      <w:bookmarkStart w:id="551" w:name="_Toc14055"/>
      <w:bookmarkStart w:id="552" w:name="_Toc1178"/>
      <w:bookmarkStart w:id="553" w:name="_Toc7389"/>
      <w:r>
        <w:rPr>
          <w:rFonts w:hint="eastAsia" w:ascii="宋体" w:hAnsi="宋体" w:eastAsia="宋体" w:cs="宋体"/>
          <w:b/>
          <w:color w:val="auto"/>
          <w:sz w:val="22"/>
          <w:szCs w:val="22"/>
          <w:highlight w:val="none"/>
        </w:rPr>
        <w:t>2.9 延迟交货</w:t>
      </w:r>
      <w:bookmarkEnd w:id="547"/>
      <w:bookmarkEnd w:id="548"/>
      <w:bookmarkEnd w:id="549"/>
      <w:bookmarkEnd w:id="550"/>
      <w:bookmarkEnd w:id="551"/>
      <w:bookmarkEnd w:id="552"/>
      <w:bookmarkEnd w:id="553"/>
    </w:p>
    <w:p w14:paraId="688D7CEA">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在合同履行过程中，如果乙方遇到不能按时交付货物的情况，应在1个工作日内以书面形式将不能按时交付货物的理由、预期延误时间通知甲方；甲方收到乙方通知后，认为其理由正当的，可以书面形式酌情同意乙方可以延长交货的具体时间。</w:t>
      </w:r>
    </w:p>
    <w:p w14:paraId="1AB9B8B1">
      <w:pPr>
        <w:spacing w:line="360" w:lineRule="auto"/>
        <w:ind w:firstLine="440" w:firstLineChars="200"/>
        <w:outlineLvl w:val="0"/>
        <w:rPr>
          <w:rFonts w:hint="eastAsia" w:ascii="宋体" w:hAnsi="宋体" w:eastAsia="宋体" w:cs="宋体"/>
          <w:b/>
          <w:color w:val="auto"/>
          <w:sz w:val="22"/>
          <w:szCs w:val="22"/>
          <w:highlight w:val="none"/>
        </w:rPr>
      </w:pPr>
      <w:bookmarkStart w:id="554" w:name="_Toc1926"/>
      <w:bookmarkStart w:id="555" w:name="_Toc12868"/>
      <w:bookmarkStart w:id="556" w:name="_Toc7502"/>
      <w:bookmarkStart w:id="557" w:name="_Toc11358"/>
      <w:bookmarkStart w:id="558" w:name="_Ref467378121"/>
      <w:bookmarkStart w:id="559" w:name="_Toc487900364"/>
      <w:bookmarkStart w:id="560" w:name="_Toc259093683"/>
      <w:bookmarkStart w:id="561" w:name="_Toc279701254"/>
      <w:r>
        <w:rPr>
          <w:rFonts w:hint="eastAsia" w:ascii="宋体" w:hAnsi="宋体" w:eastAsia="宋体" w:cs="宋体"/>
          <w:b/>
          <w:color w:val="auto"/>
          <w:sz w:val="22"/>
          <w:szCs w:val="22"/>
          <w:highlight w:val="none"/>
        </w:rPr>
        <w:t>2.10 合同变更</w:t>
      </w:r>
      <w:bookmarkEnd w:id="554"/>
      <w:bookmarkEnd w:id="555"/>
      <w:bookmarkEnd w:id="556"/>
      <w:bookmarkEnd w:id="557"/>
    </w:p>
    <w:p w14:paraId="23FDE922">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合同继续履行将损害国家利益和社会公共利益的，双方当事人应当以书面形式变更合同。有过错的一方应当承担赔偿责任，双方当事人都有过错的，各自承担相应的责任。</w:t>
      </w:r>
      <w:bookmarkStart w:id="562" w:name="_Toc259093688"/>
      <w:bookmarkStart w:id="563" w:name="_Toc279701259"/>
      <w:bookmarkStart w:id="564" w:name="_Toc487900369"/>
    </w:p>
    <w:p w14:paraId="37BB4A83">
      <w:pPr>
        <w:spacing w:line="360" w:lineRule="auto"/>
        <w:ind w:firstLine="440" w:firstLineChars="200"/>
        <w:outlineLvl w:val="0"/>
        <w:rPr>
          <w:rFonts w:hint="eastAsia" w:ascii="宋体" w:hAnsi="宋体" w:eastAsia="宋体" w:cs="宋体"/>
          <w:b/>
          <w:color w:val="auto"/>
          <w:sz w:val="22"/>
          <w:szCs w:val="22"/>
          <w:highlight w:val="none"/>
        </w:rPr>
      </w:pPr>
      <w:bookmarkStart w:id="565" w:name="_Toc22955"/>
      <w:bookmarkStart w:id="566" w:name="_Toc179"/>
      <w:bookmarkStart w:id="567" w:name="_Toc10366"/>
      <w:bookmarkStart w:id="568" w:name="_Toc23878"/>
      <w:bookmarkStart w:id="569" w:name="_Toc15237"/>
      <w:bookmarkStart w:id="570" w:name="_Toc13440"/>
      <w:r>
        <w:rPr>
          <w:rFonts w:hint="eastAsia" w:ascii="宋体" w:hAnsi="宋体" w:eastAsia="宋体" w:cs="宋体"/>
          <w:b/>
          <w:color w:val="auto"/>
          <w:sz w:val="22"/>
          <w:szCs w:val="22"/>
          <w:highlight w:val="none"/>
        </w:rPr>
        <w:t>2.11 合同转让</w:t>
      </w:r>
      <w:bookmarkEnd w:id="562"/>
      <w:bookmarkEnd w:id="563"/>
      <w:bookmarkEnd w:id="564"/>
      <w:r>
        <w:rPr>
          <w:rFonts w:hint="eastAsia" w:ascii="宋体" w:hAnsi="宋体" w:eastAsia="宋体" w:cs="宋体"/>
          <w:b/>
          <w:color w:val="auto"/>
          <w:sz w:val="22"/>
          <w:szCs w:val="22"/>
          <w:highlight w:val="none"/>
        </w:rPr>
        <w:t>和分包</w:t>
      </w:r>
      <w:bookmarkEnd w:id="565"/>
      <w:bookmarkEnd w:id="566"/>
      <w:bookmarkEnd w:id="567"/>
      <w:bookmarkEnd w:id="568"/>
      <w:bookmarkEnd w:id="569"/>
      <w:bookmarkEnd w:id="570"/>
    </w:p>
    <w:p w14:paraId="79BB2F72">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2.11.1不得转让和分包。</w:t>
      </w:r>
    </w:p>
    <w:p w14:paraId="72A1C366">
      <w:pPr>
        <w:spacing w:line="360" w:lineRule="auto"/>
        <w:ind w:firstLine="440" w:firstLineChars="200"/>
        <w:outlineLvl w:val="0"/>
        <w:rPr>
          <w:rFonts w:hint="eastAsia" w:ascii="宋体" w:hAnsi="宋体" w:eastAsia="宋体" w:cs="宋体"/>
          <w:b/>
          <w:color w:val="auto"/>
          <w:sz w:val="22"/>
          <w:szCs w:val="22"/>
          <w:highlight w:val="none"/>
        </w:rPr>
      </w:pPr>
      <w:bookmarkStart w:id="571" w:name="_Toc17996"/>
      <w:bookmarkStart w:id="572" w:name="_Toc6282"/>
      <w:bookmarkStart w:id="573" w:name="_Toc25454"/>
      <w:bookmarkStart w:id="574" w:name="_Toc16508"/>
      <w:bookmarkStart w:id="575" w:name="_Toc13566"/>
      <w:bookmarkStart w:id="576" w:name="_Toc14066"/>
      <w:r>
        <w:rPr>
          <w:rFonts w:hint="eastAsia" w:ascii="宋体" w:hAnsi="宋体" w:eastAsia="宋体" w:cs="宋体"/>
          <w:b/>
          <w:color w:val="auto"/>
          <w:sz w:val="22"/>
          <w:szCs w:val="22"/>
          <w:highlight w:val="none"/>
        </w:rPr>
        <w:t>2.12 不可抗力</w:t>
      </w:r>
      <w:bookmarkEnd w:id="571"/>
      <w:bookmarkEnd w:id="572"/>
      <w:bookmarkEnd w:id="573"/>
      <w:bookmarkEnd w:id="574"/>
      <w:bookmarkEnd w:id="575"/>
      <w:bookmarkEnd w:id="576"/>
    </w:p>
    <w:p w14:paraId="130A9293">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2.12.1如果任何一方遭遇法律规定的不可抗力，致使合同履行受阻时，履行合同的期限应予延长，延长的期限应相当于不可抗力所影响的时间；</w:t>
      </w:r>
    </w:p>
    <w:p w14:paraId="6D9D789C">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2.12.2 因不可抗力致使不能实现合同目的的，当事人可以解除合同；</w:t>
      </w:r>
    </w:p>
    <w:p w14:paraId="6FBF6A55">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2.12.3 因不可抗力致使合同有变更必要的，双方当事人应在</w:t>
      </w:r>
      <w:r>
        <w:rPr>
          <w:rFonts w:hint="eastAsia" w:ascii="宋体" w:hAnsi="宋体" w:eastAsia="宋体" w:cs="宋体"/>
          <w:b/>
          <w:bCs/>
          <w:color w:val="auto"/>
          <w:sz w:val="22"/>
          <w:szCs w:val="22"/>
          <w:highlight w:val="none"/>
          <w:u w:val="single"/>
        </w:rPr>
        <w:t>10个工作日内</w:t>
      </w:r>
      <w:r>
        <w:rPr>
          <w:rFonts w:hint="eastAsia" w:ascii="宋体" w:hAnsi="宋体" w:eastAsia="宋体" w:cs="宋体"/>
          <w:color w:val="auto"/>
          <w:sz w:val="22"/>
          <w:szCs w:val="22"/>
          <w:highlight w:val="none"/>
        </w:rPr>
        <w:t>约定时间内以书面形式变更合同；</w:t>
      </w:r>
    </w:p>
    <w:p w14:paraId="09903293">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2.12.4受不可抗力影响的一方在不可抗力发生后，应在</w:t>
      </w:r>
      <w:r>
        <w:rPr>
          <w:rFonts w:hint="eastAsia" w:ascii="宋体" w:hAnsi="宋体" w:eastAsia="宋体" w:cs="宋体"/>
          <w:b/>
          <w:iCs/>
          <w:color w:val="auto"/>
          <w:sz w:val="22"/>
          <w:szCs w:val="22"/>
          <w:highlight w:val="none"/>
          <w:u w:val="single"/>
        </w:rPr>
        <w:t>1个工作日内</w:t>
      </w:r>
      <w:r>
        <w:rPr>
          <w:rFonts w:hint="eastAsia" w:ascii="宋体" w:hAnsi="宋体" w:eastAsia="宋体" w:cs="宋体"/>
          <w:color w:val="auto"/>
          <w:sz w:val="22"/>
          <w:szCs w:val="22"/>
          <w:highlight w:val="none"/>
        </w:rPr>
        <w:t>以书面形式通知对方当事人，并在</w:t>
      </w:r>
      <w:r>
        <w:rPr>
          <w:rFonts w:hint="eastAsia" w:ascii="宋体" w:hAnsi="宋体" w:eastAsia="宋体" w:cs="宋体"/>
          <w:b/>
          <w:bCs/>
          <w:color w:val="auto"/>
          <w:sz w:val="22"/>
          <w:szCs w:val="22"/>
          <w:highlight w:val="none"/>
          <w:u w:val="single"/>
        </w:rPr>
        <w:t>事故发生后10个工作日内</w:t>
      </w:r>
      <w:r>
        <w:rPr>
          <w:rFonts w:hint="eastAsia" w:ascii="宋体" w:hAnsi="宋体" w:eastAsia="宋体" w:cs="宋体"/>
          <w:color w:val="auto"/>
          <w:sz w:val="22"/>
          <w:szCs w:val="22"/>
          <w:highlight w:val="none"/>
        </w:rPr>
        <w:t>约定时间内，将有关部门出具的证明文件送达对方当事人。</w:t>
      </w:r>
    </w:p>
    <w:p w14:paraId="1D98CA9F">
      <w:pPr>
        <w:spacing w:line="360" w:lineRule="auto"/>
        <w:ind w:firstLine="440" w:firstLineChars="200"/>
        <w:outlineLvl w:val="0"/>
        <w:rPr>
          <w:rFonts w:hint="eastAsia" w:ascii="宋体" w:hAnsi="宋体" w:eastAsia="宋体" w:cs="宋体"/>
          <w:b/>
          <w:color w:val="auto"/>
          <w:sz w:val="22"/>
          <w:szCs w:val="22"/>
          <w:highlight w:val="none"/>
        </w:rPr>
      </w:pPr>
      <w:bookmarkStart w:id="577" w:name="_Toc279701255"/>
      <w:bookmarkStart w:id="578" w:name="_Toc487900365"/>
      <w:bookmarkStart w:id="579" w:name="_Toc259093684"/>
      <w:bookmarkStart w:id="580" w:name="_Toc27483"/>
      <w:bookmarkStart w:id="581" w:name="_Toc6969"/>
      <w:bookmarkStart w:id="582" w:name="_Toc2572"/>
      <w:bookmarkStart w:id="583" w:name="_Toc30676"/>
      <w:bookmarkStart w:id="584" w:name="_Toc689"/>
      <w:bookmarkStart w:id="585" w:name="_Toc28692"/>
      <w:r>
        <w:rPr>
          <w:rFonts w:hint="eastAsia" w:ascii="宋体" w:hAnsi="宋体" w:eastAsia="宋体" w:cs="宋体"/>
          <w:b/>
          <w:color w:val="auto"/>
          <w:sz w:val="22"/>
          <w:szCs w:val="22"/>
          <w:highlight w:val="none"/>
        </w:rPr>
        <w:t>2.13 税费</w:t>
      </w:r>
      <w:bookmarkEnd w:id="577"/>
      <w:bookmarkEnd w:id="578"/>
      <w:bookmarkEnd w:id="579"/>
      <w:bookmarkEnd w:id="580"/>
      <w:bookmarkEnd w:id="581"/>
      <w:bookmarkEnd w:id="582"/>
      <w:bookmarkEnd w:id="583"/>
      <w:bookmarkEnd w:id="584"/>
      <w:bookmarkEnd w:id="585"/>
    </w:p>
    <w:p w14:paraId="15DA7AA6">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与合同有关的一切税费，均按照中华人民共和国法律的相关规定。</w:t>
      </w:r>
    </w:p>
    <w:p w14:paraId="324FB5B5">
      <w:pPr>
        <w:spacing w:line="360" w:lineRule="auto"/>
        <w:ind w:firstLine="440" w:firstLineChars="200"/>
        <w:outlineLvl w:val="0"/>
        <w:rPr>
          <w:rFonts w:hint="eastAsia" w:ascii="宋体" w:hAnsi="宋体" w:eastAsia="宋体" w:cs="宋体"/>
          <w:b/>
          <w:color w:val="auto"/>
          <w:sz w:val="22"/>
          <w:szCs w:val="22"/>
          <w:highlight w:val="none"/>
        </w:rPr>
      </w:pPr>
      <w:bookmarkStart w:id="586" w:name="_Toc19338"/>
      <w:bookmarkStart w:id="587" w:name="_Toc30363"/>
      <w:bookmarkStart w:id="588" w:name="_Toc16959"/>
      <w:bookmarkStart w:id="589" w:name="_Toc8298"/>
      <w:bookmarkStart w:id="590" w:name="_Toc259093687"/>
      <w:bookmarkStart w:id="591" w:name="_Toc28545"/>
      <w:bookmarkStart w:id="592" w:name="_Toc487900368"/>
      <w:bookmarkStart w:id="593" w:name="_Toc7102"/>
      <w:bookmarkStart w:id="594" w:name="_Toc279701258"/>
      <w:r>
        <w:rPr>
          <w:rFonts w:hint="eastAsia" w:ascii="宋体" w:hAnsi="宋体" w:eastAsia="宋体" w:cs="宋体"/>
          <w:b/>
          <w:color w:val="auto"/>
          <w:sz w:val="22"/>
          <w:szCs w:val="22"/>
          <w:highlight w:val="none"/>
        </w:rPr>
        <w:t>2.14乙方破产</w:t>
      </w:r>
      <w:bookmarkEnd w:id="586"/>
      <w:bookmarkEnd w:id="587"/>
      <w:bookmarkEnd w:id="588"/>
      <w:bookmarkEnd w:id="589"/>
      <w:bookmarkEnd w:id="590"/>
      <w:bookmarkEnd w:id="591"/>
      <w:bookmarkEnd w:id="592"/>
      <w:bookmarkEnd w:id="593"/>
      <w:bookmarkEnd w:id="594"/>
    </w:p>
    <w:p w14:paraId="0289271B">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033D6ED">
      <w:pPr>
        <w:spacing w:line="360" w:lineRule="auto"/>
        <w:ind w:firstLine="440" w:firstLineChars="200"/>
        <w:outlineLvl w:val="0"/>
        <w:rPr>
          <w:rFonts w:hint="eastAsia" w:ascii="宋体" w:hAnsi="宋体" w:eastAsia="宋体" w:cs="宋体"/>
          <w:b/>
          <w:color w:val="auto"/>
          <w:sz w:val="22"/>
          <w:szCs w:val="22"/>
          <w:highlight w:val="none"/>
        </w:rPr>
      </w:pPr>
      <w:bookmarkStart w:id="595" w:name="_Toc15387"/>
      <w:bookmarkStart w:id="596" w:name="_Toc1348"/>
      <w:bookmarkStart w:id="597" w:name="_Toc6134"/>
      <w:bookmarkStart w:id="598" w:name="_Toc27662"/>
      <w:bookmarkStart w:id="599" w:name="_Toc29333"/>
      <w:bookmarkStart w:id="600" w:name="_Toc4535"/>
      <w:r>
        <w:rPr>
          <w:rFonts w:hint="eastAsia" w:ascii="宋体" w:hAnsi="宋体" w:eastAsia="宋体" w:cs="宋体"/>
          <w:b/>
          <w:color w:val="auto"/>
          <w:sz w:val="22"/>
          <w:szCs w:val="22"/>
          <w:highlight w:val="none"/>
        </w:rPr>
        <w:t>2.15 合同中止、终止</w:t>
      </w:r>
      <w:bookmarkEnd w:id="595"/>
      <w:bookmarkEnd w:id="596"/>
      <w:bookmarkEnd w:id="597"/>
      <w:bookmarkEnd w:id="598"/>
      <w:bookmarkEnd w:id="599"/>
      <w:bookmarkEnd w:id="600"/>
    </w:p>
    <w:p w14:paraId="24A73B9A">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2.15.1 双方当事人不得擅自中止或者终止合同；</w:t>
      </w:r>
    </w:p>
    <w:p w14:paraId="71C2E250">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2.15.2合同继续履行将损害国家利益和社会公共利益的，双方当事人应当中止或者终止合同。有过错的一方应当承担赔偿责任，双方当事人都有过错的，各自承担相应的责任。</w:t>
      </w:r>
    </w:p>
    <w:p w14:paraId="0F17EC3D">
      <w:pPr>
        <w:spacing w:line="360" w:lineRule="auto"/>
        <w:ind w:firstLine="440" w:firstLineChars="200"/>
        <w:outlineLvl w:val="0"/>
        <w:rPr>
          <w:rFonts w:hint="eastAsia" w:ascii="宋体" w:hAnsi="宋体" w:eastAsia="宋体" w:cs="宋体"/>
          <w:b/>
          <w:color w:val="auto"/>
          <w:sz w:val="22"/>
          <w:szCs w:val="22"/>
          <w:highlight w:val="none"/>
        </w:rPr>
      </w:pPr>
      <w:bookmarkStart w:id="601" w:name="_Toc12327"/>
      <w:bookmarkStart w:id="602" w:name="_Toc1302"/>
      <w:bookmarkStart w:id="603" w:name="_Toc1125"/>
      <w:bookmarkStart w:id="604" w:name="_Toc6596"/>
      <w:bookmarkStart w:id="605" w:name="_Toc14563"/>
      <w:bookmarkStart w:id="606" w:name="_Toc29182"/>
      <w:r>
        <w:rPr>
          <w:rFonts w:hint="eastAsia" w:ascii="宋体" w:hAnsi="宋体" w:eastAsia="宋体" w:cs="宋体"/>
          <w:b/>
          <w:color w:val="auto"/>
          <w:sz w:val="22"/>
          <w:szCs w:val="22"/>
          <w:highlight w:val="none"/>
        </w:rPr>
        <w:t>2.16检验和验收</w:t>
      </w:r>
      <w:bookmarkEnd w:id="601"/>
      <w:bookmarkEnd w:id="602"/>
      <w:bookmarkEnd w:id="603"/>
      <w:bookmarkEnd w:id="604"/>
      <w:bookmarkEnd w:id="605"/>
      <w:bookmarkEnd w:id="606"/>
    </w:p>
    <w:p w14:paraId="1C2F2B14">
      <w:pPr>
        <w:tabs>
          <w:tab w:val="left" w:pos="360"/>
          <w:tab w:val="left" w:pos="540"/>
          <w:tab w:val="left" w:pos="108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2.16.1货物交付前，乙方应对货物的质量、数量等方面进行详细、全面的检验，并向甲方出具证明货物符合合同约定的文件；货物交付时，乙方在</w:t>
      </w:r>
      <w:r>
        <w:rPr>
          <w:rFonts w:hint="eastAsia" w:ascii="宋体" w:hAnsi="宋体" w:eastAsia="宋体" w:cs="宋体"/>
          <w:b/>
          <w:iCs/>
          <w:color w:val="auto"/>
          <w:sz w:val="22"/>
          <w:szCs w:val="22"/>
          <w:highlight w:val="none"/>
          <w:u w:val="single"/>
        </w:rPr>
        <w:t>提交验收申请后5个工作日</w:t>
      </w:r>
      <w:r>
        <w:rPr>
          <w:rFonts w:hint="eastAsia" w:ascii="宋体" w:hAnsi="宋体" w:eastAsia="宋体" w:cs="宋体"/>
          <w:color w:val="auto"/>
          <w:sz w:val="22"/>
          <w:szCs w:val="22"/>
          <w:highlight w:val="none"/>
        </w:rPr>
        <w:t>内组织验收，并可依法邀请相关方参加，验收应出具验收书。</w:t>
      </w:r>
    </w:p>
    <w:p w14:paraId="05D46C83">
      <w:pPr>
        <w:tabs>
          <w:tab w:val="left" w:pos="360"/>
          <w:tab w:val="left" w:pos="540"/>
          <w:tab w:val="left" w:pos="108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bookmarkEnd w:id="558"/>
    <w:bookmarkEnd w:id="559"/>
    <w:bookmarkEnd w:id="560"/>
    <w:bookmarkEnd w:id="561"/>
    <w:p w14:paraId="5358FDDB">
      <w:pPr>
        <w:spacing w:line="360" w:lineRule="auto"/>
        <w:ind w:firstLine="440" w:firstLineChars="200"/>
        <w:outlineLvl w:val="0"/>
        <w:rPr>
          <w:rFonts w:hint="eastAsia" w:ascii="宋体" w:hAnsi="宋体" w:eastAsia="宋体" w:cs="宋体"/>
          <w:b/>
          <w:color w:val="auto"/>
          <w:sz w:val="22"/>
          <w:szCs w:val="22"/>
          <w:highlight w:val="none"/>
        </w:rPr>
      </w:pPr>
      <w:bookmarkStart w:id="607" w:name="_Toc487900371"/>
      <w:bookmarkStart w:id="608" w:name="_Toc259093690"/>
      <w:bookmarkStart w:id="609" w:name="_Toc279701261"/>
      <w:bookmarkStart w:id="610" w:name="_Toc28474"/>
      <w:bookmarkStart w:id="611" w:name="_Toc17352"/>
      <w:bookmarkStart w:id="612" w:name="_Toc20581"/>
      <w:bookmarkStart w:id="613" w:name="_Toc25182"/>
      <w:bookmarkStart w:id="614" w:name="_Toc11284"/>
      <w:bookmarkStart w:id="615" w:name="_Toc19604"/>
      <w:r>
        <w:rPr>
          <w:rFonts w:hint="eastAsia" w:ascii="宋体" w:hAnsi="宋体" w:eastAsia="宋体" w:cs="宋体"/>
          <w:b/>
          <w:color w:val="auto"/>
          <w:sz w:val="22"/>
          <w:szCs w:val="22"/>
          <w:highlight w:val="none"/>
        </w:rPr>
        <w:t>2.17 通知</w:t>
      </w:r>
      <w:bookmarkEnd w:id="607"/>
      <w:bookmarkEnd w:id="608"/>
      <w:bookmarkEnd w:id="609"/>
      <w:r>
        <w:rPr>
          <w:rFonts w:hint="eastAsia" w:ascii="宋体" w:hAnsi="宋体" w:eastAsia="宋体" w:cs="宋体"/>
          <w:b/>
          <w:color w:val="auto"/>
          <w:sz w:val="22"/>
          <w:szCs w:val="22"/>
          <w:highlight w:val="none"/>
        </w:rPr>
        <w:t>和送达</w:t>
      </w:r>
      <w:bookmarkEnd w:id="610"/>
      <w:bookmarkEnd w:id="611"/>
      <w:bookmarkEnd w:id="612"/>
      <w:bookmarkEnd w:id="613"/>
      <w:bookmarkEnd w:id="614"/>
      <w:bookmarkEnd w:id="615"/>
    </w:p>
    <w:p w14:paraId="34D361BC">
      <w:pPr>
        <w:spacing w:line="360" w:lineRule="auto"/>
        <w:ind w:firstLine="440" w:firstLineChars="200"/>
        <w:rPr>
          <w:rFonts w:hint="eastAsia" w:ascii="宋体" w:hAnsi="宋体" w:eastAsia="宋体" w:cs="宋体"/>
          <w:color w:val="auto"/>
          <w:sz w:val="22"/>
          <w:szCs w:val="22"/>
          <w:highlight w:val="none"/>
        </w:rPr>
      </w:pPr>
      <w:bookmarkStart w:id="616" w:name="_Toc6698"/>
      <w:bookmarkStart w:id="617" w:name="_Toc3135"/>
      <w:bookmarkStart w:id="618" w:name="_Toc279701262"/>
      <w:bookmarkStart w:id="619" w:name="_Toc487900372"/>
      <w:bookmarkStart w:id="620" w:name="_Toc259093691"/>
      <w:r>
        <w:rPr>
          <w:rFonts w:hint="eastAsia" w:ascii="宋体" w:hAnsi="宋体" w:eastAsia="宋体" w:cs="宋体"/>
          <w:color w:val="auto"/>
          <w:sz w:val="22"/>
          <w:szCs w:val="22"/>
          <w:highlight w:val="none"/>
        </w:rPr>
        <w:t xml:space="preserve">2.17.1任何一方因履行合同而以合同第一部分尾部所列明的传真或电子邮件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发出的所有通知、文件、材料，均视为已向对方当事人送达；任何一方变更上述送达方式或者地址的，应于</w:t>
      </w:r>
      <w:r>
        <w:rPr>
          <w:rFonts w:hint="eastAsia" w:ascii="宋体" w:hAnsi="宋体" w:eastAsia="宋体" w:cs="宋体"/>
          <w:color w:val="auto"/>
          <w:sz w:val="22"/>
          <w:szCs w:val="22"/>
          <w:highlight w:val="none"/>
          <w:u w:val="single"/>
        </w:rPr>
        <w:t>3</w:t>
      </w:r>
      <w:r>
        <w:rPr>
          <w:rFonts w:hint="eastAsia" w:ascii="宋体" w:hAnsi="宋体" w:eastAsia="宋体" w:cs="宋体"/>
          <w:color w:val="auto"/>
          <w:sz w:val="22"/>
          <w:szCs w:val="22"/>
          <w:highlight w:val="none"/>
        </w:rPr>
        <w:t>个工作日内书面通知对方当事人，在对方当事人收到有关变更通知之前，变更前的约定送达方式或者地址仍视为有效。</w:t>
      </w:r>
      <w:bookmarkEnd w:id="616"/>
      <w:bookmarkEnd w:id="617"/>
    </w:p>
    <w:p w14:paraId="513021C5">
      <w:pPr>
        <w:spacing w:line="360" w:lineRule="auto"/>
        <w:ind w:firstLine="440" w:firstLineChars="200"/>
        <w:rPr>
          <w:rFonts w:hint="eastAsia" w:ascii="宋体" w:hAnsi="宋体" w:eastAsia="宋体" w:cs="宋体"/>
          <w:color w:val="auto"/>
          <w:sz w:val="22"/>
          <w:szCs w:val="22"/>
          <w:highlight w:val="none"/>
        </w:rPr>
      </w:pPr>
      <w:bookmarkStart w:id="621" w:name="_Toc23128"/>
      <w:bookmarkStart w:id="622" w:name="_Toc23294"/>
      <w:r>
        <w:rPr>
          <w:rFonts w:hint="eastAsia" w:ascii="宋体" w:hAnsi="宋体" w:eastAsia="宋体" w:cs="宋体"/>
          <w:color w:val="auto"/>
          <w:sz w:val="22"/>
          <w:szCs w:val="22"/>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621"/>
      <w:bookmarkEnd w:id="622"/>
    </w:p>
    <w:p w14:paraId="7FFCCB81">
      <w:pPr>
        <w:spacing w:line="360" w:lineRule="auto"/>
        <w:ind w:firstLine="440" w:firstLineChars="200"/>
        <w:outlineLvl w:val="0"/>
        <w:rPr>
          <w:rFonts w:hint="eastAsia" w:ascii="宋体" w:hAnsi="宋体" w:eastAsia="宋体" w:cs="宋体"/>
          <w:b/>
          <w:color w:val="auto"/>
          <w:sz w:val="22"/>
          <w:szCs w:val="22"/>
          <w:highlight w:val="none"/>
        </w:rPr>
      </w:pPr>
      <w:bookmarkStart w:id="623" w:name="_Toc30599"/>
      <w:bookmarkStart w:id="624" w:name="_Toc4355"/>
      <w:bookmarkStart w:id="625" w:name="_Toc18540"/>
      <w:bookmarkStart w:id="626" w:name="_Toc9204"/>
      <w:bookmarkStart w:id="627" w:name="_Toc8254"/>
      <w:bookmarkStart w:id="628" w:name="_Toc23293"/>
      <w:r>
        <w:rPr>
          <w:rFonts w:hint="eastAsia" w:ascii="宋体" w:hAnsi="宋体" w:eastAsia="宋体" w:cs="宋体"/>
          <w:b/>
          <w:color w:val="auto"/>
          <w:sz w:val="22"/>
          <w:szCs w:val="22"/>
          <w:highlight w:val="none"/>
        </w:rPr>
        <w:t>2.18 计量单位</w:t>
      </w:r>
      <w:bookmarkEnd w:id="618"/>
      <w:bookmarkEnd w:id="619"/>
      <w:bookmarkEnd w:id="620"/>
      <w:bookmarkEnd w:id="623"/>
      <w:bookmarkEnd w:id="624"/>
      <w:bookmarkEnd w:id="625"/>
      <w:bookmarkEnd w:id="626"/>
      <w:bookmarkEnd w:id="627"/>
      <w:bookmarkEnd w:id="628"/>
    </w:p>
    <w:p w14:paraId="1B802F99">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除技术规范中另有规定外,合同的计量单位均使用国家法定计量单位。</w:t>
      </w:r>
    </w:p>
    <w:p w14:paraId="334703AC">
      <w:pPr>
        <w:spacing w:line="360" w:lineRule="auto"/>
        <w:ind w:firstLine="440" w:firstLineChars="200"/>
        <w:outlineLvl w:val="0"/>
        <w:rPr>
          <w:rFonts w:hint="eastAsia" w:ascii="宋体" w:hAnsi="宋体" w:eastAsia="宋体" w:cs="宋体"/>
          <w:b/>
          <w:color w:val="auto"/>
          <w:sz w:val="22"/>
          <w:szCs w:val="22"/>
          <w:highlight w:val="none"/>
        </w:rPr>
      </w:pPr>
      <w:bookmarkStart w:id="629" w:name="_Toc259093692"/>
      <w:bookmarkStart w:id="630" w:name="_Toc24258"/>
      <w:bookmarkStart w:id="631" w:name="_Toc9265"/>
      <w:bookmarkStart w:id="632" w:name="_Toc18567"/>
      <w:bookmarkStart w:id="633" w:name="_Toc22608"/>
      <w:bookmarkStart w:id="634" w:name="_Toc10330"/>
      <w:bookmarkStart w:id="635" w:name="_Toc487900373"/>
      <w:bookmarkStart w:id="636" w:name="_Toc12773"/>
      <w:bookmarkStart w:id="637" w:name="_Toc279701263"/>
      <w:r>
        <w:rPr>
          <w:rFonts w:hint="eastAsia" w:ascii="宋体" w:hAnsi="宋体" w:eastAsia="宋体" w:cs="宋体"/>
          <w:b/>
          <w:color w:val="auto"/>
          <w:sz w:val="22"/>
          <w:szCs w:val="22"/>
          <w:highlight w:val="none"/>
        </w:rPr>
        <w:t>2.19 合同使用的文字和适用的法律</w:t>
      </w:r>
      <w:bookmarkEnd w:id="629"/>
      <w:bookmarkEnd w:id="630"/>
      <w:bookmarkEnd w:id="631"/>
      <w:bookmarkEnd w:id="632"/>
      <w:bookmarkEnd w:id="633"/>
      <w:bookmarkEnd w:id="634"/>
      <w:bookmarkEnd w:id="635"/>
      <w:bookmarkEnd w:id="636"/>
      <w:bookmarkEnd w:id="637"/>
    </w:p>
    <w:p w14:paraId="0876303A">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2.19.1 合同使用汉语书就、变更和解释；</w:t>
      </w:r>
    </w:p>
    <w:p w14:paraId="2DE9E484">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2.19.2 合同适用中华人民共和国法律。</w:t>
      </w:r>
    </w:p>
    <w:p w14:paraId="0C43F385">
      <w:pPr>
        <w:spacing w:line="360" w:lineRule="auto"/>
        <w:ind w:firstLine="440" w:firstLineChars="200"/>
        <w:outlineLvl w:val="0"/>
        <w:rPr>
          <w:rFonts w:hint="eastAsia" w:ascii="宋体" w:hAnsi="宋体" w:eastAsia="宋体" w:cs="宋体"/>
          <w:b/>
          <w:color w:val="auto"/>
          <w:sz w:val="22"/>
          <w:szCs w:val="22"/>
          <w:highlight w:val="none"/>
        </w:rPr>
      </w:pPr>
      <w:bookmarkStart w:id="638" w:name="_Toc19659"/>
      <w:bookmarkStart w:id="639" w:name="_Toc12004"/>
      <w:bookmarkStart w:id="640" w:name="_Toc16673"/>
      <w:bookmarkStart w:id="641" w:name="_Toc259093693"/>
      <w:bookmarkStart w:id="642" w:name="_Toc19482"/>
      <w:bookmarkStart w:id="643" w:name="_Toc3148"/>
      <w:bookmarkStart w:id="644" w:name="_Toc279701264"/>
      <w:bookmarkStart w:id="645" w:name="_Toc16108"/>
      <w:bookmarkStart w:id="646" w:name="_Toc487900374"/>
      <w:r>
        <w:rPr>
          <w:rFonts w:hint="eastAsia" w:ascii="宋体" w:hAnsi="宋体" w:eastAsia="宋体" w:cs="宋体"/>
          <w:b/>
          <w:color w:val="auto"/>
          <w:sz w:val="22"/>
          <w:szCs w:val="22"/>
          <w:highlight w:val="none"/>
        </w:rPr>
        <w:t>2.20 履约保证金</w:t>
      </w:r>
      <w:bookmarkEnd w:id="638"/>
      <w:bookmarkEnd w:id="639"/>
      <w:bookmarkEnd w:id="640"/>
      <w:bookmarkEnd w:id="641"/>
      <w:bookmarkEnd w:id="642"/>
      <w:bookmarkEnd w:id="643"/>
      <w:bookmarkEnd w:id="644"/>
      <w:bookmarkEnd w:id="645"/>
    </w:p>
    <w:p w14:paraId="2351AED3">
      <w:pPr>
        <w:pStyle w:val="961"/>
        <w:spacing w:before="0" w:beforeAutospacing="0" w:after="0" w:afterAutospacing="0" w:line="360"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2.20.1 采购文件要求乙方提交履约保证金的，乙方应按</w:t>
      </w:r>
      <w:r>
        <w:rPr>
          <w:rFonts w:hint="eastAsia" w:ascii="宋体" w:hAnsi="宋体" w:eastAsia="宋体" w:cs="宋体"/>
          <w:color w:val="auto"/>
          <w:sz w:val="22"/>
          <w:szCs w:val="22"/>
          <w:highlight w:val="none"/>
          <w:u w:val="single"/>
        </w:rPr>
        <w:t>履约保函</w:t>
      </w:r>
      <w:r>
        <w:rPr>
          <w:rFonts w:hint="eastAsia" w:ascii="宋体" w:hAnsi="宋体" w:eastAsia="宋体" w:cs="宋体"/>
          <w:color w:val="auto"/>
          <w:sz w:val="22"/>
          <w:szCs w:val="22"/>
          <w:highlight w:val="none"/>
        </w:rPr>
        <w:t>的方式，以担保机构出具的保函形式，提交合同金额1%的履约保证金；鼓励和支持乙方以银行、保险公司出具的保函形式提供履约保证。</w:t>
      </w:r>
    </w:p>
    <w:p w14:paraId="1BE85617">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2.20.2  履约保证金在</w:t>
      </w:r>
      <w:r>
        <w:rPr>
          <w:rFonts w:hint="eastAsia" w:ascii="宋体" w:hAnsi="宋体" w:eastAsia="宋体" w:cs="宋体"/>
          <w:color w:val="auto"/>
          <w:sz w:val="22"/>
          <w:szCs w:val="22"/>
          <w:highlight w:val="none"/>
          <w:u w:val="single"/>
        </w:rPr>
        <w:t>项目验收合格前</w:t>
      </w:r>
      <w:r>
        <w:rPr>
          <w:rFonts w:hint="eastAsia" w:ascii="宋体" w:hAnsi="宋体" w:eastAsia="宋体" w:cs="宋体"/>
          <w:color w:val="auto"/>
          <w:sz w:val="22"/>
          <w:szCs w:val="22"/>
          <w:highlight w:val="none"/>
        </w:rPr>
        <w:t>不予退还。乙方在前述约定期间届满前能履行完合同约定义务事项的，甲方在前述约定期间届满之日起</w:t>
      </w:r>
      <w:r>
        <w:rPr>
          <w:rFonts w:hint="eastAsia" w:ascii="宋体" w:hAnsi="宋体" w:eastAsia="宋体" w:cs="宋体"/>
          <w:color w:val="auto"/>
          <w:sz w:val="22"/>
          <w:szCs w:val="22"/>
          <w:highlight w:val="none"/>
          <w:u w:val="single"/>
        </w:rPr>
        <w:t xml:space="preserve"> 5 </w:t>
      </w:r>
      <w:r>
        <w:rPr>
          <w:rFonts w:hint="eastAsia" w:ascii="宋体" w:hAnsi="宋体" w:eastAsia="宋体" w:cs="宋体"/>
          <w:color w:val="auto"/>
          <w:sz w:val="22"/>
          <w:szCs w:val="22"/>
          <w:highlight w:val="none"/>
        </w:rPr>
        <w:t>个工作日内，按</w:t>
      </w:r>
      <w:r>
        <w:rPr>
          <w:rFonts w:hint="eastAsia" w:ascii="宋体" w:hAnsi="宋体" w:eastAsia="宋体" w:cs="宋体"/>
          <w:color w:val="auto"/>
          <w:kern w:val="0"/>
          <w:sz w:val="22"/>
          <w:szCs w:val="22"/>
          <w:highlight w:val="none"/>
          <w:u w:val="single"/>
        </w:rPr>
        <w:t>履约保函自动解除或无息向乙方退还履约保证金</w:t>
      </w:r>
      <w:r>
        <w:rPr>
          <w:rFonts w:hint="eastAsia" w:ascii="宋体" w:hAnsi="宋体" w:eastAsia="宋体" w:cs="宋体"/>
          <w:color w:val="auto"/>
          <w:sz w:val="22"/>
          <w:szCs w:val="22"/>
          <w:highlight w:val="none"/>
        </w:rPr>
        <w:t>约定的方式将履约保证金退还乙方，因甲方自身原因逾期退还的，乙方可要求甲方支付违约金，违约金按每迟延退还一日的应退还而未退还金额的</w:t>
      </w:r>
      <w:r>
        <w:rPr>
          <w:rFonts w:hint="eastAsia" w:ascii="宋体" w:hAnsi="宋体" w:eastAsia="宋体" w:cs="宋体"/>
          <w:color w:val="auto"/>
          <w:sz w:val="22"/>
          <w:szCs w:val="22"/>
          <w:highlight w:val="none"/>
          <w:u w:val="single"/>
        </w:rPr>
        <w:t xml:space="preserve">  0.05  </w:t>
      </w:r>
      <w:r>
        <w:rPr>
          <w:rFonts w:hint="eastAsia" w:ascii="宋体" w:hAnsi="宋体" w:eastAsia="宋体" w:cs="宋体"/>
          <w:color w:val="auto"/>
          <w:sz w:val="22"/>
          <w:szCs w:val="22"/>
          <w:highlight w:val="none"/>
        </w:rPr>
        <w:t>%计算，最高限额为本合同履约保证金的</w:t>
      </w:r>
      <w:r>
        <w:rPr>
          <w:rFonts w:hint="eastAsia" w:ascii="宋体" w:hAnsi="宋体" w:eastAsia="宋体" w:cs="宋体"/>
          <w:color w:val="auto"/>
          <w:sz w:val="22"/>
          <w:szCs w:val="22"/>
          <w:highlight w:val="none"/>
          <w:u w:val="single"/>
        </w:rPr>
        <w:t xml:space="preserve">  20   </w:t>
      </w:r>
      <w:r>
        <w:rPr>
          <w:rFonts w:hint="eastAsia" w:ascii="宋体" w:hAnsi="宋体" w:eastAsia="宋体" w:cs="宋体"/>
          <w:color w:val="auto"/>
          <w:sz w:val="22"/>
          <w:szCs w:val="22"/>
          <w:highlight w:val="none"/>
        </w:rPr>
        <w:t xml:space="preserve">%； </w:t>
      </w:r>
    </w:p>
    <w:p w14:paraId="03B5BA52">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2.20.3 如果乙方不履行合同，履约保证金不予退还；如果乙方未能按合同约定全面履行义务，履约保证金不予退还，同时不影响甲方要求乙方承担合同约定的超过履约保证金的违约责任的权利。</w:t>
      </w:r>
    </w:p>
    <w:p w14:paraId="213EB5C6">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2.21对于因甲方原因导致变更、中止或者终止政府采购合同的，甲方应当依照合同约定对供应商受到的损失予以赔偿或者补偿。</w:t>
      </w:r>
    </w:p>
    <w:bookmarkEnd w:id="646"/>
    <w:p w14:paraId="31D82756">
      <w:pPr>
        <w:spacing w:line="360" w:lineRule="auto"/>
        <w:ind w:firstLine="440" w:firstLineChars="200"/>
        <w:outlineLvl w:val="0"/>
        <w:rPr>
          <w:rFonts w:hint="eastAsia" w:ascii="宋体" w:hAnsi="宋体" w:eastAsia="宋体" w:cs="宋体"/>
          <w:b/>
          <w:color w:val="auto"/>
          <w:sz w:val="22"/>
          <w:szCs w:val="22"/>
          <w:highlight w:val="none"/>
        </w:rPr>
      </w:pPr>
      <w:bookmarkStart w:id="647" w:name="_Toc12345"/>
      <w:bookmarkStart w:id="648" w:name="_Toc19890"/>
      <w:bookmarkStart w:id="649" w:name="_Toc2384"/>
      <w:bookmarkStart w:id="650" w:name="_Toc14604"/>
      <w:bookmarkStart w:id="651" w:name="_Toc6885"/>
      <w:bookmarkStart w:id="652" w:name="_Toc14001"/>
      <w:r>
        <w:rPr>
          <w:rFonts w:hint="eastAsia" w:ascii="宋体" w:hAnsi="宋体" w:eastAsia="宋体" w:cs="宋体"/>
          <w:b/>
          <w:color w:val="auto"/>
          <w:sz w:val="22"/>
          <w:szCs w:val="22"/>
          <w:highlight w:val="none"/>
        </w:rPr>
        <w:t>2.22合同份数</w:t>
      </w:r>
      <w:bookmarkEnd w:id="647"/>
      <w:bookmarkEnd w:id="648"/>
      <w:bookmarkEnd w:id="649"/>
      <w:bookmarkEnd w:id="650"/>
      <w:bookmarkEnd w:id="651"/>
      <w:bookmarkEnd w:id="652"/>
    </w:p>
    <w:p w14:paraId="2937DC93">
      <w:pPr>
        <w:pStyle w:val="59"/>
        <w:spacing w:line="360" w:lineRule="auto"/>
        <w:rPr>
          <w:rFonts w:hint="eastAsia" w:ascii="宋体" w:hAnsi="宋体" w:eastAsia="宋体" w:cs="宋体"/>
          <w:color w:val="auto"/>
          <w:sz w:val="22"/>
          <w:szCs w:val="22"/>
          <w:highlight w:val="none"/>
        </w:rPr>
        <w:sectPr>
          <w:headerReference r:id="rId9" w:type="first"/>
          <w:footerReference r:id="rId10" w:type="first"/>
          <w:pgSz w:w="11906" w:h="16838"/>
          <w:pgMar w:top="1440" w:right="1134" w:bottom="1134" w:left="1134" w:header="851" w:footer="992" w:gutter="0"/>
          <w:cols w:space="720" w:num="1"/>
          <w:titlePg/>
          <w:docGrid w:type="linesAndChars" w:linePitch="312" w:charSpace="0"/>
        </w:sectPr>
      </w:pPr>
      <w:r>
        <w:rPr>
          <w:rFonts w:hint="eastAsia" w:ascii="宋体" w:hAnsi="宋体" w:eastAsia="宋体" w:cs="宋体"/>
          <w:color w:val="auto"/>
          <w:sz w:val="22"/>
          <w:szCs w:val="22"/>
          <w:highlight w:val="none"/>
        </w:rPr>
        <w:t>合同份数一式伍份，甲乙双方各执贰份，代理公司一份，每份均具有同等法律效力。</w:t>
      </w:r>
    </w:p>
    <w:p w14:paraId="67878CA4">
      <w:pPr>
        <w:adjustRightInd/>
        <w:spacing w:line="360" w:lineRule="auto"/>
        <w:jc w:val="center"/>
        <w:outlineLvl w:val="0"/>
        <w:rPr>
          <w:rFonts w:hint="eastAsia" w:ascii="宋体" w:hAnsi="宋体" w:eastAsia="宋体" w:cs="宋体"/>
          <w:b/>
          <w:color w:val="auto"/>
          <w:sz w:val="36"/>
          <w:szCs w:val="20"/>
          <w:highlight w:val="none"/>
        </w:rPr>
      </w:pPr>
      <w:bookmarkStart w:id="653" w:name="_Toc29609"/>
      <w:r>
        <w:rPr>
          <w:rFonts w:hint="eastAsia" w:ascii="宋体" w:hAnsi="宋体" w:eastAsia="宋体" w:cs="宋体"/>
          <w:b/>
          <w:color w:val="auto"/>
          <w:sz w:val="36"/>
          <w:szCs w:val="20"/>
          <w:highlight w:val="none"/>
        </w:rPr>
        <w:t>第六部分</w:t>
      </w:r>
      <w:bookmarkEnd w:id="429"/>
      <w:bookmarkEnd w:id="430"/>
      <w:r>
        <w:rPr>
          <w:rFonts w:hint="eastAsia" w:ascii="宋体" w:hAnsi="宋体" w:eastAsia="宋体" w:cs="宋体"/>
          <w:b/>
          <w:color w:val="auto"/>
          <w:sz w:val="36"/>
          <w:szCs w:val="20"/>
          <w:highlight w:val="none"/>
        </w:rPr>
        <w:t>应提交的有关格式范例</w:t>
      </w:r>
      <w:bookmarkEnd w:id="437"/>
      <w:bookmarkEnd w:id="653"/>
    </w:p>
    <w:p w14:paraId="4FF7BD4B">
      <w:pPr>
        <w:spacing w:line="360" w:lineRule="auto"/>
        <w:jc w:val="center"/>
        <w:outlineLvl w:val="0"/>
        <w:rPr>
          <w:rFonts w:hint="eastAsia" w:ascii="宋体" w:hAnsi="宋体" w:eastAsia="宋体" w:cs="宋体"/>
          <w:b/>
          <w:color w:val="auto"/>
          <w:kern w:val="0"/>
          <w:sz w:val="36"/>
          <w:szCs w:val="36"/>
          <w:highlight w:val="none"/>
        </w:rPr>
      </w:pPr>
      <w:bookmarkStart w:id="654" w:name="_Toc29706"/>
      <w:bookmarkStart w:id="655" w:name="_Toc129952715"/>
      <w:bookmarkStart w:id="656" w:name="_Toc129952591"/>
      <w:r>
        <w:rPr>
          <w:rFonts w:hint="eastAsia" w:ascii="宋体" w:hAnsi="宋体" w:eastAsia="宋体" w:cs="宋体"/>
          <w:b/>
          <w:color w:val="auto"/>
          <w:kern w:val="0"/>
          <w:sz w:val="36"/>
          <w:szCs w:val="36"/>
          <w:highlight w:val="none"/>
        </w:rPr>
        <w:t>资格文件部分</w:t>
      </w:r>
      <w:bookmarkEnd w:id="654"/>
      <w:bookmarkEnd w:id="655"/>
      <w:bookmarkEnd w:id="656"/>
    </w:p>
    <w:p w14:paraId="7908A84B">
      <w:pPr>
        <w:pStyle w:val="86"/>
        <w:ind w:firstLine="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目录</w:t>
      </w:r>
    </w:p>
    <w:p w14:paraId="12AE25AC">
      <w:pPr>
        <w:snapToGrid w:val="0"/>
        <w:spacing w:line="360" w:lineRule="auto"/>
        <w:rPr>
          <w:rFonts w:hint="eastAsia" w:ascii="宋体" w:hAnsi="宋体" w:eastAsia="宋体" w:cs="宋体"/>
          <w:color w:val="auto"/>
          <w:sz w:val="24"/>
          <w:highlight w:val="none"/>
        </w:rPr>
      </w:pPr>
    </w:p>
    <w:p w14:paraId="377B0611">
      <w:pPr>
        <w:numPr>
          <w:ilvl w:val="0"/>
          <w:numId w:val="4"/>
        </w:num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符合参加政府采购活动应当具备的一般条件的承诺函………………………（页码）</w:t>
      </w:r>
    </w:p>
    <w:p w14:paraId="26A1D06A">
      <w:pPr>
        <w:numPr>
          <w:ilvl w:val="0"/>
          <w:numId w:val="4"/>
        </w:num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有效的企业营业执照（或事业法人登记证书或其他工商等登记证明材料，自然人提供身份证）复制件（五选一）………………………………………………………………………（页码）</w:t>
      </w:r>
    </w:p>
    <w:p w14:paraId="58CF0F78">
      <w:pPr>
        <w:numPr>
          <w:ilvl w:val="0"/>
          <w:numId w:val="4"/>
        </w:num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联合协议（如果有）……………………………………………………………（页码）</w:t>
      </w:r>
    </w:p>
    <w:p w14:paraId="48455B87">
      <w:pPr>
        <w:numPr>
          <w:ilvl w:val="0"/>
          <w:numId w:val="4"/>
        </w:num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落实政府采购政策需满足的资格要求（如果有）……………………………（页码）</w:t>
      </w:r>
    </w:p>
    <w:p w14:paraId="67926D03">
      <w:pPr>
        <w:numPr>
          <w:ilvl w:val="0"/>
          <w:numId w:val="4"/>
        </w:num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本项目的特定资格要求（如果有）……………………………………………（页码）</w:t>
      </w:r>
    </w:p>
    <w:p w14:paraId="35705582">
      <w:pPr>
        <w:spacing w:line="360" w:lineRule="auto"/>
        <w:ind w:firstLine="480" w:firstLineChars="200"/>
        <w:rPr>
          <w:rFonts w:hint="eastAsia" w:ascii="宋体" w:hAnsi="宋体" w:eastAsia="宋体" w:cs="宋体"/>
          <w:color w:val="auto"/>
          <w:sz w:val="24"/>
          <w:highlight w:val="none"/>
        </w:rPr>
      </w:pPr>
    </w:p>
    <w:p w14:paraId="515288BF">
      <w:pPr>
        <w:snapToGrid w:val="0"/>
        <w:spacing w:line="360" w:lineRule="auto"/>
        <w:ind w:right="480"/>
        <w:jc w:val="center"/>
        <w:rPr>
          <w:rFonts w:hint="eastAsia" w:ascii="宋体" w:hAnsi="宋体" w:eastAsia="宋体" w:cs="宋体"/>
          <w:b/>
          <w:color w:val="auto"/>
          <w:kern w:val="0"/>
          <w:sz w:val="28"/>
          <w:szCs w:val="28"/>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28"/>
          <w:szCs w:val="28"/>
          <w:highlight w:val="none"/>
        </w:rPr>
        <w:t>一、 符合参加政府采购活动应当具备的一般条件的承诺函</w:t>
      </w:r>
    </w:p>
    <w:p w14:paraId="55AA0D81">
      <w:pPr>
        <w:snapToGrid w:val="0"/>
        <w:rPr>
          <w:rFonts w:hint="eastAsia" w:ascii="宋体" w:hAnsi="宋体" w:eastAsia="宋体" w:cs="宋体"/>
          <w:color w:val="auto"/>
          <w:sz w:val="22"/>
          <w:szCs w:val="22"/>
          <w:highlight w:val="none"/>
        </w:rPr>
      </w:pPr>
    </w:p>
    <w:p w14:paraId="396C4E3C">
      <w:pPr>
        <w:snapToGrid w:val="0"/>
        <w:spacing w:line="48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（采购人）、（采购代理机构）：</w:t>
      </w:r>
    </w:p>
    <w:p w14:paraId="7886A64C">
      <w:pPr>
        <w:snapToGrid w:val="0"/>
        <w:spacing w:line="48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我方参与组织参加</w:t>
      </w:r>
      <w:r>
        <w:rPr>
          <w:rFonts w:hint="eastAsia" w:ascii="宋体" w:hAnsi="宋体" w:eastAsia="宋体" w:cs="宋体"/>
          <w:color w:val="auto"/>
          <w:sz w:val="22"/>
          <w:szCs w:val="22"/>
          <w:highlight w:val="none"/>
          <w:u w:val="single"/>
        </w:rPr>
        <w:t xml:space="preserve">（项目名称）   </w:t>
      </w:r>
      <w:r>
        <w:rPr>
          <w:rFonts w:hint="eastAsia" w:ascii="宋体" w:hAnsi="宋体" w:eastAsia="宋体" w:cs="宋体"/>
          <w:color w:val="auto"/>
          <w:sz w:val="22"/>
          <w:szCs w:val="22"/>
          <w:highlight w:val="none"/>
        </w:rPr>
        <w:t>【招标编号：     】政府采购活动，郑重承诺：</w:t>
      </w:r>
    </w:p>
    <w:p w14:paraId="23C30F6A">
      <w:pPr>
        <w:snapToGrid w:val="0"/>
        <w:spacing w:line="480" w:lineRule="auto"/>
        <w:ind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（一）具备《中华人民共和国政府采购法》第二十二条第一款规定的条件：</w:t>
      </w:r>
    </w:p>
    <w:p w14:paraId="5D398704">
      <w:pPr>
        <w:snapToGrid w:val="0"/>
        <w:spacing w:line="480" w:lineRule="auto"/>
        <w:ind w:firstLine="880" w:firstLineChars="4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1、具有独立承担民事责任的能力；</w:t>
      </w:r>
    </w:p>
    <w:p w14:paraId="3B5DCE31">
      <w:pPr>
        <w:snapToGrid w:val="0"/>
        <w:spacing w:line="480" w:lineRule="auto"/>
        <w:ind w:firstLine="880" w:firstLineChars="4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2、具有良好的商业信誉和健全的财务会计制度； </w:t>
      </w:r>
    </w:p>
    <w:p w14:paraId="05F96652">
      <w:pPr>
        <w:snapToGrid w:val="0"/>
        <w:spacing w:line="480" w:lineRule="auto"/>
        <w:ind w:firstLine="880" w:firstLineChars="4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3、具有履行合同所必需的设备和专业技术能力；</w:t>
      </w:r>
    </w:p>
    <w:p w14:paraId="6E0B2754">
      <w:pPr>
        <w:snapToGrid w:val="0"/>
        <w:spacing w:line="480" w:lineRule="auto"/>
        <w:ind w:firstLine="880" w:firstLineChars="4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4、有依法缴纳税收和社会保障资金的良好记录；</w:t>
      </w:r>
    </w:p>
    <w:p w14:paraId="4EB5FF51">
      <w:pPr>
        <w:snapToGrid w:val="0"/>
        <w:spacing w:line="480" w:lineRule="auto"/>
        <w:ind w:firstLine="880" w:firstLineChars="4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5、参加政府采购活动前三年内，在经营活动中没有重大违法记录；</w:t>
      </w:r>
    </w:p>
    <w:p w14:paraId="248C440E">
      <w:pPr>
        <w:snapToGrid w:val="0"/>
        <w:spacing w:line="480" w:lineRule="auto"/>
        <w:ind w:firstLine="880" w:firstLineChars="4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6、具有法律、行政法规规定的其他条件。</w:t>
      </w:r>
    </w:p>
    <w:p w14:paraId="504AA82C">
      <w:pPr>
        <w:snapToGrid w:val="0"/>
        <w:spacing w:line="48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（二）未被信用中国（www.creditchina.gov.cn）、中国政府采购网（www.ccgp.gov.cn）列入失信被执行人、重大税收违法案件当事人名单、政府采购严重违法失信行为记录名单。</w:t>
      </w:r>
    </w:p>
    <w:p w14:paraId="1E2C9547">
      <w:pPr>
        <w:snapToGrid w:val="0"/>
        <w:spacing w:line="480" w:lineRule="auto"/>
        <w:rPr>
          <w:rFonts w:hint="eastAsia" w:ascii="宋体" w:hAnsi="宋体" w:eastAsia="宋体" w:cs="宋体"/>
          <w:color w:val="auto"/>
          <w:kern w:val="0"/>
          <w:sz w:val="22"/>
          <w:szCs w:val="22"/>
          <w:highlight w:val="none"/>
        </w:rPr>
      </w:pPr>
    </w:p>
    <w:p w14:paraId="6D26B1BC">
      <w:pPr>
        <w:spacing w:line="42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投标人名称（电子签名）：</w:t>
      </w:r>
    </w:p>
    <w:p w14:paraId="33B5D87C">
      <w:pPr>
        <w:spacing w:line="42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日期</w:t>
      </w:r>
      <w:r>
        <w:rPr>
          <w:rFonts w:hint="eastAsia" w:ascii="宋体" w:hAnsi="宋体" w:eastAsia="宋体" w:cs="宋体"/>
          <w:color w:val="auto"/>
          <w:sz w:val="22"/>
          <w:szCs w:val="22"/>
          <w:highlight w:val="none"/>
        </w:rPr>
        <w:t>：  年  月  日</w:t>
      </w:r>
    </w:p>
    <w:p w14:paraId="7E1E8638">
      <w:pPr>
        <w:snapToGrid w:val="0"/>
        <w:spacing w:line="360" w:lineRule="auto"/>
        <w:ind w:right="480"/>
        <w:jc w:val="center"/>
        <w:rPr>
          <w:rFonts w:hint="eastAsia" w:ascii="宋体" w:hAnsi="宋体" w:eastAsia="宋体" w:cs="宋体"/>
          <w:b/>
          <w:color w:val="auto"/>
          <w:kern w:val="0"/>
          <w:sz w:val="32"/>
          <w:szCs w:val="32"/>
          <w:highlight w:val="none"/>
        </w:rPr>
      </w:pPr>
    </w:p>
    <w:p w14:paraId="69E0F30C">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961EC18">
      <w:pPr>
        <w:pStyle w:val="34"/>
        <w:spacing w:line="360" w:lineRule="auto"/>
        <w:jc w:val="center"/>
        <w:rPr>
          <w:rFonts w:hint="eastAsia" w:ascii="宋体" w:hAnsi="宋体" w:eastAsia="宋体" w:cs="宋体"/>
          <w:b/>
          <w:strike/>
          <w:snapToGrid/>
          <w:color w:val="auto"/>
          <w:kern w:val="0"/>
          <w:sz w:val="28"/>
          <w:szCs w:val="28"/>
          <w:highlight w:val="none"/>
        </w:rPr>
      </w:pPr>
      <w:r>
        <w:rPr>
          <w:rFonts w:hint="eastAsia" w:ascii="宋体" w:hAnsi="宋体" w:eastAsia="宋体" w:cs="宋体"/>
          <w:b/>
          <w:snapToGrid/>
          <w:color w:val="auto"/>
          <w:kern w:val="0"/>
          <w:sz w:val="28"/>
          <w:szCs w:val="28"/>
          <w:highlight w:val="none"/>
        </w:rPr>
        <w:t>二、有效的企业营业执照（或事业法人登记证书或其他工商等登记证明材料，自然人提供身份证）复制件（五选一）</w:t>
      </w:r>
    </w:p>
    <w:p w14:paraId="4A23E987">
      <w:pPr>
        <w:pStyle w:val="34"/>
        <w:ind w:firstLine="442" w:firstLineChars="200"/>
        <w:rPr>
          <w:rFonts w:hint="eastAsia" w:ascii="宋体" w:hAnsi="宋体" w:eastAsia="宋体" w:cs="宋体"/>
          <w:b/>
          <w:bCs/>
          <w:color w:val="auto"/>
          <w:sz w:val="22"/>
          <w:szCs w:val="22"/>
          <w:highlight w:val="none"/>
          <w:u w:val="single"/>
        </w:rPr>
      </w:pPr>
    </w:p>
    <w:p w14:paraId="7636F7D8">
      <w:pPr>
        <w:pStyle w:val="34"/>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①如供应商是企业（包括合伙企业），提供在工商部门注册的有效“企业法人营业执照”或“营业执照”；</w:t>
      </w:r>
    </w:p>
    <w:p w14:paraId="38CB674E">
      <w:pPr>
        <w:pStyle w:val="34"/>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②如供应商是事业单位，提供有效的“事业单位法人证书”；</w:t>
      </w:r>
    </w:p>
    <w:p w14:paraId="05D1266B">
      <w:pPr>
        <w:pStyle w:val="34"/>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③如供应商是非企业专业服务机构的，提供执业许可证等证明文件；</w:t>
      </w:r>
    </w:p>
    <w:p w14:paraId="2CC65CEC">
      <w:pPr>
        <w:pStyle w:val="34"/>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④如供应商是个体工商户，提供有效的“个体工商户营业执照”；</w:t>
      </w:r>
    </w:p>
    <w:p w14:paraId="0B8DB29A">
      <w:pPr>
        <w:pStyle w:val="34"/>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⑤如供应商是自然人，提供有效的自然人身份证明（居民身份证正反面或公安机关出具的临时居民身份证正反面或港澳台胞证或护照）。</w:t>
      </w:r>
    </w:p>
    <w:p w14:paraId="768909AB">
      <w:pPr>
        <w:pStyle w:val="34"/>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开启时间中提供相关材料），证明其具备实际承担责任的能力和法定的缔结合同能力，可以独立参加政府采购活动，由单位负责人签署相关文件材料。</w:t>
      </w:r>
    </w:p>
    <w:p w14:paraId="05CB817E">
      <w:pPr>
        <w:rPr>
          <w:rFonts w:hint="eastAsia" w:ascii="宋体" w:hAnsi="宋体" w:eastAsia="宋体" w:cs="宋体"/>
          <w:b/>
          <w:color w:val="auto"/>
          <w:kern w:val="0"/>
          <w:sz w:val="32"/>
          <w:szCs w:val="32"/>
          <w:highlight w:val="none"/>
        </w:rPr>
      </w:pPr>
    </w:p>
    <w:p w14:paraId="0941CE6C">
      <w:pPr>
        <w:pStyle w:val="80"/>
        <w:rPr>
          <w:rFonts w:hint="eastAsia" w:ascii="宋体" w:hAnsi="宋体" w:eastAsia="宋体" w:cs="宋体"/>
          <w:color w:val="auto"/>
          <w:highlight w:val="none"/>
        </w:rPr>
      </w:pPr>
    </w:p>
    <w:p w14:paraId="1B5E7274">
      <w:pPr>
        <w:widowControl/>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三、联合协议（如果有）</w:t>
      </w:r>
    </w:p>
    <w:p w14:paraId="013B2A41">
      <w:pPr>
        <w:widowControl/>
        <w:spacing w:line="360" w:lineRule="auto"/>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[以联合体形式投标的，提供联合协议（附件5）；本项目不接受联合体投标或者投标人不以联合体形式投标的，则不需要提供）]</w:t>
      </w:r>
    </w:p>
    <w:p w14:paraId="41F7D00A">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F38F040">
      <w:pPr>
        <w:widowControl/>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四、落实政府采购政策需满足的资格要求</w:t>
      </w:r>
    </w:p>
    <w:p w14:paraId="13CA79F1">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（根据招标公告落实政府采购政策需满足的资格要求选择提供相应的材料；未要求的，无须提供）</w:t>
      </w:r>
    </w:p>
    <w:p w14:paraId="5124CC23">
      <w:pPr>
        <w:snapToGrid w:val="0"/>
        <w:spacing w:before="50" w:after="50" w:line="360" w:lineRule="auto"/>
        <w:ind w:firstLine="433" w:firstLineChars="196"/>
        <w:jc w:val="left"/>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A</w:t>
      </w:r>
      <w:r>
        <w:rPr>
          <w:rFonts w:hint="eastAsia" w:ascii="宋体" w:hAnsi="宋体" w:eastAsia="宋体" w:cs="宋体"/>
          <w:color w:val="auto"/>
          <w:sz w:val="22"/>
          <w:szCs w:val="22"/>
          <w:highlight w:val="none"/>
        </w:rPr>
        <w:t xml:space="preserve">.专门面向中小企业，服务全部由符合政策要求的中小企业（或小微企业）承接的，提供相应的中小企业声明函（附件7）。 </w:t>
      </w:r>
    </w:p>
    <w:p w14:paraId="6D37DA04">
      <w:pPr>
        <w:widowControl/>
        <w:ind w:firstLine="480"/>
        <w:jc w:val="left"/>
        <w:rPr>
          <w:rFonts w:hint="eastAsia" w:ascii="宋体" w:hAnsi="宋体" w:eastAsia="宋体" w:cs="宋体"/>
          <w:color w:val="auto"/>
          <w:sz w:val="22"/>
          <w:szCs w:val="22"/>
          <w:highlight w:val="none"/>
        </w:rPr>
      </w:pPr>
    </w:p>
    <w:p w14:paraId="1DA44CE2">
      <w:pPr>
        <w:widowControl/>
        <w:spacing w:line="360" w:lineRule="auto"/>
        <w:ind w:firstLine="433" w:firstLineChars="196"/>
        <w:jc w:val="left"/>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B.</w:t>
      </w:r>
      <w:r>
        <w:rPr>
          <w:rFonts w:hint="eastAsia" w:ascii="宋体" w:hAnsi="宋体" w:eastAsia="宋体" w:cs="宋体"/>
          <w:color w:val="auto"/>
          <w:sz w:val="22"/>
          <w:szCs w:val="22"/>
          <w:highlight w:val="none"/>
        </w:rPr>
        <w:t>要求以联合体形式参加的，提供联合协议（附件5）和中小企业声明函（附件7），联合协议中中小企业合同金额应当达到招标公告载明的比例；如果供应商本身提供所有标的均由中小企业承接的，视同符合了资格条件，无需再与其他中小企业组成联合体参加政府采购活动，无需提供联合协议。</w:t>
      </w:r>
    </w:p>
    <w:p w14:paraId="1A57B70A">
      <w:pPr>
        <w:snapToGrid w:val="0"/>
        <w:spacing w:before="50" w:after="50"/>
        <w:jc w:val="center"/>
        <w:rPr>
          <w:rFonts w:hint="eastAsia" w:ascii="宋体" w:hAnsi="宋体" w:eastAsia="宋体" w:cs="宋体"/>
          <w:color w:val="auto"/>
          <w:sz w:val="22"/>
          <w:szCs w:val="22"/>
          <w:highlight w:val="none"/>
        </w:rPr>
      </w:pPr>
    </w:p>
    <w:p w14:paraId="185AFE1C">
      <w:pPr>
        <w:spacing w:line="360" w:lineRule="auto"/>
        <w:ind w:firstLine="442" w:firstLineChars="200"/>
        <w:rPr>
          <w:rFonts w:hint="eastAsia" w:ascii="宋体" w:hAnsi="宋体" w:eastAsia="宋体" w:cs="宋体"/>
          <w:b/>
          <w:color w:val="auto"/>
          <w:kern w:val="0"/>
          <w:sz w:val="28"/>
          <w:szCs w:val="28"/>
          <w:highlight w:val="none"/>
        </w:rPr>
      </w:pPr>
      <w:r>
        <w:rPr>
          <w:rFonts w:hint="eastAsia" w:ascii="宋体" w:hAnsi="宋体" w:eastAsia="宋体" w:cs="宋体"/>
          <w:b/>
          <w:color w:val="auto"/>
          <w:sz w:val="22"/>
          <w:szCs w:val="22"/>
          <w:highlight w:val="none"/>
        </w:rPr>
        <w:t>C.</w:t>
      </w:r>
      <w:r>
        <w:rPr>
          <w:rFonts w:hint="eastAsia" w:ascii="宋体" w:hAnsi="宋体" w:eastAsia="宋体" w:cs="宋体"/>
          <w:color w:val="auto"/>
          <w:sz w:val="22"/>
          <w:szCs w:val="22"/>
          <w:highlight w:val="none"/>
        </w:rPr>
        <w:t>要求合同分包的，提供分包意向协议（附件6）和中小企业声明函（附件7），分包意向协议中中小企业合同金额应当达到招标公告载明的比例；如果供应商本身提供所有标的均由中小企业承接的，视同符合了资格条件，无需再向中小企业分包，无需提供分包意向协议。</w:t>
      </w:r>
    </w:p>
    <w:p w14:paraId="7F8D9DB2">
      <w:pPr>
        <w:widowControl/>
        <w:spacing w:line="360" w:lineRule="auto"/>
        <w:jc w:val="center"/>
        <w:rPr>
          <w:rFonts w:hint="eastAsia" w:ascii="宋体" w:hAnsi="宋体" w:eastAsia="宋体" w:cs="宋体"/>
          <w:b/>
          <w:color w:val="auto"/>
          <w:kern w:val="0"/>
          <w:sz w:val="28"/>
          <w:szCs w:val="28"/>
          <w:highlight w:val="none"/>
        </w:rPr>
      </w:pPr>
    </w:p>
    <w:p w14:paraId="648801BE">
      <w:pPr>
        <w:pStyle w:val="80"/>
        <w:rPr>
          <w:rFonts w:hint="eastAsia" w:ascii="宋体" w:hAnsi="宋体" w:eastAsia="宋体" w:cs="宋体"/>
          <w:color w:val="auto"/>
          <w:highlight w:val="none"/>
          <w:lang w:val="en-US"/>
        </w:rPr>
      </w:pPr>
    </w:p>
    <w:p w14:paraId="47EAAD5B">
      <w:pPr>
        <w:widowControl/>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五、本项目的特定资格要求</w:t>
      </w:r>
    </w:p>
    <w:p w14:paraId="5776A85F">
      <w:pPr>
        <w:spacing w:line="360" w:lineRule="auto"/>
        <w:ind w:firstLine="221" w:firstLineChars="100"/>
        <w:jc w:val="center"/>
        <w:rPr>
          <w:rFonts w:hint="eastAsia" w:ascii="宋体" w:hAnsi="宋体" w:eastAsia="宋体" w:cs="宋体"/>
          <w:b/>
          <w:color w:val="auto"/>
          <w:sz w:val="22"/>
          <w:szCs w:val="22"/>
          <w:highlight w:val="none"/>
          <w:u w:val="single"/>
          <w:lang w:val="zh-CN"/>
        </w:rPr>
      </w:pPr>
      <w:r>
        <w:rPr>
          <w:rFonts w:hint="eastAsia" w:ascii="宋体" w:hAnsi="宋体" w:eastAsia="宋体" w:cs="宋体"/>
          <w:b/>
          <w:color w:val="auto"/>
          <w:sz w:val="22"/>
          <w:szCs w:val="22"/>
          <w:highlight w:val="none"/>
          <w:u w:val="single"/>
          <w:lang w:val="zh-CN"/>
        </w:rPr>
        <w:t>（根据招标公告本项目的特定资格要求提供相应的材料；未要求的，无需提供）</w:t>
      </w:r>
    </w:p>
    <w:p w14:paraId="79169F90">
      <w:pPr>
        <w:pStyle w:val="3"/>
        <w:ind w:left="0" w:firstLine="0"/>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FDFDE29">
      <w:pPr>
        <w:spacing w:line="360" w:lineRule="auto"/>
        <w:jc w:val="center"/>
        <w:outlineLvl w:val="0"/>
        <w:rPr>
          <w:rFonts w:hint="eastAsia" w:ascii="宋体" w:hAnsi="宋体" w:eastAsia="宋体" w:cs="宋体"/>
          <w:b/>
          <w:color w:val="auto"/>
          <w:kern w:val="0"/>
          <w:sz w:val="36"/>
          <w:szCs w:val="36"/>
          <w:highlight w:val="none"/>
        </w:rPr>
      </w:pPr>
      <w:bookmarkStart w:id="657" w:name="_Toc129952592"/>
      <w:bookmarkStart w:id="658" w:name="_Toc1258"/>
      <w:bookmarkStart w:id="659" w:name="_Toc129952716"/>
      <w:r>
        <w:rPr>
          <w:rFonts w:hint="eastAsia" w:ascii="宋体" w:hAnsi="宋体" w:eastAsia="宋体" w:cs="宋体"/>
          <w:b/>
          <w:color w:val="auto"/>
          <w:kern w:val="0"/>
          <w:sz w:val="36"/>
          <w:szCs w:val="36"/>
          <w:highlight w:val="none"/>
        </w:rPr>
        <w:t>商务技术文件部分</w:t>
      </w:r>
      <w:bookmarkEnd w:id="657"/>
      <w:bookmarkEnd w:id="658"/>
      <w:bookmarkEnd w:id="659"/>
    </w:p>
    <w:p w14:paraId="2848F2D3">
      <w:pPr>
        <w:pStyle w:val="86"/>
        <w:ind w:firstLine="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目录</w:t>
      </w:r>
    </w:p>
    <w:p w14:paraId="520A3431">
      <w:pPr>
        <w:adjustRightInd/>
        <w:snapToGrid w:val="0"/>
        <w:spacing w:line="42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（1）投标函…………………………………………………………………………………（页码）</w:t>
      </w:r>
    </w:p>
    <w:p w14:paraId="2579593A">
      <w:pPr>
        <w:adjustRightInd/>
        <w:snapToGrid w:val="0"/>
        <w:spacing w:line="42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（2）授权委托书或法定代表人（单位负责人、自然人本人）身份证明………………（页码）</w:t>
      </w:r>
    </w:p>
    <w:p w14:paraId="2D5AA0DD">
      <w:pPr>
        <w:adjustRightInd/>
        <w:snapToGrid w:val="0"/>
        <w:spacing w:line="42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（3）分包意向协议（如果有）……………………………………………………………（页码）</w:t>
      </w:r>
    </w:p>
    <w:p w14:paraId="533DDEC8">
      <w:pPr>
        <w:adjustRightInd/>
        <w:snapToGrid w:val="0"/>
        <w:spacing w:line="42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（4）符合性审查资料………………………………………………………………………（页码）</w:t>
      </w:r>
    </w:p>
    <w:p w14:paraId="034E7D2D">
      <w:pPr>
        <w:adjustRightInd/>
        <w:snapToGrid w:val="0"/>
        <w:spacing w:line="42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（5）评标标准相应的商务技术资料………………………………………………………（页码）</w:t>
      </w:r>
    </w:p>
    <w:p w14:paraId="5F46AD5A">
      <w:pPr>
        <w:adjustRightInd/>
        <w:snapToGrid w:val="0"/>
        <w:spacing w:line="42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r>
        <w:rPr>
          <w:rFonts w:hint="eastAsia" w:ascii="宋体" w:hAnsi="宋体" w:eastAsia="宋体" w:cs="宋体"/>
          <w:color w:val="auto"/>
          <w:kern w:val="0"/>
          <w:sz w:val="22"/>
          <w:szCs w:val="22"/>
          <w:highlight w:val="none"/>
          <w:lang w:val="zh-CN"/>
        </w:rPr>
        <w:t>投标标的清单</w:t>
      </w:r>
      <w:r>
        <w:rPr>
          <w:rFonts w:hint="eastAsia" w:ascii="宋体" w:hAnsi="宋体" w:eastAsia="宋体" w:cs="宋体"/>
          <w:color w:val="auto"/>
          <w:sz w:val="22"/>
          <w:szCs w:val="22"/>
          <w:highlight w:val="none"/>
        </w:rPr>
        <w:t>…………………………………………………………………………（页码）</w:t>
      </w:r>
    </w:p>
    <w:p w14:paraId="5DAF7C3E">
      <w:pPr>
        <w:adjustRightInd/>
        <w:snapToGrid w:val="0"/>
        <w:spacing w:line="42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（7）商务技术偏离表………………………………………………………………………（页码）</w:t>
      </w:r>
    </w:p>
    <w:p w14:paraId="199EDE0F">
      <w:pPr>
        <w:adjustRightInd/>
        <w:snapToGrid w:val="0"/>
        <w:spacing w:line="42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w:t>
      </w:r>
      <w:r>
        <w:rPr>
          <w:rFonts w:hint="eastAsia" w:ascii="宋体" w:hAnsi="宋体" w:eastAsia="宋体" w:cs="宋体"/>
          <w:color w:val="auto"/>
          <w:sz w:val="22"/>
          <w:szCs w:val="22"/>
          <w:highlight w:val="none"/>
          <w:lang w:val="zh-CN"/>
        </w:rPr>
        <w:t>政府采购供应商廉洁自律承诺书</w:t>
      </w:r>
      <w:r>
        <w:rPr>
          <w:rFonts w:hint="eastAsia" w:ascii="宋体" w:hAnsi="宋体" w:eastAsia="宋体" w:cs="宋体"/>
          <w:color w:val="auto"/>
          <w:sz w:val="22"/>
          <w:szCs w:val="22"/>
          <w:highlight w:val="none"/>
        </w:rPr>
        <w:t>……………………………………………………（页码）</w:t>
      </w:r>
    </w:p>
    <w:p w14:paraId="6CEA9878">
      <w:pPr>
        <w:snapToGrid w:val="0"/>
        <w:spacing w:line="360" w:lineRule="auto"/>
        <w:rPr>
          <w:rFonts w:hint="eastAsia" w:ascii="宋体" w:hAnsi="宋体" w:eastAsia="宋体" w:cs="宋体"/>
          <w:b/>
          <w:color w:val="auto"/>
          <w:kern w:val="0"/>
          <w:sz w:val="32"/>
          <w:szCs w:val="32"/>
          <w:highlight w:val="none"/>
          <w:lang w:val="zh-CN"/>
        </w:rPr>
      </w:pPr>
    </w:p>
    <w:p w14:paraId="0AC79B11">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43E98BB8">
      <w:pPr>
        <w:widowControl/>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一、投标函</w:t>
      </w:r>
    </w:p>
    <w:p w14:paraId="171E21D2">
      <w:pPr>
        <w:snapToGrid w:val="0"/>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（采购人）、（采购代理机构）：</w:t>
      </w:r>
    </w:p>
    <w:p w14:paraId="315BC410">
      <w:pPr>
        <w:snapToGrid w:val="0"/>
        <w:spacing w:line="38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我方参加你方组织的组织参加</w:t>
      </w:r>
      <w:r>
        <w:rPr>
          <w:rFonts w:hint="eastAsia" w:ascii="宋体" w:hAnsi="宋体" w:eastAsia="宋体" w:cs="宋体"/>
          <w:color w:val="auto"/>
          <w:sz w:val="22"/>
          <w:szCs w:val="22"/>
          <w:highlight w:val="none"/>
          <w:u w:val="single"/>
        </w:rPr>
        <w:t xml:space="preserve">（项目名称）    </w:t>
      </w:r>
      <w:r>
        <w:rPr>
          <w:rFonts w:hint="eastAsia" w:ascii="宋体" w:hAnsi="宋体" w:eastAsia="宋体" w:cs="宋体"/>
          <w:color w:val="auto"/>
          <w:sz w:val="22"/>
          <w:szCs w:val="22"/>
          <w:highlight w:val="none"/>
        </w:rPr>
        <w:t>【招标编号：    】招标的有关活动，并对此项目进行投标。为此：</w:t>
      </w:r>
    </w:p>
    <w:p w14:paraId="01EEDD81">
      <w:pPr>
        <w:snapToGrid w:val="0"/>
        <w:spacing w:line="38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1、我方承诺投标有效期从提交投标文件的截止之日起天（不少于90天），本投标文件在投标有效期满之前均具有约束力。</w:t>
      </w:r>
    </w:p>
    <w:p w14:paraId="5330D2E7">
      <w:pPr>
        <w:snapToGrid w:val="0"/>
        <w:spacing w:line="38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2、我方的投标文件包括以下内容：</w:t>
      </w:r>
    </w:p>
    <w:p w14:paraId="2B6E1490">
      <w:pPr>
        <w:snapToGrid w:val="0"/>
        <w:spacing w:line="380" w:lineRule="exact"/>
        <w:ind w:left="210" w:leftChars="1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2.1资格文件：</w:t>
      </w:r>
    </w:p>
    <w:p w14:paraId="26734C8F">
      <w:pPr>
        <w:snapToGrid w:val="0"/>
        <w:spacing w:line="380" w:lineRule="exact"/>
        <w:ind w:left="420" w:leftChars="2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2.1.1承诺函；</w:t>
      </w:r>
    </w:p>
    <w:p w14:paraId="7EF2824D">
      <w:pPr>
        <w:snapToGrid w:val="0"/>
        <w:spacing w:line="380" w:lineRule="exact"/>
        <w:ind w:left="420" w:leftChars="2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2.1.2有效的企业营业执照（或事业法人登记证书或其他工商等登记证明材料，自然人提供身份证）复制件（五选一）；</w:t>
      </w:r>
    </w:p>
    <w:p w14:paraId="2F3FA30E">
      <w:pPr>
        <w:snapToGrid w:val="0"/>
        <w:spacing w:line="380" w:lineRule="exact"/>
        <w:ind w:left="420" w:leftChars="200" w:firstLine="440" w:firstLineChars="200"/>
        <w:rPr>
          <w:rFonts w:hint="eastAsia" w:ascii="宋体" w:hAnsi="宋体" w:eastAsia="宋体" w:cs="宋体"/>
          <w:color w:val="auto"/>
          <w:sz w:val="22"/>
          <w:szCs w:val="22"/>
          <w:highlight w:val="none"/>
        </w:rPr>
      </w:pPr>
      <w:r>
        <w:rPr>
          <w:rFonts w:hint="eastAsia" w:ascii="宋体" w:hAnsi="宋体" w:eastAsia="宋体" w:cs="宋体"/>
          <w:snapToGrid w:val="0"/>
          <w:color w:val="auto"/>
          <w:kern w:val="28"/>
          <w:sz w:val="22"/>
          <w:szCs w:val="22"/>
          <w:highlight w:val="none"/>
        </w:rPr>
        <w:t>2.1.3联合协议</w:t>
      </w:r>
      <w:bookmarkStart w:id="660" w:name="_Hlk101257010"/>
      <w:r>
        <w:rPr>
          <w:rFonts w:hint="eastAsia" w:ascii="宋体" w:hAnsi="宋体" w:eastAsia="宋体" w:cs="宋体"/>
          <w:snapToGrid w:val="0"/>
          <w:color w:val="auto"/>
          <w:kern w:val="28"/>
          <w:sz w:val="22"/>
          <w:szCs w:val="22"/>
          <w:highlight w:val="none"/>
        </w:rPr>
        <w:t>（如果有）</w:t>
      </w:r>
      <w:bookmarkEnd w:id="660"/>
    </w:p>
    <w:p w14:paraId="5ED0FF06">
      <w:pPr>
        <w:snapToGrid w:val="0"/>
        <w:spacing w:line="380" w:lineRule="exact"/>
        <w:ind w:left="420" w:leftChars="2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2.1.4落实政府采购政策需满足的资格要求（如果有）；</w:t>
      </w:r>
    </w:p>
    <w:p w14:paraId="1A00178E">
      <w:pPr>
        <w:snapToGrid w:val="0"/>
        <w:spacing w:line="380" w:lineRule="exact"/>
        <w:ind w:left="420" w:leftChars="2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2.1.5本项目的特定资格要求（如果有）。</w:t>
      </w:r>
    </w:p>
    <w:p w14:paraId="416AAB0E">
      <w:pPr>
        <w:snapToGrid w:val="0"/>
        <w:spacing w:line="380" w:lineRule="exact"/>
        <w:ind w:left="210" w:leftChars="100"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rPr>
        <w:t>2商务技术</w:t>
      </w:r>
      <w:r>
        <w:rPr>
          <w:rFonts w:hint="eastAsia" w:ascii="宋体" w:hAnsi="宋体" w:eastAsia="宋体" w:cs="宋体"/>
          <w:color w:val="auto"/>
          <w:sz w:val="22"/>
          <w:szCs w:val="22"/>
          <w:highlight w:val="none"/>
          <w:lang w:val="zh-CN"/>
        </w:rPr>
        <w:t>文件：</w:t>
      </w:r>
    </w:p>
    <w:p w14:paraId="799D12CE">
      <w:pPr>
        <w:snapToGrid w:val="0"/>
        <w:spacing w:line="380" w:lineRule="exact"/>
        <w:ind w:left="420" w:leftChars="2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2.2.1投标函；</w:t>
      </w:r>
    </w:p>
    <w:p w14:paraId="74694F6C">
      <w:pPr>
        <w:snapToGrid w:val="0"/>
        <w:spacing w:line="380" w:lineRule="exact"/>
        <w:ind w:left="420" w:leftChars="2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2.2.2授权委托书或法定代表人（单位负责人）身份证明；</w:t>
      </w:r>
    </w:p>
    <w:p w14:paraId="78BC3050">
      <w:pPr>
        <w:snapToGrid w:val="0"/>
        <w:spacing w:line="380" w:lineRule="exact"/>
        <w:ind w:left="420" w:leftChars="2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2.2.3分包意向协议（如果有）；</w:t>
      </w:r>
    </w:p>
    <w:p w14:paraId="131A01FE">
      <w:pPr>
        <w:snapToGrid w:val="0"/>
        <w:spacing w:line="380" w:lineRule="exact"/>
        <w:ind w:left="420" w:leftChars="2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2.2.4符合性审查资料；</w:t>
      </w:r>
    </w:p>
    <w:p w14:paraId="48C4AF69">
      <w:pPr>
        <w:snapToGrid w:val="0"/>
        <w:spacing w:line="380" w:lineRule="exact"/>
        <w:ind w:left="420" w:leftChars="2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2.2.5评标标准相应的商务技术资料；</w:t>
      </w:r>
    </w:p>
    <w:p w14:paraId="2F809B58">
      <w:pPr>
        <w:snapToGrid w:val="0"/>
        <w:spacing w:line="380" w:lineRule="exact"/>
        <w:ind w:left="420" w:leftChars="2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2.2.6</w:t>
      </w:r>
      <w:r>
        <w:rPr>
          <w:rFonts w:hint="eastAsia" w:ascii="宋体" w:hAnsi="宋体" w:eastAsia="宋体" w:cs="宋体"/>
          <w:color w:val="auto"/>
          <w:kern w:val="0"/>
          <w:sz w:val="22"/>
          <w:szCs w:val="22"/>
          <w:highlight w:val="none"/>
          <w:lang w:val="zh-CN"/>
        </w:rPr>
        <w:t>投标标的清单；</w:t>
      </w:r>
    </w:p>
    <w:p w14:paraId="3E5C72A5">
      <w:pPr>
        <w:snapToGrid w:val="0"/>
        <w:spacing w:line="380" w:lineRule="exact"/>
        <w:ind w:left="420" w:leftChars="2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2.2.7商务技术偏离表；</w:t>
      </w:r>
    </w:p>
    <w:p w14:paraId="48A95C6F">
      <w:pPr>
        <w:snapToGrid w:val="0"/>
        <w:spacing w:line="380" w:lineRule="exact"/>
        <w:ind w:left="420" w:leftChars="200"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rPr>
        <w:t>8</w:t>
      </w:r>
      <w:r>
        <w:rPr>
          <w:rFonts w:hint="eastAsia" w:ascii="宋体" w:hAnsi="宋体" w:eastAsia="宋体" w:cs="宋体"/>
          <w:color w:val="auto"/>
          <w:sz w:val="22"/>
          <w:szCs w:val="22"/>
          <w:highlight w:val="none"/>
          <w:lang w:val="zh-CN"/>
        </w:rPr>
        <w:t>政府采购供应商廉洁自律承诺书；</w:t>
      </w:r>
    </w:p>
    <w:p w14:paraId="74600D02">
      <w:pPr>
        <w:snapToGrid w:val="0"/>
        <w:spacing w:line="380" w:lineRule="exact"/>
        <w:ind w:left="210" w:leftChars="1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rPr>
        <w:t>3报价文件</w:t>
      </w:r>
    </w:p>
    <w:p w14:paraId="26A80A81">
      <w:pPr>
        <w:snapToGrid w:val="0"/>
        <w:spacing w:line="380" w:lineRule="exact"/>
        <w:ind w:left="420" w:leftChars="2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2.3.1开标一览表（报价表）；</w:t>
      </w:r>
    </w:p>
    <w:p w14:paraId="54ADBA6F">
      <w:pPr>
        <w:snapToGrid w:val="0"/>
        <w:spacing w:line="380" w:lineRule="exact"/>
        <w:ind w:left="420" w:leftChars="2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2.3.2报价情况说明（如果有）；</w:t>
      </w:r>
    </w:p>
    <w:p w14:paraId="259E0D2D">
      <w:pPr>
        <w:snapToGrid w:val="0"/>
        <w:spacing w:line="380" w:lineRule="exact"/>
        <w:ind w:left="420" w:leftChars="2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2.3.3中小企业声明函（如果有）。</w:t>
      </w:r>
    </w:p>
    <w:p w14:paraId="1AE0B1EA">
      <w:pPr>
        <w:snapToGrid w:val="0"/>
        <w:spacing w:line="38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3、我方承诺除商务技术偏离表列出的偏离外，我方响应招标文件的全部要求。</w:t>
      </w:r>
    </w:p>
    <w:p w14:paraId="3AE5CD60">
      <w:pPr>
        <w:snapToGrid w:val="0"/>
        <w:spacing w:line="38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4、如我方中标，我方承诺：</w:t>
      </w:r>
    </w:p>
    <w:p w14:paraId="612DFC69">
      <w:pPr>
        <w:snapToGrid w:val="0"/>
        <w:spacing w:line="380" w:lineRule="exact"/>
        <w:ind w:left="210" w:leftChars="1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4.1在收到中标通知书后，在中标通知书规定的期限内与你方签订合同； </w:t>
      </w:r>
    </w:p>
    <w:p w14:paraId="19169F72">
      <w:pPr>
        <w:snapToGrid w:val="0"/>
        <w:spacing w:line="380" w:lineRule="exact"/>
        <w:ind w:left="210" w:leftChars="1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4.2在签订合同时不向你方提出附加条件； </w:t>
      </w:r>
    </w:p>
    <w:p w14:paraId="311D684D">
      <w:pPr>
        <w:snapToGrid w:val="0"/>
        <w:spacing w:line="380" w:lineRule="exact"/>
        <w:ind w:left="210" w:leftChars="1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4.3按照招标文件要求提交履约保证金； </w:t>
      </w:r>
    </w:p>
    <w:p w14:paraId="22D83844">
      <w:pPr>
        <w:snapToGrid w:val="0"/>
        <w:spacing w:line="380" w:lineRule="exact"/>
        <w:ind w:left="210" w:leftChars="1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4.4在合同约定的期限内完成合同规定的全部义务。 </w:t>
      </w:r>
    </w:p>
    <w:p w14:paraId="654AC151">
      <w:pPr>
        <w:snapToGrid w:val="0"/>
        <w:spacing w:line="380" w:lineRule="exact"/>
        <w:ind w:left="210" w:leftChars="1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5、其他补充说明:</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14:paraId="474E5259">
      <w:pPr>
        <w:spacing w:line="38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投标人名称（电子签名）： </w:t>
      </w:r>
    </w:p>
    <w:p w14:paraId="384B284D">
      <w:pPr>
        <w:spacing w:line="38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  年   月   日</w:t>
      </w:r>
    </w:p>
    <w:p w14:paraId="18CDF5B9">
      <w:pPr>
        <w:spacing w:line="380" w:lineRule="exact"/>
        <w:ind w:right="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注：按本格式和要求提供。</w:t>
      </w:r>
    </w:p>
    <w:p w14:paraId="296F0601">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156FC6FA">
      <w:pPr>
        <w:widowControl/>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二、授权委托书或法定代表人（单位负责人、自然人本人）身份证明</w:t>
      </w:r>
    </w:p>
    <w:p w14:paraId="675E6E3A">
      <w:pPr>
        <w:snapToGrid w:val="0"/>
        <w:spacing w:line="360" w:lineRule="auto"/>
        <w:rPr>
          <w:rFonts w:hint="eastAsia" w:ascii="宋体" w:hAnsi="宋体" w:eastAsia="宋体" w:cs="宋体"/>
          <w:color w:val="auto"/>
          <w:sz w:val="24"/>
          <w:highlight w:val="none"/>
        </w:rPr>
      </w:pPr>
    </w:p>
    <w:p w14:paraId="0DDCB70C">
      <w:pPr>
        <w:widowControl/>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lang w:val="zh-CN"/>
        </w:rPr>
        <w:t>授权委托书（适用于非联合体投标）</w:t>
      </w:r>
    </w:p>
    <w:p w14:paraId="6270DFFE">
      <w:pPr>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（采购人）、（采购代理机构）：</w:t>
      </w:r>
    </w:p>
    <w:p w14:paraId="601D3FA5">
      <w:pPr>
        <w:snapToGrid w:val="0"/>
        <w:spacing w:line="360" w:lineRule="auto"/>
        <w:ind w:firstLine="576"/>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现</w:t>
      </w:r>
      <w:r>
        <w:rPr>
          <w:rFonts w:hint="eastAsia" w:ascii="宋体" w:hAnsi="宋体" w:eastAsia="宋体" w:cs="宋体"/>
          <w:color w:val="auto"/>
          <w:kern w:val="0"/>
          <w:sz w:val="22"/>
          <w:szCs w:val="22"/>
          <w:highlight w:val="none"/>
          <w:lang w:val="zh-CN"/>
        </w:rPr>
        <w:t>委托</w:t>
      </w: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lang w:val="zh-CN"/>
        </w:rPr>
        <w:t>（姓名）为我方代理人（身份证号码：</w:t>
      </w: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lang w:val="zh-CN"/>
        </w:rPr>
        <w:t>，手机：</w:t>
      </w: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lang w:val="zh-CN"/>
        </w:rPr>
        <w:t>），以我方名义处理</w:t>
      </w:r>
      <w:r>
        <w:rPr>
          <w:rFonts w:hint="eastAsia" w:ascii="宋体" w:hAnsi="宋体" w:eastAsia="宋体" w:cs="宋体"/>
          <w:color w:val="auto"/>
          <w:sz w:val="22"/>
          <w:szCs w:val="22"/>
          <w:highlight w:val="none"/>
        </w:rPr>
        <w:t>组织</w:t>
      </w:r>
      <w:r>
        <w:rPr>
          <w:rFonts w:hint="eastAsia" w:ascii="宋体" w:hAnsi="宋体" w:eastAsia="宋体" w:cs="宋体"/>
          <w:color w:val="auto"/>
          <w:sz w:val="22"/>
          <w:szCs w:val="22"/>
          <w:highlight w:val="none"/>
          <w:u w:val="single"/>
        </w:rPr>
        <w:t>（项目名称）            【招标编号：                 】</w:t>
      </w:r>
      <w:r>
        <w:rPr>
          <w:rFonts w:hint="eastAsia" w:ascii="宋体" w:hAnsi="宋体" w:eastAsia="宋体" w:cs="宋体"/>
          <w:color w:val="auto"/>
          <w:kern w:val="0"/>
          <w:sz w:val="22"/>
          <w:szCs w:val="22"/>
          <w:highlight w:val="none"/>
          <w:lang w:val="zh-CN"/>
        </w:rPr>
        <w:t>政府采购投标的一切事项，其法律后果由我方承担。</w:t>
      </w:r>
    </w:p>
    <w:p w14:paraId="4E747EA4">
      <w:pPr>
        <w:snapToGrid w:val="0"/>
        <w:spacing w:line="36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委托期限</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lang w:val="zh-CN"/>
        </w:rPr>
        <w:t>自</w:t>
      </w: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lang w:val="zh-CN"/>
        </w:rPr>
        <w:t>年</w:t>
      </w: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lang w:val="zh-CN"/>
        </w:rPr>
        <w:t>月</w:t>
      </w: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lang w:val="zh-CN"/>
        </w:rPr>
        <w:t>日起至</w:t>
      </w: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lang w:val="zh-CN"/>
        </w:rPr>
        <w:t>年</w:t>
      </w: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lang w:val="zh-CN"/>
        </w:rPr>
        <w:t>月</w:t>
      </w: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lang w:val="zh-CN"/>
        </w:rPr>
        <w:t>日止。</w:t>
      </w:r>
    </w:p>
    <w:p w14:paraId="1D2609AB">
      <w:pPr>
        <w:snapToGrid w:val="0"/>
        <w:spacing w:line="36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特此告知。</w:t>
      </w:r>
    </w:p>
    <w:p w14:paraId="2C6011FC">
      <w:pPr>
        <w:snapToGrid w:val="0"/>
        <w:spacing w:line="36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 xml:space="preserve">                                                 投标人名称（电子签名）：</w:t>
      </w:r>
    </w:p>
    <w:p w14:paraId="4BB893F0">
      <w:pPr>
        <w:snapToGrid w:val="0"/>
        <w:spacing w:line="360" w:lineRule="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 xml:space="preserve">                                                 签发日期：  年  月   日</w:t>
      </w:r>
    </w:p>
    <w:p w14:paraId="0D36392C">
      <w:pPr>
        <w:snapToGrid w:val="0"/>
        <w:spacing w:line="360" w:lineRule="auto"/>
        <w:rPr>
          <w:rFonts w:hint="eastAsia" w:ascii="宋体" w:hAnsi="宋体" w:eastAsia="宋体" w:cs="宋体"/>
          <w:color w:val="auto"/>
          <w:sz w:val="24"/>
          <w:highlight w:val="none"/>
        </w:rPr>
      </w:pPr>
    </w:p>
    <w:p w14:paraId="14F1CE9C">
      <w:pPr>
        <w:widowControl/>
        <w:spacing w:line="360" w:lineRule="auto"/>
        <w:jc w:val="center"/>
        <w:rPr>
          <w:rFonts w:hint="eastAsia" w:ascii="宋体" w:hAnsi="宋体" w:eastAsia="宋体" w:cs="宋体"/>
          <w:b/>
          <w:color w:val="auto"/>
          <w:kern w:val="0"/>
          <w:sz w:val="28"/>
          <w:szCs w:val="28"/>
          <w:highlight w:val="none"/>
          <w:lang w:val="zh-CN"/>
        </w:rPr>
      </w:pPr>
      <w:r>
        <w:rPr>
          <w:rFonts w:hint="eastAsia" w:ascii="宋体" w:hAnsi="宋体" w:eastAsia="宋体" w:cs="宋体"/>
          <w:b/>
          <w:color w:val="auto"/>
          <w:kern w:val="0"/>
          <w:sz w:val="28"/>
          <w:szCs w:val="28"/>
          <w:highlight w:val="none"/>
          <w:lang w:val="zh-CN"/>
        </w:rPr>
        <w:t>授权委托书（适用于联合体投标）</w:t>
      </w:r>
    </w:p>
    <w:p w14:paraId="721767C7">
      <w:pPr>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（采购人）、（采购代理机构）：</w:t>
      </w:r>
    </w:p>
    <w:p w14:paraId="5595700D">
      <w:pPr>
        <w:snapToGrid w:val="0"/>
        <w:spacing w:line="360" w:lineRule="auto"/>
        <w:ind w:firstLine="576"/>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现</w:t>
      </w:r>
      <w:r>
        <w:rPr>
          <w:rFonts w:hint="eastAsia" w:ascii="宋体" w:hAnsi="宋体" w:eastAsia="宋体" w:cs="宋体"/>
          <w:color w:val="auto"/>
          <w:kern w:val="0"/>
          <w:sz w:val="22"/>
          <w:szCs w:val="22"/>
          <w:highlight w:val="none"/>
          <w:lang w:val="zh-CN"/>
        </w:rPr>
        <w:t>委托</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lang w:val="zh-CN"/>
        </w:rPr>
        <w:t>（姓名）为我方代理人（身份证号码：</w:t>
      </w: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lang w:val="zh-CN"/>
        </w:rPr>
        <w:t>，手机：</w:t>
      </w: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lang w:val="zh-CN"/>
        </w:rPr>
        <w:t>），以我方名义处理</w:t>
      </w:r>
      <w:r>
        <w:rPr>
          <w:rFonts w:hint="eastAsia" w:ascii="宋体" w:hAnsi="宋体" w:eastAsia="宋体" w:cs="宋体"/>
          <w:color w:val="auto"/>
          <w:sz w:val="22"/>
          <w:szCs w:val="22"/>
          <w:highlight w:val="none"/>
        </w:rPr>
        <w:t>组织参加</w:t>
      </w:r>
      <w:r>
        <w:rPr>
          <w:rFonts w:hint="eastAsia" w:ascii="宋体" w:hAnsi="宋体" w:eastAsia="宋体" w:cs="宋体"/>
          <w:color w:val="auto"/>
          <w:sz w:val="22"/>
          <w:szCs w:val="22"/>
          <w:highlight w:val="none"/>
          <w:u w:val="single"/>
        </w:rPr>
        <w:t>（项目名称）            【招标编号：                 】</w:t>
      </w:r>
      <w:r>
        <w:rPr>
          <w:rFonts w:hint="eastAsia" w:ascii="宋体" w:hAnsi="宋体" w:eastAsia="宋体" w:cs="宋体"/>
          <w:color w:val="auto"/>
          <w:kern w:val="0"/>
          <w:sz w:val="22"/>
          <w:szCs w:val="22"/>
          <w:highlight w:val="none"/>
          <w:lang w:val="zh-CN"/>
        </w:rPr>
        <w:t>政府采购投标的一切事项，其法律后果由我方承担。</w:t>
      </w:r>
    </w:p>
    <w:p w14:paraId="69DA7C4D">
      <w:pPr>
        <w:snapToGrid w:val="0"/>
        <w:spacing w:line="36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委托期限</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lang w:val="zh-CN"/>
        </w:rPr>
        <w:t>自</w:t>
      </w: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lang w:val="zh-CN"/>
        </w:rPr>
        <w:t>年</w:t>
      </w: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lang w:val="zh-CN"/>
        </w:rPr>
        <w:t>月</w:t>
      </w: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lang w:val="zh-CN"/>
        </w:rPr>
        <w:t>日起至</w:t>
      </w: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lang w:val="zh-CN"/>
        </w:rPr>
        <w:t>年</w:t>
      </w: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lang w:val="zh-CN"/>
        </w:rPr>
        <w:t>月</w:t>
      </w: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lang w:val="zh-CN"/>
        </w:rPr>
        <w:t>日止。</w:t>
      </w:r>
    </w:p>
    <w:p w14:paraId="48BD3323">
      <w:pPr>
        <w:snapToGrid w:val="0"/>
        <w:spacing w:line="36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特此告知。</w:t>
      </w:r>
    </w:p>
    <w:p w14:paraId="2E29DADE">
      <w:pPr>
        <w:jc w:val="center"/>
        <w:rPr>
          <w:rFonts w:hint="eastAsia" w:ascii="宋体" w:hAnsi="宋体" w:eastAsia="宋体" w:cs="宋体"/>
          <w:b/>
          <w:color w:val="auto"/>
          <w:kern w:val="0"/>
          <w:sz w:val="28"/>
          <w:szCs w:val="28"/>
          <w:highlight w:val="none"/>
        </w:rPr>
      </w:pPr>
    </w:p>
    <w:p w14:paraId="1028E1D1">
      <w:pPr>
        <w:rPr>
          <w:rFonts w:hint="eastAsia" w:ascii="宋体" w:hAnsi="宋体" w:eastAsia="宋体" w:cs="宋体"/>
          <w:color w:val="auto"/>
          <w:sz w:val="20"/>
          <w:szCs w:val="22"/>
          <w:highlight w:val="none"/>
        </w:rPr>
      </w:pPr>
    </w:p>
    <w:p w14:paraId="2B9568D7">
      <w:pPr>
        <w:snapToGrid w:val="0"/>
        <w:spacing w:line="360" w:lineRule="auto"/>
        <w:ind w:firstLine="4620" w:firstLineChars="2100"/>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联合体成员名称（电子签名/公章）：</w:t>
      </w:r>
    </w:p>
    <w:p w14:paraId="1BBBF8F7">
      <w:pPr>
        <w:snapToGrid w:val="0"/>
        <w:spacing w:line="360" w:lineRule="auto"/>
        <w:ind w:firstLine="4620" w:firstLineChars="2100"/>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联合体成员名称（电子签名/公章）：</w:t>
      </w:r>
    </w:p>
    <w:p w14:paraId="62E14A6D">
      <w:pPr>
        <w:snapToGrid w:val="0"/>
        <w:spacing w:line="360" w:lineRule="auto"/>
        <w:ind w:firstLine="5280" w:firstLineChars="2400"/>
        <w:rPr>
          <w:rFonts w:hint="eastAsia" w:ascii="宋体" w:hAnsi="宋体" w:eastAsia="宋体" w:cs="宋体"/>
          <w:color w:val="auto"/>
          <w:sz w:val="20"/>
          <w:szCs w:val="22"/>
          <w:highlight w:val="none"/>
        </w:rPr>
      </w:pPr>
      <w:r>
        <w:rPr>
          <w:rFonts w:hint="eastAsia" w:ascii="宋体" w:hAnsi="宋体" w:eastAsia="宋体" w:cs="宋体"/>
          <w:color w:val="auto"/>
          <w:kern w:val="0"/>
          <w:sz w:val="22"/>
          <w:szCs w:val="22"/>
          <w:highlight w:val="none"/>
          <w:lang w:val="zh-CN"/>
        </w:rPr>
        <w:t>……</w:t>
      </w:r>
    </w:p>
    <w:p w14:paraId="7E97FEA5">
      <w:pPr>
        <w:snapToGrid w:val="0"/>
        <w:spacing w:line="360" w:lineRule="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 xml:space="preserve">                                               日期：  年  月   日</w:t>
      </w:r>
    </w:p>
    <w:p w14:paraId="7C1866B7">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37920E26">
      <w:pPr>
        <w:widowControl/>
        <w:spacing w:line="360" w:lineRule="auto"/>
        <w:jc w:val="center"/>
        <w:rPr>
          <w:rFonts w:hint="eastAsia" w:ascii="宋体" w:hAnsi="宋体" w:eastAsia="宋体" w:cs="宋体"/>
          <w:b/>
          <w:color w:val="auto"/>
          <w:kern w:val="0"/>
          <w:sz w:val="28"/>
          <w:szCs w:val="28"/>
          <w:highlight w:val="none"/>
          <w:lang w:val="zh-CN"/>
        </w:rPr>
      </w:pPr>
      <w:r>
        <w:rPr>
          <w:rFonts w:hint="eastAsia" w:ascii="宋体" w:hAnsi="宋体" w:eastAsia="宋体" w:cs="宋体"/>
          <w:b/>
          <w:color w:val="auto"/>
          <w:kern w:val="0"/>
          <w:sz w:val="32"/>
          <w:szCs w:val="32"/>
          <w:highlight w:val="none"/>
          <w:lang w:val="zh-CN"/>
        </w:rPr>
        <w:br w:type="page"/>
      </w:r>
      <w:r>
        <w:rPr>
          <w:rFonts w:hint="eastAsia" w:ascii="宋体" w:hAnsi="宋体" w:eastAsia="宋体" w:cs="宋体"/>
          <w:b/>
          <w:color w:val="auto"/>
          <w:kern w:val="0"/>
          <w:sz w:val="28"/>
          <w:szCs w:val="28"/>
          <w:highlight w:val="none"/>
          <w:lang w:val="zh-CN"/>
        </w:rPr>
        <w:t>法定代表人、单位负责人或自然人本人的身份证明（适用于法定代表人、单位负责人或者自然人本人代表投标人参加投标）</w:t>
      </w:r>
    </w:p>
    <w:p w14:paraId="30AC6C4C">
      <w:pPr>
        <w:pStyle w:val="150"/>
        <w:spacing w:line="360" w:lineRule="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C8D0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355AC80">
            <w:pPr>
              <w:pStyle w:val="150"/>
              <w:adjustRightInd w:val="0"/>
              <w:spacing w:line="360" w:lineRule="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正面：                                 反面：</w:t>
            </w:r>
          </w:p>
          <w:p w14:paraId="56EDFC8B">
            <w:pPr>
              <w:pStyle w:val="150"/>
              <w:adjustRightInd w:val="0"/>
              <w:spacing w:line="360" w:lineRule="auto"/>
              <w:rPr>
                <w:rFonts w:hint="eastAsia" w:ascii="宋体" w:hAnsi="宋体" w:eastAsia="宋体" w:cs="宋体"/>
                <w:bCs/>
                <w:color w:val="auto"/>
                <w:sz w:val="22"/>
                <w:szCs w:val="22"/>
                <w:highlight w:val="none"/>
              </w:rPr>
            </w:pPr>
          </w:p>
        </w:tc>
      </w:tr>
    </w:tbl>
    <w:p w14:paraId="0F28ADC9">
      <w:pPr>
        <w:snapToGrid w:val="0"/>
        <w:spacing w:line="360" w:lineRule="auto"/>
        <w:ind w:firstLine="576"/>
        <w:jc w:val="center"/>
        <w:rPr>
          <w:rFonts w:hint="eastAsia" w:ascii="宋体" w:hAnsi="宋体" w:eastAsia="宋体" w:cs="宋体"/>
          <w:color w:val="auto"/>
          <w:sz w:val="22"/>
          <w:szCs w:val="22"/>
          <w:highlight w:val="none"/>
          <w:lang w:val="zh-CN"/>
        </w:rPr>
      </w:pPr>
    </w:p>
    <w:p w14:paraId="02C0C0F6">
      <w:pPr>
        <w:spacing w:line="420" w:lineRule="exact"/>
        <w:ind w:firstLine="4400" w:firstLineChars="2000"/>
        <w:rPr>
          <w:rFonts w:hint="eastAsia" w:ascii="宋体" w:hAnsi="宋体" w:eastAsia="宋体" w:cs="宋体"/>
          <w:color w:val="auto"/>
          <w:sz w:val="22"/>
          <w:szCs w:val="22"/>
          <w:highlight w:val="none"/>
          <w:lang w:val="zh-CN"/>
        </w:rPr>
      </w:pPr>
      <w:r>
        <w:rPr>
          <w:rFonts w:hint="eastAsia" w:ascii="宋体" w:hAnsi="宋体" w:eastAsia="宋体" w:cs="宋体"/>
          <w:color w:val="auto"/>
          <w:kern w:val="0"/>
          <w:sz w:val="22"/>
          <w:szCs w:val="22"/>
          <w:highlight w:val="none"/>
          <w:lang w:val="zh-CN"/>
        </w:rPr>
        <w:t xml:space="preserve">投标人名称（电子签名）：                              </w:t>
      </w:r>
    </w:p>
    <w:p w14:paraId="5DEF341D">
      <w:pPr>
        <w:spacing w:line="420" w:lineRule="exact"/>
        <w:ind w:firstLine="4400" w:firstLineChars="2000"/>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日期：  年  月  日</w:t>
      </w:r>
    </w:p>
    <w:p w14:paraId="641BAE2D">
      <w:pPr>
        <w:jc w:val="center"/>
        <w:rPr>
          <w:rFonts w:hint="eastAsia" w:ascii="宋体" w:hAnsi="宋体" w:eastAsia="宋体" w:cs="宋体"/>
          <w:b/>
          <w:color w:val="auto"/>
          <w:kern w:val="0"/>
          <w:sz w:val="32"/>
          <w:szCs w:val="32"/>
          <w:highlight w:val="none"/>
        </w:rPr>
      </w:pPr>
    </w:p>
    <w:p w14:paraId="1E499D57">
      <w:pPr>
        <w:snapToGrid w:val="0"/>
        <w:spacing w:line="360" w:lineRule="auto"/>
        <w:ind w:right="480"/>
        <w:rPr>
          <w:rFonts w:hint="eastAsia" w:ascii="宋体" w:hAnsi="宋体" w:eastAsia="宋体" w:cs="宋体"/>
          <w:b/>
          <w:color w:val="auto"/>
          <w:kern w:val="0"/>
          <w:sz w:val="32"/>
          <w:szCs w:val="32"/>
          <w:highlight w:val="none"/>
        </w:rPr>
        <w:sectPr>
          <w:footerReference r:id="rId11" w:type="first"/>
          <w:pgSz w:w="11906" w:h="16838"/>
          <w:pgMar w:top="1134" w:right="1134" w:bottom="1134" w:left="1134" w:header="851" w:footer="992" w:gutter="0"/>
          <w:cols w:space="720" w:num="1"/>
          <w:titlePg/>
          <w:docGrid w:linePitch="312" w:charSpace="0"/>
        </w:sectPr>
      </w:pPr>
    </w:p>
    <w:p w14:paraId="411C53D5">
      <w:pPr>
        <w:widowControl/>
        <w:spacing w:line="360" w:lineRule="auto"/>
        <w:jc w:val="center"/>
        <w:rPr>
          <w:rFonts w:hint="eastAsia" w:ascii="宋体" w:hAnsi="宋体" w:eastAsia="宋体" w:cs="宋体"/>
          <w:b/>
          <w:color w:val="auto"/>
          <w:kern w:val="0"/>
          <w:sz w:val="28"/>
          <w:szCs w:val="28"/>
          <w:highlight w:val="none"/>
        </w:rPr>
      </w:pPr>
      <w:bookmarkStart w:id="661" w:name="_Toc2609"/>
      <w:r>
        <w:rPr>
          <w:rFonts w:hint="eastAsia" w:ascii="宋体" w:hAnsi="宋体" w:eastAsia="宋体" w:cs="宋体"/>
          <w:b/>
          <w:color w:val="auto"/>
          <w:kern w:val="0"/>
          <w:sz w:val="28"/>
          <w:szCs w:val="28"/>
          <w:highlight w:val="none"/>
        </w:rPr>
        <w:t>三、分包意向协议</w:t>
      </w:r>
    </w:p>
    <w:p w14:paraId="7360E5EC">
      <w:pPr>
        <w:widowControl/>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2"/>
          <w:szCs w:val="22"/>
          <w:highlight w:val="none"/>
        </w:rPr>
        <w:t>]</w:t>
      </w:r>
    </w:p>
    <w:p w14:paraId="43B6FD23">
      <w:pPr>
        <w:snapToGrid w:val="0"/>
        <w:spacing w:line="360" w:lineRule="auto"/>
        <w:jc w:val="center"/>
        <w:rPr>
          <w:rFonts w:hint="eastAsia" w:ascii="宋体" w:hAnsi="宋体" w:eastAsia="宋体" w:cs="宋体"/>
          <w:b/>
          <w:color w:val="auto"/>
          <w:kern w:val="0"/>
          <w:sz w:val="32"/>
          <w:szCs w:val="32"/>
          <w:highlight w:val="none"/>
        </w:rPr>
      </w:pPr>
    </w:p>
    <w:p w14:paraId="5A484807">
      <w:pPr>
        <w:pStyle w:val="80"/>
        <w:rPr>
          <w:rFonts w:hint="eastAsia" w:ascii="宋体" w:hAnsi="宋体" w:eastAsia="宋体" w:cs="宋体"/>
          <w:color w:val="auto"/>
          <w:highlight w:val="none"/>
        </w:rPr>
      </w:pPr>
    </w:p>
    <w:p w14:paraId="3E380CDF">
      <w:pPr>
        <w:widowControl/>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四、符合性审查资料</w:t>
      </w: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3696"/>
        <w:gridCol w:w="3760"/>
        <w:gridCol w:w="1418"/>
      </w:tblGrid>
      <w:tr w14:paraId="346AC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32" w:type="dxa"/>
            <w:vAlign w:val="center"/>
          </w:tcPr>
          <w:p w14:paraId="3F4E1892">
            <w:pPr>
              <w:snapToGrid w:val="0"/>
              <w:spacing w:line="240" w:lineRule="atLeas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3696" w:type="dxa"/>
            <w:vAlign w:val="center"/>
          </w:tcPr>
          <w:p w14:paraId="2E6ACD2E">
            <w:pPr>
              <w:snapToGrid w:val="0"/>
              <w:spacing w:line="240" w:lineRule="atLeas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实质性要求</w:t>
            </w:r>
          </w:p>
        </w:tc>
        <w:tc>
          <w:tcPr>
            <w:tcW w:w="3760" w:type="dxa"/>
            <w:vAlign w:val="center"/>
          </w:tcPr>
          <w:p w14:paraId="2B5409DB">
            <w:pPr>
              <w:snapToGrid w:val="0"/>
              <w:spacing w:line="240" w:lineRule="atLeas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需要提供的符合性审查资料</w:t>
            </w:r>
          </w:p>
        </w:tc>
        <w:tc>
          <w:tcPr>
            <w:tcW w:w="1418" w:type="dxa"/>
            <w:vAlign w:val="center"/>
          </w:tcPr>
          <w:p w14:paraId="72B13B5F">
            <w:pPr>
              <w:snapToGrid w:val="0"/>
              <w:spacing w:line="240" w:lineRule="atLeas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投标文件中的页码位置</w:t>
            </w:r>
          </w:p>
        </w:tc>
      </w:tr>
      <w:tr w14:paraId="4400A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32" w:type="dxa"/>
            <w:vAlign w:val="center"/>
          </w:tcPr>
          <w:p w14:paraId="6F7F0045">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3696" w:type="dxa"/>
            <w:vAlign w:val="center"/>
          </w:tcPr>
          <w:p w14:paraId="21368246">
            <w:pPr>
              <w:adjustRightInd/>
              <w:spacing w:line="320" w:lineRule="exact"/>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投标文件按照招标文件要求签署、盖章。</w:t>
            </w:r>
          </w:p>
        </w:tc>
        <w:tc>
          <w:tcPr>
            <w:tcW w:w="3760" w:type="dxa"/>
            <w:vAlign w:val="center"/>
          </w:tcPr>
          <w:p w14:paraId="47FCAA4C">
            <w:pPr>
              <w:adjustRightInd/>
              <w:spacing w:line="320" w:lineRule="exact"/>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需要使用电子签名或者签字盖章的投标文件的组成部分</w:t>
            </w:r>
          </w:p>
        </w:tc>
        <w:tc>
          <w:tcPr>
            <w:tcW w:w="1418" w:type="dxa"/>
            <w:vAlign w:val="center"/>
          </w:tcPr>
          <w:p w14:paraId="40E03F09">
            <w:pPr>
              <w:adjustRightInd/>
              <w:spacing w:line="320" w:lineRule="exact"/>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w:t>
            </w:r>
          </w:p>
        </w:tc>
      </w:tr>
      <w:tr w14:paraId="7FFE5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32" w:type="dxa"/>
            <w:vAlign w:val="center"/>
          </w:tcPr>
          <w:p w14:paraId="0D4452E4">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3696" w:type="dxa"/>
            <w:vAlign w:val="center"/>
          </w:tcPr>
          <w:p w14:paraId="4D7064D9">
            <w:pPr>
              <w:adjustRightInd/>
              <w:spacing w:line="320" w:lineRule="exact"/>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投标文件中承诺的投标有效期不少于招标文件中载明的投标有效期。</w:t>
            </w:r>
          </w:p>
        </w:tc>
        <w:tc>
          <w:tcPr>
            <w:tcW w:w="3760" w:type="dxa"/>
            <w:vAlign w:val="center"/>
          </w:tcPr>
          <w:p w14:paraId="381B4AE7">
            <w:pPr>
              <w:adjustRightInd/>
              <w:spacing w:line="320" w:lineRule="exact"/>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投标函</w:t>
            </w:r>
          </w:p>
        </w:tc>
        <w:tc>
          <w:tcPr>
            <w:tcW w:w="1418" w:type="dxa"/>
            <w:vAlign w:val="center"/>
          </w:tcPr>
          <w:p w14:paraId="7B434493">
            <w:pPr>
              <w:adjustRightInd/>
              <w:spacing w:line="320" w:lineRule="exact"/>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见投标文件第</w:t>
            </w:r>
            <w:r>
              <w:rPr>
                <w:rFonts w:hint="eastAsia" w:ascii="宋体" w:hAnsi="宋体" w:eastAsia="宋体" w:cs="宋体"/>
                <w:bCs/>
                <w:color w:val="auto"/>
                <w:kern w:val="0"/>
                <w:sz w:val="22"/>
                <w:szCs w:val="22"/>
                <w:highlight w:val="none"/>
                <w:u w:val="single"/>
              </w:rPr>
              <w:t xml:space="preserve">   </w:t>
            </w:r>
            <w:r>
              <w:rPr>
                <w:rFonts w:hint="eastAsia" w:ascii="宋体" w:hAnsi="宋体" w:eastAsia="宋体" w:cs="宋体"/>
                <w:bCs/>
                <w:color w:val="auto"/>
                <w:kern w:val="0"/>
                <w:sz w:val="22"/>
                <w:szCs w:val="22"/>
                <w:highlight w:val="none"/>
              </w:rPr>
              <w:t>页</w:t>
            </w:r>
          </w:p>
        </w:tc>
      </w:tr>
      <w:tr w14:paraId="3BDD1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32" w:type="dxa"/>
            <w:vAlign w:val="center"/>
          </w:tcPr>
          <w:p w14:paraId="53DB1C2A">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3696" w:type="dxa"/>
            <w:vAlign w:val="center"/>
          </w:tcPr>
          <w:p w14:paraId="6B7D60BC">
            <w:pPr>
              <w:adjustRightInd/>
              <w:spacing w:line="320" w:lineRule="exact"/>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投标文件满足招标文件的其它实质性要求。</w:t>
            </w:r>
          </w:p>
        </w:tc>
        <w:tc>
          <w:tcPr>
            <w:tcW w:w="3760" w:type="dxa"/>
            <w:vAlign w:val="center"/>
          </w:tcPr>
          <w:p w14:paraId="212AA35E">
            <w:pPr>
              <w:adjustRightInd/>
              <w:spacing w:line="320" w:lineRule="exact"/>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招标文件其它实质性要求相应的材料</w:t>
            </w:r>
            <w:r>
              <w:rPr>
                <w:rFonts w:hint="eastAsia" w:ascii="宋体" w:hAnsi="宋体" w:eastAsia="宋体" w:cs="宋体"/>
                <w:bCs/>
                <w:color w:val="auto"/>
                <w:kern w:val="0"/>
                <w:sz w:val="22"/>
                <w:szCs w:val="22"/>
                <w:highlight w:val="none"/>
                <w:u w:val="single"/>
              </w:rPr>
              <w:t xml:space="preserve">（“▲” </w:t>
            </w:r>
            <w:r>
              <w:rPr>
                <w:rFonts w:hint="eastAsia" w:ascii="宋体" w:hAnsi="宋体" w:eastAsia="宋体" w:cs="宋体"/>
                <w:bCs/>
                <w:color w:val="auto"/>
                <w:sz w:val="22"/>
                <w:szCs w:val="22"/>
                <w:highlight w:val="none"/>
                <w:u w:val="single"/>
              </w:rPr>
              <w:t>且加下划线</w:t>
            </w:r>
            <w:r>
              <w:rPr>
                <w:rFonts w:hint="eastAsia" w:ascii="宋体" w:hAnsi="宋体" w:eastAsia="宋体" w:cs="宋体"/>
                <w:bCs/>
                <w:color w:val="auto"/>
                <w:kern w:val="0"/>
                <w:sz w:val="22"/>
                <w:szCs w:val="22"/>
                <w:highlight w:val="none"/>
                <w:u w:val="single"/>
              </w:rPr>
              <w:t>系指实质性要求条款，招标文件无其它实质性要求的，无需提供）</w:t>
            </w:r>
          </w:p>
        </w:tc>
        <w:tc>
          <w:tcPr>
            <w:tcW w:w="1418" w:type="dxa"/>
            <w:vAlign w:val="center"/>
          </w:tcPr>
          <w:p w14:paraId="42BA53B4">
            <w:pPr>
              <w:adjustRightInd/>
              <w:spacing w:line="320" w:lineRule="exact"/>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w:t>
            </w:r>
          </w:p>
        </w:tc>
      </w:tr>
    </w:tbl>
    <w:p w14:paraId="3B36ED4E">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2"/>
          <w:szCs w:val="22"/>
          <w:highlight w:val="none"/>
        </w:rPr>
        <w:t>注：按本格式和要求提供。</w:t>
      </w:r>
    </w:p>
    <w:p w14:paraId="4B7917E0">
      <w:pPr>
        <w:jc w:val="center"/>
        <w:rPr>
          <w:rFonts w:hint="eastAsia" w:ascii="宋体" w:hAnsi="宋体" w:eastAsia="宋体" w:cs="宋体"/>
          <w:b/>
          <w:color w:val="auto"/>
          <w:kern w:val="0"/>
          <w:sz w:val="32"/>
          <w:szCs w:val="32"/>
          <w:highlight w:val="none"/>
        </w:rPr>
      </w:pPr>
    </w:p>
    <w:p w14:paraId="229B73C7">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4F0B882C">
      <w:pPr>
        <w:widowControl/>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五、评标标准相应的商务技术资料</w:t>
      </w:r>
    </w:p>
    <w:p w14:paraId="4DA2C5BC">
      <w:pPr>
        <w:widowControl/>
        <w:spacing w:line="360" w:lineRule="auto"/>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（按招标文件第四部分评标办法前附表中“投标文件中评标标准相应的商务技术资料目录”提供资料，未提供参考格式的均由投标人自行拟定）</w:t>
      </w:r>
    </w:p>
    <w:bookmarkEnd w:id="661"/>
    <w:p w14:paraId="0E0DEEA5">
      <w:pPr>
        <w:rPr>
          <w:rFonts w:hint="eastAsia" w:ascii="宋体" w:hAnsi="宋体" w:eastAsia="宋体" w:cs="宋体"/>
          <w:color w:val="auto"/>
          <w:spacing w:val="-20"/>
          <w:kern w:val="0"/>
          <w:sz w:val="22"/>
          <w:szCs w:val="22"/>
          <w:highlight w:val="none"/>
        </w:rPr>
      </w:pPr>
    </w:p>
    <w:p w14:paraId="4C9B2BF9">
      <w:pPr>
        <w:pStyle w:val="80"/>
        <w:ind w:firstLine="360"/>
        <w:rPr>
          <w:rFonts w:hint="eastAsia" w:ascii="宋体" w:hAnsi="宋体" w:eastAsia="宋体" w:cs="宋体"/>
          <w:color w:val="auto"/>
          <w:spacing w:val="-20"/>
          <w:kern w:val="0"/>
          <w:sz w:val="22"/>
          <w:szCs w:val="22"/>
          <w:highlight w:val="none"/>
          <w:lang w:val="en-US"/>
        </w:rPr>
      </w:pPr>
    </w:p>
    <w:p w14:paraId="2989243E">
      <w:pPr>
        <w:pStyle w:val="80"/>
        <w:ind w:firstLine="360"/>
        <w:rPr>
          <w:rFonts w:hint="eastAsia" w:ascii="宋体" w:hAnsi="宋体" w:eastAsia="宋体" w:cs="宋体"/>
          <w:color w:val="auto"/>
          <w:spacing w:val="-20"/>
          <w:kern w:val="0"/>
          <w:sz w:val="22"/>
          <w:szCs w:val="22"/>
          <w:highlight w:val="none"/>
          <w:lang w:val="en-US"/>
        </w:rPr>
      </w:pPr>
    </w:p>
    <w:p w14:paraId="1B568649">
      <w:pPr>
        <w:rPr>
          <w:rFonts w:hint="eastAsia" w:ascii="宋体" w:hAnsi="宋体" w:eastAsia="宋体" w:cs="宋体"/>
          <w:b/>
          <w:color w:val="auto"/>
          <w:kern w:val="0"/>
          <w:sz w:val="32"/>
          <w:szCs w:val="32"/>
          <w:highlight w:val="none"/>
        </w:rPr>
      </w:pPr>
    </w:p>
    <w:p w14:paraId="3EC093BC">
      <w:pPr>
        <w:widowControl/>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六、投标标的清单</w:t>
      </w:r>
    </w:p>
    <w:tbl>
      <w:tblPr>
        <w:tblStyle w:val="63"/>
        <w:tblW w:w="88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53"/>
        <w:gridCol w:w="2185"/>
        <w:gridCol w:w="1337"/>
        <w:gridCol w:w="1279"/>
        <w:gridCol w:w="1776"/>
      </w:tblGrid>
      <w:tr w14:paraId="0D13A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14:paraId="21F158D2">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453" w:type="dxa"/>
            <w:tcBorders>
              <w:top w:val="single" w:color="auto" w:sz="4" w:space="0"/>
              <w:left w:val="single" w:color="auto" w:sz="4" w:space="0"/>
              <w:bottom w:val="single" w:color="auto" w:sz="4" w:space="0"/>
              <w:right w:val="single" w:color="auto" w:sz="4" w:space="0"/>
            </w:tcBorders>
            <w:vAlign w:val="center"/>
          </w:tcPr>
          <w:p w14:paraId="7A56041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2185" w:type="dxa"/>
            <w:tcBorders>
              <w:top w:val="single" w:color="auto" w:sz="4" w:space="0"/>
              <w:left w:val="single" w:color="auto" w:sz="4" w:space="0"/>
              <w:bottom w:val="single" w:color="auto" w:sz="4" w:space="0"/>
              <w:right w:val="single" w:color="auto" w:sz="4" w:space="0"/>
            </w:tcBorders>
          </w:tcPr>
          <w:p w14:paraId="30F102E1">
            <w:pPr>
              <w:spacing w:line="360" w:lineRule="auto"/>
              <w:jc w:val="center"/>
              <w:rPr>
                <w:rFonts w:hint="eastAsia" w:ascii="宋体" w:hAnsi="宋体" w:eastAsia="宋体" w:cs="宋体"/>
                <w:b/>
                <w:color w:val="auto"/>
                <w:sz w:val="24"/>
                <w:highlight w:val="none"/>
              </w:rPr>
            </w:pPr>
          </w:p>
          <w:p w14:paraId="782300D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1337" w:type="dxa"/>
            <w:tcBorders>
              <w:top w:val="single" w:color="auto" w:sz="4" w:space="0"/>
              <w:left w:val="single" w:color="auto" w:sz="4" w:space="0"/>
              <w:bottom w:val="single" w:color="auto" w:sz="4" w:space="0"/>
              <w:right w:val="single" w:color="auto" w:sz="4" w:space="0"/>
            </w:tcBorders>
            <w:vAlign w:val="center"/>
          </w:tcPr>
          <w:p w14:paraId="456D910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w:t>
            </w:r>
          </w:p>
        </w:tc>
        <w:tc>
          <w:tcPr>
            <w:tcW w:w="1279" w:type="dxa"/>
            <w:tcBorders>
              <w:top w:val="single" w:color="auto" w:sz="4" w:space="0"/>
              <w:left w:val="single" w:color="auto" w:sz="4" w:space="0"/>
              <w:bottom w:val="single" w:color="auto" w:sz="4" w:space="0"/>
              <w:right w:val="single" w:color="auto" w:sz="4" w:space="0"/>
            </w:tcBorders>
            <w:vAlign w:val="center"/>
          </w:tcPr>
          <w:p w14:paraId="7706492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776" w:type="dxa"/>
            <w:tcBorders>
              <w:top w:val="single" w:color="auto" w:sz="4" w:space="0"/>
              <w:left w:val="single" w:color="auto" w:sz="4" w:space="0"/>
              <w:bottom w:val="single" w:color="auto" w:sz="4" w:space="0"/>
              <w:right w:val="single" w:color="auto" w:sz="4" w:space="0"/>
            </w:tcBorders>
            <w:vAlign w:val="center"/>
          </w:tcPr>
          <w:p w14:paraId="38AA334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76F33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14:paraId="402A3E3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453" w:type="dxa"/>
            <w:tcBorders>
              <w:top w:val="single" w:color="auto" w:sz="4" w:space="0"/>
              <w:left w:val="single" w:color="auto" w:sz="4" w:space="0"/>
              <w:bottom w:val="single" w:color="auto" w:sz="4" w:space="0"/>
              <w:right w:val="single" w:color="auto" w:sz="4" w:space="0"/>
            </w:tcBorders>
            <w:vAlign w:val="center"/>
          </w:tcPr>
          <w:p w14:paraId="1017F1D4">
            <w:pPr>
              <w:snapToGrid w:val="0"/>
              <w:spacing w:line="360" w:lineRule="auto"/>
              <w:jc w:val="center"/>
              <w:rPr>
                <w:rFonts w:hint="eastAsia" w:ascii="宋体" w:hAnsi="宋体" w:eastAsia="宋体" w:cs="宋体"/>
                <w:color w:val="auto"/>
                <w:sz w:val="24"/>
                <w:highlight w:val="none"/>
              </w:rPr>
            </w:pPr>
          </w:p>
        </w:tc>
        <w:tc>
          <w:tcPr>
            <w:tcW w:w="2185" w:type="dxa"/>
            <w:tcBorders>
              <w:top w:val="single" w:color="auto" w:sz="4" w:space="0"/>
              <w:left w:val="single" w:color="auto" w:sz="4" w:space="0"/>
              <w:bottom w:val="single" w:color="auto" w:sz="4" w:space="0"/>
              <w:right w:val="single" w:color="auto" w:sz="4" w:space="0"/>
            </w:tcBorders>
            <w:vAlign w:val="center"/>
          </w:tcPr>
          <w:p w14:paraId="6DEE3AA2">
            <w:pPr>
              <w:snapToGrid w:val="0"/>
              <w:spacing w:line="360" w:lineRule="auto"/>
              <w:jc w:val="center"/>
              <w:rPr>
                <w:rFonts w:hint="eastAsia" w:ascii="宋体" w:hAnsi="宋体" w:eastAsia="宋体" w:cs="宋体"/>
                <w:color w:val="auto"/>
                <w:sz w:val="24"/>
                <w:highlight w:val="none"/>
              </w:rPr>
            </w:pPr>
          </w:p>
        </w:tc>
        <w:tc>
          <w:tcPr>
            <w:tcW w:w="1337" w:type="dxa"/>
            <w:tcBorders>
              <w:top w:val="single" w:color="auto" w:sz="4" w:space="0"/>
              <w:left w:val="single" w:color="auto" w:sz="4" w:space="0"/>
              <w:bottom w:val="single" w:color="auto" w:sz="4" w:space="0"/>
              <w:right w:val="single" w:color="auto" w:sz="4" w:space="0"/>
            </w:tcBorders>
            <w:vAlign w:val="center"/>
          </w:tcPr>
          <w:p w14:paraId="37942203">
            <w:pPr>
              <w:snapToGrid w:val="0"/>
              <w:spacing w:line="360" w:lineRule="auto"/>
              <w:jc w:val="center"/>
              <w:rPr>
                <w:rFonts w:hint="eastAsia" w:ascii="宋体" w:hAnsi="宋体" w:eastAsia="宋体" w:cs="宋体"/>
                <w:color w:val="auto"/>
                <w:sz w:val="24"/>
                <w:highlight w:val="none"/>
              </w:rPr>
            </w:pPr>
          </w:p>
        </w:tc>
        <w:tc>
          <w:tcPr>
            <w:tcW w:w="1279" w:type="dxa"/>
            <w:tcBorders>
              <w:top w:val="single" w:color="auto" w:sz="4" w:space="0"/>
              <w:left w:val="single" w:color="auto" w:sz="4" w:space="0"/>
              <w:bottom w:val="single" w:color="auto" w:sz="4" w:space="0"/>
              <w:right w:val="single" w:color="auto" w:sz="4" w:space="0"/>
            </w:tcBorders>
            <w:vAlign w:val="center"/>
          </w:tcPr>
          <w:p w14:paraId="34EBC244">
            <w:pPr>
              <w:spacing w:line="360" w:lineRule="auto"/>
              <w:jc w:val="center"/>
              <w:rPr>
                <w:rFonts w:hint="eastAsia" w:ascii="宋体" w:hAnsi="宋体" w:eastAsia="宋体" w:cs="宋体"/>
                <w:color w:val="auto"/>
                <w:sz w:val="24"/>
                <w:highlight w:val="none"/>
              </w:rPr>
            </w:pPr>
          </w:p>
        </w:tc>
        <w:tc>
          <w:tcPr>
            <w:tcW w:w="1776" w:type="dxa"/>
            <w:tcBorders>
              <w:top w:val="single" w:color="auto" w:sz="4" w:space="0"/>
              <w:left w:val="single" w:color="auto" w:sz="4" w:space="0"/>
              <w:bottom w:val="single" w:color="auto" w:sz="4" w:space="0"/>
              <w:right w:val="single" w:color="auto" w:sz="4" w:space="0"/>
            </w:tcBorders>
            <w:vAlign w:val="center"/>
          </w:tcPr>
          <w:p w14:paraId="6B2A68C9">
            <w:pPr>
              <w:spacing w:line="360" w:lineRule="auto"/>
              <w:jc w:val="center"/>
              <w:rPr>
                <w:rFonts w:hint="eastAsia" w:ascii="宋体" w:hAnsi="宋体" w:eastAsia="宋体" w:cs="宋体"/>
                <w:color w:val="auto"/>
                <w:sz w:val="24"/>
                <w:highlight w:val="none"/>
              </w:rPr>
            </w:pPr>
          </w:p>
        </w:tc>
      </w:tr>
      <w:tr w14:paraId="1838E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14:paraId="77756CB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453" w:type="dxa"/>
            <w:tcBorders>
              <w:top w:val="single" w:color="auto" w:sz="4" w:space="0"/>
              <w:left w:val="single" w:color="auto" w:sz="4" w:space="0"/>
              <w:bottom w:val="single" w:color="auto" w:sz="4" w:space="0"/>
              <w:right w:val="single" w:color="auto" w:sz="4" w:space="0"/>
            </w:tcBorders>
            <w:vAlign w:val="center"/>
          </w:tcPr>
          <w:p w14:paraId="0B5E5B91">
            <w:pPr>
              <w:snapToGrid w:val="0"/>
              <w:spacing w:line="360" w:lineRule="auto"/>
              <w:jc w:val="center"/>
              <w:rPr>
                <w:rFonts w:hint="eastAsia" w:ascii="宋体" w:hAnsi="宋体" w:eastAsia="宋体" w:cs="宋体"/>
                <w:color w:val="auto"/>
                <w:sz w:val="24"/>
                <w:highlight w:val="none"/>
              </w:rPr>
            </w:pPr>
          </w:p>
        </w:tc>
        <w:tc>
          <w:tcPr>
            <w:tcW w:w="2185" w:type="dxa"/>
            <w:tcBorders>
              <w:top w:val="single" w:color="auto" w:sz="4" w:space="0"/>
              <w:left w:val="single" w:color="auto" w:sz="4" w:space="0"/>
              <w:bottom w:val="single" w:color="auto" w:sz="4" w:space="0"/>
              <w:right w:val="single" w:color="auto" w:sz="4" w:space="0"/>
            </w:tcBorders>
            <w:vAlign w:val="center"/>
          </w:tcPr>
          <w:p w14:paraId="3B3EC46A">
            <w:pPr>
              <w:snapToGrid w:val="0"/>
              <w:spacing w:line="360" w:lineRule="auto"/>
              <w:jc w:val="center"/>
              <w:rPr>
                <w:rFonts w:hint="eastAsia" w:ascii="宋体" w:hAnsi="宋体" w:eastAsia="宋体" w:cs="宋体"/>
                <w:color w:val="auto"/>
                <w:sz w:val="24"/>
                <w:highlight w:val="none"/>
              </w:rPr>
            </w:pPr>
          </w:p>
        </w:tc>
        <w:tc>
          <w:tcPr>
            <w:tcW w:w="1337" w:type="dxa"/>
            <w:tcBorders>
              <w:top w:val="single" w:color="auto" w:sz="4" w:space="0"/>
              <w:left w:val="single" w:color="auto" w:sz="4" w:space="0"/>
              <w:bottom w:val="single" w:color="auto" w:sz="4" w:space="0"/>
              <w:right w:val="single" w:color="auto" w:sz="4" w:space="0"/>
            </w:tcBorders>
            <w:vAlign w:val="center"/>
          </w:tcPr>
          <w:p w14:paraId="24542900">
            <w:pPr>
              <w:snapToGrid w:val="0"/>
              <w:spacing w:line="360" w:lineRule="auto"/>
              <w:jc w:val="center"/>
              <w:rPr>
                <w:rFonts w:hint="eastAsia" w:ascii="宋体" w:hAnsi="宋体" w:eastAsia="宋体" w:cs="宋体"/>
                <w:color w:val="auto"/>
                <w:sz w:val="24"/>
                <w:highlight w:val="none"/>
              </w:rPr>
            </w:pPr>
          </w:p>
        </w:tc>
        <w:tc>
          <w:tcPr>
            <w:tcW w:w="1279" w:type="dxa"/>
            <w:tcBorders>
              <w:top w:val="single" w:color="auto" w:sz="4" w:space="0"/>
              <w:left w:val="single" w:color="auto" w:sz="4" w:space="0"/>
              <w:bottom w:val="single" w:color="auto" w:sz="4" w:space="0"/>
              <w:right w:val="single" w:color="auto" w:sz="4" w:space="0"/>
            </w:tcBorders>
            <w:vAlign w:val="center"/>
          </w:tcPr>
          <w:p w14:paraId="0B1CBDA0">
            <w:pPr>
              <w:spacing w:line="360" w:lineRule="auto"/>
              <w:jc w:val="center"/>
              <w:rPr>
                <w:rFonts w:hint="eastAsia" w:ascii="宋体" w:hAnsi="宋体" w:eastAsia="宋体" w:cs="宋体"/>
                <w:color w:val="auto"/>
                <w:sz w:val="24"/>
                <w:highlight w:val="none"/>
              </w:rPr>
            </w:pPr>
          </w:p>
        </w:tc>
        <w:tc>
          <w:tcPr>
            <w:tcW w:w="1776" w:type="dxa"/>
            <w:tcBorders>
              <w:top w:val="single" w:color="auto" w:sz="4" w:space="0"/>
              <w:left w:val="single" w:color="auto" w:sz="4" w:space="0"/>
              <w:bottom w:val="single" w:color="auto" w:sz="4" w:space="0"/>
              <w:right w:val="single" w:color="auto" w:sz="4" w:space="0"/>
            </w:tcBorders>
            <w:vAlign w:val="center"/>
          </w:tcPr>
          <w:p w14:paraId="31176A01">
            <w:pPr>
              <w:spacing w:line="360" w:lineRule="auto"/>
              <w:jc w:val="center"/>
              <w:rPr>
                <w:rFonts w:hint="eastAsia" w:ascii="宋体" w:hAnsi="宋体" w:eastAsia="宋体" w:cs="宋体"/>
                <w:color w:val="auto"/>
                <w:sz w:val="24"/>
                <w:highlight w:val="none"/>
              </w:rPr>
            </w:pPr>
          </w:p>
        </w:tc>
      </w:tr>
      <w:tr w14:paraId="5BC1D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14:paraId="3B8AC41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453" w:type="dxa"/>
            <w:tcBorders>
              <w:top w:val="single" w:color="auto" w:sz="4" w:space="0"/>
              <w:left w:val="single" w:color="auto" w:sz="4" w:space="0"/>
              <w:bottom w:val="single" w:color="auto" w:sz="4" w:space="0"/>
              <w:right w:val="single" w:color="auto" w:sz="4" w:space="0"/>
            </w:tcBorders>
            <w:vAlign w:val="center"/>
          </w:tcPr>
          <w:p w14:paraId="3F32CA97">
            <w:pPr>
              <w:snapToGrid w:val="0"/>
              <w:spacing w:line="360" w:lineRule="auto"/>
              <w:jc w:val="center"/>
              <w:rPr>
                <w:rFonts w:hint="eastAsia" w:ascii="宋体" w:hAnsi="宋体" w:eastAsia="宋体" w:cs="宋体"/>
                <w:color w:val="auto"/>
                <w:sz w:val="24"/>
                <w:highlight w:val="none"/>
              </w:rPr>
            </w:pPr>
          </w:p>
        </w:tc>
        <w:tc>
          <w:tcPr>
            <w:tcW w:w="2185" w:type="dxa"/>
            <w:tcBorders>
              <w:top w:val="single" w:color="auto" w:sz="4" w:space="0"/>
              <w:left w:val="single" w:color="auto" w:sz="4" w:space="0"/>
              <w:bottom w:val="single" w:color="auto" w:sz="4" w:space="0"/>
              <w:right w:val="single" w:color="auto" w:sz="4" w:space="0"/>
            </w:tcBorders>
            <w:vAlign w:val="center"/>
          </w:tcPr>
          <w:p w14:paraId="7A43BC06">
            <w:pPr>
              <w:snapToGrid w:val="0"/>
              <w:spacing w:line="360" w:lineRule="auto"/>
              <w:jc w:val="center"/>
              <w:rPr>
                <w:rFonts w:hint="eastAsia" w:ascii="宋体" w:hAnsi="宋体" w:eastAsia="宋体" w:cs="宋体"/>
                <w:color w:val="auto"/>
                <w:sz w:val="24"/>
                <w:highlight w:val="none"/>
              </w:rPr>
            </w:pPr>
          </w:p>
        </w:tc>
        <w:tc>
          <w:tcPr>
            <w:tcW w:w="1337" w:type="dxa"/>
            <w:tcBorders>
              <w:top w:val="single" w:color="auto" w:sz="4" w:space="0"/>
              <w:left w:val="single" w:color="auto" w:sz="4" w:space="0"/>
              <w:bottom w:val="single" w:color="auto" w:sz="4" w:space="0"/>
              <w:right w:val="single" w:color="auto" w:sz="4" w:space="0"/>
            </w:tcBorders>
            <w:vAlign w:val="center"/>
          </w:tcPr>
          <w:p w14:paraId="453318D8">
            <w:pPr>
              <w:snapToGrid w:val="0"/>
              <w:spacing w:line="360" w:lineRule="auto"/>
              <w:jc w:val="center"/>
              <w:rPr>
                <w:rFonts w:hint="eastAsia" w:ascii="宋体" w:hAnsi="宋体" w:eastAsia="宋体" w:cs="宋体"/>
                <w:color w:val="auto"/>
                <w:sz w:val="24"/>
                <w:highlight w:val="none"/>
              </w:rPr>
            </w:pPr>
          </w:p>
        </w:tc>
        <w:tc>
          <w:tcPr>
            <w:tcW w:w="1279" w:type="dxa"/>
            <w:tcBorders>
              <w:top w:val="single" w:color="auto" w:sz="4" w:space="0"/>
              <w:left w:val="single" w:color="auto" w:sz="4" w:space="0"/>
              <w:bottom w:val="single" w:color="auto" w:sz="4" w:space="0"/>
              <w:right w:val="single" w:color="auto" w:sz="4" w:space="0"/>
            </w:tcBorders>
            <w:vAlign w:val="center"/>
          </w:tcPr>
          <w:p w14:paraId="1885FC6C">
            <w:pPr>
              <w:spacing w:line="360" w:lineRule="auto"/>
              <w:jc w:val="center"/>
              <w:rPr>
                <w:rFonts w:hint="eastAsia" w:ascii="宋体" w:hAnsi="宋体" w:eastAsia="宋体" w:cs="宋体"/>
                <w:color w:val="auto"/>
                <w:sz w:val="24"/>
                <w:highlight w:val="none"/>
              </w:rPr>
            </w:pPr>
          </w:p>
        </w:tc>
        <w:tc>
          <w:tcPr>
            <w:tcW w:w="1776" w:type="dxa"/>
            <w:tcBorders>
              <w:top w:val="single" w:color="auto" w:sz="4" w:space="0"/>
              <w:left w:val="single" w:color="auto" w:sz="4" w:space="0"/>
              <w:bottom w:val="single" w:color="auto" w:sz="4" w:space="0"/>
              <w:right w:val="single" w:color="auto" w:sz="4" w:space="0"/>
            </w:tcBorders>
            <w:vAlign w:val="center"/>
          </w:tcPr>
          <w:p w14:paraId="6F1E18B1">
            <w:pPr>
              <w:spacing w:line="360" w:lineRule="auto"/>
              <w:jc w:val="center"/>
              <w:rPr>
                <w:rFonts w:hint="eastAsia" w:ascii="宋体" w:hAnsi="宋体" w:eastAsia="宋体" w:cs="宋体"/>
                <w:color w:val="auto"/>
                <w:sz w:val="24"/>
                <w:highlight w:val="none"/>
              </w:rPr>
            </w:pPr>
          </w:p>
        </w:tc>
      </w:tr>
    </w:tbl>
    <w:p w14:paraId="7DB62EDB">
      <w:pPr>
        <w:spacing w:line="360" w:lineRule="auto"/>
        <w:ind w:right="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注：按本格式和要求提供。</w:t>
      </w:r>
    </w:p>
    <w:p w14:paraId="3802AAF9">
      <w:pPr>
        <w:pStyle w:val="61"/>
        <w:rPr>
          <w:rFonts w:hint="eastAsia" w:ascii="宋体" w:hAnsi="宋体" w:eastAsia="宋体" w:cs="宋体"/>
          <w:color w:val="auto"/>
          <w:sz w:val="22"/>
          <w:szCs w:val="22"/>
          <w:highlight w:val="none"/>
          <w:lang w:val="en-US"/>
        </w:rPr>
      </w:pPr>
    </w:p>
    <w:p w14:paraId="5E326578">
      <w:pPr>
        <w:spacing w:line="420" w:lineRule="exact"/>
        <w:ind w:firstLine="4400" w:firstLineChars="2000"/>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投标人名称（电子签名）：</w:t>
      </w:r>
    </w:p>
    <w:p w14:paraId="63744166">
      <w:pPr>
        <w:spacing w:line="420" w:lineRule="exact"/>
        <w:ind w:firstLine="4400" w:firstLineChars="2000"/>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日期：   年   月   日</w:t>
      </w:r>
    </w:p>
    <w:p w14:paraId="2CE0204D">
      <w:pPr>
        <w:pStyle w:val="82"/>
        <w:rPr>
          <w:rFonts w:hint="eastAsia" w:ascii="宋体" w:hAnsi="宋体" w:eastAsia="宋体" w:cs="宋体"/>
          <w:color w:val="auto"/>
          <w:highlight w:val="none"/>
        </w:rPr>
      </w:pPr>
    </w:p>
    <w:p w14:paraId="36B8AF40">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48968FD7">
      <w:pPr>
        <w:pStyle w:val="82"/>
        <w:rPr>
          <w:rFonts w:hint="eastAsia" w:ascii="宋体" w:hAnsi="宋体" w:eastAsia="宋体" w:cs="宋体"/>
          <w:color w:val="auto"/>
          <w:highlight w:val="none"/>
        </w:rPr>
      </w:pPr>
    </w:p>
    <w:p w14:paraId="65010BB4">
      <w:pPr>
        <w:rPr>
          <w:rFonts w:hint="eastAsia" w:ascii="宋体" w:hAnsi="宋体" w:eastAsia="宋体" w:cs="宋体"/>
          <w:b/>
          <w:color w:val="auto"/>
          <w:kern w:val="0"/>
          <w:sz w:val="32"/>
          <w:szCs w:val="32"/>
          <w:highlight w:val="none"/>
        </w:rPr>
      </w:pPr>
    </w:p>
    <w:p w14:paraId="30C9CDA0">
      <w:pPr>
        <w:widowControl/>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七、商务技术偏离表</w:t>
      </w:r>
    </w:p>
    <w:tbl>
      <w:tblPr>
        <w:tblStyle w:val="6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7"/>
        <w:gridCol w:w="3835"/>
        <w:gridCol w:w="3691"/>
        <w:gridCol w:w="1327"/>
      </w:tblGrid>
      <w:tr w14:paraId="24C78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6" w:type="pct"/>
            <w:vAlign w:val="center"/>
          </w:tcPr>
          <w:p w14:paraId="345138AE">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1946" w:type="pct"/>
            <w:vAlign w:val="center"/>
          </w:tcPr>
          <w:p w14:paraId="4F0E8173">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招标文件章节及具体内容</w:t>
            </w:r>
          </w:p>
        </w:tc>
        <w:tc>
          <w:tcPr>
            <w:tcW w:w="1873" w:type="pct"/>
            <w:vAlign w:val="center"/>
          </w:tcPr>
          <w:p w14:paraId="1998C33E">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投标文件章节及具体内容</w:t>
            </w:r>
          </w:p>
        </w:tc>
        <w:tc>
          <w:tcPr>
            <w:tcW w:w="673" w:type="pct"/>
            <w:vAlign w:val="center"/>
          </w:tcPr>
          <w:p w14:paraId="57209BF9">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偏离说明</w:t>
            </w:r>
          </w:p>
        </w:tc>
      </w:tr>
      <w:tr w14:paraId="44ABD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6" w:type="pct"/>
            <w:vAlign w:val="center"/>
          </w:tcPr>
          <w:p w14:paraId="78D1765F">
            <w:pPr>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w:t>
            </w:r>
          </w:p>
        </w:tc>
        <w:tc>
          <w:tcPr>
            <w:tcW w:w="1946" w:type="pct"/>
            <w:vAlign w:val="center"/>
          </w:tcPr>
          <w:p w14:paraId="196009CC">
            <w:pPr>
              <w:jc w:val="center"/>
              <w:rPr>
                <w:rFonts w:hint="eastAsia" w:ascii="宋体" w:hAnsi="宋体" w:eastAsia="宋体" w:cs="宋体"/>
                <w:bCs/>
                <w:color w:val="auto"/>
                <w:sz w:val="22"/>
                <w:szCs w:val="22"/>
                <w:highlight w:val="none"/>
              </w:rPr>
            </w:pPr>
          </w:p>
        </w:tc>
        <w:tc>
          <w:tcPr>
            <w:tcW w:w="1873" w:type="pct"/>
            <w:vAlign w:val="center"/>
          </w:tcPr>
          <w:p w14:paraId="3BE85E4A">
            <w:pPr>
              <w:jc w:val="center"/>
              <w:rPr>
                <w:rFonts w:hint="eastAsia" w:ascii="宋体" w:hAnsi="宋体" w:eastAsia="宋体" w:cs="宋体"/>
                <w:bCs/>
                <w:color w:val="auto"/>
                <w:sz w:val="22"/>
                <w:szCs w:val="22"/>
                <w:highlight w:val="none"/>
              </w:rPr>
            </w:pPr>
          </w:p>
        </w:tc>
        <w:tc>
          <w:tcPr>
            <w:tcW w:w="673" w:type="pct"/>
            <w:vAlign w:val="center"/>
          </w:tcPr>
          <w:p w14:paraId="1F9ABAFB">
            <w:pPr>
              <w:jc w:val="center"/>
              <w:rPr>
                <w:rFonts w:hint="eastAsia" w:ascii="宋体" w:hAnsi="宋体" w:eastAsia="宋体" w:cs="宋体"/>
                <w:bCs/>
                <w:color w:val="auto"/>
                <w:sz w:val="22"/>
                <w:szCs w:val="22"/>
                <w:highlight w:val="none"/>
              </w:rPr>
            </w:pPr>
          </w:p>
        </w:tc>
      </w:tr>
      <w:tr w14:paraId="556B4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6" w:type="pct"/>
            <w:vAlign w:val="center"/>
          </w:tcPr>
          <w:p w14:paraId="05EA038B">
            <w:pPr>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w:t>
            </w:r>
          </w:p>
        </w:tc>
        <w:tc>
          <w:tcPr>
            <w:tcW w:w="1946" w:type="pct"/>
            <w:vAlign w:val="center"/>
          </w:tcPr>
          <w:p w14:paraId="7CF13212">
            <w:pPr>
              <w:jc w:val="center"/>
              <w:rPr>
                <w:rFonts w:hint="eastAsia" w:ascii="宋体" w:hAnsi="宋体" w:eastAsia="宋体" w:cs="宋体"/>
                <w:bCs/>
                <w:color w:val="auto"/>
                <w:sz w:val="22"/>
                <w:szCs w:val="22"/>
                <w:highlight w:val="none"/>
              </w:rPr>
            </w:pPr>
          </w:p>
        </w:tc>
        <w:tc>
          <w:tcPr>
            <w:tcW w:w="1873" w:type="pct"/>
            <w:vAlign w:val="center"/>
          </w:tcPr>
          <w:p w14:paraId="36C2DE27">
            <w:pPr>
              <w:jc w:val="center"/>
              <w:rPr>
                <w:rFonts w:hint="eastAsia" w:ascii="宋体" w:hAnsi="宋体" w:eastAsia="宋体" w:cs="宋体"/>
                <w:bCs/>
                <w:color w:val="auto"/>
                <w:sz w:val="22"/>
                <w:szCs w:val="22"/>
                <w:highlight w:val="none"/>
              </w:rPr>
            </w:pPr>
          </w:p>
        </w:tc>
        <w:tc>
          <w:tcPr>
            <w:tcW w:w="673" w:type="pct"/>
            <w:vAlign w:val="center"/>
          </w:tcPr>
          <w:p w14:paraId="755402B4">
            <w:pPr>
              <w:jc w:val="center"/>
              <w:rPr>
                <w:rFonts w:hint="eastAsia" w:ascii="宋体" w:hAnsi="宋体" w:eastAsia="宋体" w:cs="宋体"/>
                <w:bCs/>
                <w:color w:val="auto"/>
                <w:sz w:val="22"/>
                <w:szCs w:val="22"/>
                <w:highlight w:val="none"/>
              </w:rPr>
            </w:pPr>
          </w:p>
        </w:tc>
      </w:tr>
      <w:tr w14:paraId="1791B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6" w:type="pct"/>
            <w:vAlign w:val="center"/>
          </w:tcPr>
          <w:p w14:paraId="659D3A8A">
            <w:pPr>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w:t>
            </w:r>
          </w:p>
        </w:tc>
        <w:tc>
          <w:tcPr>
            <w:tcW w:w="1946" w:type="pct"/>
            <w:vAlign w:val="center"/>
          </w:tcPr>
          <w:p w14:paraId="196D3D81">
            <w:pPr>
              <w:jc w:val="center"/>
              <w:rPr>
                <w:rFonts w:hint="eastAsia" w:ascii="宋体" w:hAnsi="宋体" w:eastAsia="宋体" w:cs="宋体"/>
                <w:bCs/>
                <w:color w:val="auto"/>
                <w:sz w:val="22"/>
                <w:szCs w:val="22"/>
                <w:highlight w:val="none"/>
              </w:rPr>
            </w:pPr>
          </w:p>
        </w:tc>
        <w:tc>
          <w:tcPr>
            <w:tcW w:w="1873" w:type="pct"/>
            <w:vAlign w:val="center"/>
          </w:tcPr>
          <w:p w14:paraId="3C2C18F4">
            <w:pPr>
              <w:jc w:val="center"/>
              <w:rPr>
                <w:rFonts w:hint="eastAsia" w:ascii="宋体" w:hAnsi="宋体" w:eastAsia="宋体" w:cs="宋体"/>
                <w:bCs/>
                <w:color w:val="auto"/>
                <w:sz w:val="22"/>
                <w:szCs w:val="22"/>
                <w:highlight w:val="none"/>
              </w:rPr>
            </w:pPr>
          </w:p>
        </w:tc>
        <w:tc>
          <w:tcPr>
            <w:tcW w:w="673" w:type="pct"/>
            <w:vAlign w:val="center"/>
          </w:tcPr>
          <w:p w14:paraId="342F2FC3">
            <w:pPr>
              <w:jc w:val="center"/>
              <w:rPr>
                <w:rFonts w:hint="eastAsia" w:ascii="宋体" w:hAnsi="宋体" w:eastAsia="宋体" w:cs="宋体"/>
                <w:bCs/>
                <w:color w:val="auto"/>
                <w:sz w:val="22"/>
                <w:szCs w:val="22"/>
                <w:highlight w:val="none"/>
              </w:rPr>
            </w:pPr>
          </w:p>
        </w:tc>
      </w:tr>
    </w:tbl>
    <w:p w14:paraId="0CE80640">
      <w:pPr>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投标人保证：除商务技术偏离表列出的偏离外，投标人响应招标文件的全部要求。</w:t>
      </w:r>
    </w:p>
    <w:p w14:paraId="6719F861">
      <w:pPr>
        <w:jc w:val="center"/>
        <w:rPr>
          <w:rFonts w:hint="eastAsia" w:ascii="宋体" w:hAnsi="宋体" w:eastAsia="宋体" w:cs="宋体"/>
          <w:b/>
          <w:color w:val="auto"/>
          <w:kern w:val="0"/>
          <w:sz w:val="22"/>
          <w:szCs w:val="22"/>
          <w:highlight w:val="none"/>
        </w:rPr>
      </w:pPr>
    </w:p>
    <w:p w14:paraId="0103B321">
      <w:pPr>
        <w:spacing w:line="360" w:lineRule="auto"/>
        <w:ind w:right="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注：按本格式和要求提供。</w:t>
      </w:r>
    </w:p>
    <w:p w14:paraId="600164A5">
      <w:pPr>
        <w:pStyle w:val="61"/>
        <w:rPr>
          <w:rFonts w:hint="eastAsia" w:ascii="宋体" w:hAnsi="宋体" w:eastAsia="宋体" w:cs="宋体"/>
          <w:color w:val="auto"/>
          <w:highlight w:val="none"/>
          <w:lang w:val="en-US"/>
        </w:rPr>
      </w:pPr>
    </w:p>
    <w:p w14:paraId="34AD49A4">
      <w:pPr>
        <w:spacing w:line="420" w:lineRule="exact"/>
        <w:ind w:firstLine="4400" w:firstLineChars="2000"/>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 xml:space="preserve">投标人名称（电子签名）：                                                                                                                                                                                                               </w:t>
      </w:r>
    </w:p>
    <w:p w14:paraId="5667F9B3">
      <w:pPr>
        <w:spacing w:line="420" w:lineRule="exact"/>
        <w:ind w:firstLine="4400" w:firstLineChars="2000"/>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日期：   年   月   日</w:t>
      </w:r>
    </w:p>
    <w:p w14:paraId="6CCC888C">
      <w:pPr>
        <w:rPr>
          <w:rFonts w:hint="eastAsia" w:ascii="宋体" w:hAnsi="宋体" w:eastAsia="宋体" w:cs="宋体"/>
          <w:b/>
          <w:bCs/>
          <w:color w:val="auto"/>
          <w:sz w:val="32"/>
          <w:szCs w:val="32"/>
          <w:highlight w:val="none"/>
        </w:rPr>
      </w:pPr>
    </w:p>
    <w:p w14:paraId="7AF6F0C3">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C42879C">
      <w:pPr>
        <w:widowControl/>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八、政府采购供应商廉洁自律承诺书</w:t>
      </w:r>
    </w:p>
    <w:p w14:paraId="6AE0FC65">
      <w:pPr>
        <w:snapToGrid w:val="0"/>
        <w:spacing w:line="360" w:lineRule="auto"/>
        <w:rPr>
          <w:rFonts w:hint="eastAsia" w:ascii="宋体" w:hAnsi="宋体" w:eastAsia="宋体" w:cs="宋体"/>
          <w:color w:val="auto"/>
          <w:sz w:val="24"/>
          <w:highlight w:val="none"/>
        </w:rPr>
      </w:pPr>
    </w:p>
    <w:p w14:paraId="3AFC5DD4">
      <w:pPr>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（采购人）、（采购代理机构）：</w:t>
      </w:r>
    </w:p>
    <w:p w14:paraId="6BF2496E">
      <w:pPr>
        <w:autoSpaceDE w:val="0"/>
        <w:autoSpaceDN w:val="0"/>
        <w:spacing w:line="360" w:lineRule="auto"/>
        <w:ind w:left="2" w:leftChars="1" w:firstLine="440" w:firstLineChars="200"/>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我单位响应你</w:t>
      </w:r>
      <w:r>
        <w:rPr>
          <w:rFonts w:hint="eastAsia" w:ascii="宋体" w:hAnsi="宋体" w:eastAsia="宋体" w:cs="宋体"/>
          <w:color w:val="auto"/>
          <w:sz w:val="22"/>
          <w:szCs w:val="22"/>
          <w:highlight w:val="none"/>
        </w:rPr>
        <w:t>单位</w:t>
      </w:r>
      <w:r>
        <w:rPr>
          <w:rFonts w:hint="eastAsia" w:ascii="宋体" w:hAnsi="宋体" w:eastAsia="宋体" w:cs="宋体"/>
          <w:color w:val="auto"/>
          <w:kern w:val="0"/>
          <w:sz w:val="22"/>
          <w:szCs w:val="22"/>
          <w:highlight w:val="none"/>
          <w:lang w:val="zh-CN"/>
        </w:rPr>
        <w:t>项目招标要求参加投标。在这次投标过程中和中标后，我们将严格遵守国家法律法规要求，并郑重承诺：</w:t>
      </w:r>
    </w:p>
    <w:p w14:paraId="0A31CC15">
      <w:pPr>
        <w:autoSpaceDE w:val="0"/>
        <w:autoSpaceDN w:val="0"/>
        <w:spacing w:line="360" w:lineRule="auto"/>
        <w:ind w:left="2" w:leftChars="1" w:firstLine="440" w:firstLineChars="200"/>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 xml:space="preserve">一、不向项目有关人员及部门赠送礼金礼物、有价证券、回扣以及中介费、介绍费、咨询费等好处费； </w:t>
      </w:r>
    </w:p>
    <w:p w14:paraId="6A04C409">
      <w:pPr>
        <w:autoSpaceDE w:val="0"/>
        <w:autoSpaceDN w:val="0"/>
        <w:spacing w:line="360" w:lineRule="auto"/>
        <w:ind w:left="2" w:leftChars="1" w:firstLine="440" w:firstLineChars="200"/>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 xml:space="preserve">二、不为项目有关人员及部门报销应由你方单位或个人支付的费用； </w:t>
      </w:r>
    </w:p>
    <w:p w14:paraId="441E5719">
      <w:pPr>
        <w:autoSpaceDE w:val="0"/>
        <w:autoSpaceDN w:val="0"/>
        <w:spacing w:line="360" w:lineRule="auto"/>
        <w:ind w:left="2" w:leftChars="1" w:firstLine="440" w:firstLineChars="200"/>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 xml:space="preserve">三、不向项目有关人员及部门提供有可能影响公正的宴请和健身娱乐等活动； </w:t>
      </w:r>
    </w:p>
    <w:p w14:paraId="066079AA">
      <w:pPr>
        <w:autoSpaceDE w:val="0"/>
        <w:autoSpaceDN w:val="0"/>
        <w:spacing w:line="360" w:lineRule="auto"/>
        <w:ind w:left="2" w:leftChars="1" w:firstLine="440" w:firstLineChars="200"/>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四、不为项目有关人员及部门出国（境）、旅游等提供方便；</w:t>
      </w:r>
    </w:p>
    <w:p w14:paraId="66888359">
      <w:pPr>
        <w:autoSpaceDE w:val="0"/>
        <w:autoSpaceDN w:val="0"/>
        <w:spacing w:line="360" w:lineRule="auto"/>
        <w:ind w:left="481" w:leftChars="229"/>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五、不为项目有关人员个人装修住房、婚丧嫁娶、配偶子女工作安排等提供</w:t>
      </w:r>
    </w:p>
    <w:p w14:paraId="75A51287">
      <w:pPr>
        <w:autoSpaceDE w:val="0"/>
        <w:autoSpaceDN w:val="0"/>
        <w:spacing w:line="360" w:lineRule="auto"/>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好处；</w:t>
      </w:r>
    </w:p>
    <w:p w14:paraId="190B0159">
      <w:pPr>
        <w:autoSpaceDE w:val="0"/>
        <w:autoSpaceDN w:val="0"/>
        <w:spacing w:line="360" w:lineRule="auto"/>
        <w:ind w:firstLine="440" w:firstLineChars="200"/>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 xml:space="preserve">六、严格遵守《中华人民共和国政府采购法》《中华人民共和国招标投标法》《中华人民共和国民法典》等法律法规，诚实守信，合法经营，坚决抵制各种违法违纪行为。 </w:t>
      </w:r>
    </w:p>
    <w:p w14:paraId="76D78A36">
      <w:pPr>
        <w:autoSpaceDE w:val="0"/>
        <w:autoSpaceDN w:val="0"/>
        <w:spacing w:line="360" w:lineRule="auto"/>
        <w:ind w:firstLine="440" w:firstLineChars="200"/>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如违反上述承诺，你</w:t>
      </w:r>
      <w:r>
        <w:rPr>
          <w:rFonts w:hint="eastAsia" w:ascii="宋体" w:hAnsi="宋体" w:eastAsia="宋体" w:cs="宋体"/>
          <w:color w:val="auto"/>
          <w:sz w:val="22"/>
          <w:szCs w:val="22"/>
          <w:highlight w:val="none"/>
        </w:rPr>
        <w:t>单位</w:t>
      </w:r>
      <w:r>
        <w:rPr>
          <w:rFonts w:hint="eastAsia" w:ascii="宋体" w:hAnsi="宋体" w:eastAsia="宋体" w:cs="宋体"/>
          <w:color w:val="auto"/>
          <w:kern w:val="0"/>
          <w:sz w:val="22"/>
          <w:szCs w:val="22"/>
          <w:highlight w:val="none"/>
          <w:lang w:val="zh-CN"/>
        </w:rPr>
        <w:t>有权立即取消我单位投标、中标或在建项目的建设资格，有权拒绝我单位在一定时期内进入你</w:t>
      </w:r>
      <w:r>
        <w:rPr>
          <w:rFonts w:hint="eastAsia" w:ascii="宋体" w:hAnsi="宋体" w:eastAsia="宋体" w:cs="宋体"/>
          <w:color w:val="auto"/>
          <w:sz w:val="22"/>
          <w:szCs w:val="22"/>
          <w:highlight w:val="none"/>
        </w:rPr>
        <w:t>单位</w:t>
      </w:r>
      <w:r>
        <w:rPr>
          <w:rFonts w:hint="eastAsia" w:ascii="宋体" w:hAnsi="宋体" w:eastAsia="宋体" w:cs="宋体"/>
          <w:color w:val="auto"/>
          <w:kern w:val="0"/>
          <w:sz w:val="22"/>
          <w:szCs w:val="22"/>
          <w:highlight w:val="none"/>
          <w:lang w:val="zh-CN"/>
        </w:rPr>
        <w:t>进行项目建设或其他经营活动，并通报市财政局。由此引起的相应损失均由我单位承担。</w:t>
      </w:r>
    </w:p>
    <w:p w14:paraId="7EDE4C05">
      <w:pPr>
        <w:autoSpaceDE w:val="0"/>
        <w:autoSpaceDN w:val="0"/>
        <w:spacing w:line="360" w:lineRule="auto"/>
        <w:ind w:left="2"/>
        <w:jc w:val="left"/>
        <w:rPr>
          <w:rFonts w:hint="eastAsia" w:ascii="宋体" w:hAnsi="宋体" w:eastAsia="宋体" w:cs="宋体"/>
          <w:color w:val="auto"/>
          <w:kern w:val="0"/>
          <w:sz w:val="22"/>
          <w:szCs w:val="22"/>
          <w:highlight w:val="none"/>
          <w:lang w:val="zh-CN"/>
        </w:rPr>
      </w:pPr>
    </w:p>
    <w:p w14:paraId="3C311B09">
      <w:pPr>
        <w:spacing w:line="420" w:lineRule="exact"/>
        <w:ind w:firstLine="4400" w:firstLineChars="2000"/>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 xml:space="preserve">投标人名称（电子签名）：                                                                                                                                                                                                               </w:t>
      </w:r>
    </w:p>
    <w:p w14:paraId="5432A995">
      <w:pPr>
        <w:spacing w:line="420" w:lineRule="exact"/>
        <w:ind w:firstLine="4400" w:firstLineChars="2000"/>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日期：   年   月   日</w:t>
      </w:r>
    </w:p>
    <w:p w14:paraId="58F5AC02">
      <w:pPr>
        <w:spacing w:line="360" w:lineRule="auto"/>
        <w:jc w:val="center"/>
        <w:rPr>
          <w:rFonts w:hint="eastAsia" w:ascii="宋体" w:hAnsi="宋体" w:eastAsia="宋体" w:cs="宋体"/>
          <w:b/>
          <w:bCs/>
          <w:color w:val="auto"/>
          <w:sz w:val="22"/>
          <w:szCs w:val="22"/>
          <w:highlight w:val="none"/>
        </w:rPr>
      </w:pPr>
    </w:p>
    <w:p w14:paraId="6F7B4C93">
      <w:pPr>
        <w:spacing w:line="360" w:lineRule="auto"/>
        <w:ind w:right="420"/>
        <w:rPr>
          <w:rFonts w:hint="eastAsia" w:ascii="宋体" w:hAnsi="宋体" w:eastAsia="宋体" w:cs="宋体"/>
          <w:color w:val="auto"/>
          <w:highlight w:val="none"/>
        </w:rPr>
      </w:pPr>
      <w:r>
        <w:rPr>
          <w:rFonts w:hint="eastAsia" w:ascii="宋体" w:hAnsi="宋体" w:eastAsia="宋体" w:cs="宋体"/>
          <w:color w:val="auto"/>
          <w:sz w:val="22"/>
          <w:szCs w:val="22"/>
          <w:highlight w:val="none"/>
        </w:rPr>
        <w:t>注：按本格式和要求提供。</w:t>
      </w:r>
    </w:p>
    <w:p w14:paraId="405D077E">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4E629F6">
      <w:pPr>
        <w:spacing w:line="360" w:lineRule="auto"/>
        <w:jc w:val="center"/>
        <w:outlineLvl w:val="0"/>
        <w:rPr>
          <w:rFonts w:hint="eastAsia" w:ascii="宋体" w:hAnsi="宋体" w:eastAsia="宋体" w:cs="宋体"/>
          <w:b/>
          <w:color w:val="auto"/>
          <w:kern w:val="0"/>
          <w:sz w:val="36"/>
          <w:szCs w:val="36"/>
          <w:highlight w:val="none"/>
        </w:rPr>
      </w:pPr>
      <w:bookmarkStart w:id="662" w:name="_Toc129952594"/>
      <w:bookmarkStart w:id="663" w:name="_Toc129952717"/>
      <w:bookmarkStart w:id="664" w:name="_Toc18646"/>
      <w:r>
        <w:rPr>
          <w:rFonts w:hint="eastAsia" w:ascii="宋体" w:hAnsi="宋体" w:eastAsia="宋体" w:cs="宋体"/>
          <w:b/>
          <w:color w:val="auto"/>
          <w:kern w:val="0"/>
          <w:sz w:val="36"/>
          <w:szCs w:val="36"/>
          <w:highlight w:val="none"/>
        </w:rPr>
        <w:t>报价文件部分</w:t>
      </w:r>
      <w:bookmarkEnd w:id="662"/>
      <w:bookmarkEnd w:id="663"/>
      <w:bookmarkEnd w:id="664"/>
    </w:p>
    <w:p w14:paraId="6F735A37">
      <w:pPr>
        <w:pStyle w:val="86"/>
        <w:ind w:firstLine="0"/>
        <w:jc w:val="center"/>
        <w:rPr>
          <w:rFonts w:hint="eastAsia" w:ascii="宋体" w:hAnsi="宋体" w:eastAsia="宋体" w:cs="宋体"/>
          <w:b/>
          <w:color w:val="auto"/>
          <w:sz w:val="32"/>
          <w:szCs w:val="32"/>
          <w:highlight w:val="none"/>
        </w:rPr>
      </w:pPr>
    </w:p>
    <w:p w14:paraId="791E4F21">
      <w:pPr>
        <w:pStyle w:val="86"/>
        <w:ind w:firstLine="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目录</w:t>
      </w:r>
    </w:p>
    <w:p w14:paraId="28BE6BDB">
      <w:pPr>
        <w:snapToGrid w:val="0"/>
        <w:spacing w:line="360" w:lineRule="auto"/>
        <w:rPr>
          <w:rFonts w:hint="eastAsia" w:ascii="宋体" w:hAnsi="宋体" w:eastAsia="宋体" w:cs="宋体"/>
          <w:color w:val="auto"/>
          <w:sz w:val="24"/>
          <w:highlight w:val="none"/>
        </w:rPr>
      </w:pPr>
    </w:p>
    <w:p w14:paraId="5AD06544">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（1）开标一览表（报价表）……………………………………………………………（页码）</w:t>
      </w:r>
    </w:p>
    <w:p w14:paraId="7DA773EE">
      <w:pPr>
        <w:snapToGrid w:val="0"/>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sz w:val="22"/>
          <w:szCs w:val="22"/>
          <w:highlight w:val="none"/>
        </w:rPr>
        <w:t>（2）报价情况说明（如果有）…………………………………………………………（页码）</w:t>
      </w:r>
    </w:p>
    <w:p w14:paraId="45B8D62A">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（3）中小企业声明函（如果有）………………………………………………………（页码）</w:t>
      </w:r>
    </w:p>
    <w:p w14:paraId="2B5786F3">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footerReference r:id="rId13" w:type="first"/>
          <w:footerReference r:id="rId12" w:type="default"/>
          <w:pgSz w:w="11906" w:h="16838"/>
          <w:pgMar w:top="1134" w:right="1134" w:bottom="1134" w:left="1134" w:header="851" w:footer="992" w:gutter="0"/>
          <w:cols w:space="720" w:num="1"/>
          <w:titlePg/>
          <w:docGrid w:linePitch="312" w:charSpace="0"/>
        </w:sectPr>
      </w:pPr>
    </w:p>
    <w:p w14:paraId="3E8E7462">
      <w:pPr>
        <w:snapToGrid w:val="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一、开标一览表（报价表）</w:t>
      </w:r>
    </w:p>
    <w:p w14:paraId="7EA9D867">
      <w:pPr>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（采购人）、（采购代理机构）：</w:t>
      </w:r>
    </w:p>
    <w:p w14:paraId="070606E5">
      <w:pPr>
        <w:snapToGrid w:val="0"/>
        <w:spacing w:line="360" w:lineRule="auto"/>
        <w:ind w:firstLine="482"/>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2"/>
          <w:szCs w:val="22"/>
          <w:highlight w:val="none"/>
        </w:rPr>
        <w:t>组织参加</w:t>
      </w:r>
      <w:r>
        <w:rPr>
          <w:rFonts w:hint="eastAsia" w:ascii="宋体" w:hAnsi="宋体" w:eastAsia="宋体" w:cs="宋体"/>
          <w:color w:val="auto"/>
          <w:sz w:val="22"/>
          <w:szCs w:val="22"/>
          <w:highlight w:val="none"/>
          <w:u w:val="single"/>
        </w:rPr>
        <w:t xml:space="preserve">（项目名称）             </w:t>
      </w:r>
      <w:r>
        <w:rPr>
          <w:rFonts w:hint="eastAsia" w:ascii="宋体" w:hAnsi="宋体" w:eastAsia="宋体" w:cs="宋体"/>
          <w:color w:val="auto"/>
          <w:sz w:val="22"/>
          <w:szCs w:val="22"/>
          <w:highlight w:val="none"/>
        </w:rPr>
        <w:t>【招标编号：              】的实施</w:t>
      </w:r>
      <w:r>
        <w:rPr>
          <w:rFonts w:hint="eastAsia" w:ascii="宋体" w:hAnsi="宋体" w:eastAsia="宋体" w:cs="宋体"/>
          <w:color w:val="auto"/>
          <w:kern w:val="0"/>
          <w:sz w:val="22"/>
          <w:szCs w:val="22"/>
          <w:highlight w:val="none"/>
          <w:lang w:val="zh-CN"/>
        </w:rPr>
        <w:t>。</w:t>
      </w:r>
    </w:p>
    <w:p w14:paraId="5EFDC67F">
      <w:pPr>
        <w:spacing w:line="360" w:lineRule="auto"/>
        <w:jc w:val="center"/>
        <w:rPr>
          <w:rFonts w:hint="eastAsia" w:ascii="宋体" w:hAnsi="宋体" w:eastAsia="宋体" w:cs="宋体"/>
          <w:b/>
          <w:color w:val="auto"/>
          <w:kern w:val="0"/>
          <w:sz w:val="22"/>
          <w:szCs w:val="22"/>
          <w:highlight w:val="none"/>
          <w:lang w:val="zh-CN"/>
        </w:rPr>
      </w:pPr>
      <w:r>
        <w:rPr>
          <w:rFonts w:hint="eastAsia" w:ascii="宋体" w:hAnsi="宋体" w:eastAsia="宋体" w:cs="宋体"/>
          <w:b/>
          <w:color w:val="auto"/>
          <w:kern w:val="0"/>
          <w:sz w:val="22"/>
          <w:szCs w:val="22"/>
          <w:highlight w:val="none"/>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57E5D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6DA50DB5">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417" w:type="dxa"/>
            <w:vAlign w:val="center"/>
          </w:tcPr>
          <w:p w14:paraId="1D838B76">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843" w:type="dxa"/>
          </w:tcPr>
          <w:p w14:paraId="698C37D4">
            <w:pPr>
              <w:spacing w:line="360" w:lineRule="auto"/>
              <w:jc w:val="center"/>
              <w:rPr>
                <w:rFonts w:hint="eastAsia" w:ascii="宋体" w:hAnsi="宋体" w:eastAsia="宋体" w:cs="宋体"/>
                <w:b/>
                <w:color w:val="auto"/>
                <w:sz w:val="24"/>
                <w:highlight w:val="none"/>
              </w:rPr>
            </w:pPr>
          </w:p>
          <w:p w14:paraId="75305CE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3118" w:type="dxa"/>
            <w:vAlign w:val="center"/>
          </w:tcPr>
          <w:p w14:paraId="6324236F">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w:t>
            </w:r>
          </w:p>
        </w:tc>
        <w:tc>
          <w:tcPr>
            <w:tcW w:w="993" w:type="dxa"/>
            <w:vAlign w:val="center"/>
          </w:tcPr>
          <w:p w14:paraId="3043EB75">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559" w:type="dxa"/>
            <w:vAlign w:val="center"/>
          </w:tcPr>
          <w:p w14:paraId="4AB54E2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w:t>
            </w:r>
          </w:p>
        </w:tc>
        <w:tc>
          <w:tcPr>
            <w:tcW w:w="1984" w:type="dxa"/>
            <w:vAlign w:val="center"/>
          </w:tcPr>
          <w:p w14:paraId="68EE50C6">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合计</w:t>
            </w:r>
          </w:p>
        </w:tc>
        <w:tc>
          <w:tcPr>
            <w:tcW w:w="3119" w:type="dxa"/>
            <w:vAlign w:val="center"/>
          </w:tcPr>
          <w:p w14:paraId="47CEE860">
            <w:pPr>
              <w:spacing w:line="360" w:lineRule="auto"/>
              <w:jc w:val="center"/>
              <w:rPr>
                <w:rFonts w:hint="eastAsia" w:ascii="宋体" w:hAnsi="宋体" w:eastAsia="宋体" w:cs="宋体"/>
                <w:b/>
                <w:color w:val="auto"/>
                <w:sz w:val="24"/>
                <w:highlight w:val="none"/>
              </w:rPr>
            </w:pPr>
          </w:p>
          <w:p w14:paraId="4295514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39CB3E18">
            <w:pPr>
              <w:spacing w:line="360" w:lineRule="auto"/>
              <w:jc w:val="center"/>
              <w:rPr>
                <w:rFonts w:hint="eastAsia" w:ascii="宋体" w:hAnsi="宋体" w:eastAsia="宋体" w:cs="宋体"/>
                <w:b/>
                <w:color w:val="auto"/>
                <w:sz w:val="24"/>
                <w:highlight w:val="none"/>
              </w:rPr>
            </w:pPr>
          </w:p>
        </w:tc>
      </w:tr>
      <w:tr w14:paraId="33D81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657C39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417" w:type="dxa"/>
            <w:vAlign w:val="center"/>
          </w:tcPr>
          <w:p w14:paraId="54D005B9">
            <w:pPr>
              <w:snapToGrid w:val="0"/>
              <w:spacing w:line="360" w:lineRule="auto"/>
              <w:jc w:val="center"/>
              <w:rPr>
                <w:rFonts w:hint="eastAsia" w:ascii="宋体" w:hAnsi="宋体" w:eastAsia="宋体" w:cs="宋体"/>
                <w:color w:val="auto"/>
                <w:sz w:val="24"/>
                <w:highlight w:val="none"/>
              </w:rPr>
            </w:pPr>
          </w:p>
        </w:tc>
        <w:tc>
          <w:tcPr>
            <w:tcW w:w="1843" w:type="dxa"/>
            <w:vAlign w:val="center"/>
          </w:tcPr>
          <w:p w14:paraId="06BB2C06">
            <w:pPr>
              <w:snapToGrid w:val="0"/>
              <w:spacing w:line="360" w:lineRule="auto"/>
              <w:jc w:val="center"/>
              <w:rPr>
                <w:rFonts w:hint="eastAsia" w:ascii="宋体" w:hAnsi="宋体" w:eastAsia="宋体" w:cs="宋体"/>
                <w:color w:val="auto"/>
                <w:sz w:val="24"/>
                <w:highlight w:val="none"/>
              </w:rPr>
            </w:pPr>
          </w:p>
        </w:tc>
        <w:tc>
          <w:tcPr>
            <w:tcW w:w="3118" w:type="dxa"/>
            <w:vAlign w:val="center"/>
          </w:tcPr>
          <w:p w14:paraId="643DF3E8">
            <w:pPr>
              <w:snapToGrid w:val="0"/>
              <w:spacing w:line="360" w:lineRule="auto"/>
              <w:jc w:val="center"/>
              <w:rPr>
                <w:rFonts w:hint="eastAsia" w:ascii="宋体" w:hAnsi="宋体" w:eastAsia="宋体" w:cs="宋体"/>
                <w:color w:val="auto"/>
                <w:sz w:val="24"/>
                <w:highlight w:val="none"/>
              </w:rPr>
            </w:pPr>
          </w:p>
        </w:tc>
        <w:tc>
          <w:tcPr>
            <w:tcW w:w="993" w:type="dxa"/>
            <w:vAlign w:val="center"/>
          </w:tcPr>
          <w:p w14:paraId="55922F80">
            <w:pPr>
              <w:snapToGrid w:val="0"/>
              <w:spacing w:line="360" w:lineRule="auto"/>
              <w:jc w:val="center"/>
              <w:rPr>
                <w:rFonts w:hint="eastAsia" w:ascii="宋体" w:hAnsi="宋体" w:eastAsia="宋体" w:cs="宋体"/>
                <w:color w:val="auto"/>
                <w:sz w:val="24"/>
                <w:highlight w:val="none"/>
              </w:rPr>
            </w:pPr>
          </w:p>
        </w:tc>
        <w:tc>
          <w:tcPr>
            <w:tcW w:w="1559" w:type="dxa"/>
            <w:vAlign w:val="center"/>
          </w:tcPr>
          <w:p w14:paraId="43E70AF5">
            <w:pPr>
              <w:spacing w:line="360" w:lineRule="auto"/>
              <w:jc w:val="center"/>
              <w:rPr>
                <w:rFonts w:hint="eastAsia" w:ascii="宋体" w:hAnsi="宋体" w:eastAsia="宋体" w:cs="宋体"/>
                <w:color w:val="auto"/>
                <w:sz w:val="24"/>
                <w:highlight w:val="none"/>
              </w:rPr>
            </w:pPr>
          </w:p>
        </w:tc>
        <w:tc>
          <w:tcPr>
            <w:tcW w:w="1984" w:type="dxa"/>
            <w:vAlign w:val="center"/>
          </w:tcPr>
          <w:p w14:paraId="4B28B72C">
            <w:pPr>
              <w:spacing w:line="360" w:lineRule="auto"/>
              <w:jc w:val="center"/>
              <w:rPr>
                <w:rFonts w:hint="eastAsia" w:ascii="宋体" w:hAnsi="宋体" w:eastAsia="宋体" w:cs="宋体"/>
                <w:color w:val="auto"/>
                <w:sz w:val="24"/>
                <w:highlight w:val="none"/>
              </w:rPr>
            </w:pPr>
          </w:p>
        </w:tc>
        <w:tc>
          <w:tcPr>
            <w:tcW w:w="3119" w:type="dxa"/>
            <w:vAlign w:val="center"/>
          </w:tcPr>
          <w:p w14:paraId="4FB359A5">
            <w:pPr>
              <w:spacing w:line="360" w:lineRule="auto"/>
              <w:jc w:val="center"/>
              <w:rPr>
                <w:rFonts w:hint="eastAsia" w:ascii="宋体" w:hAnsi="宋体" w:eastAsia="宋体" w:cs="宋体"/>
                <w:color w:val="auto"/>
                <w:sz w:val="24"/>
                <w:highlight w:val="none"/>
              </w:rPr>
            </w:pPr>
          </w:p>
        </w:tc>
      </w:tr>
      <w:tr w14:paraId="4B462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A226CC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417" w:type="dxa"/>
            <w:vAlign w:val="center"/>
          </w:tcPr>
          <w:p w14:paraId="56B26F81">
            <w:pPr>
              <w:snapToGrid w:val="0"/>
              <w:spacing w:line="360" w:lineRule="auto"/>
              <w:jc w:val="center"/>
              <w:rPr>
                <w:rFonts w:hint="eastAsia" w:ascii="宋体" w:hAnsi="宋体" w:eastAsia="宋体" w:cs="宋体"/>
                <w:color w:val="auto"/>
                <w:sz w:val="24"/>
                <w:highlight w:val="none"/>
              </w:rPr>
            </w:pPr>
          </w:p>
        </w:tc>
        <w:tc>
          <w:tcPr>
            <w:tcW w:w="1843" w:type="dxa"/>
            <w:vAlign w:val="center"/>
          </w:tcPr>
          <w:p w14:paraId="00C4E95C">
            <w:pPr>
              <w:snapToGrid w:val="0"/>
              <w:spacing w:line="360" w:lineRule="auto"/>
              <w:jc w:val="center"/>
              <w:rPr>
                <w:rFonts w:hint="eastAsia" w:ascii="宋体" w:hAnsi="宋体" w:eastAsia="宋体" w:cs="宋体"/>
                <w:color w:val="auto"/>
                <w:sz w:val="24"/>
                <w:highlight w:val="none"/>
              </w:rPr>
            </w:pPr>
          </w:p>
        </w:tc>
        <w:tc>
          <w:tcPr>
            <w:tcW w:w="3118" w:type="dxa"/>
            <w:vAlign w:val="center"/>
          </w:tcPr>
          <w:p w14:paraId="786D5B64">
            <w:pPr>
              <w:snapToGrid w:val="0"/>
              <w:spacing w:line="360" w:lineRule="auto"/>
              <w:jc w:val="center"/>
              <w:rPr>
                <w:rFonts w:hint="eastAsia" w:ascii="宋体" w:hAnsi="宋体" w:eastAsia="宋体" w:cs="宋体"/>
                <w:color w:val="auto"/>
                <w:sz w:val="24"/>
                <w:highlight w:val="none"/>
              </w:rPr>
            </w:pPr>
          </w:p>
        </w:tc>
        <w:tc>
          <w:tcPr>
            <w:tcW w:w="993" w:type="dxa"/>
            <w:vAlign w:val="center"/>
          </w:tcPr>
          <w:p w14:paraId="7DF08FD7">
            <w:pPr>
              <w:snapToGrid w:val="0"/>
              <w:spacing w:line="360" w:lineRule="auto"/>
              <w:jc w:val="center"/>
              <w:rPr>
                <w:rFonts w:hint="eastAsia" w:ascii="宋体" w:hAnsi="宋体" w:eastAsia="宋体" w:cs="宋体"/>
                <w:color w:val="auto"/>
                <w:sz w:val="24"/>
                <w:highlight w:val="none"/>
              </w:rPr>
            </w:pPr>
          </w:p>
        </w:tc>
        <w:tc>
          <w:tcPr>
            <w:tcW w:w="1559" w:type="dxa"/>
            <w:vAlign w:val="center"/>
          </w:tcPr>
          <w:p w14:paraId="56E58445">
            <w:pPr>
              <w:spacing w:line="360" w:lineRule="auto"/>
              <w:jc w:val="center"/>
              <w:rPr>
                <w:rFonts w:hint="eastAsia" w:ascii="宋体" w:hAnsi="宋体" w:eastAsia="宋体" w:cs="宋体"/>
                <w:color w:val="auto"/>
                <w:sz w:val="24"/>
                <w:highlight w:val="none"/>
              </w:rPr>
            </w:pPr>
          </w:p>
        </w:tc>
        <w:tc>
          <w:tcPr>
            <w:tcW w:w="1984" w:type="dxa"/>
            <w:vAlign w:val="center"/>
          </w:tcPr>
          <w:p w14:paraId="76AACB99">
            <w:pPr>
              <w:spacing w:line="360" w:lineRule="auto"/>
              <w:jc w:val="center"/>
              <w:rPr>
                <w:rFonts w:hint="eastAsia" w:ascii="宋体" w:hAnsi="宋体" w:eastAsia="宋体" w:cs="宋体"/>
                <w:color w:val="auto"/>
                <w:sz w:val="24"/>
                <w:highlight w:val="none"/>
              </w:rPr>
            </w:pPr>
          </w:p>
        </w:tc>
        <w:tc>
          <w:tcPr>
            <w:tcW w:w="3119" w:type="dxa"/>
            <w:vAlign w:val="center"/>
          </w:tcPr>
          <w:p w14:paraId="178A262E">
            <w:pPr>
              <w:spacing w:line="360" w:lineRule="auto"/>
              <w:jc w:val="center"/>
              <w:rPr>
                <w:rFonts w:hint="eastAsia" w:ascii="宋体" w:hAnsi="宋体" w:eastAsia="宋体" w:cs="宋体"/>
                <w:color w:val="auto"/>
                <w:sz w:val="24"/>
                <w:highlight w:val="none"/>
              </w:rPr>
            </w:pPr>
          </w:p>
        </w:tc>
      </w:tr>
      <w:tr w14:paraId="77717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7E8C28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417" w:type="dxa"/>
            <w:vAlign w:val="center"/>
          </w:tcPr>
          <w:p w14:paraId="276ECE40">
            <w:pPr>
              <w:snapToGrid w:val="0"/>
              <w:spacing w:line="360" w:lineRule="auto"/>
              <w:jc w:val="center"/>
              <w:rPr>
                <w:rFonts w:hint="eastAsia" w:ascii="宋体" w:hAnsi="宋体" w:eastAsia="宋体" w:cs="宋体"/>
                <w:color w:val="auto"/>
                <w:sz w:val="24"/>
                <w:highlight w:val="none"/>
              </w:rPr>
            </w:pPr>
          </w:p>
        </w:tc>
        <w:tc>
          <w:tcPr>
            <w:tcW w:w="1843" w:type="dxa"/>
            <w:vAlign w:val="center"/>
          </w:tcPr>
          <w:p w14:paraId="14CD9CA3">
            <w:pPr>
              <w:snapToGrid w:val="0"/>
              <w:spacing w:line="360" w:lineRule="auto"/>
              <w:jc w:val="center"/>
              <w:rPr>
                <w:rFonts w:hint="eastAsia" w:ascii="宋体" w:hAnsi="宋体" w:eastAsia="宋体" w:cs="宋体"/>
                <w:color w:val="auto"/>
                <w:sz w:val="24"/>
                <w:highlight w:val="none"/>
              </w:rPr>
            </w:pPr>
          </w:p>
        </w:tc>
        <w:tc>
          <w:tcPr>
            <w:tcW w:w="3118" w:type="dxa"/>
            <w:vAlign w:val="center"/>
          </w:tcPr>
          <w:p w14:paraId="4012C2F6">
            <w:pPr>
              <w:snapToGrid w:val="0"/>
              <w:spacing w:line="360" w:lineRule="auto"/>
              <w:jc w:val="center"/>
              <w:rPr>
                <w:rFonts w:hint="eastAsia" w:ascii="宋体" w:hAnsi="宋体" w:eastAsia="宋体" w:cs="宋体"/>
                <w:color w:val="auto"/>
                <w:sz w:val="24"/>
                <w:highlight w:val="none"/>
              </w:rPr>
            </w:pPr>
          </w:p>
        </w:tc>
        <w:tc>
          <w:tcPr>
            <w:tcW w:w="993" w:type="dxa"/>
            <w:vAlign w:val="center"/>
          </w:tcPr>
          <w:p w14:paraId="10915AED">
            <w:pPr>
              <w:snapToGrid w:val="0"/>
              <w:spacing w:line="360" w:lineRule="auto"/>
              <w:jc w:val="center"/>
              <w:rPr>
                <w:rFonts w:hint="eastAsia" w:ascii="宋体" w:hAnsi="宋体" w:eastAsia="宋体" w:cs="宋体"/>
                <w:color w:val="auto"/>
                <w:sz w:val="24"/>
                <w:highlight w:val="none"/>
              </w:rPr>
            </w:pPr>
          </w:p>
        </w:tc>
        <w:tc>
          <w:tcPr>
            <w:tcW w:w="1559" w:type="dxa"/>
            <w:vAlign w:val="center"/>
          </w:tcPr>
          <w:p w14:paraId="6C382901">
            <w:pPr>
              <w:spacing w:line="360" w:lineRule="auto"/>
              <w:jc w:val="center"/>
              <w:rPr>
                <w:rFonts w:hint="eastAsia" w:ascii="宋体" w:hAnsi="宋体" w:eastAsia="宋体" w:cs="宋体"/>
                <w:color w:val="auto"/>
                <w:sz w:val="24"/>
                <w:highlight w:val="none"/>
              </w:rPr>
            </w:pPr>
          </w:p>
        </w:tc>
        <w:tc>
          <w:tcPr>
            <w:tcW w:w="1984" w:type="dxa"/>
            <w:vAlign w:val="center"/>
          </w:tcPr>
          <w:p w14:paraId="53E26F97">
            <w:pPr>
              <w:spacing w:line="360" w:lineRule="auto"/>
              <w:jc w:val="center"/>
              <w:rPr>
                <w:rFonts w:hint="eastAsia" w:ascii="宋体" w:hAnsi="宋体" w:eastAsia="宋体" w:cs="宋体"/>
                <w:color w:val="auto"/>
                <w:sz w:val="24"/>
                <w:highlight w:val="none"/>
              </w:rPr>
            </w:pPr>
          </w:p>
        </w:tc>
        <w:tc>
          <w:tcPr>
            <w:tcW w:w="3119" w:type="dxa"/>
            <w:vAlign w:val="center"/>
          </w:tcPr>
          <w:p w14:paraId="11193DD8">
            <w:pPr>
              <w:spacing w:line="360" w:lineRule="auto"/>
              <w:jc w:val="center"/>
              <w:rPr>
                <w:rFonts w:hint="eastAsia" w:ascii="宋体" w:hAnsi="宋体" w:eastAsia="宋体" w:cs="宋体"/>
                <w:color w:val="auto"/>
                <w:sz w:val="24"/>
                <w:highlight w:val="none"/>
              </w:rPr>
            </w:pPr>
          </w:p>
        </w:tc>
      </w:tr>
      <w:tr w14:paraId="4671E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925656C">
            <w:pPr>
              <w:spacing w:line="360" w:lineRule="auto"/>
              <w:jc w:val="center"/>
              <w:rPr>
                <w:rFonts w:hint="eastAsia" w:ascii="宋体" w:hAnsi="宋体" w:eastAsia="宋体" w:cs="宋体"/>
                <w:color w:val="auto"/>
                <w:sz w:val="24"/>
                <w:highlight w:val="none"/>
              </w:rPr>
            </w:pPr>
          </w:p>
        </w:tc>
        <w:tc>
          <w:tcPr>
            <w:tcW w:w="1417" w:type="dxa"/>
            <w:vAlign w:val="center"/>
          </w:tcPr>
          <w:p w14:paraId="08CD6112">
            <w:pPr>
              <w:snapToGrid w:val="0"/>
              <w:spacing w:line="360" w:lineRule="auto"/>
              <w:jc w:val="center"/>
              <w:rPr>
                <w:rFonts w:hint="eastAsia" w:ascii="宋体" w:hAnsi="宋体" w:eastAsia="宋体" w:cs="宋体"/>
                <w:color w:val="auto"/>
                <w:sz w:val="24"/>
                <w:highlight w:val="none"/>
              </w:rPr>
            </w:pPr>
          </w:p>
        </w:tc>
        <w:tc>
          <w:tcPr>
            <w:tcW w:w="1843" w:type="dxa"/>
            <w:vAlign w:val="center"/>
          </w:tcPr>
          <w:p w14:paraId="50947FF1">
            <w:pPr>
              <w:snapToGrid w:val="0"/>
              <w:spacing w:line="360" w:lineRule="auto"/>
              <w:jc w:val="center"/>
              <w:rPr>
                <w:rFonts w:hint="eastAsia" w:ascii="宋体" w:hAnsi="宋体" w:eastAsia="宋体" w:cs="宋体"/>
                <w:color w:val="auto"/>
                <w:sz w:val="24"/>
                <w:highlight w:val="none"/>
              </w:rPr>
            </w:pPr>
          </w:p>
        </w:tc>
        <w:tc>
          <w:tcPr>
            <w:tcW w:w="3118" w:type="dxa"/>
            <w:vAlign w:val="center"/>
          </w:tcPr>
          <w:p w14:paraId="4F3B37AD">
            <w:pPr>
              <w:snapToGrid w:val="0"/>
              <w:spacing w:line="360" w:lineRule="auto"/>
              <w:jc w:val="center"/>
              <w:rPr>
                <w:rFonts w:hint="eastAsia" w:ascii="宋体" w:hAnsi="宋体" w:eastAsia="宋体" w:cs="宋体"/>
                <w:color w:val="auto"/>
                <w:sz w:val="24"/>
                <w:highlight w:val="none"/>
              </w:rPr>
            </w:pPr>
          </w:p>
        </w:tc>
        <w:tc>
          <w:tcPr>
            <w:tcW w:w="993" w:type="dxa"/>
            <w:vAlign w:val="center"/>
          </w:tcPr>
          <w:p w14:paraId="49B576FE">
            <w:pPr>
              <w:snapToGrid w:val="0"/>
              <w:spacing w:line="360" w:lineRule="auto"/>
              <w:jc w:val="center"/>
              <w:rPr>
                <w:rFonts w:hint="eastAsia" w:ascii="宋体" w:hAnsi="宋体" w:eastAsia="宋体" w:cs="宋体"/>
                <w:color w:val="auto"/>
                <w:sz w:val="24"/>
                <w:highlight w:val="none"/>
              </w:rPr>
            </w:pPr>
          </w:p>
        </w:tc>
        <w:tc>
          <w:tcPr>
            <w:tcW w:w="1559" w:type="dxa"/>
            <w:vAlign w:val="center"/>
          </w:tcPr>
          <w:p w14:paraId="60AA5C62">
            <w:pPr>
              <w:spacing w:line="360" w:lineRule="auto"/>
              <w:jc w:val="center"/>
              <w:rPr>
                <w:rFonts w:hint="eastAsia" w:ascii="宋体" w:hAnsi="宋体" w:eastAsia="宋体" w:cs="宋体"/>
                <w:color w:val="auto"/>
                <w:sz w:val="24"/>
                <w:highlight w:val="none"/>
              </w:rPr>
            </w:pPr>
          </w:p>
        </w:tc>
        <w:tc>
          <w:tcPr>
            <w:tcW w:w="1984" w:type="dxa"/>
            <w:vAlign w:val="center"/>
          </w:tcPr>
          <w:p w14:paraId="63284D5A">
            <w:pPr>
              <w:spacing w:line="360" w:lineRule="auto"/>
              <w:jc w:val="center"/>
              <w:rPr>
                <w:rFonts w:hint="eastAsia" w:ascii="宋体" w:hAnsi="宋体" w:eastAsia="宋体" w:cs="宋体"/>
                <w:color w:val="auto"/>
                <w:sz w:val="24"/>
                <w:highlight w:val="none"/>
              </w:rPr>
            </w:pPr>
          </w:p>
        </w:tc>
        <w:tc>
          <w:tcPr>
            <w:tcW w:w="3119" w:type="dxa"/>
            <w:vAlign w:val="center"/>
          </w:tcPr>
          <w:p w14:paraId="7983ED98">
            <w:pPr>
              <w:spacing w:line="360" w:lineRule="auto"/>
              <w:jc w:val="center"/>
              <w:rPr>
                <w:rFonts w:hint="eastAsia" w:ascii="宋体" w:hAnsi="宋体" w:eastAsia="宋体" w:cs="宋体"/>
                <w:color w:val="auto"/>
                <w:sz w:val="24"/>
                <w:highlight w:val="none"/>
              </w:rPr>
            </w:pPr>
          </w:p>
        </w:tc>
      </w:tr>
      <w:tr w14:paraId="53723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A64CD81">
            <w:pPr>
              <w:spacing w:line="360" w:lineRule="auto"/>
              <w:jc w:val="center"/>
              <w:rPr>
                <w:rFonts w:hint="eastAsia" w:ascii="宋体" w:hAnsi="宋体" w:eastAsia="宋体" w:cs="宋体"/>
                <w:color w:val="auto"/>
                <w:sz w:val="24"/>
                <w:highlight w:val="none"/>
              </w:rPr>
            </w:pPr>
          </w:p>
        </w:tc>
        <w:tc>
          <w:tcPr>
            <w:tcW w:w="1417" w:type="dxa"/>
            <w:vAlign w:val="center"/>
          </w:tcPr>
          <w:p w14:paraId="6BFF3CE3">
            <w:pPr>
              <w:snapToGrid w:val="0"/>
              <w:spacing w:line="360" w:lineRule="auto"/>
              <w:jc w:val="center"/>
              <w:rPr>
                <w:rFonts w:hint="eastAsia" w:ascii="宋体" w:hAnsi="宋体" w:eastAsia="宋体" w:cs="宋体"/>
                <w:color w:val="auto"/>
                <w:sz w:val="24"/>
                <w:highlight w:val="none"/>
              </w:rPr>
            </w:pPr>
          </w:p>
        </w:tc>
        <w:tc>
          <w:tcPr>
            <w:tcW w:w="1843" w:type="dxa"/>
            <w:vAlign w:val="center"/>
          </w:tcPr>
          <w:p w14:paraId="0BD23A47">
            <w:pPr>
              <w:snapToGrid w:val="0"/>
              <w:spacing w:line="360" w:lineRule="auto"/>
              <w:jc w:val="center"/>
              <w:rPr>
                <w:rFonts w:hint="eastAsia" w:ascii="宋体" w:hAnsi="宋体" w:eastAsia="宋体" w:cs="宋体"/>
                <w:color w:val="auto"/>
                <w:sz w:val="24"/>
                <w:highlight w:val="none"/>
              </w:rPr>
            </w:pPr>
          </w:p>
        </w:tc>
        <w:tc>
          <w:tcPr>
            <w:tcW w:w="3118" w:type="dxa"/>
            <w:vAlign w:val="center"/>
          </w:tcPr>
          <w:p w14:paraId="152358EF">
            <w:pPr>
              <w:snapToGrid w:val="0"/>
              <w:spacing w:line="360" w:lineRule="auto"/>
              <w:jc w:val="center"/>
              <w:rPr>
                <w:rFonts w:hint="eastAsia" w:ascii="宋体" w:hAnsi="宋体" w:eastAsia="宋体" w:cs="宋体"/>
                <w:color w:val="auto"/>
                <w:sz w:val="24"/>
                <w:highlight w:val="none"/>
              </w:rPr>
            </w:pPr>
          </w:p>
        </w:tc>
        <w:tc>
          <w:tcPr>
            <w:tcW w:w="993" w:type="dxa"/>
            <w:vAlign w:val="center"/>
          </w:tcPr>
          <w:p w14:paraId="1BAF32CF">
            <w:pPr>
              <w:snapToGrid w:val="0"/>
              <w:spacing w:line="360" w:lineRule="auto"/>
              <w:jc w:val="center"/>
              <w:rPr>
                <w:rFonts w:hint="eastAsia" w:ascii="宋体" w:hAnsi="宋体" w:eastAsia="宋体" w:cs="宋体"/>
                <w:color w:val="auto"/>
                <w:sz w:val="24"/>
                <w:highlight w:val="none"/>
              </w:rPr>
            </w:pPr>
          </w:p>
        </w:tc>
        <w:tc>
          <w:tcPr>
            <w:tcW w:w="1559" w:type="dxa"/>
            <w:vAlign w:val="center"/>
          </w:tcPr>
          <w:p w14:paraId="5D5D0FDF">
            <w:pPr>
              <w:spacing w:line="360" w:lineRule="auto"/>
              <w:jc w:val="center"/>
              <w:rPr>
                <w:rFonts w:hint="eastAsia" w:ascii="宋体" w:hAnsi="宋体" w:eastAsia="宋体" w:cs="宋体"/>
                <w:color w:val="auto"/>
                <w:sz w:val="24"/>
                <w:highlight w:val="none"/>
              </w:rPr>
            </w:pPr>
          </w:p>
        </w:tc>
        <w:tc>
          <w:tcPr>
            <w:tcW w:w="1984" w:type="dxa"/>
            <w:vAlign w:val="center"/>
          </w:tcPr>
          <w:p w14:paraId="3FE327CA">
            <w:pPr>
              <w:spacing w:line="360" w:lineRule="auto"/>
              <w:jc w:val="center"/>
              <w:rPr>
                <w:rFonts w:hint="eastAsia" w:ascii="宋体" w:hAnsi="宋体" w:eastAsia="宋体" w:cs="宋体"/>
                <w:color w:val="auto"/>
                <w:sz w:val="24"/>
                <w:highlight w:val="none"/>
              </w:rPr>
            </w:pPr>
          </w:p>
        </w:tc>
        <w:tc>
          <w:tcPr>
            <w:tcW w:w="3119" w:type="dxa"/>
            <w:vAlign w:val="center"/>
          </w:tcPr>
          <w:p w14:paraId="756D39B5">
            <w:pPr>
              <w:spacing w:line="360" w:lineRule="auto"/>
              <w:jc w:val="center"/>
              <w:rPr>
                <w:rFonts w:hint="eastAsia" w:ascii="宋体" w:hAnsi="宋体" w:eastAsia="宋体" w:cs="宋体"/>
                <w:color w:val="auto"/>
                <w:sz w:val="24"/>
                <w:highlight w:val="none"/>
              </w:rPr>
            </w:pPr>
          </w:p>
        </w:tc>
      </w:tr>
      <w:tr w14:paraId="397EE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7FDB7CFF">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7655" w:type="dxa"/>
            <w:gridSpan w:val="4"/>
            <w:vAlign w:val="center"/>
          </w:tcPr>
          <w:p w14:paraId="0C51A80C">
            <w:pPr>
              <w:spacing w:line="360" w:lineRule="auto"/>
              <w:jc w:val="center"/>
              <w:rPr>
                <w:rFonts w:hint="eastAsia" w:ascii="宋体" w:hAnsi="宋体" w:eastAsia="宋体" w:cs="宋体"/>
                <w:color w:val="auto"/>
                <w:sz w:val="24"/>
                <w:highlight w:val="none"/>
              </w:rPr>
            </w:pPr>
          </w:p>
        </w:tc>
      </w:tr>
      <w:tr w14:paraId="765C9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30245616">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7655" w:type="dxa"/>
            <w:gridSpan w:val="4"/>
            <w:vAlign w:val="center"/>
          </w:tcPr>
          <w:p w14:paraId="00F1F52E">
            <w:pPr>
              <w:spacing w:line="360" w:lineRule="auto"/>
              <w:jc w:val="center"/>
              <w:rPr>
                <w:rFonts w:hint="eastAsia" w:ascii="宋体" w:hAnsi="宋体" w:eastAsia="宋体" w:cs="宋体"/>
                <w:color w:val="auto"/>
                <w:sz w:val="24"/>
                <w:highlight w:val="none"/>
              </w:rPr>
            </w:pPr>
          </w:p>
        </w:tc>
      </w:tr>
    </w:tbl>
    <w:p w14:paraId="6C3BD91B">
      <w:pPr>
        <w:snapToGrid w:val="0"/>
        <w:rPr>
          <w:rFonts w:hint="eastAsia" w:ascii="宋体" w:hAnsi="宋体" w:eastAsia="宋体" w:cs="宋体"/>
          <w:b/>
          <w:color w:val="auto"/>
          <w:kern w:val="0"/>
          <w:sz w:val="22"/>
          <w:szCs w:val="22"/>
          <w:highlight w:val="none"/>
          <w:lang w:val="zh-CN"/>
        </w:rPr>
      </w:pPr>
      <w:r>
        <w:rPr>
          <w:rFonts w:hint="eastAsia" w:ascii="宋体" w:hAnsi="宋体" w:eastAsia="宋体" w:cs="宋体"/>
          <w:b/>
          <w:color w:val="auto"/>
          <w:kern w:val="0"/>
          <w:sz w:val="22"/>
          <w:szCs w:val="22"/>
          <w:highlight w:val="none"/>
          <w:lang w:val="zh-CN"/>
        </w:rPr>
        <w:t>注：</w:t>
      </w:r>
    </w:p>
    <w:p w14:paraId="365DC6EF">
      <w:pPr>
        <w:ind w:left="-2" w:leftChars="-1" w:firstLine="440" w:firstLineChars="200"/>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1、投标人需按本表格式填写</w:t>
      </w:r>
      <w:r>
        <w:rPr>
          <w:rFonts w:hint="eastAsia" w:ascii="宋体" w:hAnsi="宋体" w:eastAsia="宋体" w:cs="宋体"/>
          <w:b/>
          <w:color w:val="auto"/>
          <w:kern w:val="0"/>
          <w:sz w:val="22"/>
          <w:szCs w:val="22"/>
          <w:highlight w:val="none"/>
          <w:lang w:val="zh-CN"/>
        </w:rPr>
        <w:t>，</w:t>
      </w:r>
      <w:r>
        <w:rPr>
          <w:rFonts w:hint="eastAsia" w:ascii="宋体" w:hAnsi="宋体" w:eastAsia="宋体" w:cs="宋体"/>
          <w:b/>
          <w:color w:val="auto"/>
          <w:kern w:val="0"/>
          <w:sz w:val="22"/>
          <w:szCs w:val="22"/>
          <w:highlight w:val="none"/>
        </w:rPr>
        <w:t>否则视为</w:t>
      </w:r>
      <w:r>
        <w:rPr>
          <w:rFonts w:hint="eastAsia" w:ascii="宋体" w:hAnsi="宋体" w:eastAsia="宋体" w:cs="宋体"/>
          <w:b/>
          <w:color w:val="auto"/>
          <w:sz w:val="22"/>
          <w:szCs w:val="22"/>
          <w:highlight w:val="none"/>
        </w:rPr>
        <w:t>投标文件含有采购人不能接受的附加条件，投标无效；</w:t>
      </w:r>
    </w:p>
    <w:p w14:paraId="1075B0F4">
      <w:pPr>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eastAsia="宋体" w:cs="宋体"/>
          <w:b/>
          <w:bCs/>
          <w:color w:val="auto"/>
          <w:kern w:val="0"/>
          <w:sz w:val="22"/>
          <w:szCs w:val="22"/>
          <w:highlight w:val="none"/>
          <w:lang w:val="zh-CN"/>
        </w:rPr>
        <w:t>采购内容未包含在《开标一览表（报价表）》名称栏中，投标人不能作出合理解释的，视为投标文件含有采购人不能接受的附加条件的，投标无效。</w:t>
      </w:r>
    </w:p>
    <w:p w14:paraId="69814326">
      <w:pPr>
        <w:snapToGrid w:val="0"/>
        <w:ind w:firstLine="440" w:firstLineChars="200"/>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3、特别提示：采购机构将对项目名称和项目编号，中标供应商名称、地址和中标金额，主要中标标的名称、服务范围、服务要求、服务时间、服务标准等予以公示。</w:t>
      </w:r>
    </w:p>
    <w:p w14:paraId="28CB9BD8">
      <w:pPr>
        <w:snapToGrid w:val="0"/>
        <w:ind w:firstLine="440" w:firstLineChars="200"/>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4F93240">
      <w:pPr>
        <w:snapToGrid w:val="0"/>
        <w:ind w:firstLine="440" w:firstLineChars="200"/>
        <w:jc w:val="left"/>
        <w:rPr>
          <w:rFonts w:hint="eastAsia" w:ascii="宋体" w:hAnsi="宋体" w:eastAsia="宋体" w:cs="宋体"/>
          <w:color w:val="auto"/>
          <w:kern w:val="0"/>
          <w:sz w:val="22"/>
          <w:szCs w:val="22"/>
          <w:highlight w:val="none"/>
          <w:lang w:val="zh-CN"/>
        </w:rPr>
      </w:pPr>
    </w:p>
    <w:p w14:paraId="1866D8E9">
      <w:pPr>
        <w:snapToGrid w:val="0"/>
        <w:ind w:firstLine="440" w:firstLineChars="200"/>
        <w:jc w:val="left"/>
        <w:rPr>
          <w:rFonts w:hint="eastAsia" w:ascii="宋体" w:hAnsi="宋体" w:eastAsia="宋体" w:cs="宋体"/>
          <w:color w:val="auto"/>
          <w:kern w:val="0"/>
          <w:sz w:val="22"/>
          <w:szCs w:val="22"/>
          <w:highlight w:val="none"/>
          <w:lang w:val="zh-CN"/>
        </w:rPr>
      </w:pPr>
    </w:p>
    <w:p w14:paraId="72199E4C">
      <w:pPr>
        <w:snapToGrid w:val="0"/>
        <w:ind w:firstLine="440" w:firstLineChars="200"/>
        <w:jc w:val="left"/>
        <w:rPr>
          <w:rFonts w:hint="eastAsia" w:ascii="宋体" w:hAnsi="宋体" w:eastAsia="宋体" w:cs="宋体"/>
          <w:color w:val="auto"/>
          <w:kern w:val="0"/>
          <w:sz w:val="22"/>
          <w:szCs w:val="22"/>
          <w:highlight w:val="none"/>
          <w:lang w:val="zh-CN"/>
        </w:rPr>
      </w:pPr>
    </w:p>
    <w:p w14:paraId="37363176">
      <w:pPr>
        <w:tabs>
          <w:tab w:val="left" w:pos="4860"/>
        </w:tabs>
        <w:spacing w:line="360" w:lineRule="auto"/>
        <w:ind w:right="1560"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zh-CN"/>
        </w:rPr>
        <w:t>投标人名称（电子签名）</w:t>
      </w:r>
      <w:r>
        <w:rPr>
          <w:rFonts w:hint="eastAsia" w:ascii="宋体" w:hAnsi="宋体" w:eastAsia="宋体" w:cs="宋体"/>
          <w:color w:val="auto"/>
          <w:sz w:val="22"/>
          <w:szCs w:val="22"/>
          <w:highlight w:val="none"/>
        </w:rPr>
        <w:t>：</w:t>
      </w:r>
    </w:p>
    <w:p w14:paraId="39E5D5C7">
      <w:pPr>
        <w:tabs>
          <w:tab w:val="left" w:pos="4860"/>
        </w:tabs>
        <w:spacing w:line="360" w:lineRule="auto"/>
        <w:ind w:right="1560"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w:t>
      </w:r>
    </w:p>
    <w:p w14:paraId="7BDA47ED">
      <w:pPr>
        <w:snapToGrid w:val="0"/>
        <w:ind w:firstLine="440" w:firstLineChars="200"/>
        <w:jc w:val="left"/>
        <w:rPr>
          <w:rFonts w:hint="eastAsia" w:ascii="宋体" w:hAnsi="宋体" w:eastAsia="宋体" w:cs="宋体"/>
          <w:color w:val="auto"/>
          <w:kern w:val="0"/>
          <w:sz w:val="22"/>
          <w:szCs w:val="22"/>
          <w:highlight w:val="none"/>
          <w:lang w:val="zh-CN"/>
        </w:rPr>
        <w:sectPr>
          <w:headerReference r:id="rId15" w:type="first"/>
          <w:footerReference r:id="rId17" w:type="first"/>
          <w:headerReference r:id="rId14" w:type="default"/>
          <w:footerReference r:id="rId16" w:type="default"/>
          <w:pgSz w:w="16838" w:h="11906" w:orient="landscape"/>
          <w:pgMar w:top="1440" w:right="1080" w:bottom="1440" w:left="1080" w:header="851" w:footer="992" w:gutter="0"/>
          <w:cols w:space="0" w:num="1"/>
          <w:titlePg/>
          <w:docGrid w:linePitch="312" w:charSpace="0"/>
        </w:sectPr>
      </w:pPr>
    </w:p>
    <w:p w14:paraId="12C78EAF">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二、报价情况说明（如果有）</w:t>
      </w:r>
    </w:p>
    <w:p w14:paraId="118657A9">
      <w:pPr>
        <w:widowControl/>
        <w:spacing w:line="360" w:lineRule="auto"/>
        <w:ind w:firstLine="110" w:firstLineChars="5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（如投标人报价低于项目预算50%的，应当提交本文档，详细阐述不影响产品质量或者诚信履约的具体原因。）</w:t>
      </w:r>
    </w:p>
    <w:p w14:paraId="18F583D9">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6FC41975">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三、中小企业声明函（如果有）</w:t>
      </w:r>
    </w:p>
    <w:p w14:paraId="7CDE43DD">
      <w:pPr>
        <w:widowControl/>
        <w:spacing w:line="360" w:lineRule="auto"/>
        <w:ind w:firstLine="110" w:firstLineChars="5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3775BD02">
      <w:pPr>
        <w:pStyle w:val="694"/>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14:paraId="78D5D17B">
      <w:pPr>
        <w:spacing w:line="360" w:lineRule="auto"/>
        <w:ind w:right="420" w:firstLine="3614" w:firstLineChars="1000"/>
        <w:rPr>
          <w:rFonts w:hint="eastAsia" w:ascii="宋体" w:hAnsi="宋体" w:eastAsia="宋体" w:cs="宋体"/>
          <w:b/>
          <w:color w:val="auto"/>
          <w:kern w:val="0"/>
          <w:sz w:val="36"/>
          <w:szCs w:val="36"/>
          <w:highlight w:val="none"/>
        </w:rPr>
      </w:pPr>
    </w:p>
    <w:p w14:paraId="4BC69151">
      <w:pPr>
        <w:widowControl/>
        <w:adjustRightInd/>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5009FF8B">
      <w:pPr>
        <w:snapToGrid w:val="0"/>
        <w:spacing w:line="360" w:lineRule="auto"/>
        <w:jc w:val="center"/>
        <w:rPr>
          <w:rFonts w:hint="eastAsia" w:ascii="宋体" w:hAnsi="宋体" w:eastAsia="宋体" w:cs="宋体"/>
          <w:b/>
          <w:color w:val="auto"/>
          <w:kern w:val="0"/>
          <w:sz w:val="36"/>
          <w:szCs w:val="36"/>
          <w:highlight w:val="none"/>
        </w:rPr>
      </w:pPr>
      <w:bookmarkStart w:id="665" w:name="_Toc465665161"/>
      <w:r>
        <w:rPr>
          <w:rFonts w:hint="eastAsia" w:ascii="宋体" w:hAnsi="宋体" w:eastAsia="宋体" w:cs="宋体"/>
          <w:b/>
          <w:color w:val="auto"/>
          <w:kern w:val="0"/>
          <w:sz w:val="36"/>
          <w:szCs w:val="36"/>
          <w:highlight w:val="none"/>
        </w:rPr>
        <w:t>附件</w:t>
      </w:r>
      <w:bookmarkEnd w:id="665"/>
    </w:p>
    <w:p w14:paraId="0D55D787">
      <w:pPr>
        <w:spacing w:line="360" w:lineRule="auto"/>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附件1：</w:t>
      </w:r>
    </w:p>
    <w:p w14:paraId="7A3CF1B7">
      <w:pPr>
        <w:spacing w:line="360" w:lineRule="auto"/>
        <w:jc w:val="center"/>
        <w:rPr>
          <w:rFonts w:hint="eastAsia" w:ascii="宋体" w:hAnsi="宋体" w:eastAsia="宋体" w:cs="宋体"/>
          <w:b/>
          <w:color w:val="auto"/>
          <w:sz w:val="28"/>
          <w:szCs w:val="28"/>
          <w:highlight w:val="none"/>
        </w:rPr>
      </w:pPr>
      <w:bookmarkStart w:id="666" w:name="OLE_LINK14"/>
      <w:bookmarkStart w:id="667" w:name="OLE_LINK13"/>
      <w:r>
        <w:rPr>
          <w:rFonts w:hint="eastAsia" w:ascii="宋体" w:hAnsi="宋体" w:eastAsia="宋体" w:cs="宋体"/>
          <w:b/>
          <w:color w:val="auto"/>
          <w:sz w:val="28"/>
          <w:szCs w:val="28"/>
          <w:highlight w:val="none"/>
        </w:rPr>
        <w:t>残疾人福利性单位声明函</w:t>
      </w:r>
    </w:p>
    <w:bookmarkEnd w:id="666"/>
    <w:bookmarkEnd w:id="667"/>
    <w:p w14:paraId="7FB50EE8">
      <w:pPr>
        <w:spacing w:line="360" w:lineRule="auto"/>
        <w:rPr>
          <w:rFonts w:hint="eastAsia" w:ascii="宋体" w:hAnsi="宋体" w:eastAsia="宋体" w:cs="宋体"/>
          <w:b/>
          <w:color w:val="auto"/>
          <w:spacing w:val="6"/>
          <w:sz w:val="28"/>
          <w:szCs w:val="28"/>
          <w:highlight w:val="none"/>
        </w:rPr>
      </w:pPr>
    </w:p>
    <w:p w14:paraId="1C125264">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19AC784">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本单位对上述声明的真实性负责。如有虚假，将依法承担相应责任。</w:t>
      </w:r>
    </w:p>
    <w:p w14:paraId="79158E60">
      <w:pPr>
        <w:spacing w:line="360" w:lineRule="auto"/>
        <w:ind w:firstLine="440" w:firstLineChars="200"/>
        <w:rPr>
          <w:rFonts w:hint="eastAsia" w:ascii="宋体" w:hAnsi="宋体" w:eastAsia="宋体" w:cs="宋体"/>
          <w:color w:val="auto"/>
          <w:sz w:val="22"/>
          <w:szCs w:val="22"/>
          <w:highlight w:val="none"/>
        </w:rPr>
      </w:pPr>
    </w:p>
    <w:p w14:paraId="587EB2DC">
      <w:pPr>
        <w:spacing w:line="360" w:lineRule="auto"/>
        <w:ind w:firstLine="440" w:firstLineChars="200"/>
        <w:rPr>
          <w:rFonts w:hint="eastAsia" w:ascii="宋体" w:hAnsi="宋体" w:eastAsia="宋体" w:cs="宋体"/>
          <w:color w:val="auto"/>
          <w:sz w:val="22"/>
          <w:szCs w:val="22"/>
          <w:highlight w:val="none"/>
        </w:rPr>
      </w:pPr>
    </w:p>
    <w:p w14:paraId="43ABA680">
      <w:pPr>
        <w:tabs>
          <w:tab w:val="left" w:pos="4860"/>
        </w:tabs>
        <w:spacing w:line="360" w:lineRule="auto"/>
        <w:ind w:right="1560" w:firstLine="440" w:firstLineChars="200"/>
        <w:jc w:val="left"/>
        <w:rPr>
          <w:rFonts w:hint="eastAsia" w:ascii="宋体" w:hAnsi="宋体" w:eastAsia="宋体" w:cs="宋体"/>
          <w:color w:val="auto"/>
          <w:kern w:val="0"/>
          <w:sz w:val="22"/>
          <w:szCs w:val="22"/>
          <w:highlight w:val="none"/>
          <w:lang w:val="zh-CN"/>
        </w:rPr>
      </w:pPr>
    </w:p>
    <w:p w14:paraId="7FC8EF45">
      <w:pPr>
        <w:tabs>
          <w:tab w:val="left" w:pos="4860"/>
        </w:tabs>
        <w:spacing w:line="360" w:lineRule="auto"/>
        <w:ind w:right="1560" w:firstLine="440" w:firstLineChars="200"/>
        <w:jc w:val="left"/>
        <w:rPr>
          <w:rFonts w:hint="eastAsia" w:ascii="宋体" w:hAnsi="宋体" w:eastAsia="宋体" w:cs="宋体"/>
          <w:color w:val="auto"/>
          <w:kern w:val="0"/>
          <w:sz w:val="22"/>
          <w:szCs w:val="22"/>
          <w:highlight w:val="none"/>
          <w:lang w:val="zh-CN"/>
        </w:rPr>
      </w:pPr>
    </w:p>
    <w:p w14:paraId="6584CE7A">
      <w:pPr>
        <w:tabs>
          <w:tab w:val="left" w:pos="4860"/>
        </w:tabs>
        <w:spacing w:line="360" w:lineRule="auto"/>
        <w:ind w:right="1560" w:firstLine="440" w:firstLineChars="200"/>
        <w:jc w:val="left"/>
        <w:rPr>
          <w:rFonts w:hint="eastAsia" w:ascii="宋体" w:hAnsi="宋体" w:eastAsia="宋体" w:cs="宋体"/>
          <w:color w:val="auto"/>
          <w:kern w:val="0"/>
          <w:sz w:val="22"/>
          <w:szCs w:val="22"/>
          <w:highlight w:val="none"/>
          <w:lang w:val="zh-CN"/>
        </w:rPr>
      </w:pPr>
    </w:p>
    <w:p w14:paraId="4927794D">
      <w:pPr>
        <w:tabs>
          <w:tab w:val="left" w:pos="4860"/>
        </w:tabs>
        <w:spacing w:line="360" w:lineRule="auto"/>
        <w:ind w:right="1560"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zh-CN"/>
        </w:rPr>
        <w:t>投标人名称（电子签名）</w:t>
      </w:r>
      <w:r>
        <w:rPr>
          <w:rFonts w:hint="eastAsia" w:ascii="宋体" w:hAnsi="宋体" w:eastAsia="宋体" w:cs="宋体"/>
          <w:color w:val="auto"/>
          <w:sz w:val="22"/>
          <w:szCs w:val="22"/>
          <w:highlight w:val="none"/>
        </w:rPr>
        <w:t>：</w:t>
      </w:r>
    </w:p>
    <w:p w14:paraId="74AE6201">
      <w:pPr>
        <w:tabs>
          <w:tab w:val="left" w:pos="4860"/>
        </w:tabs>
        <w:spacing w:line="360" w:lineRule="auto"/>
        <w:ind w:right="1560"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w:t>
      </w:r>
    </w:p>
    <w:p w14:paraId="518989E6">
      <w:pPr>
        <w:spacing w:line="360" w:lineRule="auto"/>
        <w:ind w:firstLine="480" w:firstLineChars="200"/>
        <w:rPr>
          <w:rFonts w:hint="eastAsia" w:ascii="宋体" w:hAnsi="宋体" w:eastAsia="宋体" w:cs="宋体"/>
          <w:color w:val="auto"/>
          <w:sz w:val="24"/>
          <w:highlight w:val="none"/>
        </w:rPr>
      </w:pPr>
    </w:p>
    <w:p w14:paraId="5BA7805E">
      <w:pPr>
        <w:spacing w:line="360" w:lineRule="auto"/>
        <w:rPr>
          <w:rFonts w:hint="eastAsia" w:ascii="宋体" w:hAnsi="宋体" w:eastAsia="宋体" w:cs="宋体"/>
          <w:b/>
          <w:color w:val="auto"/>
          <w:sz w:val="24"/>
          <w:highlight w:val="none"/>
        </w:rPr>
      </w:pPr>
    </w:p>
    <w:p w14:paraId="3F253636">
      <w:pPr>
        <w:widowControl/>
        <w:adjustRightInd/>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2BF98E51">
      <w:pPr>
        <w:spacing w:line="360" w:lineRule="auto"/>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附件2：质疑函范本及制作说明</w:t>
      </w:r>
    </w:p>
    <w:p w14:paraId="67F03667">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质疑函范本</w:t>
      </w:r>
    </w:p>
    <w:p w14:paraId="53E9E1DF">
      <w:pPr>
        <w:snapToGrid w:val="0"/>
        <w:spacing w:before="240" w:beforeLines="100" w:line="360" w:lineRule="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一、质疑供应商基本信息</w:t>
      </w:r>
    </w:p>
    <w:p w14:paraId="5CE3049F">
      <w:pPr>
        <w:snapToGrid w:val="0"/>
        <w:spacing w:line="360" w:lineRule="auto"/>
        <w:rPr>
          <w:rFonts w:hint="eastAsia" w:ascii="宋体" w:hAnsi="宋体" w:eastAsia="宋体" w:cs="宋体"/>
          <w:color w:val="auto"/>
          <w:sz w:val="22"/>
          <w:szCs w:val="22"/>
          <w:highlight w:val="none"/>
          <w:u w:val="dotted"/>
        </w:rPr>
      </w:pPr>
      <w:r>
        <w:rPr>
          <w:rFonts w:hint="eastAsia" w:ascii="宋体" w:hAnsi="宋体" w:eastAsia="宋体" w:cs="宋体"/>
          <w:color w:val="auto"/>
          <w:sz w:val="22"/>
          <w:szCs w:val="22"/>
          <w:highlight w:val="none"/>
        </w:rPr>
        <w:t>质疑供应商：</w:t>
      </w:r>
    </w:p>
    <w:p w14:paraId="68D75CB1">
      <w:pPr>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地址：邮编：</w:t>
      </w:r>
    </w:p>
    <w:p w14:paraId="2EE1A287">
      <w:pPr>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联系人：联系电话：</w:t>
      </w:r>
    </w:p>
    <w:p w14:paraId="539DE0EF">
      <w:pPr>
        <w:snapToGrid w:val="0"/>
        <w:spacing w:line="360" w:lineRule="auto"/>
        <w:rPr>
          <w:rFonts w:hint="eastAsia" w:ascii="宋体" w:hAnsi="宋体" w:eastAsia="宋体" w:cs="宋体"/>
          <w:color w:val="auto"/>
          <w:sz w:val="22"/>
          <w:szCs w:val="22"/>
          <w:highlight w:val="none"/>
          <w:u w:val="dotted"/>
        </w:rPr>
      </w:pPr>
      <w:r>
        <w:rPr>
          <w:rFonts w:hint="eastAsia" w:ascii="宋体" w:hAnsi="宋体" w:eastAsia="宋体" w:cs="宋体"/>
          <w:color w:val="auto"/>
          <w:sz w:val="22"/>
          <w:szCs w:val="22"/>
          <w:highlight w:val="none"/>
        </w:rPr>
        <w:t>授权代表：</w:t>
      </w:r>
    </w:p>
    <w:p w14:paraId="52964DB3">
      <w:pPr>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联系电话：</w:t>
      </w:r>
    </w:p>
    <w:p w14:paraId="2EE1613B">
      <w:pPr>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地址： 邮编：</w:t>
      </w:r>
    </w:p>
    <w:p w14:paraId="45C3D385">
      <w:pPr>
        <w:snapToGrid w:val="0"/>
        <w:spacing w:line="360" w:lineRule="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二、质疑项目基本情况</w:t>
      </w:r>
    </w:p>
    <w:p w14:paraId="0F38232B">
      <w:pPr>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质疑项目的名称：</w:t>
      </w:r>
    </w:p>
    <w:p w14:paraId="1AB88770">
      <w:pPr>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质疑项目的编号：包号：</w:t>
      </w:r>
    </w:p>
    <w:p w14:paraId="4A5338C4">
      <w:pPr>
        <w:snapToGrid w:val="0"/>
        <w:spacing w:line="360" w:lineRule="auto"/>
        <w:rPr>
          <w:rFonts w:hint="eastAsia" w:ascii="宋体" w:hAnsi="宋体" w:eastAsia="宋体" w:cs="宋体"/>
          <w:color w:val="auto"/>
          <w:sz w:val="22"/>
          <w:szCs w:val="22"/>
          <w:highlight w:val="none"/>
          <w:u w:val="dotted"/>
        </w:rPr>
      </w:pPr>
      <w:r>
        <w:rPr>
          <w:rFonts w:hint="eastAsia" w:ascii="宋体" w:hAnsi="宋体" w:eastAsia="宋体" w:cs="宋体"/>
          <w:color w:val="auto"/>
          <w:sz w:val="22"/>
          <w:szCs w:val="22"/>
          <w:highlight w:val="none"/>
        </w:rPr>
        <w:t>采购人名称：</w:t>
      </w:r>
    </w:p>
    <w:p w14:paraId="4D8EE2AA">
      <w:pPr>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采购文件获取日期：</w:t>
      </w:r>
    </w:p>
    <w:p w14:paraId="165F7BD9">
      <w:pPr>
        <w:snapToGrid w:val="0"/>
        <w:spacing w:line="360" w:lineRule="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三、质疑事项具体内容</w:t>
      </w:r>
    </w:p>
    <w:p w14:paraId="0B26A35B">
      <w:pPr>
        <w:snapToGrid w:val="0"/>
        <w:spacing w:line="360" w:lineRule="auto"/>
        <w:rPr>
          <w:rFonts w:hint="eastAsia" w:ascii="宋体" w:hAnsi="宋体" w:eastAsia="宋体" w:cs="宋体"/>
          <w:color w:val="auto"/>
          <w:sz w:val="22"/>
          <w:szCs w:val="22"/>
          <w:highlight w:val="none"/>
          <w:u w:val="dotted"/>
        </w:rPr>
      </w:pPr>
      <w:r>
        <w:rPr>
          <w:rFonts w:hint="eastAsia" w:ascii="宋体" w:hAnsi="宋体" w:eastAsia="宋体" w:cs="宋体"/>
          <w:color w:val="auto"/>
          <w:sz w:val="22"/>
          <w:szCs w:val="22"/>
          <w:highlight w:val="none"/>
        </w:rPr>
        <w:t>质疑事项1：</w:t>
      </w:r>
    </w:p>
    <w:p w14:paraId="26DEC8AF">
      <w:pPr>
        <w:snapToGrid w:val="0"/>
        <w:spacing w:line="360" w:lineRule="auto"/>
        <w:rPr>
          <w:rFonts w:hint="eastAsia" w:ascii="宋体" w:hAnsi="宋体" w:eastAsia="宋体" w:cs="宋体"/>
          <w:color w:val="auto"/>
          <w:sz w:val="22"/>
          <w:szCs w:val="22"/>
          <w:highlight w:val="none"/>
          <w:u w:val="dotted"/>
        </w:rPr>
      </w:pPr>
      <w:r>
        <w:rPr>
          <w:rFonts w:hint="eastAsia" w:ascii="宋体" w:hAnsi="宋体" w:eastAsia="宋体" w:cs="宋体"/>
          <w:color w:val="auto"/>
          <w:sz w:val="22"/>
          <w:szCs w:val="22"/>
          <w:highlight w:val="none"/>
        </w:rPr>
        <w:t>事实依据：</w:t>
      </w:r>
    </w:p>
    <w:p w14:paraId="1A9CABE2">
      <w:pPr>
        <w:snapToGrid w:val="0"/>
        <w:spacing w:line="360" w:lineRule="auto"/>
        <w:rPr>
          <w:rFonts w:hint="eastAsia" w:ascii="宋体" w:hAnsi="宋体" w:eastAsia="宋体" w:cs="宋体"/>
          <w:color w:val="auto"/>
          <w:sz w:val="22"/>
          <w:szCs w:val="22"/>
          <w:highlight w:val="none"/>
        </w:rPr>
      </w:pPr>
    </w:p>
    <w:p w14:paraId="75AC8923">
      <w:pPr>
        <w:snapToGrid w:val="0"/>
        <w:spacing w:line="360" w:lineRule="auto"/>
        <w:rPr>
          <w:rFonts w:hint="eastAsia" w:ascii="宋体" w:hAnsi="宋体" w:eastAsia="宋体" w:cs="宋体"/>
          <w:color w:val="auto"/>
          <w:sz w:val="22"/>
          <w:szCs w:val="22"/>
          <w:highlight w:val="none"/>
          <w:u w:val="dotted"/>
        </w:rPr>
      </w:pPr>
      <w:r>
        <w:rPr>
          <w:rFonts w:hint="eastAsia" w:ascii="宋体" w:hAnsi="宋体" w:eastAsia="宋体" w:cs="宋体"/>
          <w:color w:val="auto"/>
          <w:sz w:val="22"/>
          <w:szCs w:val="22"/>
          <w:highlight w:val="none"/>
        </w:rPr>
        <w:t>法律依据：</w:t>
      </w:r>
    </w:p>
    <w:p w14:paraId="7C82A660">
      <w:pPr>
        <w:snapToGrid w:val="0"/>
        <w:spacing w:line="360" w:lineRule="auto"/>
        <w:rPr>
          <w:rFonts w:hint="eastAsia" w:ascii="宋体" w:hAnsi="宋体" w:eastAsia="宋体" w:cs="宋体"/>
          <w:color w:val="auto"/>
          <w:sz w:val="22"/>
          <w:szCs w:val="22"/>
          <w:highlight w:val="none"/>
          <w:u w:val="dotted"/>
        </w:rPr>
      </w:pPr>
    </w:p>
    <w:p w14:paraId="2521B3C9">
      <w:pPr>
        <w:snapToGrid w:val="0"/>
        <w:spacing w:line="360" w:lineRule="auto"/>
        <w:rPr>
          <w:rFonts w:hint="eastAsia" w:ascii="宋体" w:hAnsi="宋体" w:eastAsia="宋体" w:cs="宋体"/>
          <w:color w:val="auto"/>
          <w:sz w:val="22"/>
          <w:szCs w:val="22"/>
          <w:highlight w:val="none"/>
          <w:u w:val="dotted"/>
        </w:rPr>
      </w:pPr>
      <w:r>
        <w:rPr>
          <w:rFonts w:hint="eastAsia" w:ascii="宋体" w:hAnsi="宋体" w:eastAsia="宋体" w:cs="宋体"/>
          <w:color w:val="auto"/>
          <w:sz w:val="22"/>
          <w:szCs w:val="22"/>
          <w:highlight w:val="none"/>
        </w:rPr>
        <w:t>质疑事项2</w:t>
      </w:r>
    </w:p>
    <w:p w14:paraId="52444A49">
      <w:pPr>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p w14:paraId="54F545B8">
      <w:pPr>
        <w:snapToGrid w:val="0"/>
        <w:spacing w:line="360" w:lineRule="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四、与质疑事项相关的质疑请求</w:t>
      </w:r>
    </w:p>
    <w:p w14:paraId="346C41D7">
      <w:pPr>
        <w:snapToGrid w:val="0"/>
        <w:spacing w:line="360" w:lineRule="auto"/>
        <w:rPr>
          <w:rFonts w:hint="eastAsia" w:ascii="宋体" w:hAnsi="宋体" w:eastAsia="宋体" w:cs="宋体"/>
          <w:color w:val="auto"/>
          <w:sz w:val="22"/>
          <w:szCs w:val="22"/>
          <w:highlight w:val="none"/>
          <w:u w:val="dotted"/>
        </w:rPr>
      </w:pPr>
      <w:r>
        <w:rPr>
          <w:rFonts w:hint="eastAsia" w:ascii="宋体" w:hAnsi="宋体" w:eastAsia="宋体" w:cs="宋体"/>
          <w:color w:val="auto"/>
          <w:sz w:val="22"/>
          <w:szCs w:val="22"/>
          <w:highlight w:val="none"/>
        </w:rPr>
        <w:t>请求：</w:t>
      </w:r>
    </w:p>
    <w:p w14:paraId="22DD815C">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签字（签章）：                   公章：                      </w:t>
      </w:r>
    </w:p>
    <w:p w14:paraId="15C4A609">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日期：    </w:t>
      </w:r>
    </w:p>
    <w:p w14:paraId="06291F1D">
      <w:pPr>
        <w:spacing w:line="360" w:lineRule="auto"/>
        <w:jc w:val="center"/>
        <w:rPr>
          <w:rFonts w:hint="eastAsia" w:ascii="宋体" w:hAnsi="宋体" w:eastAsia="宋体" w:cs="宋体"/>
          <w:b/>
          <w:bCs/>
          <w:color w:val="auto"/>
          <w:sz w:val="24"/>
          <w:highlight w:val="none"/>
        </w:rPr>
      </w:pPr>
    </w:p>
    <w:p w14:paraId="324A47E8">
      <w:pPr>
        <w:spacing w:line="360" w:lineRule="auto"/>
        <w:rPr>
          <w:rFonts w:hint="eastAsia" w:ascii="宋体" w:hAnsi="宋体" w:eastAsia="宋体" w:cs="宋体"/>
          <w:b/>
          <w:color w:val="auto"/>
          <w:sz w:val="24"/>
          <w:highlight w:val="none"/>
        </w:rPr>
      </w:pPr>
    </w:p>
    <w:p w14:paraId="02F81A27">
      <w:pPr>
        <w:spacing w:line="360" w:lineRule="auto"/>
        <w:rPr>
          <w:rFonts w:hint="eastAsia" w:ascii="宋体" w:hAnsi="宋体" w:eastAsia="宋体" w:cs="宋体"/>
          <w:b/>
          <w:color w:val="auto"/>
          <w:sz w:val="24"/>
          <w:highlight w:val="none"/>
        </w:rPr>
      </w:pPr>
    </w:p>
    <w:p w14:paraId="6BB93E21">
      <w:pPr>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br w:type="page"/>
      </w:r>
    </w:p>
    <w:p w14:paraId="766B0538">
      <w:pPr>
        <w:spacing w:line="360" w:lineRule="auto"/>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质疑函制作说明：</w:t>
      </w:r>
    </w:p>
    <w:p w14:paraId="548A9136">
      <w:pPr>
        <w:widowControl/>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1.供应商提出质疑时，应提交质疑函和必要的证明材料。</w:t>
      </w:r>
    </w:p>
    <w:p w14:paraId="24AB966B">
      <w:pPr>
        <w:widowControl/>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2"/>
          <w:szCs w:val="22"/>
          <w:highlight w:val="none"/>
        </w:rPr>
        <w:t>供应商签署的授权委托书。授权委托书应载明代理人的姓名或者名称、代理事项、具体权限、期限和相关事项。</w:t>
      </w:r>
    </w:p>
    <w:p w14:paraId="7F59FCFC">
      <w:pPr>
        <w:widowControl/>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3.质疑供应商若对项目的某一分包进行质疑，质疑函中应列明具体分包号。</w:t>
      </w:r>
    </w:p>
    <w:p w14:paraId="0655489C">
      <w:pPr>
        <w:widowControl/>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4.质疑函的质疑事项应具体、明确，并有必要的事实依据和法律依据。</w:t>
      </w:r>
    </w:p>
    <w:p w14:paraId="024DCF87">
      <w:pPr>
        <w:widowControl/>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5.质疑函的质疑请求应与质疑事项相关。</w:t>
      </w:r>
    </w:p>
    <w:p w14:paraId="3E7C7C70">
      <w:pPr>
        <w:widowControl/>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6.质疑供应商为自然人的，质疑函应由本人签字；质疑供应商为法人或者其他组织的，质疑函应由法定代表人、主要负责人，或者其授权代表签字或者盖章，并加盖公章。</w:t>
      </w:r>
    </w:p>
    <w:p w14:paraId="362DE627">
      <w:pPr>
        <w:widowControl/>
        <w:spacing w:line="360" w:lineRule="auto"/>
        <w:ind w:firstLine="600" w:firstLineChars="200"/>
        <w:jc w:val="left"/>
        <w:rPr>
          <w:rFonts w:hint="eastAsia" w:ascii="宋体" w:hAnsi="宋体" w:eastAsia="宋体" w:cs="宋体"/>
          <w:color w:val="auto"/>
          <w:sz w:val="30"/>
          <w:szCs w:val="30"/>
          <w:highlight w:val="none"/>
        </w:rPr>
      </w:pPr>
    </w:p>
    <w:p w14:paraId="30122317">
      <w:pPr>
        <w:spacing w:line="360" w:lineRule="auto"/>
        <w:jc w:val="center"/>
        <w:rPr>
          <w:rFonts w:hint="eastAsia" w:ascii="宋体" w:hAnsi="宋体" w:eastAsia="宋体" w:cs="宋体"/>
          <w:b/>
          <w:color w:val="auto"/>
          <w:spacing w:val="6"/>
          <w:sz w:val="32"/>
          <w:szCs w:val="32"/>
          <w:highlight w:val="none"/>
        </w:rPr>
      </w:pPr>
    </w:p>
    <w:p w14:paraId="34F0B3D9">
      <w:pPr>
        <w:spacing w:line="360" w:lineRule="auto"/>
        <w:jc w:val="center"/>
        <w:rPr>
          <w:rFonts w:hint="eastAsia" w:ascii="宋体" w:hAnsi="宋体" w:eastAsia="宋体" w:cs="宋体"/>
          <w:b/>
          <w:color w:val="auto"/>
          <w:spacing w:val="6"/>
          <w:sz w:val="32"/>
          <w:szCs w:val="32"/>
          <w:highlight w:val="none"/>
        </w:rPr>
      </w:pPr>
    </w:p>
    <w:p w14:paraId="331D6B21">
      <w:pPr>
        <w:spacing w:line="360" w:lineRule="auto"/>
        <w:jc w:val="left"/>
        <w:rPr>
          <w:rFonts w:hint="eastAsia" w:ascii="宋体" w:hAnsi="宋体" w:eastAsia="宋体" w:cs="宋体"/>
          <w:b/>
          <w:color w:val="auto"/>
          <w:spacing w:val="6"/>
          <w:sz w:val="32"/>
          <w:szCs w:val="32"/>
          <w:highlight w:val="none"/>
        </w:rPr>
      </w:pPr>
    </w:p>
    <w:p w14:paraId="71B6D1B6">
      <w:pPr>
        <w:spacing w:line="360" w:lineRule="auto"/>
        <w:jc w:val="left"/>
        <w:rPr>
          <w:rFonts w:hint="eastAsia" w:ascii="宋体" w:hAnsi="宋体" w:eastAsia="宋体" w:cs="宋体"/>
          <w:b/>
          <w:color w:val="auto"/>
          <w:spacing w:val="6"/>
          <w:sz w:val="32"/>
          <w:szCs w:val="32"/>
          <w:highlight w:val="none"/>
        </w:rPr>
      </w:pPr>
    </w:p>
    <w:p w14:paraId="1B920A82">
      <w:pPr>
        <w:widowControl/>
        <w:adjustRightInd/>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2008BFB1">
      <w:pPr>
        <w:spacing w:line="360" w:lineRule="auto"/>
        <w:jc w:val="left"/>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附件3：投诉书范本及制作说明</w:t>
      </w:r>
    </w:p>
    <w:p w14:paraId="5E17542D">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投诉书范本</w:t>
      </w:r>
    </w:p>
    <w:p w14:paraId="6440A11E">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一、投诉相关主体基本情况</w:t>
      </w:r>
    </w:p>
    <w:p w14:paraId="21AF58E9">
      <w:pPr>
        <w:spacing w:line="360" w:lineRule="auto"/>
        <w:rPr>
          <w:rFonts w:hint="eastAsia" w:ascii="宋体" w:hAnsi="宋体" w:eastAsia="宋体" w:cs="宋体"/>
          <w:color w:val="auto"/>
          <w:sz w:val="22"/>
          <w:szCs w:val="22"/>
          <w:highlight w:val="none"/>
          <w:u w:val="dotted"/>
        </w:rPr>
      </w:pPr>
      <w:r>
        <w:rPr>
          <w:rFonts w:hint="eastAsia" w:ascii="宋体" w:hAnsi="宋体" w:eastAsia="宋体" w:cs="宋体"/>
          <w:color w:val="auto"/>
          <w:sz w:val="22"/>
          <w:szCs w:val="22"/>
          <w:highlight w:val="none"/>
        </w:rPr>
        <w:t>投诉人：</w:t>
      </w:r>
    </w:p>
    <w:p w14:paraId="0E673C76">
      <w:pPr>
        <w:spacing w:line="36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地     址：邮编：</w:t>
      </w:r>
    </w:p>
    <w:p w14:paraId="6423F5BD">
      <w:pPr>
        <w:tabs>
          <w:tab w:val="left" w:pos="6510"/>
        </w:tabs>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法定代表人/主要负责人：</w:t>
      </w:r>
    </w:p>
    <w:p w14:paraId="240FF2BF">
      <w:pPr>
        <w:tabs>
          <w:tab w:val="left" w:pos="6510"/>
        </w:tabs>
        <w:spacing w:line="360" w:lineRule="auto"/>
        <w:rPr>
          <w:rFonts w:hint="eastAsia" w:ascii="宋体" w:hAnsi="宋体" w:eastAsia="宋体" w:cs="宋体"/>
          <w:color w:val="auto"/>
          <w:sz w:val="22"/>
          <w:szCs w:val="22"/>
          <w:highlight w:val="none"/>
          <w:u w:val="dotted"/>
        </w:rPr>
      </w:pPr>
      <w:r>
        <w:rPr>
          <w:rFonts w:hint="eastAsia" w:ascii="宋体" w:hAnsi="宋体" w:eastAsia="宋体" w:cs="宋体"/>
          <w:color w:val="auto"/>
          <w:sz w:val="22"/>
          <w:szCs w:val="22"/>
          <w:highlight w:val="none"/>
        </w:rPr>
        <w:t>联系电话：</w:t>
      </w:r>
    </w:p>
    <w:p w14:paraId="6C55E89F">
      <w:pPr>
        <w:spacing w:line="360" w:lineRule="auto"/>
        <w:rPr>
          <w:rFonts w:hint="eastAsia" w:ascii="宋体" w:hAnsi="宋体" w:eastAsia="宋体" w:cs="宋体"/>
          <w:color w:val="auto"/>
          <w:sz w:val="22"/>
          <w:szCs w:val="22"/>
          <w:highlight w:val="none"/>
          <w:u w:val="dotted"/>
        </w:rPr>
      </w:pPr>
      <w:r>
        <w:rPr>
          <w:rFonts w:hint="eastAsia" w:ascii="宋体" w:hAnsi="宋体" w:eastAsia="宋体" w:cs="宋体"/>
          <w:color w:val="auto"/>
          <w:sz w:val="22"/>
          <w:szCs w:val="22"/>
          <w:highlight w:val="none"/>
        </w:rPr>
        <w:t>授权代表：联系电话</w:t>
      </w:r>
      <w:r>
        <w:rPr>
          <w:rFonts w:hint="eastAsia" w:ascii="宋体" w:hAnsi="宋体" w:eastAsia="宋体" w:cs="宋体"/>
          <w:color w:val="auto"/>
          <w:sz w:val="22"/>
          <w:szCs w:val="22"/>
          <w:highlight w:val="none"/>
          <w:u w:val="dotted"/>
        </w:rPr>
        <w:t xml:space="preserve">：                  </w:t>
      </w:r>
    </w:p>
    <w:p w14:paraId="1A35A286">
      <w:pPr>
        <w:spacing w:line="360" w:lineRule="auto"/>
        <w:rPr>
          <w:rFonts w:hint="eastAsia" w:ascii="宋体" w:hAnsi="宋体" w:eastAsia="宋体" w:cs="宋体"/>
          <w:color w:val="auto"/>
          <w:sz w:val="22"/>
          <w:szCs w:val="22"/>
          <w:highlight w:val="none"/>
          <w:u w:val="dotted"/>
        </w:rPr>
      </w:pPr>
      <w:r>
        <w:rPr>
          <w:rFonts w:hint="eastAsia" w:ascii="宋体" w:hAnsi="宋体" w:eastAsia="宋体" w:cs="宋体"/>
          <w:color w:val="auto"/>
          <w:sz w:val="22"/>
          <w:szCs w:val="22"/>
          <w:highlight w:val="none"/>
        </w:rPr>
        <w:t>地     址：邮编：</w:t>
      </w:r>
    </w:p>
    <w:p w14:paraId="2CFEFE17">
      <w:pPr>
        <w:spacing w:line="36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被投诉人1：</w:t>
      </w:r>
    </w:p>
    <w:p w14:paraId="623ECD8B">
      <w:pPr>
        <w:spacing w:line="36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地     址：邮编：</w:t>
      </w:r>
    </w:p>
    <w:p w14:paraId="7C3F6198">
      <w:pPr>
        <w:spacing w:line="36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联系人：联系电话：</w:t>
      </w:r>
    </w:p>
    <w:p w14:paraId="31994D7F">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被投诉人2</w:t>
      </w:r>
    </w:p>
    <w:p w14:paraId="2B8102FB">
      <w:pPr>
        <w:spacing w:line="360" w:lineRule="auto"/>
        <w:rPr>
          <w:rFonts w:hint="eastAsia" w:ascii="宋体" w:hAnsi="宋体" w:eastAsia="宋体" w:cs="宋体"/>
          <w:color w:val="auto"/>
          <w:sz w:val="22"/>
          <w:szCs w:val="22"/>
          <w:highlight w:val="none"/>
          <w:u w:val="dotted"/>
        </w:rPr>
      </w:pPr>
      <w:r>
        <w:rPr>
          <w:rFonts w:hint="eastAsia" w:ascii="宋体" w:hAnsi="宋体" w:eastAsia="宋体" w:cs="宋体"/>
          <w:color w:val="auto"/>
          <w:sz w:val="22"/>
          <w:szCs w:val="22"/>
          <w:highlight w:val="none"/>
        </w:rPr>
        <w:t>……</w:t>
      </w:r>
    </w:p>
    <w:p w14:paraId="59C03715">
      <w:pPr>
        <w:spacing w:line="36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相关供应商：</w:t>
      </w:r>
    </w:p>
    <w:p w14:paraId="5CAAFFCC">
      <w:pPr>
        <w:spacing w:line="36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地     址：邮编：</w:t>
      </w:r>
    </w:p>
    <w:p w14:paraId="56044289">
      <w:pPr>
        <w:spacing w:line="36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联系人：联系电话：</w:t>
      </w:r>
    </w:p>
    <w:p w14:paraId="13A48D3F">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二、投诉项目基本情况</w:t>
      </w:r>
    </w:p>
    <w:p w14:paraId="287951C2">
      <w:pPr>
        <w:spacing w:line="360" w:lineRule="auto"/>
        <w:rPr>
          <w:rFonts w:hint="eastAsia" w:ascii="宋体" w:hAnsi="宋体" w:eastAsia="宋体" w:cs="宋体"/>
          <w:color w:val="auto"/>
          <w:sz w:val="22"/>
          <w:szCs w:val="22"/>
          <w:highlight w:val="none"/>
          <w:u w:val="dotted"/>
        </w:rPr>
      </w:pPr>
      <w:r>
        <w:rPr>
          <w:rFonts w:hint="eastAsia" w:ascii="宋体" w:hAnsi="宋体" w:eastAsia="宋体" w:cs="宋体"/>
          <w:color w:val="auto"/>
          <w:sz w:val="22"/>
          <w:szCs w:val="22"/>
          <w:highlight w:val="none"/>
        </w:rPr>
        <w:t>采购项目名称：</w:t>
      </w:r>
    </w:p>
    <w:p w14:paraId="253B3B04">
      <w:pPr>
        <w:spacing w:line="36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采购项目编号：包号：</w:t>
      </w:r>
    </w:p>
    <w:p w14:paraId="002C85A9">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采购人名称：</w:t>
      </w:r>
    </w:p>
    <w:p w14:paraId="00C22121">
      <w:pPr>
        <w:spacing w:line="36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代理机构名称：</w:t>
      </w:r>
    </w:p>
    <w:p w14:paraId="3121B3F1">
      <w:pPr>
        <w:spacing w:line="360" w:lineRule="auto"/>
        <w:rPr>
          <w:rFonts w:hint="eastAsia" w:ascii="宋体" w:hAnsi="宋体" w:eastAsia="宋体" w:cs="宋体"/>
          <w:color w:val="auto"/>
          <w:sz w:val="22"/>
          <w:szCs w:val="22"/>
          <w:highlight w:val="none"/>
          <w:u w:val="dotted"/>
        </w:rPr>
      </w:pPr>
      <w:r>
        <w:rPr>
          <w:rFonts w:hint="eastAsia" w:ascii="宋体" w:hAnsi="宋体" w:eastAsia="宋体" w:cs="宋体"/>
          <w:color w:val="auto"/>
          <w:sz w:val="22"/>
          <w:szCs w:val="22"/>
          <w:highlight w:val="none"/>
        </w:rPr>
        <w:t>采购文件公告：</w:t>
      </w:r>
      <w:r>
        <w:rPr>
          <w:rFonts w:hint="eastAsia" w:ascii="宋体" w:hAnsi="宋体" w:eastAsia="宋体" w:cs="宋体"/>
          <w:color w:val="auto"/>
          <w:sz w:val="22"/>
          <w:szCs w:val="22"/>
          <w:highlight w:val="none"/>
          <w:u w:val="dotted"/>
        </w:rPr>
        <w:t xml:space="preserve">是/否 </w:t>
      </w:r>
      <w:r>
        <w:rPr>
          <w:rFonts w:hint="eastAsia" w:ascii="宋体" w:hAnsi="宋体" w:eastAsia="宋体" w:cs="宋体"/>
          <w:color w:val="auto"/>
          <w:sz w:val="22"/>
          <w:szCs w:val="22"/>
          <w:highlight w:val="none"/>
        </w:rPr>
        <w:t>公告期限：</w:t>
      </w:r>
    </w:p>
    <w:p w14:paraId="635289A4">
      <w:pPr>
        <w:spacing w:line="36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采购结果公告：</w:t>
      </w:r>
      <w:r>
        <w:rPr>
          <w:rFonts w:hint="eastAsia" w:ascii="宋体" w:hAnsi="宋体" w:eastAsia="宋体" w:cs="宋体"/>
          <w:color w:val="auto"/>
          <w:sz w:val="22"/>
          <w:szCs w:val="22"/>
          <w:highlight w:val="none"/>
          <w:u w:val="dotted"/>
        </w:rPr>
        <w:t xml:space="preserve">是/否 </w:t>
      </w:r>
      <w:r>
        <w:rPr>
          <w:rFonts w:hint="eastAsia" w:ascii="宋体" w:hAnsi="宋体" w:eastAsia="宋体" w:cs="宋体"/>
          <w:color w:val="auto"/>
          <w:sz w:val="22"/>
          <w:szCs w:val="22"/>
          <w:highlight w:val="none"/>
        </w:rPr>
        <w:t>公告期限：</w:t>
      </w:r>
    </w:p>
    <w:p w14:paraId="2B376518">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三、质疑基本情况</w:t>
      </w:r>
    </w:p>
    <w:p w14:paraId="6E157B02">
      <w:pPr>
        <w:spacing w:line="360" w:lineRule="auto"/>
        <w:ind w:firstLine="440" w:firstLineChars="200"/>
        <w:rPr>
          <w:rFonts w:hint="eastAsia" w:ascii="宋体" w:hAnsi="宋体" w:eastAsia="宋体" w:cs="宋体"/>
          <w:color w:val="auto"/>
          <w:sz w:val="22"/>
          <w:szCs w:val="22"/>
          <w:highlight w:val="none"/>
          <w:u w:val="dotted"/>
        </w:rPr>
      </w:pPr>
      <w:r>
        <w:rPr>
          <w:rFonts w:hint="eastAsia" w:ascii="宋体" w:hAnsi="宋体" w:eastAsia="宋体" w:cs="宋体"/>
          <w:color w:val="auto"/>
          <w:sz w:val="22"/>
          <w:szCs w:val="22"/>
          <w:highlight w:val="none"/>
        </w:rPr>
        <w:t>投诉人于年月日，向提出质疑，质疑事项为：</w:t>
      </w:r>
    </w:p>
    <w:p w14:paraId="39BF763D">
      <w:pPr>
        <w:spacing w:line="360" w:lineRule="auto"/>
        <w:rPr>
          <w:rFonts w:hint="eastAsia" w:ascii="宋体" w:hAnsi="宋体" w:eastAsia="宋体" w:cs="宋体"/>
          <w:color w:val="auto"/>
          <w:sz w:val="22"/>
          <w:szCs w:val="22"/>
          <w:highlight w:val="none"/>
          <w:u w:val="dotted"/>
        </w:rPr>
      </w:pPr>
    </w:p>
    <w:p w14:paraId="17BB0244">
      <w:pPr>
        <w:spacing w:line="360" w:lineRule="auto"/>
        <w:ind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dotted"/>
        </w:rPr>
        <w:t>采购人/代理机构</w:t>
      </w:r>
      <w:r>
        <w:rPr>
          <w:rFonts w:hint="eastAsia" w:ascii="宋体" w:hAnsi="宋体" w:eastAsia="宋体" w:cs="宋体"/>
          <w:color w:val="auto"/>
          <w:sz w:val="22"/>
          <w:szCs w:val="22"/>
          <w:highlight w:val="none"/>
        </w:rPr>
        <w:t>于年月日，就质疑事项作出了答复/没有在法定期限内作出答复。</w:t>
      </w:r>
    </w:p>
    <w:p w14:paraId="0246E0C5">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四、投诉事项具体内容</w:t>
      </w:r>
    </w:p>
    <w:p w14:paraId="5EC7E1AB">
      <w:pPr>
        <w:spacing w:line="36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投诉事项 1：</w:t>
      </w:r>
    </w:p>
    <w:p w14:paraId="037B151C">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事实依据：</w:t>
      </w:r>
    </w:p>
    <w:p w14:paraId="7F614EE8">
      <w:pPr>
        <w:spacing w:line="360" w:lineRule="auto"/>
        <w:rPr>
          <w:rFonts w:hint="eastAsia" w:ascii="宋体" w:hAnsi="宋体" w:eastAsia="宋体" w:cs="宋体"/>
          <w:color w:val="auto"/>
          <w:sz w:val="22"/>
          <w:szCs w:val="22"/>
          <w:highlight w:val="none"/>
          <w:u w:val="dotted"/>
        </w:rPr>
      </w:pPr>
    </w:p>
    <w:p w14:paraId="19BB1684">
      <w:pPr>
        <w:spacing w:line="36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法律依据：</w:t>
      </w:r>
    </w:p>
    <w:p w14:paraId="28B65AE8">
      <w:pPr>
        <w:spacing w:line="360" w:lineRule="auto"/>
        <w:rPr>
          <w:rFonts w:hint="eastAsia" w:ascii="宋体" w:hAnsi="宋体" w:eastAsia="宋体" w:cs="宋体"/>
          <w:color w:val="auto"/>
          <w:sz w:val="22"/>
          <w:szCs w:val="22"/>
          <w:highlight w:val="none"/>
          <w:u w:val="dotted"/>
        </w:rPr>
      </w:pPr>
    </w:p>
    <w:p w14:paraId="08C6AFEB">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投诉事项2</w:t>
      </w:r>
    </w:p>
    <w:p w14:paraId="262EEBB3">
      <w:pPr>
        <w:spacing w:line="360" w:lineRule="auto"/>
        <w:rPr>
          <w:rFonts w:hint="eastAsia" w:ascii="宋体" w:hAnsi="宋体" w:eastAsia="宋体" w:cs="宋体"/>
          <w:color w:val="auto"/>
          <w:sz w:val="22"/>
          <w:szCs w:val="22"/>
          <w:highlight w:val="none"/>
          <w:u w:val="dotted"/>
        </w:rPr>
      </w:pPr>
      <w:r>
        <w:rPr>
          <w:rFonts w:hint="eastAsia" w:ascii="宋体" w:hAnsi="宋体" w:eastAsia="宋体" w:cs="宋体"/>
          <w:color w:val="auto"/>
          <w:sz w:val="22"/>
          <w:szCs w:val="22"/>
          <w:highlight w:val="none"/>
        </w:rPr>
        <w:t>……</w:t>
      </w:r>
    </w:p>
    <w:p w14:paraId="2BFD4158">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五、与投诉事项相关的投诉请求</w:t>
      </w:r>
    </w:p>
    <w:p w14:paraId="6B1E3055">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请求：</w:t>
      </w:r>
    </w:p>
    <w:p w14:paraId="0B3FDAC4">
      <w:pPr>
        <w:spacing w:line="360" w:lineRule="auto"/>
        <w:rPr>
          <w:rFonts w:hint="eastAsia" w:ascii="宋体" w:hAnsi="宋体" w:eastAsia="宋体" w:cs="宋体"/>
          <w:color w:val="auto"/>
          <w:sz w:val="22"/>
          <w:szCs w:val="22"/>
          <w:highlight w:val="none"/>
          <w:u w:val="single"/>
        </w:rPr>
      </w:pPr>
    </w:p>
    <w:p w14:paraId="054902F3">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签字（签章）：                   公章：                      </w:t>
      </w:r>
    </w:p>
    <w:p w14:paraId="622DDD8D">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日期：    </w:t>
      </w:r>
    </w:p>
    <w:p w14:paraId="1595ED3A">
      <w:pPr>
        <w:spacing w:line="360" w:lineRule="auto"/>
        <w:rPr>
          <w:rFonts w:hint="eastAsia" w:ascii="宋体" w:hAnsi="宋体" w:eastAsia="宋体" w:cs="宋体"/>
          <w:b/>
          <w:color w:val="auto"/>
          <w:sz w:val="22"/>
          <w:szCs w:val="22"/>
          <w:highlight w:val="none"/>
        </w:rPr>
      </w:pPr>
    </w:p>
    <w:p w14:paraId="48C329D4">
      <w:pPr>
        <w:spacing w:line="360" w:lineRule="auto"/>
        <w:rPr>
          <w:rFonts w:hint="eastAsia" w:ascii="宋体" w:hAnsi="宋体" w:eastAsia="宋体" w:cs="宋体"/>
          <w:b/>
          <w:color w:val="auto"/>
          <w:sz w:val="22"/>
          <w:szCs w:val="22"/>
          <w:highlight w:val="none"/>
        </w:rPr>
      </w:pPr>
    </w:p>
    <w:p w14:paraId="23791007">
      <w:pPr>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投诉书制作说明：</w:t>
      </w:r>
    </w:p>
    <w:p w14:paraId="7F4E0DA3">
      <w:pPr>
        <w:widowControl/>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1.投诉人提起投诉时，应当提交投诉书和必要的证明材料，并按照被投诉人和与投诉事项有关的供应商数量提供投诉书副本。</w:t>
      </w:r>
    </w:p>
    <w:p w14:paraId="1C2ADFA8">
      <w:pPr>
        <w:widowControl/>
        <w:spacing w:line="360" w:lineRule="auto"/>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2.投诉人若委托代理人进行投诉的，投诉书应按照要求列明“授权代表”的有关内容，并在附件中提交由</w:t>
      </w:r>
      <w:r>
        <w:rPr>
          <w:rFonts w:hint="eastAsia" w:ascii="宋体" w:hAnsi="宋体" w:eastAsia="宋体" w:cs="宋体"/>
          <w:color w:val="auto"/>
          <w:kern w:val="0"/>
          <w:sz w:val="22"/>
          <w:szCs w:val="22"/>
          <w:highlight w:val="none"/>
        </w:rPr>
        <w:t>投诉人签署的授权委托书。授权委托书应当载明代理人的姓名或者名称、代理事项、具体权限、期限和相关事项。</w:t>
      </w:r>
    </w:p>
    <w:p w14:paraId="45B06575">
      <w:pPr>
        <w:widowControl/>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3.投诉人若对项目的某一分包进行投诉，投诉书应列明具体分包号。</w:t>
      </w:r>
    </w:p>
    <w:p w14:paraId="7F9D9C57">
      <w:pPr>
        <w:widowControl/>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4.投诉书应简要列明质疑事项，质疑函、质疑答复等作为附件材料提供。</w:t>
      </w:r>
    </w:p>
    <w:p w14:paraId="2595B986">
      <w:pPr>
        <w:widowControl/>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5.投诉书的投诉事项应具体、明确，并有必要的事实依据和法律依据。</w:t>
      </w:r>
    </w:p>
    <w:p w14:paraId="24522294">
      <w:pPr>
        <w:widowControl/>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6.投诉书的投诉请求应与投诉事项相关。</w:t>
      </w:r>
    </w:p>
    <w:p w14:paraId="6B2E0F17">
      <w:pPr>
        <w:widowControl/>
        <w:spacing w:line="360" w:lineRule="auto"/>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7.投诉人为自然人的，投诉书应当由本人签字；投诉人为法人或者其他组织的，投诉书应当由法定代表人、主要负责人，或者其授权代表签字或者盖章，并加盖公章。</w:t>
      </w:r>
    </w:p>
    <w:p w14:paraId="774DD8EC">
      <w:pPr>
        <w:spacing w:line="360" w:lineRule="auto"/>
        <w:rPr>
          <w:rFonts w:hint="eastAsia" w:ascii="宋体" w:hAnsi="宋体" w:eastAsia="宋体" w:cs="宋体"/>
          <w:b/>
          <w:color w:val="auto"/>
          <w:sz w:val="24"/>
          <w:highlight w:val="none"/>
        </w:rPr>
      </w:pPr>
    </w:p>
    <w:p w14:paraId="0974E31B">
      <w:pPr>
        <w:autoSpaceDE w:val="0"/>
        <w:autoSpaceDN w:val="0"/>
        <w:jc w:val="center"/>
        <w:rPr>
          <w:rFonts w:hint="eastAsia" w:ascii="宋体" w:hAnsi="宋体" w:eastAsia="宋体" w:cs="宋体"/>
          <w:b/>
          <w:color w:val="auto"/>
          <w:spacing w:val="6"/>
          <w:sz w:val="32"/>
          <w:szCs w:val="32"/>
          <w:highlight w:val="none"/>
        </w:rPr>
      </w:pPr>
    </w:p>
    <w:p w14:paraId="1F9F7201">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02610924">
      <w:pPr>
        <w:spacing w:line="360" w:lineRule="auto"/>
        <w:jc w:val="left"/>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附件4：业务专用章使用说明函</w:t>
      </w:r>
    </w:p>
    <w:p w14:paraId="79B5FFE7">
      <w:pPr>
        <w:spacing w:line="360" w:lineRule="auto"/>
        <w:rPr>
          <w:rFonts w:hint="eastAsia" w:ascii="宋体" w:hAnsi="宋体" w:eastAsia="宋体" w:cs="宋体"/>
          <w:color w:val="auto"/>
          <w:sz w:val="22"/>
          <w:szCs w:val="22"/>
          <w:highlight w:val="none"/>
          <w:u w:val="single"/>
        </w:rPr>
      </w:pPr>
    </w:p>
    <w:p w14:paraId="5782E590">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（采购人）、（采购代理机构）</w:t>
      </w:r>
    </w:p>
    <w:p w14:paraId="69A46157">
      <w:pPr>
        <w:spacing w:line="360" w:lineRule="auto"/>
        <w:ind w:firstLine="440" w:firstLineChars="200"/>
        <w:rPr>
          <w:rFonts w:hint="eastAsia" w:ascii="宋体" w:hAnsi="宋体" w:eastAsia="宋体" w:cs="宋体"/>
          <w:color w:val="auto"/>
          <w:kern w:val="0"/>
          <w:sz w:val="22"/>
          <w:szCs w:val="22"/>
          <w:highlight w:val="none"/>
          <w:lang w:val="zh-CN"/>
        </w:rPr>
      </w:pPr>
    </w:p>
    <w:p w14:paraId="5B4205C7">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zh-CN"/>
        </w:rPr>
        <w:t>我方（</w:t>
      </w:r>
      <w:r>
        <w:rPr>
          <w:rFonts w:hint="eastAsia" w:ascii="宋体" w:hAnsi="宋体" w:eastAsia="宋体" w:cs="宋体"/>
          <w:color w:val="auto"/>
          <w:sz w:val="22"/>
          <w:szCs w:val="22"/>
          <w:highlight w:val="none"/>
        </w:rPr>
        <w:t>投标人全称）是中华人民共和国依法登记注册的合法企业，</w:t>
      </w:r>
      <w:r>
        <w:rPr>
          <w:rFonts w:hint="eastAsia" w:ascii="宋体" w:hAnsi="宋体" w:eastAsia="宋体" w:cs="宋体"/>
          <w:bCs/>
          <w:color w:val="auto"/>
          <w:sz w:val="22"/>
          <w:szCs w:val="22"/>
          <w:highlight w:val="none"/>
        </w:rPr>
        <w:t>在参加</w:t>
      </w:r>
      <w:r>
        <w:rPr>
          <w:rFonts w:hint="eastAsia" w:ascii="宋体" w:hAnsi="宋体" w:eastAsia="宋体" w:cs="宋体"/>
          <w:color w:val="auto"/>
          <w:sz w:val="22"/>
          <w:szCs w:val="22"/>
          <w:highlight w:val="none"/>
        </w:rPr>
        <w:t>你方组织的（项目名称）项目【招标编号：（采购编号）】</w:t>
      </w:r>
      <w:r>
        <w:rPr>
          <w:rFonts w:hint="eastAsia" w:ascii="宋体" w:hAnsi="宋体" w:eastAsia="宋体" w:cs="宋体"/>
          <w:bCs/>
          <w:color w:val="auto"/>
          <w:sz w:val="22"/>
          <w:szCs w:val="22"/>
          <w:highlight w:val="none"/>
        </w:rPr>
        <w:t>投标活动中作如下说明：</w:t>
      </w:r>
      <w:r>
        <w:rPr>
          <w:rFonts w:hint="eastAsia" w:ascii="宋体" w:hAnsi="宋体" w:eastAsia="宋体" w:cs="宋体"/>
          <w:color w:val="auto"/>
          <w:sz w:val="22"/>
          <w:szCs w:val="22"/>
          <w:highlight w:val="none"/>
        </w:rPr>
        <w:t xml:space="preserve">我方所使用的“XX专用章”与法定名称章具有同等的法律效力，对使用“XX专用章”的行为予以完全承认，并愿意承担相应责任。   </w:t>
      </w:r>
    </w:p>
    <w:p w14:paraId="6F76B8E8">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特此说明。</w:t>
      </w:r>
    </w:p>
    <w:p w14:paraId="0FF9EF31">
      <w:pPr>
        <w:spacing w:line="360" w:lineRule="auto"/>
        <w:ind w:firstLine="494"/>
        <w:rPr>
          <w:rFonts w:hint="eastAsia" w:ascii="宋体" w:hAnsi="宋体" w:eastAsia="宋体" w:cs="宋体"/>
          <w:color w:val="auto"/>
          <w:sz w:val="22"/>
          <w:szCs w:val="22"/>
          <w:highlight w:val="none"/>
        </w:rPr>
      </w:pPr>
    </w:p>
    <w:p w14:paraId="4E1E764A">
      <w:pPr>
        <w:spacing w:line="360" w:lineRule="auto"/>
        <w:ind w:firstLine="494"/>
        <w:rPr>
          <w:rFonts w:hint="eastAsia" w:ascii="宋体" w:hAnsi="宋体" w:eastAsia="宋体" w:cs="宋体"/>
          <w:color w:val="auto"/>
          <w:sz w:val="22"/>
          <w:szCs w:val="22"/>
          <w:highlight w:val="none"/>
        </w:rPr>
      </w:pPr>
    </w:p>
    <w:p w14:paraId="668B967F">
      <w:pPr>
        <w:spacing w:line="360" w:lineRule="auto"/>
        <w:ind w:right="480" w:firstLine="3740" w:firstLineChars="17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投标单位（法定名称章）：</w:t>
      </w:r>
    </w:p>
    <w:p w14:paraId="007275E7">
      <w:pPr>
        <w:ind w:right="1440" w:firstLine="494"/>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日期：       年     月     日</w:t>
      </w:r>
    </w:p>
    <w:p w14:paraId="772A8C5E">
      <w:pP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附：</w:t>
      </w:r>
    </w:p>
    <w:p w14:paraId="0CFFC92E">
      <w:pPr>
        <w:spacing w:line="360" w:lineRule="auto"/>
        <w:rPr>
          <w:rFonts w:hint="eastAsia" w:ascii="宋体" w:hAnsi="宋体" w:eastAsia="宋体" w:cs="宋体"/>
          <w:bCs/>
          <w:color w:val="auto"/>
          <w:sz w:val="22"/>
          <w:szCs w:val="22"/>
          <w:highlight w:val="none"/>
        </w:rPr>
      </w:pPr>
      <w:r>
        <w:rPr>
          <w:rFonts w:hint="eastAsia" w:ascii="宋体" w:hAnsi="宋体" w:eastAsia="宋体" w:cs="宋体"/>
          <w:b/>
          <w:bCs/>
          <w:color w:val="auto"/>
          <w:sz w:val="22"/>
          <w:szCs w:val="22"/>
          <w:highlight w:val="none"/>
        </w:rPr>
        <mc:AlternateContent>
          <mc:Choice Requires="wps">
            <w:drawing>
              <wp:anchor distT="0" distB="0" distL="114300" distR="114300" simplePos="0" relativeHeight="251668480"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1" name="1026"/>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1026" o:spid="_x0000_s1026" o:spt="1" style="position:absolute;left:0pt;margin-left:238.9pt;margin-top:28.05pt;height:177.45pt;width:212.95pt;z-index:-251648000;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c/4wdgAAAAKAQAADwAAAAAAAAABACAAAAAiAAAAZHJzL2Rvd25yZXYueG1sUEsBAhQAFAAAAAgA&#10;h07iQGtU5RLsAQAAGwQAAA4AAAAAAAAAAQAgAAAAJwEAAGRycy9lMm9Eb2MueG1sUEsFBgAAAAAG&#10;AAYAWQEAAIUFAAAAAA==&#10;">
                <v:fill on="t" focussize="0,0"/>
                <v:stroke color="#000000" joinstyle="miter"/>
                <v:imagedata o:title=""/>
                <o:lock v:ext="edit" aspectratio="f"/>
              </v:rect>
            </w:pict>
          </mc:Fallback>
        </mc:AlternateContent>
      </w:r>
      <w:r>
        <w:rPr>
          <w:rFonts w:hint="eastAsia" w:ascii="宋体" w:hAnsi="宋体" w:eastAsia="宋体" w:cs="宋体"/>
          <w:b/>
          <w:bCs/>
          <w:color w:val="auto"/>
          <w:sz w:val="22"/>
          <w:szCs w:val="22"/>
          <w:highlight w:val="none"/>
        </w:rPr>
        <mc:AlternateContent>
          <mc:Choice Requires="wps">
            <w:drawing>
              <wp:anchor distT="0" distB="0" distL="114300" distR="114300" simplePos="0" relativeHeight="251669504"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2" name="1027"/>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1027" o:spid="_x0000_s1026" o:spt="1" style="position:absolute;left:0pt;margin-left:-7.2pt;margin-top:30.3pt;height:177.45pt;width:208.5pt;z-index:-251646976;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d07BY2AAAAAoBAAAPAAAAAAAAAAEAIAAAACIAAABkcnMvZG93bnJldi54bWxQSwECFAAUAAAA&#10;CACHTuJAhlzIke4BAAAbBAAADgAAAAAAAAABACAAAAAnAQAAZHJzL2Uyb0RvYy54bWxQSwUGAAAA&#10;AAYABgBZAQAAhwUAAAAA&#10;">
                <v:fill on="t" focussize="0,0"/>
                <v:stroke color="#000000" joinstyle="miter"/>
                <v:imagedata o:title=""/>
                <o:lock v:ext="edit" aspectratio="f"/>
              </v:rect>
            </w:pict>
          </mc:Fallback>
        </mc:AlternateContent>
      </w:r>
      <w:r>
        <w:rPr>
          <w:rFonts w:hint="eastAsia" w:ascii="宋体" w:hAnsi="宋体" w:eastAsia="宋体" w:cs="宋体"/>
          <w:color w:val="auto"/>
          <w:sz w:val="22"/>
          <w:szCs w:val="22"/>
          <w:highlight w:val="none"/>
        </w:rPr>
        <w:t>投标单位法定名称章（印模）                投标单位“XX专用章”（印模）</w:t>
      </w:r>
    </w:p>
    <w:p w14:paraId="0DD7CE3F">
      <w:pPr>
        <w:autoSpaceDE w:val="0"/>
        <w:autoSpaceDN w:val="0"/>
        <w:jc w:val="center"/>
        <w:rPr>
          <w:rFonts w:hint="eastAsia" w:ascii="宋体" w:hAnsi="宋体" w:eastAsia="宋体" w:cs="宋体"/>
          <w:b/>
          <w:color w:val="auto"/>
          <w:spacing w:val="6"/>
          <w:sz w:val="22"/>
          <w:szCs w:val="22"/>
          <w:highlight w:val="none"/>
        </w:rPr>
      </w:pPr>
    </w:p>
    <w:p w14:paraId="78D90157">
      <w:pPr>
        <w:autoSpaceDE w:val="0"/>
        <w:autoSpaceDN w:val="0"/>
        <w:jc w:val="center"/>
        <w:rPr>
          <w:rFonts w:hint="eastAsia" w:ascii="宋体" w:hAnsi="宋体" w:eastAsia="宋体" w:cs="宋体"/>
          <w:b/>
          <w:color w:val="auto"/>
          <w:spacing w:val="6"/>
          <w:sz w:val="22"/>
          <w:szCs w:val="22"/>
          <w:highlight w:val="none"/>
        </w:rPr>
      </w:pPr>
    </w:p>
    <w:p w14:paraId="69BC158A">
      <w:pPr>
        <w:autoSpaceDE w:val="0"/>
        <w:autoSpaceDN w:val="0"/>
        <w:jc w:val="center"/>
        <w:rPr>
          <w:rFonts w:hint="eastAsia" w:ascii="宋体" w:hAnsi="宋体" w:eastAsia="宋体" w:cs="宋体"/>
          <w:b/>
          <w:color w:val="auto"/>
          <w:spacing w:val="6"/>
          <w:sz w:val="22"/>
          <w:szCs w:val="22"/>
          <w:highlight w:val="none"/>
        </w:rPr>
      </w:pPr>
    </w:p>
    <w:p w14:paraId="79C5AF47">
      <w:pPr>
        <w:autoSpaceDE w:val="0"/>
        <w:autoSpaceDN w:val="0"/>
        <w:jc w:val="center"/>
        <w:rPr>
          <w:rFonts w:hint="eastAsia" w:ascii="宋体" w:hAnsi="宋体" w:eastAsia="宋体" w:cs="宋体"/>
          <w:b/>
          <w:color w:val="auto"/>
          <w:spacing w:val="6"/>
          <w:sz w:val="22"/>
          <w:szCs w:val="22"/>
          <w:highlight w:val="none"/>
        </w:rPr>
      </w:pPr>
    </w:p>
    <w:p w14:paraId="486F935C">
      <w:pPr>
        <w:autoSpaceDE w:val="0"/>
        <w:autoSpaceDN w:val="0"/>
        <w:jc w:val="center"/>
        <w:rPr>
          <w:rFonts w:hint="eastAsia" w:ascii="宋体" w:hAnsi="宋体" w:eastAsia="宋体" w:cs="宋体"/>
          <w:b/>
          <w:color w:val="auto"/>
          <w:spacing w:val="6"/>
          <w:sz w:val="22"/>
          <w:szCs w:val="22"/>
          <w:highlight w:val="none"/>
        </w:rPr>
      </w:pPr>
    </w:p>
    <w:p w14:paraId="595B404B">
      <w:pPr>
        <w:autoSpaceDE w:val="0"/>
        <w:autoSpaceDN w:val="0"/>
        <w:jc w:val="center"/>
        <w:rPr>
          <w:rFonts w:hint="eastAsia" w:ascii="宋体" w:hAnsi="宋体" w:eastAsia="宋体" w:cs="宋体"/>
          <w:b/>
          <w:color w:val="auto"/>
          <w:spacing w:val="6"/>
          <w:sz w:val="22"/>
          <w:szCs w:val="22"/>
          <w:highlight w:val="none"/>
        </w:rPr>
      </w:pPr>
    </w:p>
    <w:p w14:paraId="0C46E70C">
      <w:pPr>
        <w:autoSpaceDE w:val="0"/>
        <w:autoSpaceDN w:val="0"/>
        <w:jc w:val="center"/>
        <w:rPr>
          <w:rFonts w:hint="eastAsia" w:ascii="宋体" w:hAnsi="宋体" w:eastAsia="宋体" w:cs="宋体"/>
          <w:b/>
          <w:color w:val="auto"/>
          <w:spacing w:val="6"/>
          <w:sz w:val="22"/>
          <w:szCs w:val="22"/>
          <w:highlight w:val="none"/>
        </w:rPr>
      </w:pPr>
    </w:p>
    <w:p w14:paraId="1C7079F9">
      <w:pPr>
        <w:autoSpaceDE w:val="0"/>
        <w:autoSpaceDN w:val="0"/>
        <w:jc w:val="center"/>
        <w:rPr>
          <w:rFonts w:hint="eastAsia" w:ascii="宋体" w:hAnsi="宋体" w:eastAsia="宋体" w:cs="宋体"/>
          <w:b/>
          <w:color w:val="auto"/>
          <w:spacing w:val="6"/>
          <w:sz w:val="22"/>
          <w:szCs w:val="22"/>
          <w:highlight w:val="none"/>
        </w:rPr>
      </w:pPr>
    </w:p>
    <w:p w14:paraId="56503929">
      <w:pPr>
        <w:autoSpaceDE w:val="0"/>
        <w:autoSpaceDN w:val="0"/>
        <w:jc w:val="center"/>
        <w:rPr>
          <w:rFonts w:hint="eastAsia" w:ascii="宋体" w:hAnsi="宋体" w:eastAsia="宋体" w:cs="宋体"/>
          <w:b/>
          <w:color w:val="auto"/>
          <w:spacing w:val="6"/>
          <w:sz w:val="32"/>
          <w:szCs w:val="32"/>
          <w:highlight w:val="none"/>
        </w:rPr>
      </w:pPr>
    </w:p>
    <w:p w14:paraId="0C18012D">
      <w:pPr>
        <w:autoSpaceDE w:val="0"/>
        <w:autoSpaceDN w:val="0"/>
        <w:jc w:val="center"/>
        <w:rPr>
          <w:rFonts w:hint="eastAsia" w:ascii="宋体" w:hAnsi="宋体" w:eastAsia="宋体" w:cs="宋体"/>
          <w:b/>
          <w:color w:val="auto"/>
          <w:spacing w:val="6"/>
          <w:sz w:val="32"/>
          <w:szCs w:val="32"/>
          <w:highlight w:val="none"/>
        </w:rPr>
      </w:pPr>
    </w:p>
    <w:p w14:paraId="5F9FD503">
      <w:pPr>
        <w:autoSpaceDE w:val="0"/>
        <w:autoSpaceDN w:val="0"/>
        <w:jc w:val="center"/>
        <w:rPr>
          <w:rFonts w:hint="eastAsia" w:ascii="宋体" w:hAnsi="宋体" w:eastAsia="宋体" w:cs="宋体"/>
          <w:b/>
          <w:color w:val="auto"/>
          <w:spacing w:val="6"/>
          <w:sz w:val="32"/>
          <w:szCs w:val="32"/>
          <w:highlight w:val="none"/>
        </w:rPr>
      </w:pPr>
    </w:p>
    <w:p w14:paraId="5BFE5396">
      <w:pPr>
        <w:widowControl/>
        <w:adjustRightInd/>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59737FF6">
      <w:pPr>
        <w:spacing w:line="360" w:lineRule="auto"/>
        <w:jc w:val="left"/>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附件5：联合协议</w:t>
      </w:r>
    </w:p>
    <w:p w14:paraId="2050E119">
      <w:pPr>
        <w:widowControl/>
        <w:spacing w:line="360" w:lineRule="auto"/>
        <w:ind w:firstLine="442" w:firstLineChars="20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（以联合体形式投标的，提供联合协议；本项目不接受联合体投标或者投标人不以联合体形式投标的，则不需要提供）</w:t>
      </w:r>
    </w:p>
    <w:p w14:paraId="0AB7CFAA">
      <w:pPr>
        <w:snapToGrid w:val="0"/>
        <w:spacing w:line="360" w:lineRule="auto"/>
        <w:ind w:firstLine="576"/>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u w:val="single"/>
        </w:rPr>
        <w:t>（联合体所有成员名称）</w:t>
      </w:r>
      <w:r>
        <w:rPr>
          <w:rFonts w:hint="eastAsia" w:ascii="宋体" w:hAnsi="宋体" w:eastAsia="宋体" w:cs="宋体"/>
          <w:color w:val="auto"/>
          <w:kern w:val="0"/>
          <w:sz w:val="22"/>
          <w:szCs w:val="22"/>
          <w:highlight w:val="none"/>
        </w:rPr>
        <w:t>自愿</w:t>
      </w:r>
      <w:r>
        <w:rPr>
          <w:rFonts w:hint="eastAsia" w:ascii="宋体" w:hAnsi="宋体" w:eastAsia="宋体" w:cs="宋体"/>
          <w:color w:val="auto"/>
          <w:kern w:val="0"/>
          <w:sz w:val="22"/>
          <w:szCs w:val="22"/>
          <w:highlight w:val="none"/>
          <w:lang w:val="zh-CN"/>
        </w:rPr>
        <w:t>组成一个联合体，以一个投标人的身份</w:t>
      </w:r>
      <w:r>
        <w:rPr>
          <w:rFonts w:hint="eastAsia" w:ascii="宋体" w:hAnsi="宋体" w:eastAsia="宋体" w:cs="宋体"/>
          <w:color w:val="auto"/>
          <w:kern w:val="0"/>
          <w:sz w:val="22"/>
          <w:szCs w:val="22"/>
          <w:highlight w:val="none"/>
        </w:rPr>
        <w:t>参加</w:t>
      </w:r>
      <w:r>
        <w:rPr>
          <w:rFonts w:hint="eastAsia" w:ascii="宋体" w:hAnsi="宋体" w:eastAsia="宋体" w:cs="宋体"/>
          <w:color w:val="auto"/>
          <w:sz w:val="22"/>
          <w:szCs w:val="22"/>
          <w:highlight w:val="none"/>
        </w:rPr>
        <w:t>（项目名称）【招标编号：（采购编号）】</w:t>
      </w:r>
      <w:r>
        <w:rPr>
          <w:rFonts w:hint="eastAsia" w:ascii="宋体" w:hAnsi="宋体" w:eastAsia="宋体" w:cs="宋体"/>
          <w:color w:val="auto"/>
          <w:kern w:val="0"/>
          <w:sz w:val="22"/>
          <w:szCs w:val="22"/>
          <w:highlight w:val="none"/>
          <w:lang w:val="zh-CN"/>
        </w:rPr>
        <w:t xml:space="preserve">投标。 </w:t>
      </w:r>
    </w:p>
    <w:p w14:paraId="50F2B114">
      <w:pPr>
        <w:snapToGrid w:val="0"/>
        <w:spacing w:line="360" w:lineRule="auto"/>
        <w:ind w:firstLine="576"/>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一、各方一致决定，</w:t>
      </w:r>
      <w:r>
        <w:rPr>
          <w:rFonts w:hint="eastAsia" w:ascii="宋体" w:hAnsi="宋体" w:eastAsia="宋体" w:cs="宋体"/>
          <w:color w:val="auto"/>
          <w:kern w:val="0"/>
          <w:sz w:val="22"/>
          <w:szCs w:val="22"/>
          <w:highlight w:val="none"/>
          <w:u w:val="single"/>
        </w:rPr>
        <w:t>（某联合体成员名称）</w:t>
      </w:r>
      <w:r>
        <w:rPr>
          <w:rFonts w:hint="eastAsia" w:ascii="宋体" w:hAnsi="宋体" w:eastAsia="宋体" w:cs="宋体"/>
          <w:color w:val="auto"/>
          <w:kern w:val="0"/>
          <w:sz w:val="22"/>
          <w:szCs w:val="22"/>
          <w:highlight w:val="none"/>
        </w:rPr>
        <w:t>为联合体</w:t>
      </w:r>
      <w:r>
        <w:rPr>
          <w:rFonts w:hint="eastAsia" w:ascii="宋体" w:hAnsi="宋体" w:eastAsia="宋体" w:cs="宋体"/>
          <w:color w:val="auto"/>
          <w:kern w:val="0"/>
          <w:sz w:val="22"/>
          <w:szCs w:val="22"/>
          <w:highlight w:val="none"/>
          <w:lang w:val="zh-CN"/>
        </w:rPr>
        <w:t>牵头人</w:t>
      </w:r>
      <w:r>
        <w:rPr>
          <w:rFonts w:hint="eastAsia" w:ascii="宋体" w:hAnsi="宋体" w:eastAsia="宋体" w:cs="宋体"/>
          <w:color w:val="auto"/>
          <w:sz w:val="22"/>
          <w:szCs w:val="22"/>
          <w:highlight w:val="none"/>
        </w:rPr>
        <w:t>，代表所有联合体成员负责投标和合同实施阶段的主办、协调工作</w:t>
      </w:r>
      <w:r>
        <w:rPr>
          <w:rFonts w:hint="eastAsia" w:ascii="宋体" w:hAnsi="宋体" w:eastAsia="宋体" w:cs="宋体"/>
          <w:color w:val="auto"/>
          <w:kern w:val="0"/>
          <w:sz w:val="22"/>
          <w:szCs w:val="22"/>
          <w:highlight w:val="none"/>
          <w:lang w:val="zh-CN"/>
        </w:rPr>
        <w:t>。</w:t>
      </w:r>
    </w:p>
    <w:p w14:paraId="6A2437F1">
      <w:pPr>
        <w:snapToGrid w:val="0"/>
        <w:spacing w:line="360" w:lineRule="auto"/>
        <w:ind w:firstLine="576"/>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二、</w:t>
      </w:r>
      <w:r>
        <w:rPr>
          <w:rFonts w:hint="eastAsia" w:ascii="宋体" w:hAnsi="宋体" w:eastAsia="宋体" w:cs="宋体"/>
          <w:color w:val="auto"/>
          <w:sz w:val="22"/>
          <w:szCs w:val="22"/>
          <w:highlight w:val="none"/>
        </w:rPr>
        <w:t>所有联合体成员各方签署授权书，授权书载明的</w:t>
      </w:r>
      <w:r>
        <w:rPr>
          <w:rFonts w:hint="eastAsia" w:ascii="宋体" w:hAnsi="宋体" w:eastAsia="宋体" w:cs="宋体"/>
          <w:color w:val="auto"/>
          <w:kern w:val="0"/>
          <w:sz w:val="22"/>
          <w:szCs w:val="22"/>
          <w:highlight w:val="none"/>
          <w:lang w:val="zh-CN"/>
        </w:rPr>
        <w:t>授权代表根据招标文件规定及投标内容而对采购人、采购机构所作的任何合法承诺，包括书面澄清及相应等均对联合投标各方产生约束力。</w:t>
      </w:r>
    </w:p>
    <w:p w14:paraId="5CADFFFB">
      <w:pPr>
        <w:snapToGrid w:val="0"/>
        <w:spacing w:line="360" w:lineRule="auto"/>
        <w:ind w:firstLine="576"/>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三、本次联合投标中，分工如下：</w:t>
      </w:r>
    </w:p>
    <w:p w14:paraId="025295EF">
      <w:pPr>
        <w:snapToGrid w:val="0"/>
        <w:spacing w:line="360" w:lineRule="auto"/>
        <w:ind w:firstLine="576"/>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u w:val="single"/>
        </w:rPr>
        <w:t>（联合体成员1）</w:t>
      </w:r>
      <w:r>
        <w:rPr>
          <w:rFonts w:hint="eastAsia" w:ascii="宋体" w:hAnsi="宋体" w:eastAsia="宋体" w:cs="宋体"/>
          <w:color w:val="auto"/>
          <w:kern w:val="0"/>
          <w:sz w:val="22"/>
          <w:szCs w:val="22"/>
          <w:highlight w:val="none"/>
          <w:lang w:val="zh-CN"/>
        </w:rPr>
        <w:t>承担的工作和义务为：；</w:t>
      </w:r>
    </w:p>
    <w:p w14:paraId="43B83646">
      <w:pPr>
        <w:snapToGrid w:val="0"/>
        <w:spacing w:line="360" w:lineRule="auto"/>
        <w:ind w:firstLine="576"/>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u w:val="single"/>
        </w:rPr>
        <w:t>（联合体成员2）</w:t>
      </w:r>
      <w:r>
        <w:rPr>
          <w:rFonts w:hint="eastAsia" w:ascii="宋体" w:hAnsi="宋体" w:eastAsia="宋体" w:cs="宋体"/>
          <w:color w:val="auto"/>
          <w:kern w:val="0"/>
          <w:sz w:val="22"/>
          <w:szCs w:val="22"/>
          <w:highlight w:val="none"/>
          <w:lang w:val="zh-CN"/>
        </w:rPr>
        <w:t>承担的工作和义务为：；</w:t>
      </w:r>
    </w:p>
    <w:p w14:paraId="66B3AB92">
      <w:pPr>
        <w:snapToGrid w:val="0"/>
        <w:spacing w:line="360" w:lineRule="auto"/>
        <w:ind w:firstLine="576"/>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w:t>
      </w:r>
    </w:p>
    <w:p w14:paraId="5338F6FA">
      <w:pPr>
        <w:snapToGrid w:val="0"/>
        <w:spacing w:line="360" w:lineRule="auto"/>
        <w:ind w:firstLine="576"/>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四、联合体成员中小企业合同份额。</w:t>
      </w:r>
    </w:p>
    <w:p w14:paraId="2D594884">
      <w:pPr>
        <w:snapToGrid w:val="0"/>
        <w:spacing w:line="360" w:lineRule="auto"/>
        <w:ind w:firstLine="576"/>
        <w:rPr>
          <w:rFonts w:hint="eastAsia" w:ascii="宋体" w:hAnsi="宋体" w:eastAsia="宋体" w:cs="宋体"/>
          <w:b/>
          <w:color w:val="auto"/>
          <w:kern w:val="0"/>
          <w:sz w:val="22"/>
          <w:szCs w:val="22"/>
          <w:highlight w:val="none"/>
          <w:lang w:val="zh-CN"/>
        </w:rPr>
      </w:pPr>
      <w:r>
        <w:rPr>
          <w:rFonts w:hint="eastAsia" w:ascii="宋体" w:hAnsi="宋体" w:eastAsia="宋体" w:cs="宋体"/>
          <w:color w:val="auto"/>
          <w:kern w:val="0"/>
          <w:sz w:val="22"/>
          <w:szCs w:val="22"/>
          <w:highlight w:val="none"/>
          <w:lang w:val="zh-CN"/>
        </w:rPr>
        <w:t>1、</w:t>
      </w:r>
      <w:r>
        <w:rPr>
          <w:rFonts w:hint="eastAsia" w:ascii="宋体" w:hAnsi="宋体" w:eastAsia="宋体" w:cs="宋体"/>
          <w:color w:val="auto"/>
          <w:kern w:val="0"/>
          <w:sz w:val="22"/>
          <w:szCs w:val="22"/>
          <w:highlight w:val="none"/>
          <w:u w:val="single"/>
        </w:rPr>
        <w:t>（</w:t>
      </w:r>
      <w:bookmarkStart w:id="668" w:name="_Hlk101131882"/>
      <w:r>
        <w:rPr>
          <w:rFonts w:hint="eastAsia" w:ascii="宋体" w:hAnsi="宋体" w:eastAsia="宋体" w:cs="宋体"/>
          <w:color w:val="auto"/>
          <w:kern w:val="0"/>
          <w:sz w:val="22"/>
          <w:szCs w:val="22"/>
          <w:highlight w:val="none"/>
          <w:u w:val="single"/>
        </w:rPr>
        <w:t>联合体成员X,……</w:t>
      </w:r>
      <w:bookmarkEnd w:id="668"/>
      <w:r>
        <w:rPr>
          <w:rFonts w:hint="eastAsia" w:ascii="宋体" w:hAnsi="宋体" w:eastAsia="宋体" w:cs="宋体"/>
          <w:color w:val="auto"/>
          <w:kern w:val="0"/>
          <w:sz w:val="22"/>
          <w:szCs w:val="22"/>
          <w:highlight w:val="none"/>
          <w:u w:val="single"/>
        </w:rPr>
        <w:t>）</w:t>
      </w:r>
      <w:r>
        <w:rPr>
          <w:rFonts w:hint="eastAsia" w:ascii="宋体" w:hAnsi="宋体" w:eastAsia="宋体" w:cs="宋体"/>
          <w:color w:val="auto"/>
          <w:kern w:val="0"/>
          <w:sz w:val="22"/>
          <w:szCs w:val="22"/>
          <w:highlight w:val="none"/>
        </w:rPr>
        <w:t>提供的服务由小微企业承接，其合同份额占到合同总金额%以上</w:t>
      </w:r>
      <w:r>
        <w:rPr>
          <w:rFonts w:hint="eastAsia" w:ascii="宋体" w:hAnsi="宋体" w:eastAsia="宋体" w:cs="宋体"/>
          <w:color w:val="auto"/>
          <w:kern w:val="0"/>
          <w:sz w:val="22"/>
          <w:szCs w:val="22"/>
          <w:highlight w:val="none"/>
          <w:lang w:val="zh-CN"/>
        </w:rPr>
        <w:t>。</w:t>
      </w:r>
      <w:r>
        <w:rPr>
          <w:rFonts w:hint="eastAsia" w:ascii="宋体" w:hAnsi="宋体" w:eastAsia="宋体" w:cs="宋体"/>
          <w:b/>
          <w:color w:val="auto"/>
          <w:kern w:val="0"/>
          <w:sz w:val="22"/>
          <w:szCs w:val="22"/>
          <w:highlight w:val="none"/>
          <w:lang w:val="zh-CN"/>
        </w:rPr>
        <w:t>（</w:t>
      </w:r>
      <w:bookmarkStart w:id="669" w:name="_Hlk101133598"/>
      <w:r>
        <w:rPr>
          <w:rFonts w:hint="eastAsia" w:ascii="宋体" w:hAnsi="宋体" w:eastAsia="宋体" w:cs="宋体"/>
          <w:b/>
          <w:color w:val="auto"/>
          <w:kern w:val="0"/>
          <w:sz w:val="22"/>
          <w:szCs w:val="22"/>
          <w:highlight w:val="none"/>
          <w:lang w:val="zh-CN"/>
        </w:rPr>
        <w:t>未预留份额专门面向中小企业采购的采购项目，以及预留份额中的非预留部分采购包，接受联合体投标的，联合协议约定小微企业的合同份额占到合同总金额30%以上的，对联合体报价给予4%的扣除。供应商</w:t>
      </w:r>
      <w:r>
        <w:rPr>
          <w:rFonts w:hint="eastAsia" w:ascii="宋体" w:hAnsi="宋体" w:eastAsia="宋体" w:cs="宋体"/>
          <w:b/>
          <w:color w:val="auto"/>
          <w:sz w:val="22"/>
          <w:szCs w:val="22"/>
          <w:highlight w:val="none"/>
        </w:rPr>
        <w:t>拟享受以上价格扣除政策的，填写有关内容。</w:t>
      </w:r>
      <w:bookmarkEnd w:id="669"/>
      <w:r>
        <w:rPr>
          <w:rFonts w:hint="eastAsia" w:ascii="宋体" w:hAnsi="宋体" w:eastAsia="宋体" w:cs="宋体"/>
          <w:b/>
          <w:color w:val="auto"/>
          <w:kern w:val="0"/>
          <w:sz w:val="22"/>
          <w:szCs w:val="22"/>
          <w:highlight w:val="none"/>
          <w:lang w:val="zh-CN"/>
        </w:rPr>
        <w:t>）</w:t>
      </w:r>
    </w:p>
    <w:p w14:paraId="1F75E6C8">
      <w:pPr>
        <w:spacing w:line="360" w:lineRule="auto"/>
        <w:ind w:firstLine="440" w:firstLineChars="200"/>
        <w:rPr>
          <w:rFonts w:hint="eastAsia" w:ascii="宋体" w:hAnsi="宋体" w:eastAsia="宋体" w:cs="宋体"/>
          <w:b/>
          <w:bCs/>
          <w:color w:val="auto"/>
          <w:kern w:val="0"/>
          <w:sz w:val="22"/>
          <w:szCs w:val="22"/>
          <w:highlight w:val="none"/>
          <w:lang w:val="zh-CN"/>
        </w:rPr>
      </w:pPr>
      <w:r>
        <w:rPr>
          <w:rFonts w:hint="eastAsia" w:ascii="宋体" w:hAnsi="宋体" w:eastAsia="宋体" w:cs="宋体"/>
          <w:color w:val="auto"/>
          <w:sz w:val="22"/>
          <w:szCs w:val="22"/>
          <w:highlight w:val="none"/>
        </w:rPr>
        <w:t>2、</w:t>
      </w:r>
      <w:bookmarkStart w:id="670" w:name="_Hlk101133173"/>
      <w:r>
        <w:rPr>
          <w:rFonts w:hint="eastAsia" w:ascii="宋体" w:hAnsi="宋体" w:eastAsia="宋体" w:cs="宋体"/>
          <w:color w:val="auto"/>
          <w:sz w:val="22"/>
          <w:szCs w:val="22"/>
          <w:highlight w:val="none"/>
        </w:rPr>
        <w:t>中小企业合同金额达到%，小微企业合同金额达到%</w:t>
      </w:r>
      <w:r>
        <w:rPr>
          <w:rFonts w:hint="eastAsia" w:ascii="宋体" w:hAnsi="宋体" w:eastAsia="宋体" w:cs="宋体"/>
          <w:color w:val="auto"/>
          <w:kern w:val="0"/>
          <w:sz w:val="22"/>
          <w:szCs w:val="22"/>
          <w:highlight w:val="none"/>
          <w:lang w:val="zh-CN"/>
        </w:rPr>
        <w:t>。</w:t>
      </w:r>
      <w:r>
        <w:rPr>
          <w:rFonts w:hint="eastAsia" w:ascii="宋体" w:hAnsi="宋体" w:eastAsia="宋体" w:cs="宋体"/>
          <w:b/>
          <w:bCs/>
          <w:color w:val="auto"/>
          <w:kern w:val="0"/>
          <w:sz w:val="22"/>
          <w:szCs w:val="22"/>
          <w:highlight w:val="none"/>
          <w:lang w:val="zh-CN"/>
        </w:rPr>
        <w:t>（</w:t>
      </w:r>
      <w:r>
        <w:rPr>
          <w:rFonts w:hint="eastAsia" w:ascii="宋体" w:hAnsi="宋体" w:eastAsia="宋体" w:cs="宋体"/>
          <w:b/>
          <w:bCs/>
          <w:color w:val="auto"/>
          <w:sz w:val="22"/>
          <w:szCs w:val="22"/>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2"/>
          <w:szCs w:val="22"/>
          <w:highlight w:val="none"/>
          <w:lang w:val="zh-CN"/>
        </w:rPr>
        <w:t>）</w:t>
      </w:r>
      <w:bookmarkEnd w:id="670"/>
    </w:p>
    <w:p w14:paraId="27142B7D">
      <w:pPr>
        <w:snapToGrid w:val="0"/>
        <w:spacing w:line="360" w:lineRule="auto"/>
        <w:ind w:firstLine="576"/>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五、如果中标，</w:t>
      </w:r>
      <w:r>
        <w:rPr>
          <w:rFonts w:hint="eastAsia" w:ascii="宋体" w:hAnsi="宋体" w:eastAsia="宋体" w:cs="宋体"/>
          <w:color w:val="auto"/>
          <w:sz w:val="22"/>
          <w:szCs w:val="22"/>
          <w:highlight w:val="none"/>
        </w:rPr>
        <w:t>联合体各成员方共同与采购人签订合同，并就采购合同约定的事项对采购人承担连带责任。</w:t>
      </w:r>
    </w:p>
    <w:p w14:paraId="33139DB0">
      <w:pPr>
        <w:snapToGrid w:val="0"/>
        <w:spacing w:line="360" w:lineRule="auto"/>
        <w:ind w:firstLine="576"/>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六、有关本次联合投标的其他事宜：</w:t>
      </w:r>
    </w:p>
    <w:p w14:paraId="6C66460A">
      <w:pPr>
        <w:snapToGrid w:val="0"/>
        <w:spacing w:line="360" w:lineRule="auto"/>
        <w:ind w:firstLine="576"/>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1、联合体各方不再单独参加或者与其他供应商另外组成联合体参加同一合同项下的政府采购活动。</w:t>
      </w:r>
    </w:p>
    <w:p w14:paraId="535BA86B">
      <w:pPr>
        <w:snapToGrid w:val="0"/>
        <w:spacing w:line="360" w:lineRule="auto"/>
        <w:ind w:firstLine="576"/>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2、联合体中有同类资质的各方按照联合体分工承担相同工作的，按照资质等级较低的供应商确定资质等级。</w:t>
      </w:r>
    </w:p>
    <w:p w14:paraId="78AD9C7B">
      <w:pPr>
        <w:snapToGrid w:val="0"/>
        <w:spacing w:line="360" w:lineRule="auto"/>
        <w:ind w:firstLine="576"/>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3、本协议提交采购人、采购机构后，联合体各方不得以任何形式对上述内容进行修改或撤销。</w:t>
      </w:r>
    </w:p>
    <w:p w14:paraId="1B9272FA">
      <w:pPr>
        <w:snapToGrid w:val="0"/>
        <w:spacing w:line="360" w:lineRule="auto"/>
        <w:ind w:firstLine="4620" w:firstLineChars="2100"/>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联合体成员名称（电子签名/公章）：</w:t>
      </w:r>
    </w:p>
    <w:p w14:paraId="114EFBB0">
      <w:pPr>
        <w:snapToGrid w:val="0"/>
        <w:spacing w:line="360" w:lineRule="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 xml:space="preserve">                                               日期：  年  月   日</w:t>
      </w:r>
    </w:p>
    <w:p w14:paraId="58787691">
      <w:pPr>
        <w:spacing w:line="360" w:lineRule="auto"/>
        <w:ind w:right="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注：按本格式和要求提供。</w:t>
      </w:r>
    </w:p>
    <w:p w14:paraId="4EA8CF8D">
      <w:pPr>
        <w:widowControl/>
        <w:adjustRightInd/>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1BE50E1D">
      <w:pPr>
        <w:spacing w:line="360" w:lineRule="auto"/>
        <w:jc w:val="left"/>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附件6：分包意向协议</w:t>
      </w:r>
    </w:p>
    <w:p w14:paraId="5DC08CC0">
      <w:pPr>
        <w:widowControl/>
        <w:spacing w:line="312" w:lineRule="auto"/>
        <w:ind w:firstLine="110" w:firstLineChars="5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2"/>
          <w:szCs w:val="22"/>
          <w:highlight w:val="none"/>
        </w:rPr>
        <w:t>）</w:t>
      </w:r>
    </w:p>
    <w:p w14:paraId="320D0533">
      <w:pPr>
        <w:snapToGrid w:val="0"/>
        <w:spacing w:line="312" w:lineRule="auto"/>
        <w:ind w:firstLine="576"/>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u w:val="single"/>
        </w:rPr>
        <w:t>（投标人名称）</w:t>
      </w:r>
      <w:r>
        <w:rPr>
          <w:rFonts w:hint="eastAsia" w:ascii="宋体" w:hAnsi="宋体" w:eastAsia="宋体" w:cs="宋体"/>
          <w:color w:val="auto"/>
          <w:kern w:val="0"/>
          <w:sz w:val="22"/>
          <w:szCs w:val="22"/>
          <w:highlight w:val="none"/>
          <w:lang w:val="zh-CN"/>
        </w:rPr>
        <w:t>若成为</w:t>
      </w:r>
      <w:r>
        <w:rPr>
          <w:rFonts w:hint="eastAsia" w:ascii="宋体" w:hAnsi="宋体" w:eastAsia="宋体" w:cs="宋体"/>
          <w:color w:val="auto"/>
          <w:sz w:val="22"/>
          <w:szCs w:val="22"/>
          <w:highlight w:val="none"/>
        </w:rPr>
        <w:t>（项目名称）【招标编号：（采购编号）】</w:t>
      </w:r>
      <w:r>
        <w:rPr>
          <w:rFonts w:hint="eastAsia" w:ascii="宋体" w:hAnsi="宋体" w:eastAsia="宋体" w:cs="宋体"/>
          <w:color w:val="auto"/>
          <w:kern w:val="0"/>
          <w:sz w:val="22"/>
          <w:szCs w:val="22"/>
          <w:highlight w:val="none"/>
          <w:lang w:val="zh-CN"/>
        </w:rPr>
        <w:t>的中标供应商，将依法采取分包方式履行合同。</w:t>
      </w:r>
      <w:r>
        <w:rPr>
          <w:rFonts w:hint="eastAsia" w:ascii="宋体" w:hAnsi="宋体" w:eastAsia="宋体" w:cs="宋体"/>
          <w:color w:val="auto"/>
          <w:kern w:val="0"/>
          <w:sz w:val="22"/>
          <w:szCs w:val="22"/>
          <w:highlight w:val="none"/>
          <w:u w:val="single"/>
        </w:rPr>
        <w:t>（投标人名称）</w:t>
      </w:r>
      <w:r>
        <w:rPr>
          <w:rFonts w:hint="eastAsia" w:ascii="宋体" w:hAnsi="宋体" w:eastAsia="宋体" w:cs="宋体"/>
          <w:color w:val="auto"/>
          <w:kern w:val="0"/>
          <w:sz w:val="22"/>
          <w:szCs w:val="22"/>
          <w:highlight w:val="none"/>
        </w:rPr>
        <w:t>与</w:t>
      </w:r>
      <w:r>
        <w:rPr>
          <w:rFonts w:hint="eastAsia" w:ascii="宋体" w:hAnsi="宋体" w:eastAsia="宋体" w:cs="宋体"/>
          <w:color w:val="auto"/>
          <w:kern w:val="0"/>
          <w:sz w:val="22"/>
          <w:szCs w:val="22"/>
          <w:highlight w:val="none"/>
          <w:u w:val="single"/>
        </w:rPr>
        <w:t>（所有分包供应商名称）</w:t>
      </w:r>
      <w:r>
        <w:rPr>
          <w:rFonts w:hint="eastAsia" w:ascii="宋体" w:hAnsi="宋体" w:eastAsia="宋体" w:cs="宋体"/>
          <w:color w:val="auto"/>
          <w:kern w:val="0"/>
          <w:sz w:val="22"/>
          <w:szCs w:val="22"/>
          <w:highlight w:val="none"/>
        </w:rPr>
        <w:t>达成分包意向协议</w:t>
      </w:r>
      <w:r>
        <w:rPr>
          <w:rFonts w:hint="eastAsia" w:ascii="宋体" w:hAnsi="宋体" w:eastAsia="宋体" w:cs="宋体"/>
          <w:color w:val="auto"/>
          <w:kern w:val="0"/>
          <w:sz w:val="22"/>
          <w:szCs w:val="22"/>
          <w:highlight w:val="none"/>
          <w:lang w:val="zh-CN"/>
        </w:rPr>
        <w:t xml:space="preserve">。 </w:t>
      </w:r>
    </w:p>
    <w:p w14:paraId="1800E8A8">
      <w:pPr>
        <w:snapToGrid w:val="0"/>
        <w:spacing w:line="312" w:lineRule="auto"/>
        <w:ind w:firstLine="576"/>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一、分包标的及数量</w:t>
      </w:r>
    </w:p>
    <w:p w14:paraId="6A64562D">
      <w:pPr>
        <w:snapToGrid w:val="0"/>
        <w:spacing w:line="312" w:lineRule="auto"/>
        <w:ind w:firstLine="576"/>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u w:val="single"/>
        </w:rPr>
        <w:t>（投标人名称）</w:t>
      </w:r>
      <w:r>
        <w:rPr>
          <w:rFonts w:hint="eastAsia" w:ascii="宋体" w:hAnsi="宋体" w:eastAsia="宋体" w:cs="宋体"/>
          <w:color w:val="auto"/>
          <w:kern w:val="0"/>
          <w:sz w:val="22"/>
          <w:szCs w:val="22"/>
          <w:highlight w:val="none"/>
          <w:lang w:val="zh-CN"/>
        </w:rPr>
        <w:t>将</w:t>
      </w:r>
      <w:r>
        <w:rPr>
          <w:rFonts w:hint="eastAsia" w:ascii="宋体" w:hAnsi="宋体" w:eastAsia="宋体" w:cs="宋体"/>
          <w:color w:val="auto"/>
          <w:kern w:val="0"/>
          <w:sz w:val="22"/>
          <w:szCs w:val="22"/>
          <w:highlight w:val="none"/>
          <w:u w:val="single"/>
        </w:rPr>
        <w:t xml:space="preserve"> XX工作内容   </w:t>
      </w:r>
      <w:r>
        <w:rPr>
          <w:rFonts w:hint="eastAsia" w:ascii="宋体" w:hAnsi="宋体" w:eastAsia="宋体" w:cs="宋体"/>
          <w:color w:val="auto"/>
          <w:sz w:val="22"/>
          <w:szCs w:val="22"/>
          <w:highlight w:val="none"/>
        </w:rPr>
        <w:t>分包给</w:t>
      </w:r>
      <w:r>
        <w:rPr>
          <w:rFonts w:hint="eastAsia" w:ascii="宋体" w:hAnsi="宋体" w:eastAsia="宋体" w:cs="宋体"/>
          <w:color w:val="auto"/>
          <w:kern w:val="0"/>
          <w:sz w:val="22"/>
          <w:szCs w:val="22"/>
          <w:highlight w:val="none"/>
          <w:u w:val="single"/>
        </w:rPr>
        <w:t>（分包供应商1名称）</w:t>
      </w:r>
      <w:r>
        <w:rPr>
          <w:rFonts w:hint="eastAsia" w:ascii="宋体" w:hAnsi="宋体" w:eastAsia="宋体" w:cs="宋体"/>
          <w:color w:val="auto"/>
          <w:kern w:val="0"/>
          <w:sz w:val="22"/>
          <w:szCs w:val="22"/>
          <w:highlight w:val="none"/>
          <w:lang w:val="zh-CN"/>
        </w:rPr>
        <w:t>，</w:t>
      </w:r>
      <w:r>
        <w:rPr>
          <w:rFonts w:hint="eastAsia" w:ascii="宋体" w:hAnsi="宋体" w:eastAsia="宋体" w:cs="宋体"/>
          <w:color w:val="auto"/>
          <w:kern w:val="0"/>
          <w:sz w:val="22"/>
          <w:szCs w:val="22"/>
          <w:highlight w:val="none"/>
          <w:u w:val="single"/>
        </w:rPr>
        <w:t>（分包供应商2名称），</w:t>
      </w:r>
      <w:r>
        <w:rPr>
          <w:rFonts w:hint="eastAsia" w:ascii="宋体" w:hAnsi="宋体" w:eastAsia="宋体" w:cs="宋体"/>
          <w:color w:val="auto"/>
          <w:kern w:val="0"/>
          <w:sz w:val="22"/>
          <w:szCs w:val="22"/>
          <w:highlight w:val="none"/>
          <w:lang w:val="zh-CN"/>
        </w:rPr>
        <w:t>具备承</w:t>
      </w:r>
      <w:r>
        <w:rPr>
          <w:rFonts w:hint="eastAsia" w:ascii="宋体" w:hAnsi="宋体" w:eastAsia="宋体" w:cs="宋体"/>
          <w:color w:val="auto"/>
          <w:kern w:val="0"/>
          <w:sz w:val="22"/>
          <w:szCs w:val="22"/>
          <w:highlight w:val="none"/>
        </w:rPr>
        <w:t>担</w:t>
      </w:r>
      <w:r>
        <w:rPr>
          <w:rFonts w:hint="eastAsia" w:ascii="宋体" w:hAnsi="宋体" w:eastAsia="宋体" w:cs="宋体"/>
          <w:color w:val="auto"/>
          <w:kern w:val="0"/>
          <w:sz w:val="22"/>
          <w:szCs w:val="22"/>
          <w:highlight w:val="none"/>
          <w:u w:val="single"/>
          <w:lang w:val="zh-CN"/>
        </w:rPr>
        <w:t>XX工作内容</w:t>
      </w:r>
      <w:r>
        <w:rPr>
          <w:rFonts w:hint="eastAsia" w:ascii="宋体" w:hAnsi="宋体" w:eastAsia="宋体" w:cs="宋体"/>
          <w:color w:val="auto"/>
          <w:kern w:val="0"/>
          <w:sz w:val="22"/>
          <w:szCs w:val="22"/>
          <w:highlight w:val="none"/>
          <w:lang w:val="zh-CN"/>
        </w:rPr>
        <w:t>相应资质条件且不得再次分包；</w:t>
      </w:r>
    </w:p>
    <w:p w14:paraId="652D1E9A">
      <w:pPr>
        <w:snapToGrid w:val="0"/>
        <w:spacing w:line="312" w:lineRule="auto"/>
        <w:ind w:firstLine="576"/>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w:t>
      </w:r>
    </w:p>
    <w:p w14:paraId="4D0095EB">
      <w:pPr>
        <w:spacing w:line="312" w:lineRule="auto"/>
        <w:rPr>
          <w:rFonts w:hint="eastAsia" w:ascii="宋体" w:hAnsi="宋体" w:eastAsia="宋体" w:cs="宋体"/>
          <w:color w:val="auto"/>
          <w:sz w:val="22"/>
          <w:szCs w:val="22"/>
          <w:highlight w:val="none"/>
        </w:rPr>
      </w:pPr>
    </w:p>
    <w:p w14:paraId="3E774F0C">
      <w:pPr>
        <w:snapToGrid w:val="0"/>
        <w:spacing w:line="312" w:lineRule="auto"/>
        <w:ind w:firstLine="576"/>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二、分包供应商中小企业合同份额</w:t>
      </w:r>
    </w:p>
    <w:p w14:paraId="5E6723A9">
      <w:pPr>
        <w:snapToGrid w:val="0"/>
        <w:spacing w:line="312" w:lineRule="auto"/>
        <w:ind w:firstLine="576"/>
        <w:rPr>
          <w:rFonts w:hint="eastAsia" w:ascii="宋体" w:hAnsi="宋体" w:eastAsia="宋体" w:cs="宋体"/>
          <w:b/>
          <w:color w:val="auto"/>
          <w:kern w:val="0"/>
          <w:sz w:val="22"/>
          <w:szCs w:val="22"/>
          <w:highlight w:val="none"/>
          <w:lang w:val="zh-CN"/>
        </w:rPr>
      </w:pPr>
      <w:r>
        <w:rPr>
          <w:rFonts w:hint="eastAsia" w:ascii="宋体" w:hAnsi="宋体" w:eastAsia="宋体" w:cs="宋体"/>
          <w:color w:val="auto"/>
          <w:kern w:val="0"/>
          <w:sz w:val="22"/>
          <w:szCs w:val="22"/>
          <w:highlight w:val="none"/>
        </w:rPr>
        <w:t>1、</w:t>
      </w:r>
      <w:r>
        <w:rPr>
          <w:rFonts w:hint="eastAsia" w:ascii="宋体" w:hAnsi="宋体" w:eastAsia="宋体" w:cs="宋体"/>
          <w:color w:val="auto"/>
          <w:kern w:val="0"/>
          <w:sz w:val="22"/>
          <w:szCs w:val="22"/>
          <w:highlight w:val="none"/>
          <w:u w:val="single"/>
        </w:rPr>
        <w:t>（分包供应商X,……）提供的服务全部由小微企业承接，</w:t>
      </w:r>
      <w:r>
        <w:rPr>
          <w:rFonts w:hint="eastAsia" w:ascii="宋体" w:hAnsi="宋体" w:eastAsia="宋体" w:cs="宋体"/>
          <w:color w:val="auto"/>
          <w:kern w:val="0"/>
          <w:sz w:val="22"/>
          <w:szCs w:val="22"/>
          <w:highlight w:val="none"/>
        </w:rPr>
        <w:t>其合同份额占到合同总金额%以上</w:t>
      </w:r>
      <w:r>
        <w:rPr>
          <w:rFonts w:hint="eastAsia" w:ascii="宋体" w:hAnsi="宋体" w:eastAsia="宋体" w:cs="宋体"/>
          <w:color w:val="auto"/>
          <w:sz w:val="22"/>
          <w:szCs w:val="22"/>
          <w:highlight w:val="none"/>
        </w:rPr>
        <w:t>。</w:t>
      </w:r>
      <w:r>
        <w:rPr>
          <w:rFonts w:hint="eastAsia" w:ascii="宋体" w:hAnsi="宋体" w:eastAsia="宋体" w:cs="宋体"/>
          <w:b/>
          <w:color w:val="auto"/>
          <w:kern w:val="0"/>
          <w:sz w:val="22"/>
          <w:szCs w:val="22"/>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（未预留份额专门面向中小企业采购的采购项目，以及预留份额中的非预留部分采购包，允许分包的，分包意向协议约定小微企业的合同份额占到合同总金额30%以上的，对大中型企业的报价给予4%的扣除。供应商</w:t>
      </w:r>
      <w:r>
        <w:rPr>
          <w:rFonts w:hint="eastAsia" w:ascii="宋体" w:hAnsi="宋体" w:eastAsia="宋体" w:cs="宋体"/>
          <w:b/>
          <w:color w:val="auto"/>
          <w:sz w:val="22"/>
          <w:szCs w:val="22"/>
          <w:highlight w:val="none"/>
        </w:rPr>
        <w:t>拟享受以上价格扣除政策的，填写有关内容。</w:t>
      </w:r>
      <w:r>
        <w:rPr>
          <w:rFonts w:hint="eastAsia" w:ascii="宋体" w:hAnsi="宋体" w:eastAsia="宋体" w:cs="宋体"/>
          <w:b/>
          <w:color w:val="auto"/>
          <w:kern w:val="0"/>
          <w:sz w:val="22"/>
          <w:szCs w:val="22"/>
          <w:highlight w:val="none"/>
          <w:lang w:val="zh-CN"/>
        </w:rPr>
        <w:t>）</w:t>
      </w:r>
    </w:p>
    <w:p w14:paraId="35C11CC0">
      <w:pPr>
        <w:spacing w:line="312" w:lineRule="auto"/>
        <w:ind w:firstLine="440" w:firstLineChars="200"/>
        <w:rPr>
          <w:rFonts w:hint="eastAsia" w:ascii="宋体" w:hAnsi="宋体" w:eastAsia="宋体" w:cs="宋体"/>
          <w:b/>
          <w:bCs/>
          <w:color w:val="auto"/>
          <w:kern w:val="0"/>
          <w:sz w:val="22"/>
          <w:szCs w:val="22"/>
          <w:highlight w:val="none"/>
          <w:lang w:val="zh-CN"/>
        </w:rPr>
      </w:pPr>
      <w:r>
        <w:rPr>
          <w:rFonts w:hint="eastAsia" w:ascii="宋体" w:hAnsi="宋体" w:eastAsia="宋体" w:cs="宋体"/>
          <w:color w:val="auto"/>
          <w:sz w:val="22"/>
          <w:szCs w:val="22"/>
          <w:highlight w:val="none"/>
        </w:rPr>
        <w:t>2、中小企业合同金额达到%，小微企业合同金额达到%</w:t>
      </w:r>
      <w:r>
        <w:rPr>
          <w:rFonts w:hint="eastAsia" w:ascii="宋体" w:hAnsi="宋体" w:eastAsia="宋体" w:cs="宋体"/>
          <w:color w:val="auto"/>
          <w:kern w:val="0"/>
          <w:sz w:val="22"/>
          <w:szCs w:val="22"/>
          <w:highlight w:val="none"/>
          <w:lang w:val="zh-CN"/>
        </w:rPr>
        <w:t>。</w:t>
      </w:r>
      <w:r>
        <w:rPr>
          <w:rFonts w:hint="eastAsia" w:ascii="宋体" w:hAnsi="宋体" w:eastAsia="宋体" w:cs="宋体"/>
          <w:b/>
          <w:bCs/>
          <w:color w:val="auto"/>
          <w:kern w:val="0"/>
          <w:sz w:val="22"/>
          <w:szCs w:val="22"/>
          <w:highlight w:val="none"/>
          <w:lang w:val="zh-CN"/>
        </w:rPr>
        <w:t>（</w:t>
      </w:r>
      <w:r>
        <w:rPr>
          <w:rFonts w:hint="eastAsia" w:ascii="宋体" w:hAnsi="宋体" w:eastAsia="宋体" w:cs="宋体"/>
          <w:b/>
          <w:bCs/>
          <w:color w:val="auto"/>
          <w:sz w:val="22"/>
          <w:szCs w:val="22"/>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2"/>
          <w:szCs w:val="22"/>
          <w:highlight w:val="none"/>
          <w:lang w:val="zh-CN"/>
        </w:rPr>
        <w:t>分包意向协议</w:t>
      </w:r>
      <w:r>
        <w:rPr>
          <w:rFonts w:hint="eastAsia" w:ascii="宋体" w:hAnsi="宋体" w:eastAsia="宋体" w:cs="宋体"/>
          <w:b/>
          <w:bCs/>
          <w:color w:val="auto"/>
          <w:sz w:val="22"/>
          <w:szCs w:val="22"/>
          <w:highlight w:val="none"/>
        </w:rPr>
        <w:t>中中小企业、小微企业合同金额应当达到的比例要求填写。</w:t>
      </w:r>
      <w:r>
        <w:rPr>
          <w:rFonts w:hint="eastAsia" w:ascii="宋体" w:hAnsi="宋体" w:eastAsia="宋体" w:cs="宋体"/>
          <w:b/>
          <w:bCs/>
          <w:color w:val="auto"/>
          <w:kern w:val="0"/>
          <w:sz w:val="22"/>
          <w:szCs w:val="22"/>
          <w:highlight w:val="none"/>
          <w:lang w:val="zh-CN"/>
        </w:rPr>
        <w:t>）</w:t>
      </w:r>
    </w:p>
    <w:p w14:paraId="6C1EEF62">
      <w:pPr>
        <w:snapToGrid w:val="0"/>
        <w:spacing w:line="312" w:lineRule="auto"/>
        <w:ind w:firstLine="576"/>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三、分包工作履行期限、地点、方式</w:t>
      </w:r>
    </w:p>
    <w:p w14:paraId="4BA6A9B8">
      <w:pPr>
        <w:snapToGrid w:val="0"/>
        <w:spacing w:line="312" w:lineRule="auto"/>
        <w:ind w:firstLine="576"/>
        <w:rPr>
          <w:rFonts w:hint="eastAsia" w:ascii="宋体" w:hAnsi="宋体" w:eastAsia="宋体" w:cs="宋体"/>
          <w:color w:val="auto"/>
          <w:sz w:val="22"/>
          <w:szCs w:val="22"/>
          <w:highlight w:val="none"/>
          <w:u w:val="single"/>
        </w:rPr>
      </w:pPr>
    </w:p>
    <w:p w14:paraId="7D5A9D6D">
      <w:pPr>
        <w:snapToGrid w:val="0"/>
        <w:spacing w:line="312" w:lineRule="auto"/>
        <w:ind w:firstLine="576"/>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四、质量</w:t>
      </w:r>
    </w:p>
    <w:p w14:paraId="4C800FB3">
      <w:pPr>
        <w:snapToGrid w:val="0"/>
        <w:spacing w:line="312" w:lineRule="auto"/>
        <w:ind w:firstLine="576"/>
        <w:rPr>
          <w:rFonts w:hint="eastAsia" w:ascii="宋体" w:hAnsi="宋体" w:eastAsia="宋体" w:cs="宋体"/>
          <w:color w:val="auto"/>
          <w:kern w:val="0"/>
          <w:sz w:val="22"/>
          <w:szCs w:val="22"/>
          <w:highlight w:val="none"/>
          <w:lang w:val="zh-CN"/>
        </w:rPr>
      </w:pPr>
    </w:p>
    <w:p w14:paraId="0D0437D7">
      <w:pPr>
        <w:snapToGrid w:val="0"/>
        <w:spacing w:line="312" w:lineRule="auto"/>
        <w:ind w:firstLine="576"/>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五、价款或者报酬</w:t>
      </w:r>
    </w:p>
    <w:p w14:paraId="5CC5CFD9">
      <w:pPr>
        <w:snapToGrid w:val="0"/>
        <w:spacing w:line="312" w:lineRule="auto"/>
        <w:ind w:left="573" w:leftChars="273"/>
        <w:rPr>
          <w:rFonts w:hint="eastAsia" w:ascii="宋体" w:hAnsi="宋体" w:eastAsia="宋体" w:cs="宋体"/>
          <w:color w:val="auto"/>
          <w:kern w:val="0"/>
          <w:sz w:val="22"/>
          <w:szCs w:val="22"/>
          <w:highlight w:val="none"/>
          <w:lang w:val="zh-CN"/>
        </w:rPr>
      </w:pPr>
    </w:p>
    <w:p w14:paraId="35DAEA65">
      <w:pPr>
        <w:snapToGrid w:val="0"/>
        <w:spacing w:line="312" w:lineRule="auto"/>
        <w:ind w:left="573" w:leftChars="273"/>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六、违约责任</w:t>
      </w:r>
    </w:p>
    <w:p w14:paraId="1BCF0338">
      <w:pPr>
        <w:snapToGrid w:val="0"/>
        <w:spacing w:line="312" w:lineRule="auto"/>
        <w:ind w:firstLine="576"/>
        <w:rPr>
          <w:rFonts w:hint="eastAsia" w:ascii="宋体" w:hAnsi="宋体" w:eastAsia="宋体" w:cs="宋体"/>
          <w:color w:val="auto"/>
          <w:kern w:val="0"/>
          <w:sz w:val="22"/>
          <w:szCs w:val="22"/>
          <w:highlight w:val="none"/>
          <w:lang w:val="zh-CN"/>
        </w:rPr>
      </w:pPr>
    </w:p>
    <w:p w14:paraId="0889100C">
      <w:pPr>
        <w:snapToGrid w:val="0"/>
        <w:spacing w:line="312" w:lineRule="auto"/>
        <w:ind w:firstLine="576"/>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七、争议解决的办法</w:t>
      </w:r>
    </w:p>
    <w:p w14:paraId="6CF8908E">
      <w:pPr>
        <w:snapToGrid w:val="0"/>
        <w:spacing w:line="312" w:lineRule="auto"/>
        <w:ind w:firstLine="576"/>
        <w:rPr>
          <w:rFonts w:hint="eastAsia" w:ascii="宋体" w:hAnsi="宋体" w:eastAsia="宋体" w:cs="宋体"/>
          <w:color w:val="auto"/>
          <w:kern w:val="0"/>
          <w:sz w:val="22"/>
          <w:szCs w:val="22"/>
          <w:highlight w:val="none"/>
          <w:lang w:val="zh-CN"/>
        </w:rPr>
      </w:pPr>
    </w:p>
    <w:p w14:paraId="64CA97A6">
      <w:pPr>
        <w:snapToGrid w:val="0"/>
        <w:spacing w:line="312" w:lineRule="auto"/>
        <w:ind w:firstLine="576"/>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八、其他</w:t>
      </w:r>
    </w:p>
    <w:p w14:paraId="031F13AB">
      <w:pPr>
        <w:snapToGrid w:val="0"/>
        <w:spacing w:line="312" w:lineRule="auto"/>
        <w:ind w:left="5338" w:leftChars="342" w:hanging="4620" w:hangingChars="2100"/>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 xml:space="preserve">中小企业合同金额达到%，小微企业合同金额达到%。                                           </w:t>
      </w:r>
    </w:p>
    <w:p w14:paraId="3FD06DE1">
      <w:pPr>
        <w:snapToGrid w:val="0"/>
        <w:spacing w:line="312" w:lineRule="auto"/>
        <w:ind w:left="5338" w:leftChars="342" w:hanging="4620" w:hangingChars="2100"/>
        <w:jc w:val="left"/>
        <w:rPr>
          <w:rFonts w:hint="eastAsia" w:ascii="宋体" w:hAnsi="宋体" w:eastAsia="宋体" w:cs="宋体"/>
          <w:color w:val="auto"/>
          <w:kern w:val="0"/>
          <w:sz w:val="22"/>
          <w:szCs w:val="22"/>
          <w:highlight w:val="none"/>
          <w:lang w:val="zh-CN"/>
        </w:rPr>
      </w:pPr>
    </w:p>
    <w:p w14:paraId="50646198">
      <w:pPr>
        <w:snapToGrid w:val="0"/>
        <w:spacing w:line="312" w:lineRule="auto"/>
        <w:ind w:left="5311" w:leftChars="2110" w:hanging="880" w:hangingChars="400"/>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投标人名称（电子签名）：</w:t>
      </w:r>
    </w:p>
    <w:p w14:paraId="11E10959">
      <w:pPr>
        <w:snapToGrid w:val="0"/>
        <w:spacing w:line="312" w:lineRule="auto"/>
        <w:ind w:firstLine="4400" w:firstLineChars="2000"/>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分包供应商名称（电子签名/公章）：</w:t>
      </w:r>
    </w:p>
    <w:p w14:paraId="72F47284">
      <w:pPr>
        <w:snapToGrid w:val="0"/>
        <w:spacing w:line="312" w:lineRule="auto"/>
        <w:ind w:firstLine="5280" w:firstLineChars="24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zh-CN"/>
        </w:rPr>
        <w:t>……</w:t>
      </w:r>
    </w:p>
    <w:p w14:paraId="2AF851BF">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color w:val="auto"/>
          <w:kern w:val="0"/>
          <w:sz w:val="22"/>
          <w:szCs w:val="22"/>
          <w:highlight w:val="none"/>
          <w:lang w:val="zh-CN"/>
        </w:rPr>
        <w:t xml:space="preserve">                                        日期：  年  月   日</w:t>
      </w:r>
    </w:p>
    <w:p w14:paraId="50E0B390">
      <w:pPr>
        <w:autoSpaceDE w:val="0"/>
        <w:autoSpaceDN w:val="0"/>
        <w:jc w:val="center"/>
        <w:rPr>
          <w:rFonts w:hint="eastAsia" w:ascii="宋体" w:hAnsi="宋体" w:eastAsia="宋体" w:cs="宋体"/>
          <w:b/>
          <w:color w:val="auto"/>
          <w:spacing w:val="6"/>
          <w:sz w:val="32"/>
          <w:szCs w:val="32"/>
          <w:highlight w:val="none"/>
        </w:rPr>
      </w:pPr>
    </w:p>
    <w:p w14:paraId="7063C8BC">
      <w:pPr>
        <w:autoSpaceDE w:val="0"/>
        <w:autoSpaceDN w:val="0"/>
        <w:jc w:val="center"/>
        <w:rPr>
          <w:rFonts w:hint="eastAsia" w:ascii="宋体" w:hAnsi="宋体" w:eastAsia="宋体" w:cs="宋体"/>
          <w:b/>
          <w:color w:val="auto"/>
          <w:spacing w:val="6"/>
          <w:sz w:val="32"/>
          <w:szCs w:val="32"/>
          <w:highlight w:val="none"/>
        </w:rPr>
      </w:pPr>
    </w:p>
    <w:p w14:paraId="602E8447">
      <w:pPr>
        <w:widowControl/>
        <w:adjustRightInd/>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39615934">
      <w:pPr>
        <w:spacing w:line="360" w:lineRule="auto"/>
        <w:jc w:val="left"/>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附件7：中小企业声明函</w:t>
      </w:r>
    </w:p>
    <w:p w14:paraId="3CBA116C">
      <w:pPr>
        <w:spacing w:line="360" w:lineRule="auto"/>
        <w:jc w:val="center"/>
        <w:rPr>
          <w:rFonts w:hint="eastAsia" w:ascii="宋体" w:hAnsi="宋体" w:eastAsia="宋体" w:cs="宋体"/>
          <w:color w:val="auto"/>
          <w:sz w:val="24"/>
          <w:highlight w:val="none"/>
          <w:u w:val="single"/>
        </w:rPr>
      </w:pPr>
    </w:p>
    <w:p w14:paraId="5D9B1A40">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中小企业声明函（货物）</w:t>
      </w:r>
    </w:p>
    <w:p w14:paraId="2277500F">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2"/>
          <w:szCs w:val="22"/>
          <w:highlight w:val="none"/>
          <w:u w:val="single"/>
        </w:rPr>
        <w:t xml:space="preserve">（采购人） </w:t>
      </w:r>
      <w:r>
        <w:rPr>
          <w:rFonts w:hint="eastAsia" w:ascii="宋体" w:hAnsi="宋体" w:eastAsia="宋体" w:cs="宋体"/>
          <w:color w:val="auto"/>
          <w:sz w:val="22"/>
          <w:szCs w:val="22"/>
          <w:highlight w:val="none"/>
        </w:rPr>
        <w:t xml:space="preserve">的 </w:t>
      </w:r>
      <w:r>
        <w:rPr>
          <w:rFonts w:hint="eastAsia" w:ascii="宋体" w:hAnsi="宋体" w:eastAsia="宋体" w:cs="宋体"/>
          <w:color w:val="auto"/>
          <w:sz w:val="22"/>
          <w:szCs w:val="22"/>
          <w:highlight w:val="none"/>
          <w:u w:val="single"/>
        </w:rPr>
        <w:t>（项目名称）</w:t>
      </w:r>
      <w:r>
        <w:rPr>
          <w:rFonts w:hint="eastAsia" w:ascii="宋体" w:hAnsi="宋体" w:eastAsia="宋体" w:cs="宋体"/>
          <w:color w:val="auto"/>
          <w:sz w:val="22"/>
          <w:szCs w:val="22"/>
          <w:highlight w:val="none"/>
        </w:rPr>
        <w:t xml:space="preserve"> 采购活动，提供的货物全部由符合政策要求的中小企业制造。相关企业（含联合体中的中小企业、签订分包意向协议的中小企业）的具体情况如下：</w:t>
      </w:r>
    </w:p>
    <w:p w14:paraId="1D7C2B9E">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1. </w:t>
      </w:r>
      <w:r>
        <w:rPr>
          <w:rFonts w:hint="eastAsia" w:ascii="宋体" w:hAnsi="宋体" w:eastAsia="宋体" w:cs="宋体"/>
          <w:color w:val="auto"/>
          <w:sz w:val="22"/>
          <w:szCs w:val="22"/>
          <w:highlight w:val="none"/>
          <w:u w:val="single"/>
        </w:rPr>
        <w:t>（标的名称）</w:t>
      </w:r>
      <w:r>
        <w:rPr>
          <w:rFonts w:hint="eastAsia" w:ascii="宋体" w:hAnsi="宋体" w:eastAsia="宋体" w:cs="宋体"/>
          <w:color w:val="auto"/>
          <w:sz w:val="22"/>
          <w:szCs w:val="22"/>
          <w:highlight w:val="none"/>
        </w:rPr>
        <w:t xml:space="preserve"> ，属于 </w:t>
      </w:r>
      <w:r>
        <w:rPr>
          <w:rFonts w:hint="eastAsia" w:ascii="宋体" w:hAnsi="宋体" w:eastAsia="宋体" w:cs="宋体"/>
          <w:color w:val="auto"/>
          <w:sz w:val="22"/>
          <w:szCs w:val="22"/>
          <w:highlight w:val="none"/>
          <w:u w:val="single"/>
        </w:rPr>
        <w:t>（采购文件中明确的所属行业）</w:t>
      </w:r>
      <w:r>
        <w:rPr>
          <w:rFonts w:hint="eastAsia" w:ascii="宋体" w:hAnsi="宋体" w:eastAsia="宋体" w:cs="宋体"/>
          <w:color w:val="auto"/>
          <w:sz w:val="22"/>
          <w:szCs w:val="22"/>
          <w:highlight w:val="none"/>
        </w:rPr>
        <w:t>行业 ；制造商为</w:t>
      </w:r>
      <w:r>
        <w:rPr>
          <w:rFonts w:hint="eastAsia" w:ascii="宋体" w:hAnsi="宋体" w:eastAsia="宋体" w:cs="宋体"/>
          <w:color w:val="auto"/>
          <w:sz w:val="22"/>
          <w:szCs w:val="22"/>
          <w:highlight w:val="none"/>
          <w:u w:val="single"/>
        </w:rPr>
        <w:t xml:space="preserve"> （企业名称）</w:t>
      </w:r>
      <w:r>
        <w:rPr>
          <w:rFonts w:hint="eastAsia" w:ascii="宋体" w:hAnsi="宋体" w:eastAsia="宋体" w:cs="宋体"/>
          <w:color w:val="auto"/>
          <w:sz w:val="22"/>
          <w:szCs w:val="22"/>
          <w:highlight w:val="none"/>
        </w:rPr>
        <w:t xml:space="preserve"> ，从业人员</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人，营业收入为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万元，资产总额为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万元，属于</w:t>
      </w:r>
      <w:r>
        <w:rPr>
          <w:rFonts w:hint="eastAsia" w:ascii="宋体" w:hAnsi="宋体" w:eastAsia="宋体" w:cs="宋体"/>
          <w:color w:val="auto"/>
          <w:sz w:val="22"/>
          <w:szCs w:val="22"/>
          <w:highlight w:val="none"/>
          <w:u w:val="single"/>
        </w:rPr>
        <w:t xml:space="preserve"> （中型企业、小型企业、微型企业）</w:t>
      </w:r>
      <w:r>
        <w:rPr>
          <w:rFonts w:hint="eastAsia" w:ascii="宋体" w:hAnsi="宋体" w:eastAsia="宋体" w:cs="宋体"/>
          <w:color w:val="auto"/>
          <w:sz w:val="22"/>
          <w:szCs w:val="22"/>
          <w:highlight w:val="none"/>
        </w:rPr>
        <w:t xml:space="preserve"> ；</w:t>
      </w:r>
    </w:p>
    <w:p w14:paraId="5345E425">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2. </w:t>
      </w:r>
      <w:r>
        <w:rPr>
          <w:rFonts w:hint="eastAsia" w:ascii="宋体" w:hAnsi="宋体" w:eastAsia="宋体" w:cs="宋体"/>
          <w:color w:val="auto"/>
          <w:sz w:val="22"/>
          <w:szCs w:val="22"/>
          <w:highlight w:val="none"/>
          <w:u w:val="single"/>
        </w:rPr>
        <w:t>（标的名称）</w:t>
      </w:r>
      <w:r>
        <w:rPr>
          <w:rFonts w:hint="eastAsia" w:ascii="宋体" w:hAnsi="宋体" w:eastAsia="宋体" w:cs="宋体"/>
          <w:color w:val="auto"/>
          <w:sz w:val="22"/>
          <w:szCs w:val="22"/>
          <w:highlight w:val="none"/>
        </w:rPr>
        <w:t xml:space="preserve"> ，属于 </w:t>
      </w:r>
      <w:r>
        <w:rPr>
          <w:rFonts w:hint="eastAsia" w:ascii="宋体" w:hAnsi="宋体" w:eastAsia="宋体" w:cs="宋体"/>
          <w:color w:val="auto"/>
          <w:sz w:val="22"/>
          <w:szCs w:val="22"/>
          <w:highlight w:val="none"/>
          <w:u w:val="single"/>
        </w:rPr>
        <w:t>（采购文件中明确的所属行业）</w:t>
      </w:r>
      <w:r>
        <w:rPr>
          <w:rFonts w:hint="eastAsia" w:ascii="宋体" w:hAnsi="宋体" w:eastAsia="宋体" w:cs="宋体"/>
          <w:color w:val="auto"/>
          <w:sz w:val="22"/>
          <w:szCs w:val="22"/>
          <w:highlight w:val="none"/>
        </w:rPr>
        <w:t>行业 ；制造商为</w:t>
      </w:r>
      <w:r>
        <w:rPr>
          <w:rFonts w:hint="eastAsia" w:ascii="宋体" w:hAnsi="宋体" w:eastAsia="宋体" w:cs="宋体"/>
          <w:color w:val="auto"/>
          <w:sz w:val="22"/>
          <w:szCs w:val="22"/>
          <w:highlight w:val="none"/>
          <w:u w:val="single"/>
        </w:rPr>
        <w:t xml:space="preserve"> （企业名称）</w:t>
      </w:r>
      <w:r>
        <w:rPr>
          <w:rFonts w:hint="eastAsia" w:ascii="宋体" w:hAnsi="宋体" w:eastAsia="宋体" w:cs="宋体"/>
          <w:color w:val="auto"/>
          <w:sz w:val="22"/>
          <w:szCs w:val="22"/>
          <w:highlight w:val="none"/>
        </w:rPr>
        <w:t xml:space="preserve"> ，从业人员</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人，营业收入为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万元，资产总额为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万元，属于</w:t>
      </w:r>
      <w:r>
        <w:rPr>
          <w:rFonts w:hint="eastAsia" w:ascii="宋体" w:hAnsi="宋体" w:eastAsia="宋体" w:cs="宋体"/>
          <w:color w:val="auto"/>
          <w:sz w:val="22"/>
          <w:szCs w:val="22"/>
          <w:highlight w:val="none"/>
          <w:u w:val="single"/>
        </w:rPr>
        <w:t xml:space="preserve"> （中型企业、小型企业、微型企业）</w:t>
      </w:r>
      <w:r>
        <w:rPr>
          <w:rFonts w:hint="eastAsia" w:ascii="宋体" w:hAnsi="宋体" w:eastAsia="宋体" w:cs="宋体"/>
          <w:color w:val="auto"/>
          <w:sz w:val="22"/>
          <w:szCs w:val="22"/>
          <w:highlight w:val="none"/>
        </w:rPr>
        <w:t xml:space="preserve"> ；</w:t>
      </w:r>
    </w:p>
    <w:p w14:paraId="161F3801">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p w14:paraId="76287A31">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以上企业，不属于大企业的分支机构，不存在控股股东为大企业的情形，也不存在与大企业的负责人为同一人的情形。</w:t>
      </w:r>
    </w:p>
    <w:p w14:paraId="0A9489CF">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本企业对上述声明内容的真实性负责。如有虚假，将依法承担相应责任。</w:t>
      </w:r>
    </w:p>
    <w:p w14:paraId="64D909AD">
      <w:pPr>
        <w:snapToGrid w:val="0"/>
        <w:spacing w:line="360" w:lineRule="auto"/>
        <w:ind w:firstLine="4730" w:firstLineChars="215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投标人名称(电子签名)：</w:t>
      </w:r>
    </w:p>
    <w:p w14:paraId="7D4E3EFD">
      <w:pPr>
        <w:snapToGrid w:val="0"/>
        <w:spacing w:line="360" w:lineRule="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 xml:space="preserve">                                           日期</w:t>
      </w:r>
      <w:r>
        <w:rPr>
          <w:rFonts w:hint="eastAsia" w:ascii="宋体" w:hAnsi="宋体" w:eastAsia="宋体" w:cs="宋体"/>
          <w:color w:val="auto"/>
          <w:kern w:val="0"/>
          <w:sz w:val="22"/>
          <w:szCs w:val="22"/>
          <w:highlight w:val="none"/>
        </w:rPr>
        <w:t xml:space="preserve">：  年  </w:t>
      </w:r>
      <w:r>
        <w:rPr>
          <w:rFonts w:hint="eastAsia" w:ascii="宋体" w:hAnsi="宋体" w:eastAsia="宋体" w:cs="宋体"/>
          <w:color w:val="auto"/>
          <w:kern w:val="0"/>
          <w:sz w:val="22"/>
          <w:szCs w:val="22"/>
          <w:highlight w:val="none"/>
          <w:lang w:val="zh-CN"/>
        </w:rPr>
        <w:t>月</w:t>
      </w: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lang w:val="zh-CN"/>
        </w:rPr>
        <w:t>日</w:t>
      </w:r>
    </w:p>
    <w:p w14:paraId="42B3A22B">
      <w:pPr>
        <w:spacing w:line="360" w:lineRule="auto"/>
        <w:ind w:firstLine="325" w:firstLineChars="147"/>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从业人员、营业收入、资产总额填报上一年度数据，无上一年度数据的新成立企业可不填报。</w:t>
      </w:r>
    </w:p>
    <w:p w14:paraId="595FAF43">
      <w:pPr>
        <w:spacing w:line="360" w:lineRule="auto"/>
        <w:ind w:right="420"/>
        <w:rPr>
          <w:rFonts w:hint="eastAsia" w:ascii="宋体" w:hAnsi="宋体" w:eastAsia="宋体" w:cs="宋体"/>
          <w:color w:val="auto"/>
          <w:sz w:val="22"/>
          <w:szCs w:val="22"/>
          <w:highlight w:val="none"/>
        </w:rPr>
      </w:pPr>
    </w:p>
    <w:p w14:paraId="69757615">
      <w:pPr>
        <w:spacing w:line="360" w:lineRule="auto"/>
        <w:ind w:right="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注：</w:t>
      </w:r>
    </w:p>
    <w:p w14:paraId="4D96915F">
      <w:pPr>
        <w:spacing w:line="360" w:lineRule="auto"/>
        <w:ind w:right="420"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B1B5845">
      <w:pPr>
        <w:spacing w:line="360" w:lineRule="auto"/>
        <w:ind w:right="420"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C0EEC6D">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77432BF4">
      <w:pPr>
        <w:jc w:val="left"/>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其他附件</w:t>
      </w:r>
    </w:p>
    <w:p w14:paraId="07ADA3C4">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政府采购活动现场确认声明书</w:t>
      </w:r>
    </w:p>
    <w:p w14:paraId="7886161D">
      <w:pPr>
        <w:pStyle w:val="58"/>
        <w:spacing w:beforeAutospacing="0" w:afterAutospacing="0" w:line="360" w:lineRule="auto"/>
        <w:rPr>
          <w:rFonts w:hint="eastAsia" w:ascii="宋体" w:hAnsi="宋体" w:eastAsia="宋体" w:cs="宋体"/>
          <w:color w:val="auto"/>
          <w:sz w:val="22"/>
          <w:szCs w:val="22"/>
          <w:highlight w:val="none"/>
        </w:rPr>
      </w:pPr>
      <w:r>
        <w:rPr>
          <w:rStyle w:val="967"/>
          <w:rFonts w:hint="eastAsia" w:ascii="宋体" w:hAnsi="宋体" w:eastAsia="宋体" w:cs="宋体"/>
          <w:color w:val="auto"/>
          <w:sz w:val="22"/>
          <w:szCs w:val="22"/>
          <w:highlight w:val="none"/>
        </w:rPr>
        <w:t>浙江德丰项目管理有限公司</w:t>
      </w:r>
      <w:r>
        <w:rPr>
          <w:rFonts w:hint="eastAsia" w:ascii="宋体" w:hAnsi="宋体" w:eastAsia="宋体" w:cs="宋体"/>
          <w:color w:val="auto"/>
          <w:sz w:val="22"/>
          <w:szCs w:val="22"/>
          <w:highlight w:val="none"/>
        </w:rPr>
        <w:t>：</w:t>
      </w:r>
    </w:p>
    <w:p w14:paraId="0D68576E">
      <w:pPr>
        <w:pStyle w:val="58"/>
        <w:spacing w:beforeAutospacing="0" w:afterAutospacing="0" w:line="360" w:lineRule="auto"/>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本人</w:t>
      </w:r>
      <w:r>
        <w:rPr>
          <w:rFonts w:hint="eastAsia" w:ascii="宋体" w:hAnsi="宋体" w:eastAsia="宋体" w:cs="宋体"/>
          <w:color w:val="auto"/>
          <w:sz w:val="22"/>
          <w:szCs w:val="22"/>
          <w:highlight w:val="none"/>
          <w:u w:val="single"/>
        </w:rPr>
        <w:t xml:space="preserve">    （授权代表姓名）</w:t>
      </w:r>
      <w:r>
        <w:rPr>
          <w:rFonts w:hint="eastAsia" w:ascii="宋体" w:hAnsi="宋体" w:eastAsia="宋体" w:cs="宋体"/>
          <w:color w:val="auto"/>
          <w:sz w:val="22"/>
          <w:szCs w:val="22"/>
          <w:highlight w:val="none"/>
        </w:rPr>
        <w:t>，经由</w:t>
      </w:r>
      <w:r>
        <w:rPr>
          <w:rFonts w:hint="eastAsia" w:ascii="宋体" w:hAnsi="宋体" w:eastAsia="宋体" w:cs="宋体"/>
          <w:color w:val="auto"/>
          <w:sz w:val="22"/>
          <w:szCs w:val="22"/>
          <w:highlight w:val="none"/>
          <w:u w:val="single"/>
        </w:rPr>
        <w:t xml:space="preserve">    （单位）    （法定代表人姓名）</w:t>
      </w:r>
      <w:r>
        <w:rPr>
          <w:rFonts w:hint="eastAsia" w:ascii="宋体" w:hAnsi="宋体" w:eastAsia="宋体" w:cs="宋体"/>
          <w:color w:val="auto"/>
          <w:sz w:val="22"/>
          <w:szCs w:val="22"/>
          <w:highlight w:val="none"/>
        </w:rPr>
        <w:t>合法授权参加</w:t>
      </w:r>
      <w:r>
        <w:rPr>
          <w:rFonts w:hint="eastAsia" w:ascii="宋体" w:hAnsi="宋体" w:eastAsia="宋体" w:cs="宋体"/>
          <w:color w:val="auto"/>
          <w:sz w:val="22"/>
          <w:szCs w:val="22"/>
          <w:highlight w:val="none"/>
          <w:u w:val="single"/>
        </w:rPr>
        <w:t>（项目名称）            项目【招标编号：              】</w:t>
      </w:r>
      <w:r>
        <w:rPr>
          <w:rFonts w:hint="eastAsia" w:ascii="宋体" w:hAnsi="宋体" w:eastAsia="宋体" w:cs="宋体"/>
          <w:color w:val="auto"/>
          <w:sz w:val="22"/>
          <w:szCs w:val="22"/>
          <w:highlight w:val="none"/>
        </w:rPr>
        <w:t>政府采购活动．经与本单位法人代表（负责人）联系确认，现就有关公平竞争事项郑重声明如下：</w:t>
      </w:r>
    </w:p>
    <w:p w14:paraId="13307DB6">
      <w:pPr>
        <w:pStyle w:val="58"/>
        <w:spacing w:beforeAutospacing="0" w:afterAutospacing="0" w:line="360"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一、本单位与采购人之间</w:t>
      </w:r>
      <w:r>
        <w:rPr>
          <w:rFonts w:hint="eastAsia" w:ascii="宋体" w:hAnsi="宋体" w:eastAsia="宋体" w:cs="宋体"/>
          <w:color w:val="auto"/>
          <w:sz w:val="22"/>
          <w:szCs w:val="22"/>
          <w:highlight w:val="none"/>
          <w:u w:val="single"/>
        </w:rPr>
        <w:t xml:space="preserve"> 口不存在利害关系 口存在下列利害关系 </w:t>
      </w:r>
      <w:r>
        <w:rPr>
          <w:rFonts w:hint="eastAsia" w:ascii="宋体" w:hAnsi="宋体" w:eastAsia="宋体" w:cs="宋体"/>
          <w:color w:val="auto"/>
          <w:sz w:val="22"/>
          <w:szCs w:val="22"/>
          <w:highlight w:val="none"/>
        </w:rPr>
        <w:t>：</w:t>
      </w:r>
    </w:p>
    <w:p w14:paraId="473D7E2C">
      <w:pPr>
        <w:pStyle w:val="58"/>
        <w:spacing w:beforeAutospacing="0" w:afterAutospacing="0" w:line="360" w:lineRule="auto"/>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A．投资关系      B．行政隶属关系      C．业务指导关系</w:t>
      </w:r>
    </w:p>
    <w:p w14:paraId="795A7DA7">
      <w:pPr>
        <w:pStyle w:val="58"/>
        <w:spacing w:beforeAutospacing="0" w:afterAutospacing="0" w:line="360" w:lineRule="auto"/>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D．其他可能影响采购公正的利害关系（如有，请如实说明）。</w:t>
      </w:r>
    </w:p>
    <w:p w14:paraId="6A9D193A">
      <w:pPr>
        <w:pStyle w:val="58"/>
        <w:spacing w:beforeAutospacing="0" w:afterAutospacing="0" w:line="360"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二、现已清楚知道参加本项目采购活动的其他所有供应商名称，本单位</w:t>
      </w:r>
      <w:r>
        <w:rPr>
          <w:rFonts w:hint="eastAsia" w:ascii="宋体" w:hAnsi="宋体" w:eastAsia="宋体" w:cs="宋体"/>
          <w:color w:val="auto"/>
          <w:sz w:val="22"/>
          <w:szCs w:val="22"/>
          <w:highlight w:val="none"/>
          <w:u w:val="single"/>
        </w:rPr>
        <w:t xml:space="preserve"> 口与其他所有供应商之间均不存在利害关系 口与（供应商名称）之间存在下列利害关系 </w:t>
      </w:r>
      <w:r>
        <w:rPr>
          <w:rFonts w:hint="eastAsia" w:ascii="宋体" w:hAnsi="宋体" w:eastAsia="宋体" w:cs="宋体"/>
          <w:color w:val="auto"/>
          <w:sz w:val="22"/>
          <w:szCs w:val="22"/>
          <w:highlight w:val="none"/>
        </w:rPr>
        <w:t>：</w:t>
      </w:r>
    </w:p>
    <w:p w14:paraId="72CF06B4">
      <w:pPr>
        <w:pStyle w:val="58"/>
        <w:spacing w:beforeAutospacing="0" w:afterAutospacing="0" w:line="360" w:lineRule="auto"/>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A．法定代表人或负责人或实际控制人是同一人</w:t>
      </w:r>
    </w:p>
    <w:p w14:paraId="13AFF026">
      <w:pPr>
        <w:pStyle w:val="58"/>
        <w:spacing w:beforeAutospacing="0" w:afterAutospacing="0" w:line="360" w:lineRule="auto"/>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B．法定代表人或负责人或实际控制人是夫妻关系</w:t>
      </w:r>
    </w:p>
    <w:p w14:paraId="20525399">
      <w:pPr>
        <w:pStyle w:val="58"/>
        <w:spacing w:beforeAutospacing="0" w:afterAutospacing="0" w:line="360" w:lineRule="auto"/>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C．法定代表人或负责人或实际控制人是直系血亲关系</w:t>
      </w:r>
    </w:p>
    <w:p w14:paraId="5C5DF718">
      <w:pPr>
        <w:pStyle w:val="58"/>
        <w:spacing w:beforeAutospacing="0" w:afterAutospacing="0" w:line="360" w:lineRule="auto"/>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D．法定代表人或负责人或实际控制人存在三代以内旁系血亲关系</w:t>
      </w:r>
    </w:p>
    <w:p w14:paraId="1C862E6E">
      <w:pPr>
        <w:pStyle w:val="58"/>
        <w:spacing w:beforeAutospacing="0" w:afterAutospacing="0" w:line="360" w:lineRule="auto"/>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E．法定代表人或负责人或实际控制人存在近姻亲关系</w:t>
      </w:r>
    </w:p>
    <w:p w14:paraId="1F5216FD">
      <w:pPr>
        <w:pStyle w:val="58"/>
        <w:spacing w:beforeAutospacing="0" w:afterAutospacing="0" w:line="360" w:lineRule="auto"/>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F．法定代表人或负责人或实际控制人存在股份控制或实际控制关系</w:t>
      </w:r>
    </w:p>
    <w:p w14:paraId="73FE39B5">
      <w:pPr>
        <w:pStyle w:val="58"/>
        <w:spacing w:beforeAutospacing="0" w:afterAutospacing="0" w:line="360" w:lineRule="auto"/>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G．存在共同直接或间接投资设立子公司、联营企业和合营企业情况</w:t>
      </w:r>
    </w:p>
    <w:p w14:paraId="1212E449">
      <w:pPr>
        <w:pStyle w:val="58"/>
        <w:spacing w:beforeAutospacing="0" w:afterAutospacing="0" w:line="360" w:lineRule="auto"/>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H．存在分级代理或代销关系、同一生产制造商关系、管理关系、重要业务（占主营业务收入 50 ％以上）或重要财务往来关系（如融资）等其他实质性控制关系</w:t>
      </w:r>
    </w:p>
    <w:p w14:paraId="05837EE9">
      <w:pPr>
        <w:pStyle w:val="58"/>
        <w:spacing w:beforeAutospacing="0" w:afterAutospacing="0" w:line="360" w:lineRule="auto"/>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I．其他利害关系情况：</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14:paraId="33B69A44">
      <w:pPr>
        <w:pStyle w:val="58"/>
        <w:spacing w:beforeAutospacing="0" w:afterAutospacing="0" w:line="360"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三、现已清楚知道并严格遵守政府采购法律法规和现场纪律。</w:t>
      </w:r>
    </w:p>
    <w:p w14:paraId="0F55C09A">
      <w:pPr>
        <w:pStyle w:val="58"/>
        <w:spacing w:beforeAutospacing="0" w:afterAutospacing="0" w:line="360"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四、我发现供应商</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之间存在或可能存在上述第二条第</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项利害关系。</w:t>
      </w:r>
    </w:p>
    <w:p w14:paraId="54D0C54E">
      <w:pPr>
        <w:spacing w:line="360" w:lineRule="auto"/>
        <w:ind w:firstLine="4400" w:firstLineChars="2000"/>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rPr>
        <w:t>法定代表人或授权代表（签字或盖章）</w:t>
      </w:r>
      <w:r>
        <w:rPr>
          <w:rFonts w:hint="eastAsia" w:ascii="宋体" w:hAnsi="宋体" w:eastAsia="宋体" w:cs="宋体"/>
          <w:color w:val="auto"/>
          <w:kern w:val="0"/>
          <w:sz w:val="22"/>
          <w:szCs w:val="22"/>
          <w:highlight w:val="none"/>
          <w:lang w:val="zh-CN"/>
        </w:rPr>
        <w:t>：</w:t>
      </w:r>
    </w:p>
    <w:p w14:paraId="35828F84">
      <w:pPr>
        <w:spacing w:line="360" w:lineRule="auto"/>
        <w:ind w:firstLine="4400" w:firstLineChars="2000"/>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日期：  年  月  日</w:t>
      </w:r>
    </w:p>
    <w:p w14:paraId="61B111F2">
      <w:pPr>
        <w:pStyle w:val="82"/>
        <w:spacing w:line="360" w:lineRule="auto"/>
        <w:rPr>
          <w:rFonts w:hint="eastAsia" w:ascii="宋体" w:hAnsi="宋体" w:eastAsia="宋体" w:cs="宋体"/>
          <w:color w:val="auto"/>
          <w:sz w:val="22"/>
          <w:szCs w:val="22"/>
          <w:highlight w:val="none"/>
        </w:rPr>
      </w:pPr>
    </w:p>
    <w:p w14:paraId="39450B70">
      <w:pPr>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（备注：本页内容非投标文件组成部分，投标人在解密通知发出后1小时内，签署本《政府采购活动现场确认声明书》并扫描发送至邮箱</w:t>
      </w:r>
      <w:r>
        <w:rPr>
          <w:rFonts w:hint="eastAsia" w:ascii="宋体" w:hAnsi="宋体" w:eastAsia="宋体" w:cs="宋体"/>
          <w:b/>
          <w:color w:val="auto"/>
          <w:sz w:val="22"/>
          <w:szCs w:val="22"/>
          <w:highlight w:val="none"/>
          <w:u w:val="single"/>
        </w:rPr>
        <w:t>513392567@qq.com</w:t>
      </w:r>
      <w:r>
        <w:rPr>
          <w:rFonts w:hint="eastAsia" w:ascii="宋体" w:hAnsi="宋体" w:eastAsia="宋体" w:cs="宋体"/>
          <w:b/>
          <w:color w:val="auto"/>
          <w:sz w:val="22"/>
          <w:szCs w:val="22"/>
          <w:highlight w:val="none"/>
        </w:rPr>
        <w:t>）</w:t>
      </w:r>
    </w:p>
    <w:sectPr>
      <w:headerReference r:id="rId19" w:type="first"/>
      <w:footerReference r:id="rId21" w:type="first"/>
      <w:headerReference r:id="rId18" w:type="default"/>
      <w:footerReference r:id="rId20" w:type="default"/>
      <w:pgSz w:w="11906" w:h="16838"/>
      <w:pgMar w:top="1134" w:right="1134" w:bottom="1134" w:left="1134"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Futura Bk">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 w:name="MS Sans Serif">
    <w:altName w:val="Segoe Print"/>
    <w:panose1 w:val="00000000000000000000"/>
    <w:charset w:val="00"/>
    <w:family w:val="auto"/>
    <w:pitch w:val="default"/>
    <w:sig w:usb0="00000000" w:usb1="00000000" w:usb2="00000000" w:usb3="00000000" w:csb0="00000000" w:csb1="00000000"/>
  </w:font>
  <w:font w:name="Lucida Sans">
    <w:panose1 w:val="020B0602030504020204"/>
    <w:charset w:val="00"/>
    <w:family w:val="auto"/>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auto"/>
    <w:pitch w:val="default"/>
    <w:sig w:usb0="A00006FF" w:usb1="4000205B" w:usb2="00000010" w:usb3="00000000" w:csb0="2000019F" w:csb1="00000000"/>
  </w:font>
  <w:font w:name="ˎ̥">
    <w:altName w:val="Segoe Print"/>
    <w:panose1 w:val="00000000000000000000"/>
    <w:charset w:val="00"/>
    <w:family w:val="auto"/>
    <w:pitch w:val="default"/>
    <w:sig w:usb0="00000000" w:usb1="00000000" w:usb2="00000000" w:usb3="00000000" w:csb0="00000000"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Segoe Print"/>
    <w:panose1 w:val="00000000000000000000"/>
    <w:charset w:val="00"/>
    <w:family w:val="auto"/>
    <w:pitch w:val="default"/>
    <w:sig w:usb0="00000000" w:usb1="00000000" w:usb2="00000000" w:usb3="00000000" w:csb0="00000000" w:csb1="00000000"/>
  </w:font>
  <w:font w:name="Arial (W1)">
    <w:altName w:val="Arial"/>
    <w:panose1 w:val="00000000000000000000"/>
    <w:charset w:val="00"/>
    <w:family w:val="auto"/>
    <w:pitch w:val="default"/>
    <w:sig w:usb0="00000000" w:usb1="00000000" w:usb2="00000000" w:usb3="00000000" w:csb0="00000000" w:csb1="00000000"/>
  </w:font>
  <w:font w:name="Arial Unicode MS">
    <w:altName w:val="Arial"/>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Cumberland">
    <w:altName w:val="Segoe Print"/>
    <w:panose1 w:val="00000000000000000000"/>
    <w:charset w:val="00"/>
    <w:family w:val="auto"/>
    <w:pitch w:val="default"/>
    <w:sig w:usb0="00000000" w:usb1="00000000" w:usb2="00000000" w:usb3="00000000" w:csb0="00000000" w:csb1="00000000"/>
  </w:font>
  <w:font w:name="方正宋体">
    <w:altName w:val="宋体"/>
    <w:panose1 w:val="00000000000000000000"/>
    <w:charset w:val="00"/>
    <w:family w:val="auto"/>
    <w:pitch w:val="default"/>
    <w:sig w:usb0="00000000" w:usb1="00000000" w:usb2="00000000" w:usb3="00000000" w:csb0="00000000" w:csb1="00000000"/>
  </w:font>
  <w:font w:name="Futura Hv">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Latha">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楷体">
    <w:altName w:val="楷体_GB2312"/>
    <w:panose1 w:val="02010609060101010101"/>
    <w:charset w:val="86"/>
    <w:family w:val="auto"/>
    <w:pitch w:val="default"/>
    <w:sig w:usb0="00000000" w:usb1="00000000"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00" w:csb1="00000000"/>
  </w:font>
  <w:font w:name=".PingFang SC">
    <w:altName w:val="Segoe Print"/>
    <w:panose1 w:val="00000000000000000000"/>
    <w:charset w:val="00"/>
    <w:family w:val="auto"/>
    <w:pitch w:val="default"/>
    <w:sig w:usb0="00000000" w:usb1="00000000" w:usb2="00000000" w:usb3="00000000" w:csb0="00000000" w:csb1="00000000"/>
  </w:font>
  <w:font w:name="PMingLiU">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5C0B5">
    <w:pPr>
      <w:pStyle w:val="41"/>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40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9674AB7">
                          <w:pPr>
                            <w:pStyle w:val="41"/>
                          </w:pPr>
                          <w:r>
                            <w:fldChar w:fldCharType="begin"/>
                          </w:r>
                          <w:r>
                            <w:instrText xml:space="preserve"> PAGE  \* MERGEFORMAT </w:instrText>
                          </w:r>
                          <w:r>
                            <w:fldChar w:fldCharType="separate"/>
                          </w:r>
                          <w:r>
                            <w:t>31</w:t>
                          </w:r>
                          <w:r>
                            <w:fldChar w:fldCharType="end"/>
                          </w:r>
                        </w:p>
                      </w:txbxContent>
                    </wps:txbx>
                    <wps:bodyPr wrap="none" lIns="0" tIns="0" rIns="0" bIns="0" upright="1">
                      <a:spAutoFit/>
                    </wps:bodyPr>
                  </wps:wsp>
                </a:graphicData>
              </a:graphic>
            </wp:anchor>
          </w:drawing>
        </mc:Choice>
        <mc:Fallback>
          <w:pict>
            <v:shape id="4097"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zSVju0AAAAAUBAAAPAAAAAAAAAAEAIAAAACIAAABkcnMvZG93bnJldi54bWxQSwECFAAU&#10;AAAACACHTuJAozv9rsABAACcAwAADgAAAAAAAAABACAAAAAfAQAAZHJzL2Uyb0RvYy54bWxQSwUG&#10;AAAAAAYABgBZAQAAUQUAAAAA&#10;">
              <v:fill on="f" focussize="0,0"/>
              <v:stroke on="f" weight="0.5pt"/>
              <v:imagedata o:title=""/>
              <o:lock v:ext="edit" aspectratio="f"/>
              <v:textbox inset="0mm,0mm,0mm,0mm" style="mso-fit-shape-to-text:t;">
                <w:txbxContent>
                  <w:p w14:paraId="49674AB7">
                    <w:pPr>
                      <w:pStyle w:val="41"/>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EB320">
    <w:pPr>
      <w:pStyle w:val="41"/>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4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7C6E9B7">
                          <w:pPr>
                            <w:pStyle w:val="41"/>
                          </w:pPr>
                          <w:r>
                            <w:fldChar w:fldCharType="begin"/>
                          </w:r>
                          <w:r>
                            <w:instrText xml:space="preserve"> PAGE  \* MERGEFORMAT </w:instrText>
                          </w:r>
                          <w:r>
                            <w:fldChar w:fldCharType="separate"/>
                          </w:r>
                          <w:r>
                            <w:t>74</w:t>
                          </w:r>
                          <w:r>
                            <w:fldChar w:fldCharType="end"/>
                          </w:r>
                        </w:p>
                      </w:txbxContent>
                    </wps:txbx>
                    <wps:bodyPr wrap="none" lIns="0" tIns="0" rIns="0" bIns="0" upright="1">
                      <a:spAutoFit/>
                    </wps:bodyPr>
                  </wps:wsp>
                </a:graphicData>
              </a:graphic>
            </wp:anchor>
          </w:drawing>
        </mc:Choice>
        <mc:Fallback>
          <w:pict>
            <v:shape id="410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NJWO7QAAAABQEAAA8AAAAAAAAAAQAgAAAAIgAAAGRycy9kb3ducmV2LnhtbFBLAQIUABQA&#10;AAAIAIdO4kBMCs88vwEAAJwDAAAOAAAAAAAAAAEAIAAAAB8BAABkcnMvZTJvRG9jLnhtbFBLBQYA&#10;AAAABgAGAFkBAABQBQAAAAA=&#10;">
              <v:fill on="f" focussize="0,0"/>
              <v:stroke on="f" weight="0.5pt"/>
              <v:imagedata o:title=""/>
              <o:lock v:ext="edit" aspectratio="f"/>
              <v:textbox inset="0mm,0mm,0mm,0mm" style="mso-fit-shape-to-text:t;">
                <w:txbxContent>
                  <w:p w14:paraId="67C6E9B7">
                    <w:pPr>
                      <w:pStyle w:val="41"/>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757CF">
    <w:pPr>
      <w:pStyle w:val="41"/>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4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D75D0FB">
                          <w:pPr>
                            <w:pStyle w:val="41"/>
                          </w:pPr>
                          <w:r>
                            <w:fldChar w:fldCharType="begin"/>
                          </w:r>
                          <w:r>
                            <w:instrText xml:space="preserve"> PAGE  \* MERGEFORMAT </w:instrText>
                          </w:r>
                          <w:r>
                            <w:fldChar w:fldCharType="separate"/>
                          </w:r>
                          <w:r>
                            <w:t>62</w:t>
                          </w:r>
                          <w:r>
                            <w:fldChar w:fldCharType="end"/>
                          </w:r>
                        </w:p>
                      </w:txbxContent>
                    </wps:txbx>
                    <wps:bodyPr wrap="none" lIns="0" tIns="0" rIns="0" bIns="0" upright="1">
                      <a:spAutoFit/>
                    </wps:bodyPr>
                  </wps:wsp>
                </a:graphicData>
              </a:graphic>
            </wp:anchor>
          </w:drawing>
        </mc:Choice>
        <mc:Fallback>
          <w:pict>
            <v:shape id="4104"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zSVju0AAAAAUBAAAPAAAAAAAAAAEAIAAAACIAAABkcnMvZG93bnJldi54bWxQSwECFAAU&#10;AAAACACHTuJA4YvTesABAACbAwAADgAAAAAAAAABACAAAAAfAQAAZHJzL2Uyb0RvYy54bWxQSwUG&#10;AAAAAAYABgBZAQAAUQUAAAAA&#10;">
              <v:fill on="f" focussize="0,0"/>
              <v:stroke on="f" weight="0.5pt"/>
              <v:imagedata o:title=""/>
              <o:lock v:ext="edit" aspectratio="f"/>
              <v:textbox inset="0mm,0mm,0mm,0mm" style="mso-fit-shape-to-text:t;">
                <w:txbxContent>
                  <w:p w14:paraId="5D75D0FB">
                    <w:pPr>
                      <w:pStyle w:val="41"/>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20C8F">
    <w:pPr>
      <w:pStyle w:val="4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40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0F77BD3">
                          <w:pPr>
                            <w:pStyle w:val="41"/>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409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zSVju0AAAAAUBAAAPAAAAAAAAAAEAIAAAACIAAABkcnMvZG93bnJldi54bWxQSwECFAAU&#10;AAAACACHTuJAdXhvC8ABAACbAwAADgAAAAAAAAABACAAAAAfAQAAZHJzL2Uyb0RvYy54bWxQSwUG&#10;AAAAAAYABgBZAQAAUQUAAAAA&#10;">
              <v:fill on="f" focussize="0,0"/>
              <v:stroke on="f" weight="0.5pt"/>
              <v:imagedata o:title=""/>
              <o:lock v:ext="edit" aspectratio="f"/>
              <v:textbox inset="0mm,0mm,0mm,0mm" style="mso-fit-shape-to-text:t;">
                <w:txbxContent>
                  <w:p w14:paraId="60F77BD3">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55C54">
    <w:pPr>
      <w:pStyle w:val="41"/>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A4AF61">
                          <w:pPr>
                            <w:pStyle w:val="41"/>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G99MEBAACP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k5FrQLg9Jixc+smoI9RUDOdUGE07lRfh8b1kPfxH2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5EG99MEBAACPAwAADgAAAAAAAAABACAAAAAeAQAAZHJzL2Uyb0RvYy54bWxQSwUG&#10;AAAAAAYABgBZAQAAUQUAAAAA&#10;">
              <v:fill on="f" focussize="0,0"/>
              <v:stroke on="f"/>
              <v:imagedata o:title=""/>
              <o:lock v:ext="edit" aspectratio="f"/>
              <v:textbox inset="0mm,0mm,0mm,0mm" style="mso-fit-shape-to-text:t;">
                <w:txbxContent>
                  <w:p w14:paraId="3DA4AF61">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CE371">
    <w:pPr>
      <w:pStyle w:val="41"/>
      <w:jc w:val="center"/>
      <w:rPr>
        <w:rFonts w:ascii="宋体" w:eastAsia="黑体"/>
      </w:rPr>
    </w:pPr>
    <w:r>
      <w:rPr>
        <w:rFonts w:ascii="宋体"/>
      </w:rPr>
      <w:fldChar w:fldCharType="begin"/>
    </w:r>
    <w:r>
      <w:rPr>
        <w:rStyle w:val="73"/>
      </w:rPr>
      <w:instrText xml:space="preserve"> PAGE </w:instrText>
    </w:r>
    <w:r>
      <w:rPr>
        <w:rFonts w:ascii="宋体"/>
      </w:rPr>
      <w:fldChar w:fldCharType="separate"/>
    </w:r>
    <w:r>
      <w:rPr>
        <w:rStyle w:val="73"/>
      </w:rPr>
      <w:t>55</w:t>
    </w:r>
    <w:r>
      <w:rPr>
        <w:rFonts w:ascii="宋体"/>
      </w:rPr>
      <w:fldChar w:fldCharType="end"/>
    </w:r>
    <w:r>
      <w:rPr>
        <w:rStyle w:val="73"/>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1314A">
    <w:pPr>
      <w:pStyle w:val="4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4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69750A3">
                          <w:pPr>
                            <w:pStyle w:val="41"/>
                          </w:pPr>
                          <w:r>
                            <w:fldChar w:fldCharType="begin"/>
                          </w:r>
                          <w:r>
                            <w:instrText xml:space="preserve"> PAGE  \* MERGEFORMAT </w:instrText>
                          </w:r>
                          <w:r>
                            <w:fldChar w:fldCharType="separate"/>
                          </w:r>
                          <w:r>
                            <w:t>21</w:t>
                          </w:r>
                          <w:r>
                            <w:fldChar w:fldCharType="end"/>
                          </w:r>
                        </w:p>
                      </w:txbxContent>
                    </wps:txbx>
                    <wps:bodyPr wrap="none" lIns="0" tIns="0" rIns="0" bIns="0" upright="1">
                      <a:spAutoFit/>
                    </wps:bodyPr>
                  </wps:wsp>
                </a:graphicData>
              </a:graphic>
            </wp:anchor>
          </w:drawing>
        </mc:Choice>
        <mc:Fallback>
          <w:pict>
            <v:shape id="410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zSVju0AAAAAUBAAAPAAAAAAAAAAEAIAAAACIAAABkcnMvZG93bnJldi54bWxQSwECFAAUAAAA&#10;CACHTuJAAjuKyb0BAACbAwAADgAAAAAAAAABACAAAAAfAQAAZHJzL2Uyb0RvYy54bWxQSwUGAAAA&#10;AAYABgBZAQAATgUAAAAA&#10;">
              <v:fill on="f" focussize="0,0"/>
              <v:stroke on="f" weight="0.5pt"/>
              <v:imagedata o:title=""/>
              <o:lock v:ext="edit" aspectratio="f"/>
              <v:textbox inset="0mm,0mm,0mm,0mm" style="mso-fit-shape-to-text:t;">
                <w:txbxContent>
                  <w:p w14:paraId="169750A3">
                    <w:pPr>
                      <w:pStyle w:val="41"/>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085B2">
    <w:pPr>
      <w:pStyle w:val="41"/>
      <w:jc w:val="cente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4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E250DA3">
                          <w:pPr>
                            <w:pStyle w:val="41"/>
                          </w:pPr>
                          <w:r>
                            <w:fldChar w:fldCharType="begin"/>
                          </w:r>
                          <w:r>
                            <w:instrText xml:space="preserve"> PAGE  \* MERGEFORMAT </w:instrText>
                          </w:r>
                          <w:r>
                            <w:fldChar w:fldCharType="separate"/>
                          </w:r>
                          <w:r>
                            <w:t>61</w:t>
                          </w:r>
                          <w:r>
                            <w:fldChar w:fldCharType="end"/>
                          </w:r>
                        </w:p>
                      </w:txbxContent>
                    </wps:txbx>
                    <wps:bodyPr wrap="none" lIns="0" tIns="0" rIns="0" bIns="0" upright="1">
                      <a:spAutoFit/>
                    </wps:bodyPr>
                  </wps:wsp>
                </a:graphicData>
              </a:graphic>
            </wp:anchor>
          </w:drawing>
        </mc:Choice>
        <mc:Fallback>
          <w:pict>
            <v:shape id="4101"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NJWO7QAAAABQEAAA8AAAAAAAAAAQAgAAAAIgAAAGRycy9kb3ducmV2LnhtbFBLAQIUABQA&#10;AAAIAIdO4kAv/lBAvwEAAJsDAAAOAAAAAAAAAAEAIAAAAB8BAABkcnMvZTJvRG9jLnhtbFBLBQYA&#10;AAAABgAGAFkBAABQBQAAAAA=&#10;">
              <v:fill on="f" focussize="0,0"/>
              <v:stroke on="f" weight="0.5pt"/>
              <v:imagedata o:title=""/>
              <o:lock v:ext="edit" aspectratio="f"/>
              <v:textbox inset="0mm,0mm,0mm,0mm" style="mso-fit-shape-to-text:t;">
                <w:txbxContent>
                  <w:p w14:paraId="3E250DA3">
                    <w:pPr>
                      <w:pStyle w:val="41"/>
                    </w:pPr>
                    <w:r>
                      <w:fldChar w:fldCharType="begin"/>
                    </w:r>
                    <w:r>
                      <w:instrText xml:space="preserve"> PAGE  \* MERGEFORMAT </w:instrText>
                    </w:r>
                    <w:r>
                      <w:fldChar w:fldCharType="separate"/>
                    </w:r>
                    <w:r>
                      <w:t>61</w:t>
                    </w:r>
                    <w:r>
                      <w:fldChar w:fldCharType="end"/>
                    </w:r>
                  </w:p>
                </w:txbxContent>
              </v:textbox>
            </v:shape>
          </w:pict>
        </mc:Fallback>
      </mc:AlternateContent>
    </w:r>
  </w:p>
  <w:p w14:paraId="52EF98A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41E30">
    <w:pPr>
      <w:pStyle w:val="41"/>
      <w:jc w:val="cente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4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A6CA247">
                          <w:pPr>
                            <w:pStyle w:val="41"/>
                          </w:pPr>
                          <w:r>
                            <w:fldChar w:fldCharType="begin"/>
                          </w:r>
                          <w:r>
                            <w:instrText xml:space="preserve"> PAGE  \* MERGEFORMAT </w:instrText>
                          </w:r>
                          <w:r>
                            <w:fldChar w:fldCharType="separate"/>
                          </w:r>
                          <w:r>
                            <w:t>60</w:t>
                          </w:r>
                          <w:r>
                            <w:fldChar w:fldCharType="end"/>
                          </w:r>
                        </w:p>
                      </w:txbxContent>
                    </wps:txbx>
                    <wps:bodyPr wrap="none" lIns="0" tIns="0" rIns="0" bIns="0" upright="1">
                      <a:spAutoFit/>
                    </wps:bodyPr>
                  </wps:wsp>
                </a:graphicData>
              </a:graphic>
            </wp:anchor>
          </w:drawing>
        </mc:Choice>
        <mc:Fallback>
          <w:pict>
            <v:shape id="4102"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NJWO7QAAAABQEAAA8AAAAAAAAAAQAgAAAAIgAAAGRycy9kb3ducmV2LnhtbFBLAQIUABQA&#10;AAAIAIdO4kBzOo6uvwEAAJsDAAAOAAAAAAAAAAEAIAAAAB8BAABkcnMvZTJvRG9jLnhtbFBLBQYA&#10;AAAABgAGAFkBAABQBQAAAAA=&#10;">
              <v:fill on="f" focussize="0,0"/>
              <v:stroke on="f" weight="0.5pt"/>
              <v:imagedata o:title=""/>
              <o:lock v:ext="edit" aspectratio="f"/>
              <v:textbox inset="0mm,0mm,0mm,0mm" style="mso-fit-shape-to-text:t;">
                <w:txbxContent>
                  <w:p w14:paraId="4A6CA247">
                    <w:pPr>
                      <w:pStyle w:val="41"/>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82C34">
    <w:pPr>
      <w:pStyle w:val="41"/>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4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38D54F6">
                          <w:pPr>
                            <w:pStyle w:val="41"/>
                          </w:pPr>
                          <w:r>
                            <w:fldChar w:fldCharType="begin"/>
                          </w:r>
                          <w:r>
                            <w:instrText xml:space="preserve"> PAGE  \* MERGEFORMAT </w:instrText>
                          </w:r>
                          <w:r>
                            <w:fldChar w:fldCharType="separate"/>
                          </w:r>
                          <w:r>
                            <w:t>61</w:t>
                          </w:r>
                          <w:r>
                            <w:fldChar w:fldCharType="end"/>
                          </w:r>
                        </w:p>
                      </w:txbxContent>
                    </wps:txbx>
                    <wps:bodyPr wrap="none" lIns="0" tIns="0" rIns="0" bIns="0" upright="1">
                      <a:spAutoFit/>
                    </wps:bodyPr>
                  </wps:wsp>
                </a:graphicData>
              </a:graphic>
            </wp:anchor>
          </w:drawing>
        </mc:Choice>
        <mc:Fallback>
          <w:pict>
            <v:shape id="410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NJWO7QAAAABQEAAA8AAAAAAAAAAQAgAAAAIgAAAGRycy9kb3ducmV2LnhtbFBLAQIUABQA&#10;AAAIAIdO4kDTuZLsvwEAAJsDAAAOAAAAAAAAAAEAIAAAAB8BAABkcnMvZTJvRG9jLnhtbFBLBQYA&#10;AAAABgAGAFkBAABQBQAAAAA=&#10;">
              <v:fill on="f" focussize="0,0"/>
              <v:stroke on="f" weight="0.5pt"/>
              <v:imagedata o:title=""/>
              <o:lock v:ext="edit" aspectratio="f"/>
              <v:textbox inset="0mm,0mm,0mm,0mm" style="mso-fit-shape-to-text:t;">
                <w:txbxContent>
                  <w:p w14:paraId="038D54F6">
                    <w:pPr>
                      <w:pStyle w:val="41"/>
                    </w:pPr>
                    <w:r>
                      <w:fldChar w:fldCharType="begin"/>
                    </w:r>
                    <w:r>
                      <w:instrText xml:space="preserve"> PAGE  \* MERGEFORMAT </w:instrText>
                    </w:r>
                    <w:r>
                      <w:fldChar w:fldCharType="separate"/>
                    </w:r>
                    <w:r>
                      <w:t>61</w:t>
                    </w:r>
                    <w:r>
                      <w:fldChar w:fldCharType="end"/>
                    </w:r>
                  </w:p>
                </w:txbxContent>
              </v:textbox>
            </v:shape>
          </w:pict>
        </mc:Fallback>
      </mc:AlternateContent>
    </w:r>
  </w:p>
  <w:p w14:paraId="23390CD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1915F">
    <w:pPr>
      <w:pStyle w:val="41"/>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4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9DD95FC">
                          <w:pPr>
                            <w:pStyle w:val="41"/>
                          </w:pPr>
                          <w:r>
                            <w:fldChar w:fldCharType="begin"/>
                          </w:r>
                          <w:r>
                            <w:instrText xml:space="preserve"> PAGE  \* MERGEFORMAT </w:instrText>
                          </w:r>
                          <w:r>
                            <w:fldChar w:fldCharType="separate"/>
                          </w:r>
                          <w:r>
                            <w:t>60</w:t>
                          </w:r>
                          <w:r>
                            <w:fldChar w:fldCharType="end"/>
                          </w:r>
                        </w:p>
                      </w:txbxContent>
                    </wps:txbx>
                    <wps:bodyPr wrap="none" lIns="0" tIns="0" rIns="0" bIns="0" upright="1">
                      <a:spAutoFit/>
                    </wps:bodyPr>
                  </wps:wsp>
                </a:graphicData>
              </a:graphic>
            </wp:anchor>
          </w:drawing>
        </mc:Choice>
        <mc:Fallback>
          <w:pict>
            <v:shape id="410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NJWO7QAAAABQEAAA8AAAAAAAAAAQAgAAAAIgAAAGRycy9kb3ducmV2LnhtbFBLAQIUABQA&#10;AAAIAIdO4kAYBR98vwEAAJsDAAAOAAAAAAAAAAEAIAAAAB8BAABkcnMvZTJvRG9jLnhtbFBLBQYA&#10;AAAABgAGAFkBAABQBQAAAAA=&#10;">
              <v:fill on="f" focussize="0,0"/>
              <v:stroke on="f" weight="0.5pt"/>
              <v:imagedata o:title=""/>
              <o:lock v:ext="edit" aspectratio="f"/>
              <v:textbox inset="0mm,0mm,0mm,0mm" style="mso-fit-shape-to-text:t;">
                <w:txbxContent>
                  <w:p w14:paraId="49DD95FC">
                    <w:pPr>
                      <w:pStyle w:val="41"/>
                    </w:pPr>
                    <w:r>
                      <w:fldChar w:fldCharType="begin"/>
                    </w:r>
                    <w:r>
                      <w:instrText xml:space="preserve"> PAGE  \* MERGEFORMAT </w:instrText>
                    </w:r>
                    <w:r>
                      <w:fldChar w:fldCharType="separate"/>
                    </w:r>
                    <w:r>
                      <w:t>60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3D45E">
    <w:pPr>
      <w:pStyle w:val="59"/>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12C74">
    <w:pPr>
      <w:pStyle w:val="4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B01B0">
    <w:pPr>
      <w:pStyle w:val="4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E83CC">
    <w:pPr>
      <w:pStyle w:val="59"/>
      <w:ind w:firstLine="180" w:firstLineChars="100"/>
      <w:jc w:val="both"/>
    </w:pPr>
    <w:r>
      <w:rPr>
        <w:rFonts w:hint="eastAsia" w:eastAsia="仿宋_GB2312"/>
        <w:b w:val="0"/>
        <w:i/>
        <w:iCs/>
        <w:sz w:val="18"/>
        <w:szCs w:val="18"/>
        <w:u w:val="single"/>
      </w:rPr>
      <w:t xml:space="preserve">                                                           </w:t>
    </w:r>
    <w:r>
      <w:rPr>
        <w:rFonts w:hint="eastAsia" w:eastAsia="仿宋_GB2312"/>
        <w:b w:val="0"/>
        <w:i/>
        <w:iCs/>
        <w:sz w:val="18"/>
        <w:szCs w:val="18"/>
        <w:u w:val="single"/>
        <w:lang w:val="en-US"/>
      </w:rPr>
      <w:t xml:space="preserve">            </w:t>
    </w:r>
    <w:r>
      <w:rPr>
        <w:rFonts w:hint="eastAsia" w:eastAsia="仿宋_GB2312"/>
        <w:b w:val="0"/>
        <w:i/>
        <w:iCs/>
        <w:sz w:val="18"/>
        <w:szCs w:val="18"/>
        <w:u w:val="single"/>
      </w:rPr>
      <w:t xml:space="preserve">  政府采购</w:t>
    </w:r>
    <w:r>
      <w:rPr>
        <w:rFonts w:hint="eastAsia" w:eastAsia="仿宋_GB2312"/>
        <w:b w:val="0"/>
        <w:i/>
        <w:iCs/>
        <w:sz w:val="18"/>
        <w:szCs w:val="18"/>
        <w:u w:val="single"/>
        <w:lang w:val="en-US"/>
      </w:rPr>
      <w:t>公开招标</w:t>
    </w:r>
    <w:r>
      <w:rPr>
        <w:rFonts w:hint="eastAsia" w:eastAsia="仿宋_GB2312"/>
        <w:b w:val="0"/>
        <w:i/>
        <w:iCs/>
        <w:sz w:val="18"/>
        <w:szCs w:val="18"/>
        <w:u w:val="single"/>
      </w:rPr>
      <w:t>文件（</w:t>
    </w:r>
    <w:r>
      <w:rPr>
        <w:rFonts w:hint="eastAsia" w:eastAsia="仿宋_GB2312"/>
        <w:b w:val="0"/>
        <w:i/>
        <w:iCs/>
        <w:sz w:val="18"/>
        <w:szCs w:val="18"/>
        <w:u w:val="single"/>
        <w:lang w:val="en-US"/>
      </w:rPr>
      <w:t>货物</w:t>
    </w:r>
    <w:r>
      <w:rPr>
        <w:rFonts w:hint="eastAsia" w:eastAsia="仿宋_GB2312"/>
        <w:b w:val="0"/>
        <w:i/>
        <w:iCs/>
        <w:sz w:val="18"/>
        <w:szCs w:val="18"/>
        <w:u w:val="single"/>
      </w:rPr>
      <w:t>类）</w:t>
    </w:r>
    <w:r>
      <w:rPr>
        <w:rFonts w:hint="eastAsia"/>
        <w:b w:val="0"/>
        <w:sz w:val="18"/>
        <w:szCs w:val="18"/>
        <w:u w:val="single"/>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1EC5D">
    <w:pPr>
      <w:pStyle w:val="59"/>
      <w:ind w:firstLine="180" w:firstLineChars="100"/>
      <w:jc w:val="both"/>
      <w:rPr>
        <w:rFonts w:ascii="仿宋_GB2312" w:eastAsia="仿宋_GB2312"/>
        <w:i/>
        <w:sz w:val="18"/>
        <w:u w:val="single"/>
      </w:rPr>
    </w:pPr>
    <w:r>
      <w:rPr>
        <w:rFonts w:hint="eastAsia" w:eastAsia="仿宋_GB2312"/>
        <w:b w:val="0"/>
        <w:i/>
        <w:iCs/>
        <w:sz w:val="18"/>
        <w:szCs w:val="18"/>
        <w:u w:val="single"/>
      </w:rPr>
      <w:t xml:space="preserve">                                                           </w:t>
    </w:r>
    <w:r>
      <w:rPr>
        <w:rFonts w:hint="eastAsia" w:eastAsia="仿宋_GB2312"/>
        <w:b w:val="0"/>
        <w:i/>
        <w:iCs/>
        <w:sz w:val="18"/>
        <w:szCs w:val="18"/>
        <w:u w:val="single"/>
        <w:lang w:val="en-US"/>
      </w:rPr>
      <w:t xml:space="preserve">                                                                     </w:t>
    </w:r>
    <w:r>
      <w:rPr>
        <w:rFonts w:hint="eastAsia" w:eastAsia="仿宋_GB2312"/>
        <w:b w:val="0"/>
        <w:i/>
        <w:iCs/>
        <w:sz w:val="18"/>
        <w:szCs w:val="18"/>
        <w:u w:val="single"/>
      </w:rPr>
      <w:t xml:space="preserve">  政府采购</w:t>
    </w:r>
    <w:r>
      <w:rPr>
        <w:rFonts w:hint="eastAsia" w:eastAsia="仿宋_GB2312"/>
        <w:b w:val="0"/>
        <w:i/>
        <w:iCs/>
        <w:sz w:val="18"/>
        <w:szCs w:val="18"/>
        <w:u w:val="single"/>
        <w:lang w:val="en-US"/>
      </w:rPr>
      <w:t>公开招标</w:t>
    </w:r>
    <w:r>
      <w:rPr>
        <w:rFonts w:hint="eastAsia" w:eastAsia="仿宋_GB2312"/>
        <w:b w:val="0"/>
        <w:i/>
        <w:iCs/>
        <w:sz w:val="18"/>
        <w:szCs w:val="18"/>
        <w:u w:val="single"/>
      </w:rPr>
      <w:t>文件（</w:t>
    </w:r>
    <w:r>
      <w:rPr>
        <w:rFonts w:hint="eastAsia" w:eastAsia="仿宋_GB2312"/>
        <w:b w:val="0"/>
        <w:i/>
        <w:iCs/>
        <w:sz w:val="18"/>
        <w:szCs w:val="18"/>
        <w:u w:val="single"/>
        <w:lang w:val="en-US"/>
      </w:rPr>
      <w:t>货物</w:t>
    </w:r>
    <w:r>
      <w:rPr>
        <w:rFonts w:hint="eastAsia" w:eastAsia="仿宋_GB2312"/>
        <w:b w:val="0"/>
        <w:i/>
        <w:iCs/>
        <w:sz w:val="18"/>
        <w:szCs w:val="18"/>
        <w:u w:val="single"/>
      </w:rPr>
      <w:t>类）</w:t>
    </w:r>
    <w:r>
      <w:rPr>
        <w:rFonts w:hint="eastAsia"/>
        <w:b w:val="0"/>
        <w:sz w:val="18"/>
        <w:szCs w:val="18"/>
        <w:u w:val="single"/>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C5864">
    <w:pPr>
      <w:pStyle w:val="59"/>
      <w:ind w:firstLine="180" w:firstLineChars="100"/>
      <w:jc w:val="both"/>
      <w:rPr>
        <w:rFonts w:ascii="仿宋_GB2312" w:eastAsia="仿宋_GB2312"/>
        <w:b w:val="0"/>
        <w:i/>
        <w:sz w:val="18"/>
        <w:u w:val="single"/>
        <w:lang w:val="en-US"/>
      </w:rPr>
    </w:pPr>
    <w:r>
      <w:rPr>
        <w:rFonts w:hint="eastAsia" w:eastAsia="仿宋_GB2312"/>
        <w:b w:val="0"/>
        <w:i/>
        <w:iCs/>
        <w:sz w:val="18"/>
        <w:szCs w:val="18"/>
        <w:u w:val="single"/>
      </w:rPr>
      <w:t xml:space="preserve">                                                           </w:t>
    </w:r>
    <w:r>
      <w:rPr>
        <w:rFonts w:hint="eastAsia" w:eastAsia="仿宋_GB2312"/>
        <w:b w:val="0"/>
        <w:i/>
        <w:iCs/>
        <w:sz w:val="18"/>
        <w:szCs w:val="18"/>
        <w:u w:val="single"/>
        <w:lang w:val="en-US"/>
      </w:rPr>
      <w:t xml:space="preserve">                                                                    </w:t>
    </w:r>
    <w:r>
      <w:rPr>
        <w:rFonts w:hint="eastAsia" w:eastAsia="仿宋_GB2312"/>
        <w:b w:val="0"/>
        <w:i/>
        <w:iCs/>
        <w:sz w:val="18"/>
        <w:szCs w:val="18"/>
        <w:u w:val="single"/>
      </w:rPr>
      <w:t xml:space="preserve">  政府采购</w:t>
    </w:r>
    <w:r>
      <w:rPr>
        <w:rFonts w:hint="eastAsia" w:eastAsia="仿宋_GB2312"/>
        <w:b w:val="0"/>
        <w:i/>
        <w:iCs/>
        <w:sz w:val="18"/>
        <w:szCs w:val="18"/>
        <w:u w:val="single"/>
        <w:lang w:val="en-US"/>
      </w:rPr>
      <w:t>公开招标</w:t>
    </w:r>
    <w:r>
      <w:rPr>
        <w:rFonts w:hint="eastAsia" w:eastAsia="仿宋_GB2312"/>
        <w:b w:val="0"/>
        <w:i/>
        <w:iCs/>
        <w:sz w:val="18"/>
        <w:szCs w:val="18"/>
        <w:u w:val="single"/>
      </w:rPr>
      <w:t>文件（</w:t>
    </w:r>
    <w:r>
      <w:rPr>
        <w:rFonts w:hint="eastAsia" w:eastAsia="仿宋_GB2312"/>
        <w:b w:val="0"/>
        <w:i/>
        <w:iCs/>
        <w:sz w:val="18"/>
        <w:szCs w:val="18"/>
        <w:u w:val="single"/>
        <w:lang w:val="en-US"/>
      </w:rPr>
      <w:t>货物</w:t>
    </w:r>
    <w:r>
      <w:rPr>
        <w:rFonts w:hint="eastAsia" w:eastAsia="仿宋_GB2312"/>
        <w:b w:val="0"/>
        <w:i/>
        <w:iCs/>
        <w:sz w:val="18"/>
        <w:szCs w:val="18"/>
        <w:u w:val="single"/>
      </w:rPr>
      <w:t>类）</w:t>
    </w:r>
    <w:r>
      <w:rPr>
        <w:rFonts w:hint="eastAsia"/>
        <w:b w:val="0"/>
        <w:sz w:val="18"/>
        <w:szCs w:val="18"/>
        <w:u w:val="single"/>
      </w:rPr>
      <w:t xml:space="preserve"> </w:t>
    </w:r>
  </w:p>
  <w:p w14:paraId="5BC228CB"/>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CB176">
    <w:pPr>
      <w:pStyle w:val="59"/>
      <w:ind w:firstLine="180" w:firstLineChars="100"/>
      <w:jc w:val="both"/>
      <w:rPr>
        <w:rFonts w:ascii="仿宋_GB2312" w:eastAsia="仿宋_GB2312"/>
        <w:i/>
        <w:sz w:val="18"/>
        <w:u w:val="single"/>
      </w:rPr>
    </w:pPr>
    <w:r>
      <w:rPr>
        <w:rFonts w:hint="eastAsia" w:eastAsia="仿宋_GB2312"/>
        <w:b w:val="0"/>
        <w:i/>
        <w:iCs/>
        <w:sz w:val="18"/>
        <w:szCs w:val="18"/>
        <w:u w:val="single"/>
      </w:rPr>
      <w:t xml:space="preserve">  </w:t>
    </w:r>
    <w:r>
      <w:rPr>
        <w:rFonts w:hint="eastAsia" w:eastAsia="仿宋_GB2312"/>
        <w:b w:val="0"/>
        <w:i/>
        <w:iCs/>
        <w:sz w:val="18"/>
        <w:szCs w:val="18"/>
        <w:u w:val="single"/>
        <w:lang w:val="en-US"/>
      </w:rPr>
      <w:t xml:space="preserve">                                                                     </w:t>
    </w:r>
    <w:r>
      <w:rPr>
        <w:rFonts w:hint="eastAsia" w:eastAsia="仿宋_GB2312"/>
        <w:b w:val="0"/>
        <w:i/>
        <w:iCs/>
        <w:sz w:val="18"/>
        <w:szCs w:val="18"/>
        <w:u w:val="single"/>
      </w:rPr>
      <w:t xml:space="preserve">  政府采购</w:t>
    </w:r>
    <w:r>
      <w:rPr>
        <w:rFonts w:hint="eastAsia" w:eastAsia="仿宋_GB2312"/>
        <w:b w:val="0"/>
        <w:i/>
        <w:iCs/>
        <w:sz w:val="18"/>
        <w:szCs w:val="18"/>
        <w:u w:val="single"/>
        <w:lang w:val="en-US"/>
      </w:rPr>
      <w:t>公开招标</w:t>
    </w:r>
    <w:r>
      <w:rPr>
        <w:rFonts w:hint="eastAsia" w:eastAsia="仿宋_GB2312"/>
        <w:b w:val="0"/>
        <w:i/>
        <w:iCs/>
        <w:sz w:val="18"/>
        <w:szCs w:val="18"/>
        <w:u w:val="single"/>
      </w:rPr>
      <w:t>文件（</w:t>
    </w:r>
    <w:r>
      <w:rPr>
        <w:rFonts w:hint="eastAsia" w:eastAsia="仿宋_GB2312"/>
        <w:b w:val="0"/>
        <w:i/>
        <w:iCs/>
        <w:sz w:val="18"/>
        <w:szCs w:val="18"/>
        <w:u w:val="single"/>
        <w:lang w:val="en-US"/>
      </w:rPr>
      <w:t>货物</w:t>
    </w:r>
    <w:r>
      <w:rPr>
        <w:rFonts w:hint="eastAsia" w:eastAsia="仿宋_GB2312"/>
        <w:b w:val="0"/>
        <w:i/>
        <w:iCs/>
        <w:sz w:val="18"/>
        <w:szCs w:val="18"/>
        <w:u w:val="single"/>
      </w:rPr>
      <w:t>类）</w:t>
    </w:r>
    <w:r>
      <w:rPr>
        <w:rFonts w:hint="eastAsia"/>
        <w:b w:val="0"/>
        <w:sz w:val="18"/>
        <w:szCs w:val="18"/>
        <w:u w:val="single"/>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54C09">
    <w:pPr>
      <w:pStyle w:val="59"/>
      <w:ind w:firstLine="180" w:firstLineChars="100"/>
      <w:jc w:val="both"/>
    </w:pPr>
    <w:r>
      <w:rPr>
        <w:rFonts w:hint="eastAsia" w:eastAsia="仿宋_GB2312"/>
        <w:b w:val="0"/>
        <w:i/>
        <w:iCs/>
        <w:sz w:val="18"/>
        <w:szCs w:val="18"/>
        <w:u w:val="single"/>
      </w:rPr>
      <w:t xml:space="preserve">                                                           </w:t>
    </w:r>
    <w:r>
      <w:rPr>
        <w:rFonts w:hint="eastAsia" w:eastAsia="仿宋_GB2312"/>
        <w:b w:val="0"/>
        <w:i/>
        <w:iCs/>
        <w:sz w:val="18"/>
        <w:szCs w:val="18"/>
        <w:u w:val="single"/>
        <w:lang w:val="en-US"/>
      </w:rPr>
      <w:t xml:space="preserve">            </w:t>
    </w:r>
    <w:r>
      <w:rPr>
        <w:rFonts w:hint="eastAsia" w:eastAsia="仿宋_GB2312"/>
        <w:b w:val="0"/>
        <w:i/>
        <w:iCs/>
        <w:sz w:val="18"/>
        <w:szCs w:val="18"/>
        <w:u w:val="single"/>
      </w:rPr>
      <w:t xml:space="preserve">  政府采购</w:t>
    </w:r>
    <w:r>
      <w:rPr>
        <w:rFonts w:hint="eastAsia" w:eastAsia="仿宋_GB2312"/>
        <w:b w:val="0"/>
        <w:i/>
        <w:iCs/>
        <w:sz w:val="18"/>
        <w:szCs w:val="18"/>
        <w:u w:val="single"/>
        <w:lang w:val="en-US"/>
      </w:rPr>
      <w:t>公开招标</w:t>
    </w:r>
    <w:r>
      <w:rPr>
        <w:rFonts w:hint="eastAsia" w:eastAsia="仿宋_GB2312"/>
        <w:b w:val="0"/>
        <w:i/>
        <w:iCs/>
        <w:sz w:val="18"/>
        <w:szCs w:val="18"/>
        <w:u w:val="single"/>
      </w:rPr>
      <w:t>文件（</w:t>
    </w:r>
    <w:r>
      <w:rPr>
        <w:rFonts w:hint="eastAsia" w:eastAsia="仿宋_GB2312"/>
        <w:b w:val="0"/>
        <w:i/>
        <w:iCs/>
        <w:sz w:val="18"/>
        <w:szCs w:val="18"/>
        <w:u w:val="single"/>
        <w:lang w:val="en-US"/>
      </w:rPr>
      <w:t>货物</w:t>
    </w:r>
    <w:r>
      <w:rPr>
        <w:rFonts w:hint="eastAsia" w:eastAsia="仿宋_GB2312"/>
        <w:b w:val="0"/>
        <w:i/>
        <w:iCs/>
        <w:sz w:val="18"/>
        <w:szCs w:val="18"/>
        <w:u w:val="single"/>
      </w:rPr>
      <w:t>类）</w:t>
    </w:r>
    <w:r>
      <w:rPr>
        <w:rFonts w:hint="eastAsia"/>
        <w:b w:val="0"/>
        <w:sz w:val="18"/>
        <w:szCs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959D7A"/>
    <w:multiLevelType w:val="singleLevel"/>
    <w:tmpl w:val="A2959D7A"/>
    <w:lvl w:ilvl="0" w:tentative="0">
      <w:start w:val="1"/>
      <w:numFmt w:val="bullet"/>
      <w:lvlText w:val=""/>
      <w:lvlJc w:val="left"/>
      <w:pPr>
        <w:ind w:left="420" w:hanging="420"/>
      </w:pPr>
      <w:rPr>
        <w:rFonts w:hint="default" w:ascii="Wingdings" w:hAnsi="Wingdings"/>
      </w:rPr>
    </w:lvl>
  </w:abstractNum>
  <w:abstractNum w:abstractNumId="1">
    <w:nsid w:val="0000000E"/>
    <w:multiLevelType w:val="singleLevel"/>
    <w:tmpl w:val="0000000E"/>
    <w:lvl w:ilvl="0" w:tentative="0">
      <w:start w:val="1"/>
      <w:numFmt w:val="decimal"/>
      <w:suff w:val="nothing"/>
      <w:lvlText w:val="（%1）"/>
      <w:lvlJc w:val="left"/>
    </w:lvl>
  </w:abstractNum>
  <w:abstractNum w:abstractNumId="2">
    <w:nsid w:val="3A60227B"/>
    <w:multiLevelType w:val="multilevel"/>
    <w:tmpl w:val="3A60227B"/>
    <w:lvl w:ilvl="0" w:tentative="0">
      <w:start w:val="1"/>
      <w:numFmt w:val="bullet"/>
      <w:lvlText w:val=""/>
      <w:lvlJc w:val="left"/>
      <w:pPr>
        <w:ind w:left="922" w:hanging="440"/>
      </w:pPr>
      <w:rPr>
        <w:rFonts w:hint="default" w:ascii="Wingdings" w:hAnsi="Wingdings"/>
      </w:rPr>
    </w:lvl>
    <w:lvl w:ilvl="1" w:tentative="0">
      <w:start w:val="1"/>
      <w:numFmt w:val="bullet"/>
      <w:lvlText w:val=""/>
      <w:lvlJc w:val="left"/>
      <w:pPr>
        <w:ind w:left="1362" w:hanging="440"/>
      </w:pPr>
      <w:rPr>
        <w:rFonts w:hint="default" w:ascii="Wingdings" w:hAnsi="Wingdings"/>
      </w:rPr>
    </w:lvl>
    <w:lvl w:ilvl="2" w:tentative="0">
      <w:start w:val="1"/>
      <w:numFmt w:val="bullet"/>
      <w:lvlText w:val=""/>
      <w:lvlJc w:val="left"/>
      <w:pPr>
        <w:ind w:left="1802" w:hanging="440"/>
      </w:pPr>
      <w:rPr>
        <w:rFonts w:hint="default" w:ascii="Wingdings" w:hAnsi="Wingdings"/>
      </w:rPr>
    </w:lvl>
    <w:lvl w:ilvl="3" w:tentative="0">
      <w:start w:val="1"/>
      <w:numFmt w:val="bullet"/>
      <w:lvlText w:val=""/>
      <w:lvlJc w:val="left"/>
      <w:pPr>
        <w:ind w:left="2242" w:hanging="440"/>
      </w:pPr>
      <w:rPr>
        <w:rFonts w:hint="default" w:ascii="Wingdings" w:hAnsi="Wingdings"/>
      </w:rPr>
    </w:lvl>
    <w:lvl w:ilvl="4" w:tentative="0">
      <w:start w:val="1"/>
      <w:numFmt w:val="bullet"/>
      <w:lvlText w:val=""/>
      <w:lvlJc w:val="left"/>
      <w:pPr>
        <w:ind w:left="2682" w:hanging="440"/>
      </w:pPr>
      <w:rPr>
        <w:rFonts w:hint="default" w:ascii="Wingdings" w:hAnsi="Wingdings"/>
      </w:rPr>
    </w:lvl>
    <w:lvl w:ilvl="5" w:tentative="0">
      <w:start w:val="1"/>
      <w:numFmt w:val="bullet"/>
      <w:lvlText w:val=""/>
      <w:lvlJc w:val="left"/>
      <w:pPr>
        <w:ind w:left="3122" w:hanging="440"/>
      </w:pPr>
      <w:rPr>
        <w:rFonts w:hint="default" w:ascii="Wingdings" w:hAnsi="Wingdings"/>
      </w:rPr>
    </w:lvl>
    <w:lvl w:ilvl="6" w:tentative="0">
      <w:start w:val="1"/>
      <w:numFmt w:val="bullet"/>
      <w:lvlText w:val=""/>
      <w:lvlJc w:val="left"/>
      <w:pPr>
        <w:ind w:left="3562" w:hanging="440"/>
      </w:pPr>
      <w:rPr>
        <w:rFonts w:hint="default" w:ascii="Wingdings" w:hAnsi="Wingdings"/>
      </w:rPr>
    </w:lvl>
    <w:lvl w:ilvl="7" w:tentative="0">
      <w:start w:val="1"/>
      <w:numFmt w:val="bullet"/>
      <w:lvlText w:val=""/>
      <w:lvlJc w:val="left"/>
      <w:pPr>
        <w:ind w:left="4002" w:hanging="440"/>
      </w:pPr>
      <w:rPr>
        <w:rFonts w:hint="default" w:ascii="Wingdings" w:hAnsi="Wingdings"/>
      </w:rPr>
    </w:lvl>
    <w:lvl w:ilvl="8" w:tentative="0">
      <w:start w:val="1"/>
      <w:numFmt w:val="bullet"/>
      <w:lvlText w:val=""/>
      <w:lvlJc w:val="left"/>
      <w:pPr>
        <w:ind w:left="4442" w:hanging="440"/>
      </w:pPr>
      <w:rPr>
        <w:rFonts w:hint="default" w:ascii="Wingdings" w:hAnsi="Wingdings"/>
      </w:rPr>
    </w:lvl>
  </w:abstractNum>
  <w:abstractNum w:abstractNumId="3">
    <w:nsid w:val="547C6C62"/>
    <w:multiLevelType w:val="multilevel"/>
    <w:tmpl w:val="547C6C62"/>
    <w:lvl w:ilvl="0" w:tentative="0">
      <w:start w:val="1"/>
      <w:numFmt w:val="bullet"/>
      <w:lvlText w:val=""/>
      <w:lvlJc w:val="left"/>
      <w:pPr>
        <w:ind w:left="922" w:hanging="440"/>
      </w:pPr>
      <w:rPr>
        <w:rFonts w:hint="default" w:ascii="Wingdings" w:hAnsi="Wingdings"/>
      </w:r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2NjZjZmVlODYxMGJhMWU3MDJhMzI4ZDNkYTQ1MzYifQ=="/>
  </w:docVars>
  <w:rsids>
    <w:rsidRoot w:val="00596837"/>
    <w:rsid w:val="002032F2"/>
    <w:rsid w:val="003237FF"/>
    <w:rsid w:val="00564B12"/>
    <w:rsid w:val="00582373"/>
    <w:rsid w:val="00596837"/>
    <w:rsid w:val="006F67C2"/>
    <w:rsid w:val="008A5BAA"/>
    <w:rsid w:val="00941F75"/>
    <w:rsid w:val="00A6748A"/>
    <w:rsid w:val="00B706F4"/>
    <w:rsid w:val="00C33772"/>
    <w:rsid w:val="00D2270D"/>
    <w:rsid w:val="00E1157E"/>
    <w:rsid w:val="00F05477"/>
    <w:rsid w:val="00F72CD1"/>
    <w:rsid w:val="011937D7"/>
    <w:rsid w:val="01CB1DE1"/>
    <w:rsid w:val="024E68F9"/>
    <w:rsid w:val="02DE5ECF"/>
    <w:rsid w:val="032D650E"/>
    <w:rsid w:val="036C3ECB"/>
    <w:rsid w:val="03B7227C"/>
    <w:rsid w:val="04154B82"/>
    <w:rsid w:val="048B2749"/>
    <w:rsid w:val="04A42800"/>
    <w:rsid w:val="04B96BFE"/>
    <w:rsid w:val="04C759C7"/>
    <w:rsid w:val="05720B50"/>
    <w:rsid w:val="057F3F13"/>
    <w:rsid w:val="06250A5D"/>
    <w:rsid w:val="0656631E"/>
    <w:rsid w:val="06936FD0"/>
    <w:rsid w:val="06BA27AF"/>
    <w:rsid w:val="06C867AC"/>
    <w:rsid w:val="06EC048E"/>
    <w:rsid w:val="07C03037"/>
    <w:rsid w:val="07D63618"/>
    <w:rsid w:val="07F45439"/>
    <w:rsid w:val="07F81A67"/>
    <w:rsid w:val="07FB25F0"/>
    <w:rsid w:val="080E5FD9"/>
    <w:rsid w:val="083B16CD"/>
    <w:rsid w:val="08E22376"/>
    <w:rsid w:val="08F93CFD"/>
    <w:rsid w:val="098A63D1"/>
    <w:rsid w:val="09CE02E5"/>
    <w:rsid w:val="0AC736EC"/>
    <w:rsid w:val="0B100BEF"/>
    <w:rsid w:val="0BB53545"/>
    <w:rsid w:val="0BB84DE3"/>
    <w:rsid w:val="0BEF2EFA"/>
    <w:rsid w:val="0C3E353A"/>
    <w:rsid w:val="0C7B7550"/>
    <w:rsid w:val="0D3D0AFB"/>
    <w:rsid w:val="0D5A25F6"/>
    <w:rsid w:val="0DAF0B93"/>
    <w:rsid w:val="0DC94C18"/>
    <w:rsid w:val="0DCF4D92"/>
    <w:rsid w:val="0E15319B"/>
    <w:rsid w:val="0EC71188"/>
    <w:rsid w:val="0ED92661"/>
    <w:rsid w:val="0F2C0542"/>
    <w:rsid w:val="0F3744A4"/>
    <w:rsid w:val="0FA22032"/>
    <w:rsid w:val="10AF4A06"/>
    <w:rsid w:val="114415F3"/>
    <w:rsid w:val="116E2FD0"/>
    <w:rsid w:val="11857D58"/>
    <w:rsid w:val="119B43DD"/>
    <w:rsid w:val="11A0203A"/>
    <w:rsid w:val="11A55E09"/>
    <w:rsid w:val="12057DA5"/>
    <w:rsid w:val="122D2087"/>
    <w:rsid w:val="12CB2F3F"/>
    <w:rsid w:val="12FB2185"/>
    <w:rsid w:val="13D824C6"/>
    <w:rsid w:val="14595E98"/>
    <w:rsid w:val="150A66AF"/>
    <w:rsid w:val="151C7BA2"/>
    <w:rsid w:val="15B13FB4"/>
    <w:rsid w:val="15FB249C"/>
    <w:rsid w:val="164943CF"/>
    <w:rsid w:val="16500A3A"/>
    <w:rsid w:val="16832BBD"/>
    <w:rsid w:val="16B26FFE"/>
    <w:rsid w:val="175160A3"/>
    <w:rsid w:val="17AD4997"/>
    <w:rsid w:val="17B84AE8"/>
    <w:rsid w:val="18590AAB"/>
    <w:rsid w:val="18626802"/>
    <w:rsid w:val="18B0592E"/>
    <w:rsid w:val="192D5062"/>
    <w:rsid w:val="195E6FCA"/>
    <w:rsid w:val="19882298"/>
    <w:rsid w:val="1A00289F"/>
    <w:rsid w:val="1A0918A1"/>
    <w:rsid w:val="1A5959E3"/>
    <w:rsid w:val="1A7D5B75"/>
    <w:rsid w:val="1AF75928"/>
    <w:rsid w:val="1B1E1106"/>
    <w:rsid w:val="1B932335"/>
    <w:rsid w:val="1B9413C8"/>
    <w:rsid w:val="1BD23C9F"/>
    <w:rsid w:val="1BED2887"/>
    <w:rsid w:val="1BF9122C"/>
    <w:rsid w:val="1BFD67DC"/>
    <w:rsid w:val="1C197B20"/>
    <w:rsid w:val="1C7D4BA5"/>
    <w:rsid w:val="1CA13D9D"/>
    <w:rsid w:val="1D320E99"/>
    <w:rsid w:val="1D352737"/>
    <w:rsid w:val="1D3C0749"/>
    <w:rsid w:val="1DDD5A59"/>
    <w:rsid w:val="1E0F11B7"/>
    <w:rsid w:val="1E195BB5"/>
    <w:rsid w:val="1E9740EF"/>
    <w:rsid w:val="1EAB0F03"/>
    <w:rsid w:val="1F03280B"/>
    <w:rsid w:val="1FDE2C12"/>
    <w:rsid w:val="1FE4595C"/>
    <w:rsid w:val="20232D1B"/>
    <w:rsid w:val="20FB77F4"/>
    <w:rsid w:val="21433098"/>
    <w:rsid w:val="21DB658F"/>
    <w:rsid w:val="21E12E8E"/>
    <w:rsid w:val="21E6327B"/>
    <w:rsid w:val="22273792"/>
    <w:rsid w:val="225D5412"/>
    <w:rsid w:val="22BD51B5"/>
    <w:rsid w:val="22DA0E20"/>
    <w:rsid w:val="233D61F3"/>
    <w:rsid w:val="2355768F"/>
    <w:rsid w:val="23847F75"/>
    <w:rsid w:val="23FF529E"/>
    <w:rsid w:val="24027451"/>
    <w:rsid w:val="24C773C3"/>
    <w:rsid w:val="253833AF"/>
    <w:rsid w:val="256721F6"/>
    <w:rsid w:val="25A42208"/>
    <w:rsid w:val="25BC57A4"/>
    <w:rsid w:val="25CE3729"/>
    <w:rsid w:val="26433260"/>
    <w:rsid w:val="2663753D"/>
    <w:rsid w:val="26C97E65"/>
    <w:rsid w:val="26E74AA2"/>
    <w:rsid w:val="2749750B"/>
    <w:rsid w:val="278D4572"/>
    <w:rsid w:val="27AA27B3"/>
    <w:rsid w:val="27B0758A"/>
    <w:rsid w:val="27C6290A"/>
    <w:rsid w:val="27CE7A10"/>
    <w:rsid w:val="28090A48"/>
    <w:rsid w:val="2815691E"/>
    <w:rsid w:val="283427BA"/>
    <w:rsid w:val="284514C4"/>
    <w:rsid w:val="28A31B63"/>
    <w:rsid w:val="28AC5FA3"/>
    <w:rsid w:val="29202D20"/>
    <w:rsid w:val="298B76AD"/>
    <w:rsid w:val="29C62EA4"/>
    <w:rsid w:val="29F574D6"/>
    <w:rsid w:val="29F65B41"/>
    <w:rsid w:val="2A7F4725"/>
    <w:rsid w:val="2AB50979"/>
    <w:rsid w:val="2B430715"/>
    <w:rsid w:val="2BC3329B"/>
    <w:rsid w:val="2CEF7D0D"/>
    <w:rsid w:val="2D4F6EFD"/>
    <w:rsid w:val="2DD9710F"/>
    <w:rsid w:val="2DFF14F8"/>
    <w:rsid w:val="2E271C28"/>
    <w:rsid w:val="2E340287"/>
    <w:rsid w:val="2E744096"/>
    <w:rsid w:val="2EA74B17"/>
    <w:rsid w:val="2EFF36D9"/>
    <w:rsid w:val="2F6E1064"/>
    <w:rsid w:val="304A49D9"/>
    <w:rsid w:val="31197F4E"/>
    <w:rsid w:val="31AC0DC2"/>
    <w:rsid w:val="31E7004C"/>
    <w:rsid w:val="325F2DA1"/>
    <w:rsid w:val="32794546"/>
    <w:rsid w:val="32FC462F"/>
    <w:rsid w:val="335372ED"/>
    <w:rsid w:val="34991555"/>
    <w:rsid w:val="34D577AF"/>
    <w:rsid w:val="34F57F21"/>
    <w:rsid w:val="354D2ECC"/>
    <w:rsid w:val="35527ED3"/>
    <w:rsid w:val="35A46254"/>
    <w:rsid w:val="35FF96A5"/>
    <w:rsid w:val="36162CAE"/>
    <w:rsid w:val="375533B5"/>
    <w:rsid w:val="378D51F2"/>
    <w:rsid w:val="379A1DE6"/>
    <w:rsid w:val="37B00EE0"/>
    <w:rsid w:val="37B159B2"/>
    <w:rsid w:val="381A29AD"/>
    <w:rsid w:val="38233460"/>
    <w:rsid w:val="384A4E91"/>
    <w:rsid w:val="38A65FE2"/>
    <w:rsid w:val="391F106E"/>
    <w:rsid w:val="3954446F"/>
    <w:rsid w:val="39A44A75"/>
    <w:rsid w:val="39AD3E3C"/>
    <w:rsid w:val="3A1A1FB5"/>
    <w:rsid w:val="3A253C2F"/>
    <w:rsid w:val="3A70021A"/>
    <w:rsid w:val="3A96552E"/>
    <w:rsid w:val="3ACB7A4C"/>
    <w:rsid w:val="3B0577B6"/>
    <w:rsid w:val="3B0A4DAB"/>
    <w:rsid w:val="3B1874C8"/>
    <w:rsid w:val="3B5D4EDB"/>
    <w:rsid w:val="3BE20006"/>
    <w:rsid w:val="3BF5F9B7"/>
    <w:rsid w:val="3BF60552"/>
    <w:rsid w:val="3C2B4482"/>
    <w:rsid w:val="3C886DBE"/>
    <w:rsid w:val="3CAF36AA"/>
    <w:rsid w:val="3CD25455"/>
    <w:rsid w:val="3D17331F"/>
    <w:rsid w:val="3D3801FF"/>
    <w:rsid w:val="3D5436A8"/>
    <w:rsid w:val="3D7777EE"/>
    <w:rsid w:val="3DB90469"/>
    <w:rsid w:val="3E5957AF"/>
    <w:rsid w:val="3E6A41D8"/>
    <w:rsid w:val="3F397A0D"/>
    <w:rsid w:val="3F9619DE"/>
    <w:rsid w:val="402D2CE6"/>
    <w:rsid w:val="40A9471F"/>
    <w:rsid w:val="40D2645B"/>
    <w:rsid w:val="40FC1E16"/>
    <w:rsid w:val="41970190"/>
    <w:rsid w:val="41A0166E"/>
    <w:rsid w:val="41F607B5"/>
    <w:rsid w:val="42226093"/>
    <w:rsid w:val="42DA6AE6"/>
    <w:rsid w:val="4348021F"/>
    <w:rsid w:val="43BE0431"/>
    <w:rsid w:val="43CE260B"/>
    <w:rsid w:val="443B3A4C"/>
    <w:rsid w:val="44516F40"/>
    <w:rsid w:val="44C450D1"/>
    <w:rsid w:val="456B6447"/>
    <w:rsid w:val="45733B31"/>
    <w:rsid w:val="45B06ED6"/>
    <w:rsid w:val="45BC6CA2"/>
    <w:rsid w:val="46006793"/>
    <w:rsid w:val="465328B7"/>
    <w:rsid w:val="46CC5B93"/>
    <w:rsid w:val="473867FC"/>
    <w:rsid w:val="47543636"/>
    <w:rsid w:val="47A40E43"/>
    <w:rsid w:val="48904B42"/>
    <w:rsid w:val="489C14AA"/>
    <w:rsid w:val="48BA34EC"/>
    <w:rsid w:val="48BA3564"/>
    <w:rsid w:val="48CE400C"/>
    <w:rsid w:val="494D2A33"/>
    <w:rsid w:val="49BA5B6A"/>
    <w:rsid w:val="4A183041"/>
    <w:rsid w:val="4A262150"/>
    <w:rsid w:val="4A882D5F"/>
    <w:rsid w:val="4AC309BA"/>
    <w:rsid w:val="4AE66C9B"/>
    <w:rsid w:val="4B75781C"/>
    <w:rsid w:val="4B7C7FD7"/>
    <w:rsid w:val="4B891DD1"/>
    <w:rsid w:val="4BAD1B68"/>
    <w:rsid w:val="4BCF2487"/>
    <w:rsid w:val="4BDD2BE1"/>
    <w:rsid w:val="4C40066C"/>
    <w:rsid w:val="4CC13E92"/>
    <w:rsid w:val="4CC4568A"/>
    <w:rsid w:val="4D186EB4"/>
    <w:rsid w:val="4D357A66"/>
    <w:rsid w:val="4DA46948"/>
    <w:rsid w:val="4E0D453F"/>
    <w:rsid w:val="4E3917D8"/>
    <w:rsid w:val="4E3B56D8"/>
    <w:rsid w:val="4E3B5B69"/>
    <w:rsid w:val="4E964534"/>
    <w:rsid w:val="4ED432AF"/>
    <w:rsid w:val="4F4E43D6"/>
    <w:rsid w:val="4F6565B2"/>
    <w:rsid w:val="4F6F3978"/>
    <w:rsid w:val="4F7D3946"/>
    <w:rsid w:val="4FEE214E"/>
    <w:rsid w:val="50493930"/>
    <w:rsid w:val="50683B25"/>
    <w:rsid w:val="50715259"/>
    <w:rsid w:val="509E1DC6"/>
    <w:rsid w:val="50BB0282"/>
    <w:rsid w:val="50EC0699"/>
    <w:rsid w:val="51392236"/>
    <w:rsid w:val="521016CD"/>
    <w:rsid w:val="52187956"/>
    <w:rsid w:val="5325232B"/>
    <w:rsid w:val="532A59A8"/>
    <w:rsid w:val="532F31A9"/>
    <w:rsid w:val="533B291C"/>
    <w:rsid w:val="53B8319F"/>
    <w:rsid w:val="53FA7313"/>
    <w:rsid w:val="5415239F"/>
    <w:rsid w:val="54D97871"/>
    <w:rsid w:val="55234733"/>
    <w:rsid w:val="555F208F"/>
    <w:rsid w:val="55D83684"/>
    <w:rsid w:val="56E61DD1"/>
    <w:rsid w:val="57315AD3"/>
    <w:rsid w:val="575D5CE9"/>
    <w:rsid w:val="588F279F"/>
    <w:rsid w:val="589917F1"/>
    <w:rsid w:val="591D162A"/>
    <w:rsid w:val="598C6884"/>
    <w:rsid w:val="59FE5A21"/>
    <w:rsid w:val="5A000DC7"/>
    <w:rsid w:val="5A1D1B5C"/>
    <w:rsid w:val="5A2C18AA"/>
    <w:rsid w:val="5A377ECF"/>
    <w:rsid w:val="5A7D47FA"/>
    <w:rsid w:val="5ABF610C"/>
    <w:rsid w:val="5ACB4F54"/>
    <w:rsid w:val="5BC64B0E"/>
    <w:rsid w:val="5BE24306"/>
    <w:rsid w:val="5C473312"/>
    <w:rsid w:val="5C5152F8"/>
    <w:rsid w:val="5CBA50D6"/>
    <w:rsid w:val="5CC42BB4"/>
    <w:rsid w:val="5D3B3DEB"/>
    <w:rsid w:val="5D427544"/>
    <w:rsid w:val="5D636A12"/>
    <w:rsid w:val="5DCA22E5"/>
    <w:rsid w:val="5DE47AE7"/>
    <w:rsid w:val="5E367223"/>
    <w:rsid w:val="5E8048B9"/>
    <w:rsid w:val="5E811EF5"/>
    <w:rsid w:val="5EC62C14"/>
    <w:rsid w:val="5ED907F8"/>
    <w:rsid w:val="5F225970"/>
    <w:rsid w:val="5F9347C8"/>
    <w:rsid w:val="5F9369EE"/>
    <w:rsid w:val="5FDE3F8D"/>
    <w:rsid w:val="600D43CE"/>
    <w:rsid w:val="604C7504"/>
    <w:rsid w:val="60A9698F"/>
    <w:rsid w:val="60EA75BF"/>
    <w:rsid w:val="61B36E5E"/>
    <w:rsid w:val="61F21F72"/>
    <w:rsid w:val="626D784A"/>
    <w:rsid w:val="62B47406"/>
    <w:rsid w:val="62E62F4B"/>
    <w:rsid w:val="63035AB9"/>
    <w:rsid w:val="64017BE8"/>
    <w:rsid w:val="645F0DEA"/>
    <w:rsid w:val="64F32289"/>
    <w:rsid w:val="65ED6D44"/>
    <w:rsid w:val="661204ED"/>
    <w:rsid w:val="67430B73"/>
    <w:rsid w:val="68285831"/>
    <w:rsid w:val="689F5DC2"/>
    <w:rsid w:val="68C00BD5"/>
    <w:rsid w:val="68F71C1C"/>
    <w:rsid w:val="690D2E3C"/>
    <w:rsid w:val="69591FC0"/>
    <w:rsid w:val="69944265"/>
    <w:rsid w:val="6A4D205F"/>
    <w:rsid w:val="6AA2707A"/>
    <w:rsid w:val="6AA97097"/>
    <w:rsid w:val="6B184E9E"/>
    <w:rsid w:val="6B4C44A1"/>
    <w:rsid w:val="6B7BA139"/>
    <w:rsid w:val="6BEC09C2"/>
    <w:rsid w:val="6C5E0930"/>
    <w:rsid w:val="6DFA6436"/>
    <w:rsid w:val="6DFC628B"/>
    <w:rsid w:val="6E1FA39D"/>
    <w:rsid w:val="6EB70B6B"/>
    <w:rsid w:val="6ED00F45"/>
    <w:rsid w:val="6F15104E"/>
    <w:rsid w:val="6F176B74"/>
    <w:rsid w:val="6F6E74EB"/>
    <w:rsid w:val="70214FF3"/>
    <w:rsid w:val="70280CF3"/>
    <w:rsid w:val="70FD1788"/>
    <w:rsid w:val="717366AF"/>
    <w:rsid w:val="71B959D8"/>
    <w:rsid w:val="71BC1C54"/>
    <w:rsid w:val="71CF3736"/>
    <w:rsid w:val="72165809"/>
    <w:rsid w:val="72904E03"/>
    <w:rsid w:val="733A6CBD"/>
    <w:rsid w:val="734E6351"/>
    <w:rsid w:val="73622CD6"/>
    <w:rsid w:val="73895AAB"/>
    <w:rsid w:val="745D6B90"/>
    <w:rsid w:val="747E1443"/>
    <w:rsid w:val="751108B3"/>
    <w:rsid w:val="75153B55"/>
    <w:rsid w:val="75862CA5"/>
    <w:rsid w:val="75866D77"/>
    <w:rsid w:val="75A736BC"/>
    <w:rsid w:val="76644024"/>
    <w:rsid w:val="768A2321"/>
    <w:rsid w:val="76A2766B"/>
    <w:rsid w:val="76E07197"/>
    <w:rsid w:val="76E41A31"/>
    <w:rsid w:val="77381D7D"/>
    <w:rsid w:val="7746449A"/>
    <w:rsid w:val="78177BE5"/>
    <w:rsid w:val="781B1FC5"/>
    <w:rsid w:val="783764D9"/>
    <w:rsid w:val="784D44AD"/>
    <w:rsid w:val="79635D8F"/>
    <w:rsid w:val="796614C6"/>
    <w:rsid w:val="7ABA3AA8"/>
    <w:rsid w:val="7ABE6A3D"/>
    <w:rsid w:val="7B2C7682"/>
    <w:rsid w:val="7B2F4F94"/>
    <w:rsid w:val="7B4B6285"/>
    <w:rsid w:val="7BD55DED"/>
    <w:rsid w:val="7BE54E93"/>
    <w:rsid w:val="7C7136CC"/>
    <w:rsid w:val="7C735B1E"/>
    <w:rsid w:val="7CE64029"/>
    <w:rsid w:val="7D030234"/>
    <w:rsid w:val="7D1F7212"/>
    <w:rsid w:val="7D755AD9"/>
    <w:rsid w:val="7DA12AF5"/>
    <w:rsid w:val="7E1145E2"/>
    <w:rsid w:val="7E8618F4"/>
    <w:rsid w:val="7F3B0601"/>
    <w:rsid w:val="7FC66911"/>
    <w:rsid w:val="7FD8234F"/>
    <w:rsid w:val="7FFF082B"/>
    <w:rsid w:val="A7F2CDD6"/>
    <w:rsid w:val="C5FDC76E"/>
    <w:rsid w:val="D79FA6E8"/>
    <w:rsid w:val="DDD5E059"/>
    <w:rsid w:val="DEFAAEC4"/>
    <w:rsid w:val="ED678DE0"/>
    <w:rsid w:val="F6FAFEBB"/>
    <w:rsid w:val="FFEFFF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qFormat="1" w:unhideWhenUsed="0" w:uiPriority="0" w:semiHidden="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link w:val="968"/>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9"/>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3"/>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0"/>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3"/>
    <w:autoRedefine/>
    <w:qFormat/>
    <w:uiPriority w:val="0"/>
    <w:pPr>
      <w:shd w:val="clear" w:color="auto" w:fill="000080"/>
    </w:pPr>
  </w:style>
  <w:style w:type="paragraph" w:styleId="19">
    <w:name w:val="annotation text"/>
    <w:basedOn w:val="1"/>
    <w:link w:val="345"/>
    <w:qFormat/>
    <w:uiPriority w:val="99"/>
    <w:pPr>
      <w:jc w:val="left"/>
    </w:pPr>
  </w:style>
  <w:style w:type="paragraph" w:styleId="20">
    <w:name w:val="Salutation"/>
    <w:basedOn w:val="1"/>
    <w:next w:val="1"/>
    <w:link w:val="299"/>
    <w:qFormat/>
    <w:uiPriority w:val="0"/>
    <w:rPr>
      <w:rFonts w:ascii="仿宋_GB2312" w:eastAsia="仿宋_GB2312"/>
      <w:sz w:val="28"/>
      <w:szCs w:val="20"/>
    </w:rPr>
  </w:style>
  <w:style w:type="paragraph" w:styleId="21">
    <w:name w:val="Body Text 3"/>
    <w:basedOn w:val="1"/>
    <w:link w:val="331"/>
    <w:autoRedefine/>
    <w:qFormat/>
    <w:uiPriority w:val="0"/>
    <w:pPr>
      <w:jc w:val="center"/>
    </w:pPr>
    <w:rPr>
      <w:szCs w:val="20"/>
    </w:rPr>
  </w:style>
  <w:style w:type="paragraph" w:styleId="22">
    <w:name w:val="List Bullet 3"/>
    <w:basedOn w:val="1"/>
    <w:qFormat/>
    <w:uiPriority w:val="0"/>
    <w:pPr>
      <w:snapToGrid w:val="0"/>
      <w:spacing w:line="360" w:lineRule="auto"/>
      <w:ind w:left="360" w:right="238" w:hanging="360"/>
      <w:contextualSpacing/>
    </w:pPr>
    <w:rPr>
      <w:sz w:val="24"/>
    </w:rPr>
  </w:style>
  <w:style w:type="paragraph" w:styleId="23">
    <w:name w:val="Body Text"/>
    <w:basedOn w:val="1"/>
    <w:next w:val="24"/>
    <w:link w:val="431"/>
    <w:qFormat/>
    <w:uiPriority w:val="0"/>
    <w:pPr>
      <w:autoSpaceDE w:val="0"/>
      <w:autoSpaceDN w:val="0"/>
      <w:spacing w:line="360" w:lineRule="auto"/>
    </w:pPr>
    <w:rPr>
      <w:rFonts w:ascii="宋体" w:hAnsi="Arial" w:cs="Arial"/>
      <w:snapToGrid w:val="0"/>
      <w:sz w:val="24"/>
      <w:szCs w:val="21"/>
      <w:lang w:val="zh-CN"/>
    </w:rPr>
  </w:style>
  <w:style w:type="paragraph" w:styleId="24">
    <w:name w:val="toc 4"/>
    <w:basedOn w:val="1"/>
    <w:next w:val="1"/>
    <w:qFormat/>
    <w:uiPriority w:val="39"/>
    <w:pPr>
      <w:ind w:left="1260" w:leftChars="600"/>
    </w:pPr>
  </w:style>
  <w:style w:type="paragraph" w:styleId="25">
    <w:name w:val="Body Text Indent"/>
    <w:basedOn w:val="1"/>
    <w:next w:val="26"/>
    <w:link w:val="266"/>
    <w:autoRedefine/>
    <w:qFormat/>
    <w:uiPriority w:val="0"/>
    <w:pPr>
      <w:spacing w:line="480" w:lineRule="exact"/>
      <w:ind w:firstLine="480" w:firstLineChars="200"/>
    </w:pPr>
    <w:rPr>
      <w:rFonts w:ascii="宋体" w:hAnsi="宋体"/>
      <w:sz w:val="24"/>
    </w:rPr>
  </w:style>
  <w:style w:type="paragraph" w:styleId="26">
    <w:name w:val="envelope return"/>
    <w:basedOn w:val="1"/>
    <w:autoRedefine/>
    <w:qFormat/>
    <w:uiPriority w:val="0"/>
    <w:pPr>
      <w:snapToGrid w:val="0"/>
    </w:pPr>
    <w:rPr>
      <w:rFonts w:ascii="Arial" w:hAnsi="Arial"/>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0"/>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39"/>
    <w:pPr>
      <w:ind w:left="1680" w:leftChars="800"/>
    </w:pPr>
  </w:style>
  <w:style w:type="paragraph" w:styleId="33">
    <w:name w:val="toc 3"/>
    <w:basedOn w:val="1"/>
    <w:next w:val="1"/>
    <w:autoRedefine/>
    <w:qFormat/>
    <w:uiPriority w:val="39"/>
    <w:pPr>
      <w:tabs>
        <w:tab w:val="right" w:leader="dot" w:pos="8268"/>
      </w:tabs>
      <w:spacing w:line="460" w:lineRule="exact"/>
      <w:ind w:left="840" w:leftChars="400" w:firstLine="482"/>
    </w:pPr>
    <w:rPr>
      <w:rFonts w:ascii="宋体" w:hAnsi="宋体"/>
    </w:rPr>
  </w:style>
  <w:style w:type="paragraph" w:styleId="34">
    <w:name w:val="Plain Text"/>
    <w:basedOn w:val="1"/>
    <w:next w:val="1"/>
    <w:link w:val="126"/>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39"/>
    <w:pPr>
      <w:ind w:left="2940" w:leftChars="1400"/>
    </w:pPr>
  </w:style>
  <w:style w:type="paragraph" w:styleId="37">
    <w:name w:val="Date"/>
    <w:basedOn w:val="1"/>
    <w:next w:val="1"/>
    <w:link w:val="182"/>
    <w:qFormat/>
    <w:uiPriority w:val="0"/>
    <w:pPr>
      <w:ind w:left="100" w:leftChars="2500"/>
    </w:pPr>
    <w:rPr>
      <w:rFonts w:ascii="宋体"/>
      <w:sz w:val="24"/>
      <w:szCs w:val="21"/>
      <w:lang w:val="zh-CN"/>
    </w:rPr>
  </w:style>
  <w:style w:type="paragraph" w:styleId="38">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9">
    <w:name w:val="endnote text"/>
    <w:basedOn w:val="1"/>
    <w:link w:val="933"/>
    <w:autoRedefine/>
    <w:qFormat/>
    <w:uiPriority w:val="0"/>
    <w:rPr>
      <w:lang w:val="zh-CN"/>
    </w:rPr>
  </w:style>
  <w:style w:type="paragraph" w:styleId="40">
    <w:name w:val="Balloon Text"/>
    <w:basedOn w:val="1"/>
    <w:link w:val="189"/>
    <w:qFormat/>
    <w:uiPriority w:val="0"/>
    <w:rPr>
      <w:sz w:val="18"/>
      <w:szCs w:val="18"/>
    </w:rPr>
  </w:style>
  <w:style w:type="paragraph" w:styleId="41">
    <w:name w:val="footer"/>
    <w:basedOn w:val="1"/>
    <w:link w:val="384"/>
    <w:autoRedefine/>
    <w:qFormat/>
    <w:uiPriority w:val="99"/>
    <w:pPr>
      <w:tabs>
        <w:tab w:val="center" w:pos="4153"/>
        <w:tab w:val="right" w:pos="8306"/>
      </w:tabs>
      <w:snapToGrid w:val="0"/>
      <w:jc w:val="left"/>
    </w:pPr>
    <w:rPr>
      <w:sz w:val="18"/>
      <w:szCs w:val="18"/>
    </w:rPr>
  </w:style>
  <w:style w:type="paragraph" w:styleId="42">
    <w:name w:val="header"/>
    <w:basedOn w:val="1"/>
    <w:link w:val="393"/>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6"/>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39"/>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311"/>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39"/>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 w:val="24"/>
      <w:szCs w:val="20"/>
    </w:rPr>
  </w:style>
  <w:style w:type="paragraph" w:styleId="54">
    <w:name w:val="toc 2"/>
    <w:basedOn w:val="1"/>
    <w:next w:val="1"/>
    <w:qFormat/>
    <w:uiPriority w:val="39"/>
    <w:pPr>
      <w:ind w:left="420" w:leftChars="200"/>
    </w:pPr>
  </w:style>
  <w:style w:type="paragraph" w:styleId="55">
    <w:name w:val="toc 9"/>
    <w:basedOn w:val="1"/>
    <w:next w:val="1"/>
    <w:qFormat/>
    <w:uiPriority w:val="39"/>
    <w:pPr>
      <w:ind w:left="3360" w:leftChars="1600"/>
    </w:pPr>
  </w:style>
  <w:style w:type="paragraph" w:styleId="56">
    <w:name w:val="Body Text 2"/>
    <w:basedOn w:val="1"/>
    <w:link w:val="303"/>
    <w:qFormat/>
    <w:uiPriority w:val="0"/>
    <w:pPr>
      <w:spacing w:after="120" w:line="480" w:lineRule="auto"/>
    </w:pPr>
  </w:style>
  <w:style w:type="paragraph" w:styleId="57">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7"/>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7"/>
    <w:qFormat/>
    <w:uiPriority w:val="0"/>
    <w:rPr>
      <w:b/>
      <w:bCs/>
    </w:rPr>
  </w:style>
  <w:style w:type="paragraph" w:styleId="61">
    <w:name w:val="Body Text First Indent"/>
    <w:basedOn w:val="23"/>
    <w:next w:val="51"/>
    <w:link w:val="322"/>
    <w:qFormat/>
    <w:uiPriority w:val="0"/>
    <w:pPr>
      <w:ind w:firstLine="420"/>
    </w:pPr>
    <w:rPr>
      <w:rFonts w:hAnsi="Calibri" w:cs="Times New Roman"/>
      <w:snapToGrid/>
      <w:szCs w:val="20"/>
    </w:rPr>
  </w:style>
  <w:style w:type="paragraph" w:styleId="62">
    <w:name w:val="Body Text First Indent 2"/>
    <w:basedOn w:val="25"/>
    <w:next w:val="1"/>
    <w:link w:val="122"/>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basedOn w:val="70"/>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paragraph" w:customStyle="1" w:styleId="82">
    <w:name w:val="Fließtext"/>
    <w:basedOn w:val="1"/>
    <w:qFormat/>
    <w:uiPriority w:val="0"/>
    <w:pPr>
      <w:overflowPunct w:val="0"/>
      <w:autoSpaceDE w:val="0"/>
      <w:autoSpaceDN w:val="0"/>
      <w:textAlignment w:val="baseline"/>
    </w:pPr>
    <w:rPr>
      <w:kern w:val="28"/>
      <w:szCs w:val="20"/>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_e8c23f48-3b82-45bf-9095-0045c7dde633"/>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字符"/>
    <w:link w:val="60"/>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autoRedefine/>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_c14b8cf1-d792-4b59-aeec-75be96df4010"/>
    <w:qFormat/>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文本首行缩进 2 字符"/>
    <w:link w:val="62"/>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0"/>
    <w:qFormat/>
    <w:uiPriority w:val="0"/>
    <w:rPr>
      <w:rFonts w:ascii="Arial" w:hAnsi="Arial" w:eastAsia="黑体" w:cs="Arial"/>
      <w:snapToGrid w:val="0"/>
      <w:kern w:val="0"/>
      <w:szCs w:val="21"/>
    </w:rPr>
  </w:style>
  <w:style w:type="character" w:customStyle="1" w:styleId="126">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字符"/>
    <w:link w:val="47"/>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字符"/>
    <w:link w:val="7"/>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99"/>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3"/>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字符"/>
    <w:link w:val="37"/>
    <w:qFormat/>
    <w:uiPriority w:val="0"/>
    <w:rPr>
      <w:rFonts w:ascii="宋体"/>
      <w:kern w:val="2"/>
      <w:sz w:val="24"/>
      <w:szCs w:val="21"/>
      <w:lang w:val="zh-CN"/>
    </w:rPr>
  </w:style>
  <w:style w:type="character" w:customStyle="1" w:styleId="183">
    <w:name w:val="标题 9 字符"/>
    <w:link w:val="10"/>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qFormat/>
    <w:uiPriority w:val="99"/>
    <w:rPr>
      <w:rFonts w:ascii="Times New Roman" w:hAnsi="Times New Roman" w:eastAsia="宋体" w:cs="Times New Roman"/>
      <w:szCs w:val="24"/>
    </w:rPr>
  </w:style>
  <w:style w:type="character" w:customStyle="1" w:styleId="189">
    <w:name w:val="批注框文本 字符1"/>
    <w:link w:val="40"/>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字符2"/>
    <w:link w:val="1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99"/>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字符"/>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0"/>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字符"/>
    <w:link w:val="31"/>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5"/>
    <w:link w:val="223"/>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_44caebef-21de-4885-86e1-f23d77c2b0ec"/>
    <w:qFormat/>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字符"/>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字符1"/>
    <w:link w:val="25"/>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_c44327a1-8f14-499e-8caa-d500fe8e22f7"/>
    <w:qFormat/>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字符1"/>
    <w:link w:val="2"/>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字符"/>
    <w:link w:val="59"/>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字符"/>
    <w:link w:val="6"/>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字符"/>
    <w:link w:val="20"/>
    <w:qFormat/>
    <w:uiPriority w:val="0"/>
    <w:rPr>
      <w:rFonts w:ascii="仿宋_GB2312" w:eastAsia="仿宋_GB2312"/>
      <w:kern w:val="2"/>
      <w:sz w:val="28"/>
    </w:rPr>
  </w:style>
  <w:style w:type="character" w:customStyle="1" w:styleId="300">
    <w:name w:val="文本正文 Char Char"/>
    <w:qFormat/>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字符"/>
    <w:link w:val="57"/>
    <w:qFormat/>
    <w:uiPriority w:val="0"/>
    <w:rPr>
      <w:rFonts w:ascii="黑体" w:hAnsi="Courier New" w:eastAsia="黑体"/>
    </w:rPr>
  </w:style>
  <w:style w:type="character" w:customStyle="1" w:styleId="303">
    <w:name w:val="正文文本 2 字符1"/>
    <w:link w:val="56"/>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5"/>
    <w:link w:val="414"/>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字符"/>
    <w:link w:val="8"/>
    <w:qFormat/>
    <w:uiPriority w:val="0"/>
    <w:rPr>
      <w:b/>
      <w:bCs/>
      <w:kern w:val="2"/>
      <w:sz w:val="24"/>
      <w:szCs w:val="24"/>
    </w:rPr>
  </w:style>
  <w:style w:type="character" w:customStyle="1" w:styleId="309">
    <w:name w:val="正文文本缩进 2 字符"/>
    <w:link w:val="38"/>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字符"/>
    <w:link w:val="50"/>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文本首行缩进 字符"/>
    <w:link w:val="61"/>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字符1"/>
    <w:link w:val="5"/>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字符"/>
    <w:link w:val="21"/>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字符1"/>
    <w:link w:val="19"/>
    <w:qFormat/>
    <w:uiPriority w:val="99"/>
    <w:rPr>
      <w:kern w:val="2"/>
      <w:sz w:val="21"/>
      <w:szCs w:val="24"/>
    </w:rPr>
  </w:style>
  <w:style w:type="character" w:customStyle="1" w:styleId="346">
    <w:name w:val="签名 字符"/>
    <w:link w:val="43"/>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9"/>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字符"/>
    <w:link w:val="53"/>
    <w:qFormat/>
    <w:uiPriority w:val="0"/>
    <w:rPr>
      <w:kern w:val="2"/>
      <w:sz w:val="24"/>
    </w:rPr>
  </w:style>
  <w:style w:type="character" w:customStyle="1" w:styleId="377">
    <w:name w:val="日期 Char1"/>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字符2"/>
    <w:link w:val="41"/>
    <w:qFormat/>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字符2"/>
    <w:link w:val="42"/>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autoRedefine/>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autoRedefine/>
    <w:qFormat/>
    <w:uiPriority w:val="9"/>
    <w:rPr>
      <w:rFonts w:ascii="Arial" w:hAnsi="Arial" w:eastAsia="黑体" w:cs="Arial"/>
      <w:b/>
      <w:bCs/>
      <w:snapToGrid w:val="0"/>
      <w:kern w:val="44"/>
      <w:sz w:val="44"/>
      <w:szCs w:val="44"/>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1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5"/>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qFormat/>
    <w:uiPriority w:val="0"/>
    <w:pPr>
      <w:keepLines w:val="0"/>
      <w:widowControl/>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outlineLvl w:val="5"/>
    </w:pPr>
  </w:style>
  <w:style w:type="paragraph" w:customStyle="1" w:styleId="475">
    <w:name w:val="5级标题"/>
    <w:basedOn w:val="476"/>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6"/>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517"/>
    <w:next w:val="23"/>
    <w:qFormat/>
    <w:uiPriority w:val="0"/>
    <w:pPr>
      <w:adjustRightInd/>
      <w:ind w:firstLine="200" w:firstLineChars="200"/>
    </w:pPr>
    <w:rPr>
      <w:rFonts w:ascii="Arial" w:hAnsi="Arial"/>
      <w:spacing w:val="-5"/>
      <w:sz w:val="24"/>
    </w:rPr>
  </w:style>
  <w:style w:type="paragraph" w:customStyle="1" w:styleId="517">
    <w:name w:val="表格"/>
    <w:basedOn w:val="1"/>
    <w:qFormat/>
    <w:uiPriority w:val="0"/>
    <w:pPr>
      <w:snapToGrid w:val="0"/>
      <w:ind w:firstLine="42" w:firstLineChars="21"/>
    </w:pPr>
    <w:rPr>
      <w:rFonts w:ascii="宋体" w:hAnsi="宋体"/>
      <w:kern w:val="0"/>
      <w:sz w:val="20"/>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5"/>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Lines="50"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3"/>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6"/>
    <w:next w:val="236"/>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6"/>
    <w:next w:val="236"/>
    <w:qFormat/>
    <w:uiPriority w:val="0"/>
    <w:rPr>
      <w:rFonts w:ascii="宋体" w:eastAsia="宋体" w:cs="Times New Roman"/>
      <w:color w:val="auto"/>
    </w:rPr>
  </w:style>
  <w:style w:type="paragraph" w:customStyle="1" w:styleId="55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3"/>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6"/>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2"/>
    <w:qFormat/>
    <w:uiPriority w:val="0"/>
    <w:pPr>
      <w:tabs>
        <w:tab w:val="left" w:pos="840"/>
      </w:tabs>
      <w:adjustRightInd/>
      <w:ind w:left="840" w:hanging="420"/>
    </w:pPr>
  </w:style>
  <w:style w:type="paragraph" w:customStyle="1" w:styleId="628">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ind w:left="1680"/>
      <w:outlineLvl w:val="2"/>
    </w:pPr>
  </w:style>
  <w:style w:type="paragraph" w:customStyle="1" w:styleId="659">
    <w:name w:val="章标题"/>
    <w:next w:val="64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5"/>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Lines="50"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8"/>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6"/>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5"/>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8"/>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40"/>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6"/>
    <w:next w:val="1"/>
    <w:qFormat/>
    <w:uiPriority w:val="0"/>
    <w:pPr>
      <w:tabs>
        <w:tab w:val="left" w:pos="1080"/>
      </w:tabs>
      <w:ind w:left="1080" w:hanging="1080"/>
    </w:pPr>
  </w:style>
  <w:style w:type="paragraph" w:customStyle="1" w:styleId="898">
    <w:name w:val="数字标题1"/>
    <w:basedOn w:val="2"/>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4"/>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字符"/>
    <w:link w:val="39"/>
    <w:qFormat/>
    <w:uiPriority w:val="0"/>
    <w:rPr>
      <w:kern w:val="2"/>
      <w:sz w:val="21"/>
      <w:szCs w:val="24"/>
      <w:lang w:val="zh-CN"/>
    </w:rPr>
  </w:style>
  <w:style w:type="character" w:customStyle="1" w:styleId="934">
    <w:name w:val="无间隔 字符"/>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qFormat/>
    <w:uiPriority w:val="99"/>
    <w:rPr>
      <w:rFonts w:ascii="Times New Roman" w:hAnsi="Times New Roman" w:eastAsia="宋体" w:cs="Times New Roman"/>
      <w:kern w:val="2"/>
      <w:sz w:val="21"/>
      <w:szCs w:val="24"/>
      <w:lang w:val="en-US" w:eastAsia="zh-CN" w:bidi="ar-SA"/>
    </w:rPr>
  </w:style>
  <w:style w:type="paragraph" w:customStyle="1" w:styleId="966">
    <w:name w:val="TOC 标题2"/>
    <w:basedOn w:val="2"/>
    <w:next w:val="1"/>
    <w:qFormat/>
    <w:uiPriority w:val="39"/>
    <w:pPr>
      <w:widowControl/>
      <w:tabs>
        <w:tab w:val="clear" w:pos="432"/>
      </w:tabs>
      <w:adjustRightInd/>
      <w:spacing w:before="240" w:after="0" w:line="259" w:lineRule="auto"/>
      <w:ind w:left="0" w:firstLine="0"/>
      <w:jc w:val="left"/>
      <w:outlineLvl w:val="9"/>
    </w:pPr>
    <w:rPr>
      <w:rFonts w:ascii="Cambria" w:hAnsi="Cambria" w:cs="宋体"/>
      <w:b w:val="0"/>
      <w:bCs w:val="0"/>
      <w:color w:val="366091"/>
      <w:kern w:val="0"/>
      <w:sz w:val="32"/>
      <w:szCs w:val="32"/>
    </w:rPr>
  </w:style>
  <w:style w:type="character" w:customStyle="1" w:styleId="967">
    <w:name w:val="bookmark-item"/>
    <w:qFormat/>
    <w:uiPriority w:val="0"/>
  </w:style>
  <w:style w:type="character" w:customStyle="1" w:styleId="968">
    <w:name w:val="标题 2 字符1"/>
    <w:link w:val="3"/>
    <w:qFormat/>
    <w:uiPriority w:val="0"/>
    <w:rPr>
      <w:rFonts w:ascii="仿宋_GB2312" w:hAnsi="仿宋" w:eastAsia="仿宋_GB2312"/>
      <w:b/>
      <w:bCs/>
      <w:sz w:val="32"/>
      <w:szCs w:val="32"/>
      <w:lang w:val="zh-CN"/>
    </w:rPr>
  </w:style>
  <w:style w:type="character" w:customStyle="1" w:styleId="969">
    <w:name w:val="NormalCharacter"/>
    <w:qFormat/>
    <w:uiPriority w:val="0"/>
    <w:rPr>
      <w:rFonts w:ascii="Times New Roman" w:hAnsi="Times New Roman" w:eastAsia="宋体" w:cs="Times New Roman"/>
      <w:kern w:val="2"/>
      <w:sz w:val="21"/>
      <w:szCs w:val="24"/>
      <w:lang w:val="en-US" w:eastAsia="zh-CN" w:bidi="ar-SA"/>
    </w:rPr>
  </w:style>
  <w:style w:type="paragraph" w:customStyle="1" w:styleId="970">
    <w:name w:val="Plain Text_f336daa5-9cb0-4ba9-a526-9b188425ca5e"/>
    <w:basedOn w:val="971"/>
    <w:qFormat/>
    <w:uiPriority w:val="0"/>
    <w:pPr>
      <w:widowControl/>
      <w:jc w:val="left"/>
    </w:pPr>
    <w:rPr>
      <w:rFonts w:ascii="宋体" w:hAnsi="Courier New"/>
    </w:rPr>
  </w:style>
  <w:style w:type="paragraph" w:customStyle="1" w:styleId="971">
    <w:name w:val="Normal_ce1bed77-5791-4165-bb38-fa05e7c2208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72">
    <w:name w:val="Body text|3"/>
    <w:basedOn w:val="1"/>
    <w:qFormat/>
    <w:uiPriority w:val="0"/>
    <w:pPr>
      <w:shd w:val="clear" w:color="auto" w:fill="FFFFFF"/>
      <w:spacing w:before="500" w:after="2360" w:line="280" w:lineRule="exact"/>
    </w:pPr>
    <w:rPr>
      <w:rFonts w:ascii="PMingLiU" w:hAnsi="PMingLiU" w:eastAsia="PMingLiU" w:cs="PMingLiU"/>
      <w:b/>
      <w:bCs/>
      <w:spacing w:val="20"/>
      <w:sz w:val="28"/>
      <w:szCs w:val="28"/>
    </w:rPr>
  </w:style>
  <w:style w:type="paragraph" w:customStyle="1" w:styleId="973">
    <w:name w:val="纯文本3"/>
    <w:basedOn w:val="1"/>
    <w:qFormat/>
    <w:uiPriority w:val="0"/>
    <w:rPr>
      <w:rFonts w:ascii="宋体" w:hAnsi="Courier New"/>
      <w:kern w:val="0"/>
      <w:sz w:val="20"/>
      <w:szCs w:val="20"/>
    </w:rPr>
  </w:style>
  <w:style w:type="paragraph" w:customStyle="1" w:styleId="974">
    <w:name w:val="UserStyle_0"/>
    <w:basedOn w:val="1"/>
    <w:qFormat/>
    <w:uiPriority w:val="0"/>
    <w:pPr>
      <w:ind w:firstLine="420" w:firstLineChars="200"/>
      <w:textAlignment w:val="baseline"/>
    </w:pPr>
    <w:rPr>
      <w:rFonts w:ascii="Calibri" w:hAnsi="Calibri"/>
      <w:szCs w:val="21"/>
    </w:rPr>
  </w:style>
  <w:style w:type="paragraph" w:customStyle="1" w:styleId="975">
    <w:name w:val="样式 3 10 磅17"/>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jpeg"/><Relationship Id="rId22" Type="http://schemas.openxmlformats.org/officeDocument/2006/relationships/theme" Target="theme/theme1.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70</Pages>
  <Words>2887</Words>
  <Characters>3321</Characters>
  <Lines>329</Lines>
  <Paragraphs>92</Paragraphs>
  <TotalTime>0</TotalTime>
  <ScaleCrop>false</ScaleCrop>
  <LinksUpToDate>false</LinksUpToDate>
  <CharactersWithSpaces>3452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2023-06-07T03:16:00Z</dcterms:created>
  <dc:creator>玥</dc:creator>
  <cp:lastModifiedBy>Administrator</cp:lastModifiedBy>
  <cp:lastPrinted>2024-05-19T02:52:00Z</cp:lastPrinted>
  <dcterms:modified xsi:type="dcterms:W3CDTF">2025-06-24T13:25:17Z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6EF9DDB4825348D0BE0853C2E59D36A7_13</vt:lpwstr>
  </property>
  <property fmtid="{D5CDD505-2E9C-101B-9397-08002B2CF9AE}" pid="5" name="KSOTemplateDocerSaveRecord">
    <vt:lpwstr>eyJoZGlkIjoiZTcwY2EwMjg5MmZkNmVhNGIxNGU5MWJhMDFlN2U5MzkiLCJ1c2VySWQiOiIyNDcxMTA3ODcifQ==</vt:lpwstr>
  </property>
</Properties>
</file>