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Times New Roman"/>
          <w:bCs/>
          <w:color w:val="000000"/>
          <w:kern w:val="0"/>
          <w:sz w:val="52"/>
          <w:szCs w:val="52"/>
        </w:rPr>
      </w:pPr>
      <w:bookmarkStart w:id="0" w:name="_Toc494407521"/>
      <w:bookmarkStart w:id="1" w:name="_Toc482280311"/>
      <w:bookmarkStart w:id="2" w:name="OLE_LINK3"/>
      <w:r>
        <w:rPr>
          <w:rFonts w:hint="eastAsia" w:ascii="宋体" w:hAnsi="宋体" w:eastAsia="宋体" w:cs="Times New Roman"/>
          <w:color w:val="000000"/>
          <w:spacing w:val="20"/>
          <w:kern w:val="0"/>
          <w:sz w:val="84"/>
          <w:szCs w:val="20"/>
          <w:lang w:eastAsia="zh-CN"/>
        </w:rPr>
        <w:t>温州开发区</w:t>
      </w:r>
      <w:r>
        <w:rPr>
          <w:rFonts w:hint="eastAsia" w:ascii="宋体" w:hAnsi="宋体" w:eastAsia="宋体" w:cs="Times New Roman"/>
          <w:color w:val="000000"/>
          <w:spacing w:val="20"/>
          <w:kern w:val="0"/>
          <w:sz w:val="84"/>
          <w:szCs w:val="20"/>
        </w:rPr>
        <w:t>（分散）采购</w:t>
      </w:r>
    </w:p>
    <w:p>
      <w:pPr>
        <w:ind w:firstLine="2350" w:firstLineChars="235"/>
        <w:rPr>
          <w:rFonts w:ascii="宋体" w:hAnsi="宋体" w:eastAsia="宋体" w:cs="Times New Roman"/>
          <w:bCs/>
          <w:color w:val="000000"/>
          <w:spacing w:val="140"/>
          <w:kern w:val="0"/>
          <w:sz w:val="72"/>
          <w:szCs w:val="20"/>
        </w:rPr>
      </w:pPr>
    </w:p>
    <w:p>
      <w:pPr>
        <w:jc w:val="center"/>
        <w:rPr>
          <w:rFonts w:ascii="宋体" w:hAnsi="宋体" w:eastAsia="宋体" w:cs="Times New Roman"/>
          <w:bCs/>
          <w:color w:val="000000"/>
          <w:spacing w:val="140"/>
          <w:kern w:val="0"/>
          <w:sz w:val="72"/>
          <w:szCs w:val="20"/>
        </w:rPr>
      </w:pPr>
    </w:p>
    <w:p>
      <w:pPr>
        <w:adjustRightInd w:val="0"/>
        <w:snapToGrid w:val="0"/>
        <w:spacing w:line="480" w:lineRule="auto"/>
        <w:ind w:right="361"/>
        <w:jc w:val="center"/>
        <w:rPr>
          <w:rFonts w:ascii="宋体" w:hAnsi="宋体" w:eastAsia="宋体" w:cs="Times New Roman"/>
          <w:color w:val="000000"/>
          <w:kern w:val="0"/>
          <w:sz w:val="84"/>
          <w:szCs w:val="84"/>
        </w:rPr>
      </w:pPr>
      <w:r>
        <w:rPr>
          <w:rFonts w:hint="eastAsia" w:ascii="宋体" w:hAnsi="宋体" w:eastAsia="宋体" w:cs="Times New Roman"/>
          <w:bCs/>
          <w:color w:val="000000"/>
          <w:kern w:val="0"/>
          <w:sz w:val="84"/>
          <w:szCs w:val="84"/>
        </w:rPr>
        <w:t>招 标 文 件</w:t>
      </w:r>
    </w:p>
    <w:p>
      <w:pPr>
        <w:ind w:left="1888" w:leftChars="899" w:firstLine="208" w:firstLineChars="87"/>
        <w:rPr>
          <w:rFonts w:ascii="宋体" w:hAnsi="宋体" w:eastAsia="宋体" w:cs="Times New Roman"/>
          <w:bCs/>
          <w:color w:val="000000"/>
          <w:kern w:val="0"/>
          <w:sz w:val="24"/>
          <w:szCs w:val="20"/>
        </w:rPr>
      </w:pPr>
    </w:p>
    <w:p>
      <w:pPr>
        <w:ind w:left="1888" w:leftChars="899" w:firstLine="208" w:firstLineChars="87"/>
        <w:rPr>
          <w:rFonts w:ascii="宋体" w:hAnsi="宋体" w:eastAsia="宋体" w:cs="Times New Roman"/>
          <w:bCs/>
          <w:color w:val="000000"/>
          <w:kern w:val="0"/>
          <w:sz w:val="24"/>
          <w:szCs w:val="20"/>
        </w:rPr>
      </w:pPr>
    </w:p>
    <w:p>
      <w:pPr>
        <w:ind w:left="1888" w:leftChars="899" w:firstLine="208" w:firstLineChars="87"/>
        <w:rPr>
          <w:rFonts w:ascii="宋体" w:hAnsi="宋体" w:eastAsia="宋体" w:cs="Times New Roman"/>
          <w:bCs/>
          <w:color w:val="000000"/>
          <w:kern w:val="0"/>
          <w:sz w:val="24"/>
          <w:szCs w:val="20"/>
        </w:rPr>
      </w:pPr>
    </w:p>
    <w:p>
      <w:pPr>
        <w:spacing w:line="800" w:lineRule="exact"/>
        <w:ind w:left="3635" w:leftChars="531" w:hanging="2520" w:hangingChars="700"/>
        <w:rPr>
          <w:rFonts w:hint="eastAsia" w:ascii="宋体" w:hAnsi="宋体" w:eastAsia="宋体" w:cs="Times New Roman"/>
          <w:color w:val="000000"/>
          <w:kern w:val="0"/>
          <w:sz w:val="28"/>
          <w:szCs w:val="28"/>
          <w:lang w:eastAsia="zh-CN"/>
        </w:rPr>
      </w:pPr>
      <w:r>
        <w:rPr>
          <w:rFonts w:hint="eastAsia" w:ascii="宋体" w:hAnsi="宋体" w:eastAsia="宋体" w:cs="Times New Roman"/>
          <w:color w:val="000000"/>
          <w:spacing w:val="40"/>
          <w:kern w:val="0"/>
          <w:sz w:val="28"/>
          <w:szCs w:val="28"/>
        </w:rPr>
        <w:t>项目编号：</w:t>
      </w:r>
      <w:r>
        <w:rPr>
          <w:rFonts w:hint="eastAsia" w:ascii="宋体" w:hAnsi="宋体" w:eastAsia="仿宋_GB2312" w:cs="Times New Roman"/>
          <w:color w:val="000000"/>
          <w:kern w:val="0"/>
          <w:sz w:val="28"/>
          <w:szCs w:val="28"/>
          <w:lang w:eastAsia="zh-CN"/>
        </w:rPr>
        <w:t>zjyx20190704</w:t>
      </w:r>
    </w:p>
    <w:p>
      <w:pPr>
        <w:spacing w:line="800" w:lineRule="exact"/>
        <w:ind w:firstLine="1080" w:firstLineChars="300"/>
        <w:rPr>
          <w:rFonts w:hint="eastAsia" w:ascii="宋体" w:hAnsi="宋体" w:eastAsia="宋体" w:cs="Times New Roman"/>
          <w:color w:val="000000"/>
          <w:spacing w:val="40"/>
          <w:kern w:val="0"/>
          <w:sz w:val="28"/>
          <w:szCs w:val="28"/>
          <w:lang w:eastAsia="zh-CN"/>
        </w:rPr>
      </w:pPr>
      <w:r>
        <w:rPr>
          <w:rFonts w:hint="eastAsia" w:ascii="宋体" w:hAnsi="宋体" w:eastAsia="宋体" w:cs="Times New Roman"/>
          <w:color w:val="000000"/>
          <w:spacing w:val="40"/>
          <w:kern w:val="0"/>
          <w:sz w:val="28"/>
          <w:szCs w:val="28"/>
        </w:rPr>
        <w:t>项目名称：</w:t>
      </w:r>
      <w:r>
        <w:rPr>
          <w:rFonts w:hint="eastAsia" w:ascii="宋体" w:hAnsi="宋体" w:eastAsia="宋体" w:cs="Times New Roman"/>
          <w:color w:val="000000"/>
          <w:kern w:val="0"/>
          <w:sz w:val="28"/>
          <w:szCs w:val="28"/>
          <w:lang w:eastAsia="zh-CN"/>
        </w:rPr>
        <w:t>天河中学新建教学综合楼功能室设备</w:t>
      </w:r>
    </w:p>
    <w:p>
      <w:pPr>
        <w:spacing w:line="800" w:lineRule="exact"/>
        <w:ind w:firstLine="1080" w:firstLineChars="300"/>
        <w:rPr>
          <w:rFonts w:ascii="宋体" w:hAnsi="宋体" w:eastAsia="宋体" w:cs="Times New Roman"/>
          <w:color w:val="000000"/>
          <w:spacing w:val="40"/>
          <w:kern w:val="0"/>
          <w:sz w:val="28"/>
          <w:szCs w:val="28"/>
        </w:rPr>
      </w:pPr>
      <w:r>
        <w:rPr>
          <w:rFonts w:hint="eastAsia" w:ascii="宋体" w:hAnsi="宋体" w:eastAsia="宋体" w:cs="Times New Roman"/>
          <w:color w:val="000000"/>
          <w:spacing w:val="40"/>
          <w:kern w:val="0"/>
          <w:sz w:val="28"/>
          <w:szCs w:val="28"/>
        </w:rPr>
        <w:t>采购方式：公开招标</w:t>
      </w:r>
    </w:p>
    <w:p>
      <w:pPr>
        <w:spacing w:line="600" w:lineRule="exact"/>
        <w:ind w:firstLine="1144" w:firstLineChars="300"/>
        <w:rPr>
          <w:rFonts w:ascii="宋体" w:hAnsi="宋体" w:eastAsia="宋体" w:cs="Times New Roman"/>
          <w:b/>
          <w:color w:val="000000"/>
          <w:spacing w:val="40"/>
          <w:kern w:val="0"/>
          <w:sz w:val="30"/>
          <w:szCs w:val="30"/>
        </w:rPr>
      </w:pPr>
    </w:p>
    <w:p>
      <w:pPr>
        <w:spacing w:line="600" w:lineRule="exact"/>
        <w:ind w:firstLine="1144" w:firstLineChars="300"/>
        <w:rPr>
          <w:rFonts w:ascii="宋体" w:hAnsi="宋体" w:eastAsia="宋体" w:cs="Times New Roman"/>
          <w:b/>
          <w:color w:val="000000"/>
          <w:spacing w:val="40"/>
          <w:kern w:val="0"/>
          <w:sz w:val="30"/>
          <w:szCs w:val="30"/>
        </w:rPr>
      </w:pPr>
    </w:p>
    <w:p>
      <w:pPr>
        <w:spacing w:line="600" w:lineRule="exact"/>
        <w:ind w:firstLine="1144" w:firstLineChars="300"/>
        <w:rPr>
          <w:rFonts w:ascii="宋体" w:hAnsi="宋体" w:eastAsia="宋体" w:cs="Times New Roman"/>
          <w:b/>
          <w:color w:val="000000"/>
          <w:spacing w:val="40"/>
          <w:kern w:val="0"/>
          <w:sz w:val="30"/>
          <w:szCs w:val="30"/>
        </w:rPr>
      </w:pPr>
    </w:p>
    <w:p>
      <w:pPr>
        <w:spacing w:line="600" w:lineRule="exact"/>
        <w:jc w:val="center"/>
        <w:rPr>
          <w:rFonts w:hint="eastAsia" w:ascii="宋体" w:hAnsi="宋体" w:eastAsia="宋体" w:cs="宋体"/>
          <w:color w:val="000000"/>
          <w:spacing w:val="30"/>
          <w:sz w:val="30"/>
          <w:lang w:eastAsia="zh-CN"/>
        </w:rPr>
      </w:pPr>
      <w:r>
        <w:rPr>
          <w:rFonts w:hint="eastAsia" w:ascii="宋体" w:hAnsi="宋体" w:eastAsia="宋体" w:cs="宋体"/>
          <w:color w:val="000000"/>
          <w:spacing w:val="30"/>
          <w:sz w:val="30"/>
        </w:rPr>
        <w:t>采 购 人:</w:t>
      </w:r>
      <w:r>
        <w:rPr>
          <w:rFonts w:hint="eastAsia" w:ascii="宋体" w:hAnsi="宋体" w:eastAsia="宋体" w:cs="宋体"/>
          <w:color w:val="000000"/>
          <w:spacing w:val="30"/>
          <w:sz w:val="30"/>
          <w:lang w:eastAsia="zh-CN"/>
        </w:rPr>
        <w:t>温州经济技术开发区文教体工作局</w:t>
      </w:r>
    </w:p>
    <w:p>
      <w:pPr>
        <w:spacing w:line="600" w:lineRule="exact"/>
        <w:ind w:firstLine="1800" w:firstLineChars="500"/>
        <w:jc w:val="both"/>
        <w:rPr>
          <w:rFonts w:hint="eastAsia" w:ascii="宋体" w:hAnsi="宋体" w:eastAsia="宋体" w:cs="宋体"/>
          <w:color w:val="000000"/>
          <w:spacing w:val="30"/>
          <w:sz w:val="30"/>
          <w:lang w:eastAsia="zh-CN"/>
        </w:rPr>
      </w:pPr>
      <w:r>
        <w:rPr>
          <w:rFonts w:hint="eastAsia" w:ascii="宋体" w:hAnsi="宋体" w:eastAsia="宋体" w:cs="宋体"/>
          <w:color w:val="000000"/>
          <w:spacing w:val="30"/>
          <w:sz w:val="30"/>
        </w:rPr>
        <w:t>采购代理公司：</w:t>
      </w:r>
      <w:r>
        <w:rPr>
          <w:rFonts w:hint="eastAsia" w:ascii="宋体" w:hAnsi="宋体" w:eastAsia="宋体" w:cs="宋体"/>
          <w:color w:val="000000"/>
          <w:spacing w:val="30"/>
          <w:sz w:val="30"/>
          <w:lang w:eastAsia="zh-CN"/>
        </w:rPr>
        <w:t>浙江永信工程咨询有限公司</w:t>
      </w:r>
    </w:p>
    <w:p>
      <w:pPr>
        <w:rPr>
          <w:rFonts w:ascii="宋体" w:hAnsi="宋体" w:eastAsia="宋体" w:cs="Times New Roman"/>
          <w:b/>
          <w:color w:val="000000"/>
          <w:spacing w:val="40"/>
          <w:kern w:val="0"/>
          <w:sz w:val="28"/>
          <w:szCs w:val="20"/>
        </w:rPr>
      </w:pPr>
    </w:p>
    <w:p>
      <w:pPr>
        <w:ind w:firstLine="3060" w:firstLineChars="850"/>
        <w:rPr>
          <w:rFonts w:ascii="宋体" w:hAnsi="宋体" w:eastAsia="宋体" w:cs="宋体"/>
          <w:color w:val="000000"/>
          <w:spacing w:val="40"/>
          <w:sz w:val="28"/>
        </w:rPr>
      </w:pPr>
      <w:r>
        <w:rPr>
          <w:rFonts w:hint="eastAsia" w:ascii="宋体" w:hAnsi="宋体" w:eastAsia="宋体" w:cs="宋体"/>
          <w:color w:val="000000"/>
          <w:spacing w:val="40"/>
          <w:sz w:val="28"/>
        </w:rPr>
        <w:t>二0一九年</w:t>
      </w:r>
      <w:r>
        <w:rPr>
          <w:rFonts w:hint="eastAsia" w:ascii="宋体" w:hAnsi="宋体" w:eastAsia="宋体" w:cs="宋体"/>
          <w:color w:val="000000"/>
          <w:spacing w:val="40"/>
          <w:sz w:val="28"/>
          <w:lang w:eastAsia="zh-CN"/>
        </w:rPr>
        <w:t>七</w:t>
      </w:r>
      <w:r>
        <w:rPr>
          <w:rFonts w:hint="eastAsia" w:ascii="宋体" w:hAnsi="宋体" w:eastAsia="宋体" w:cs="宋体"/>
          <w:color w:val="000000"/>
          <w:spacing w:val="40"/>
          <w:sz w:val="28"/>
        </w:rPr>
        <w:t>月</w:t>
      </w:r>
    </w:p>
    <w:p>
      <w:pPr>
        <w:ind w:firstLine="3060" w:firstLineChars="850"/>
        <w:rPr>
          <w:rFonts w:ascii="宋体" w:hAnsi="宋体" w:eastAsia="仿宋_GB2312" w:cs="Times New Roman"/>
          <w:color w:val="000000"/>
          <w:kern w:val="0"/>
          <w:sz w:val="36"/>
          <w:szCs w:val="36"/>
        </w:rPr>
      </w:pPr>
    </w:p>
    <w:p>
      <w:pPr>
        <w:ind w:firstLine="3060" w:firstLineChars="850"/>
        <w:rPr>
          <w:rFonts w:ascii="宋体" w:hAnsi="宋体" w:eastAsia="仿宋_GB2312" w:cs="Times New Roman"/>
          <w:color w:val="000000"/>
          <w:kern w:val="0"/>
          <w:sz w:val="36"/>
          <w:szCs w:val="36"/>
        </w:rPr>
      </w:pPr>
    </w:p>
    <w:p>
      <w:pPr>
        <w:ind w:firstLine="3060" w:firstLineChars="850"/>
        <w:rPr>
          <w:rFonts w:ascii="宋体" w:hAnsi="宋体" w:eastAsia="仿宋_GB2312" w:cs="Times New Roman"/>
          <w:color w:val="000000"/>
          <w:kern w:val="0"/>
          <w:sz w:val="36"/>
          <w:szCs w:val="36"/>
        </w:rPr>
      </w:pPr>
    </w:p>
    <w:p>
      <w:pPr>
        <w:pStyle w:val="2"/>
      </w:pPr>
    </w:p>
    <w:p>
      <w:pPr>
        <w:pStyle w:val="3"/>
      </w:pPr>
    </w:p>
    <w:p>
      <w:pPr>
        <w:ind w:firstLine="3060" w:firstLineChars="850"/>
        <w:rPr>
          <w:rFonts w:ascii="宋体" w:hAnsi="宋体" w:eastAsia="仿宋_GB2312" w:cs="Times New Roman"/>
          <w:color w:val="000000"/>
          <w:kern w:val="0"/>
          <w:sz w:val="36"/>
          <w:szCs w:val="36"/>
        </w:rPr>
      </w:pPr>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8"/>
          <w:szCs w:val="28"/>
        </w:rPr>
      </w:pPr>
      <w:r>
        <w:rPr>
          <w:rFonts w:hint="eastAsia" w:ascii="宋体" w:hAnsi="宋体" w:eastAsia="宋体" w:cs="Times New Roman"/>
          <w:b/>
          <w:kern w:val="0"/>
          <w:sz w:val="28"/>
          <w:szCs w:val="28"/>
          <w:lang w:eastAsia="zh-CN"/>
        </w:rPr>
        <w:t>浙江永信工程咨询有限公司</w:t>
      </w:r>
      <w:r>
        <w:rPr>
          <w:rFonts w:hint="eastAsia" w:ascii="宋体" w:hAnsi="宋体" w:eastAsia="宋体" w:cs="Times New Roman"/>
          <w:b/>
          <w:kern w:val="0"/>
          <w:sz w:val="28"/>
          <w:szCs w:val="28"/>
        </w:rPr>
        <w:t>关于</w:t>
      </w:r>
      <w:r>
        <w:rPr>
          <w:rFonts w:hint="eastAsia" w:ascii="宋体" w:hAnsi="宋体" w:eastAsia="宋体" w:cs="Times New Roman"/>
          <w:b/>
          <w:kern w:val="0"/>
          <w:sz w:val="28"/>
          <w:szCs w:val="28"/>
          <w:lang w:eastAsia="zh-CN"/>
        </w:rPr>
        <w:t>天河中学新建教学综合楼功能室设备</w:t>
      </w:r>
      <w:r>
        <w:rPr>
          <w:rFonts w:hint="eastAsia" w:ascii="宋体" w:hAnsi="宋体" w:eastAsia="宋体" w:cs="Times New Roman"/>
          <w:b/>
          <w:kern w:val="0"/>
          <w:sz w:val="28"/>
          <w:szCs w:val="28"/>
        </w:rPr>
        <w:t>项目的公开</w:t>
      </w:r>
      <w:r>
        <w:rPr>
          <w:rFonts w:ascii="宋体" w:hAnsi="宋体" w:eastAsia="宋体" w:cs="Times New Roman"/>
          <w:b/>
          <w:kern w:val="0"/>
          <w:sz w:val="28"/>
          <w:szCs w:val="28"/>
        </w:rPr>
        <w:t>招标公告</w:t>
      </w:r>
      <w:bookmarkEnd w:id="0"/>
      <w:bookmarkEnd w:id="1"/>
    </w:p>
    <w:p>
      <w:pPr>
        <w:widowControl/>
        <w:spacing w:line="360" w:lineRule="auto"/>
        <w:ind w:firstLine="540"/>
        <w:jc w:val="left"/>
        <w:rPr>
          <w:rFonts w:ascii="宋体" w:hAnsi="宋体" w:eastAsia="宋体" w:cs="Times New Roman"/>
          <w:kern w:val="0"/>
          <w:sz w:val="22"/>
          <w:szCs w:val="20"/>
        </w:rPr>
      </w:pPr>
      <w:r>
        <w:rPr>
          <w:rFonts w:hint="eastAsia" w:ascii="宋体" w:hAnsi="宋体" w:eastAsia="宋体" w:cs="Times New Roman"/>
          <w:kern w:val="0"/>
          <w:sz w:val="22"/>
          <w:szCs w:val="20"/>
        </w:rPr>
        <w:t>根据《中华人民共和国政府采购法》等有关规定，</w:t>
      </w:r>
      <w:r>
        <w:rPr>
          <w:rFonts w:hint="eastAsia" w:ascii="宋体" w:hAnsi="宋体" w:eastAsia="宋体" w:cs="Times New Roman"/>
          <w:kern w:val="0"/>
          <w:sz w:val="22"/>
          <w:szCs w:val="20"/>
          <w:lang w:eastAsia="zh-CN"/>
        </w:rPr>
        <w:t>浙江永信工程咨询有限公司</w:t>
      </w:r>
      <w:r>
        <w:rPr>
          <w:rFonts w:hint="eastAsia" w:ascii="宋体" w:hAnsi="宋体" w:eastAsia="宋体" w:cs="Times New Roman"/>
          <w:kern w:val="0"/>
          <w:sz w:val="22"/>
          <w:szCs w:val="20"/>
        </w:rPr>
        <w:t>受</w:t>
      </w:r>
      <w:r>
        <w:rPr>
          <w:rFonts w:hint="eastAsia" w:ascii="宋体" w:hAnsi="宋体" w:eastAsia="宋体" w:cs="Times New Roman"/>
          <w:kern w:val="0"/>
          <w:sz w:val="22"/>
          <w:szCs w:val="20"/>
          <w:lang w:eastAsia="zh-CN"/>
        </w:rPr>
        <w:t>温州经济技术开发区文教体工作局</w:t>
      </w:r>
      <w:r>
        <w:rPr>
          <w:rFonts w:hint="eastAsia" w:ascii="宋体" w:hAnsi="宋体" w:eastAsia="宋体" w:cs="Times New Roman"/>
          <w:kern w:val="0"/>
          <w:sz w:val="22"/>
          <w:szCs w:val="20"/>
        </w:rPr>
        <w:t>委托，就</w:t>
      </w:r>
      <w:r>
        <w:rPr>
          <w:rFonts w:hint="eastAsia" w:ascii="宋体" w:hAnsi="宋体" w:eastAsia="宋体" w:cs="Times New Roman"/>
          <w:kern w:val="0"/>
          <w:sz w:val="22"/>
          <w:szCs w:val="20"/>
          <w:lang w:eastAsia="zh-CN"/>
        </w:rPr>
        <w:t>天河中学新建教学综合楼功能室设备</w:t>
      </w:r>
      <w:r>
        <w:rPr>
          <w:rFonts w:hint="eastAsia" w:ascii="宋体" w:hAnsi="宋体" w:eastAsia="宋体" w:cs="Times New Roman"/>
          <w:kern w:val="0"/>
          <w:sz w:val="22"/>
          <w:szCs w:val="20"/>
        </w:rPr>
        <w:t>项目进行公开招标，欢迎国内合格的供应商前来投标。</w:t>
      </w:r>
    </w:p>
    <w:p>
      <w:pPr>
        <w:widowControl/>
        <w:spacing w:line="360" w:lineRule="auto"/>
        <w:ind w:firstLine="540"/>
        <w:jc w:val="left"/>
        <w:rPr>
          <w:rFonts w:hint="eastAsia" w:ascii="宋体" w:hAnsi="宋体" w:eastAsia="宋体" w:cs="Times New Roman"/>
          <w:b/>
          <w:kern w:val="0"/>
          <w:sz w:val="22"/>
          <w:szCs w:val="20"/>
          <w:lang w:eastAsia="zh-CN"/>
        </w:rPr>
      </w:pPr>
      <w:r>
        <w:rPr>
          <w:rFonts w:hint="eastAsia" w:ascii="宋体" w:hAnsi="宋体" w:eastAsia="宋体" w:cs="Times New Roman"/>
          <w:b/>
          <w:kern w:val="0"/>
          <w:sz w:val="22"/>
          <w:szCs w:val="20"/>
        </w:rPr>
        <w:t>一．招标项目编号：</w:t>
      </w:r>
      <w:r>
        <w:rPr>
          <w:rFonts w:hint="eastAsia" w:ascii="宋体" w:hAnsi="宋体" w:eastAsia="宋体" w:cs="Times New Roman"/>
          <w:b/>
          <w:kern w:val="0"/>
          <w:sz w:val="22"/>
          <w:szCs w:val="20"/>
          <w:lang w:eastAsia="zh-CN"/>
        </w:rPr>
        <w:t>zjyx20190704</w:t>
      </w:r>
    </w:p>
    <w:p>
      <w:pPr>
        <w:widowControl/>
        <w:spacing w:line="360" w:lineRule="auto"/>
        <w:ind w:firstLine="540"/>
        <w:jc w:val="left"/>
        <w:rPr>
          <w:rFonts w:ascii="宋体" w:hAnsi="宋体" w:eastAsia="宋体" w:cs="Times New Roman"/>
          <w:b/>
          <w:kern w:val="0"/>
          <w:sz w:val="22"/>
          <w:szCs w:val="20"/>
        </w:rPr>
      </w:pPr>
      <w:r>
        <w:rPr>
          <w:rFonts w:hint="eastAsia" w:ascii="宋体" w:hAnsi="宋体" w:eastAsia="宋体" w:cs="Times New Roman"/>
          <w:b/>
          <w:kern w:val="0"/>
          <w:sz w:val="22"/>
          <w:szCs w:val="20"/>
        </w:rPr>
        <w:t>二．采购组织类型：</w:t>
      </w:r>
      <w:r>
        <w:rPr>
          <w:rFonts w:ascii="宋体" w:hAnsi="宋体" w:eastAsia="宋体" w:cs="Times New Roman"/>
          <w:b/>
          <w:kern w:val="0"/>
          <w:sz w:val="22"/>
          <w:szCs w:val="20"/>
        </w:rPr>
        <w:t>分散采购委托代理</w:t>
      </w:r>
    </w:p>
    <w:p>
      <w:pPr>
        <w:widowControl/>
        <w:spacing w:line="360" w:lineRule="auto"/>
        <w:ind w:firstLine="540"/>
        <w:jc w:val="left"/>
        <w:rPr>
          <w:rFonts w:ascii="宋体" w:hAnsi="宋体" w:eastAsia="宋体" w:cs="Times New Roman"/>
          <w:b/>
          <w:kern w:val="0"/>
          <w:sz w:val="22"/>
          <w:szCs w:val="20"/>
        </w:rPr>
      </w:pPr>
      <w:r>
        <w:rPr>
          <w:rFonts w:hint="eastAsia" w:ascii="宋体" w:hAnsi="宋体" w:eastAsia="宋体" w:cs="Times New Roman"/>
          <w:b/>
          <w:kern w:val="0"/>
          <w:sz w:val="22"/>
          <w:szCs w:val="20"/>
        </w:rPr>
        <w:t>三．招标项目概况（具体见招标文件）：</w:t>
      </w:r>
    </w:p>
    <w:tbl>
      <w:tblPr>
        <w:tblStyle w:val="22"/>
        <w:tblW w:w="9407"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52"/>
        <w:gridCol w:w="4955"/>
        <w:gridCol w:w="1220"/>
        <w:gridCol w:w="16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1" w:hRule="exact"/>
        </w:trPr>
        <w:tc>
          <w:tcPr>
            <w:tcW w:w="1552" w:type="dxa"/>
            <w:vAlign w:val="center"/>
          </w:tcPr>
          <w:p>
            <w:pPr>
              <w:autoSpaceDE w:val="0"/>
              <w:autoSpaceDN w:val="0"/>
              <w:ind w:right="-647" w:rightChars="-308"/>
              <w:rPr>
                <w:rFonts w:ascii="宋体" w:hAnsi="宋体" w:eastAsia="宋体" w:cs="Times New Roman"/>
                <w:kern w:val="0"/>
                <w:sz w:val="22"/>
                <w:lang w:val="zh-CN"/>
              </w:rPr>
            </w:pPr>
            <w:r>
              <w:rPr>
                <w:rFonts w:hint="eastAsia" w:ascii="宋体" w:hAnsi="宋体" w:eastAsia="宋体" w:cs="Times New Roman"/>
                <w:kern w:val="0"/>
                <w:sz w:val="22"/>
                <w:lang w:val="zh-CN"/>
              </w:rPr>
              <w:t xml:space="preserve">    序号</w:t>
            </w:r>
          </w:p>
        </w:tc>
        <w:tc>
          <w:tcPr>
            <w:tcW w:w="4955" w:type="dxa"/>
          </w:tcPr>
          <w:p>
            <w:pPr>
              <w:spacing w:line="440" w:lineRule="exact"/>
              <w:jc w:val="center"/>
              <w:rPr>
                <w:rFonts w:ascii="宋体" w:hAnsi="宋体" w:eastAsia="宋体" w:cs="Times New Roman"/>
                <w:b/>
                <w:kern w:val="0"/>
                <w:sz w:val="22"/>
              </w:rPr>
            </w:pPr>
            <w:r>
              <w:rPr>
                <w:rFonts w:hint="eastAsia" w:ascii="宋体" w:hAnsi="宋体" w:eastAsia="宋体" w:cs="Times New Roman"/>
                <w:kern w:val="0"/>
                <w:sz w:val="22"/>
              </w:rPr>
              <w:t>货物</w:t>
            </w:r>
            <w:r>
              <w:rPr>
                <w:rFonts w:hint="eastAsia" w:ascii="宋体" w:hAnsi="宋体" w:eastAsia="宋体" w:cs="Times New Roman"/>
                <w:kern w:val="0"/>
                <w:sz w:val="22"/>
                <w:lang w:val="zh-CN"/>
              </w:rPr>
              <w:t>名称</w:t>
            </w:r>
          </w:p>
        </w:tc>
        <w:tc>
          <w:tcPr>
            <w:tcW w:w="1220" w:type="dxa"/>
            <w:vAlign w:val="center"/>
          </w:tcPr>
          <w:p>
            <w:pPr>
              <w:spacing w:line="440" w:lineRule="exact"/>
              <w:jc w:val="center"/>
              <w:rPr>
                <w:rFonts w:ascii="宋体" w:hAnsi="宋体" w:eastAsia="宋体" w:cs="Times New Roman"/>
                <w:b/>
                <w:kern w:val="0"/>
                <w:sz w:val="22"/>
              </w:rPr>
            </w:pPr>
            <w:r>
              <w:rPr>
                <w:rFonts w:hint="eastAsia" w:ascii="宋体" w:hAnsi="宋体" w:eastAsia="宋体" w:cs="Times New Roman"/>
                <w:kern w:val="0"/>
                <w:sz w:val="22"/>
                <w:lang w:val="zh-CN"/>
              </w:rPr>
              <w:t>数量</w:t>
            </w:r>
          </w:p>
        </w:tc>
        <w:tc>
          <w:tcPr>
            <w:tcW w:w="1680" w:type="dxa"/>
            <w:vAlign w:val="center"/>
          </w:tcPr>
          <w:p>
            <w:pPr>
              <w:spacing w:line="440" w:lineRule="exact"/>
              <w:jc w:val="center"/>
              <w:rPr>
                <w:rFonts w:ascii="宋体" w:hAnsi="宋体" w:eastAsia="宋体" w:cs="Times New Roman"/>
                <w:kern w:val="0"/>
                <w:sz w:val="22"/>
              </w:rPr>
            </w:pPr>
            <w:r>
              <w:rPr>
                <w:rFonts w:hint="eastAsia" w:ascii="宋体" w:hAnsi="宋体" w:eastAsia="宋体" w:cs="Times New Roman"/>
                <w:kern w:val="0"/>
                <w:sz w:val="22"/>
              </w:rPr>
              <w:t>预算（万元）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8" w:hRule="exact"/>
        </w:trPr>
        <w:tc>
          <w:tcPr>
            <w:tcW w:w="1552" w:type="dxa"/>
            <w:vAlign w:val="center"/>
          </w:tcPr>
          <w:p>
            <w:pPr>
              <w:spacing w:line="440" w:lineRule="exact"/>
              <w:jc w:val="center"/>
              <w:rPr>
                <w:rFonts w:ascii="宋体" w:hAnsi="宋体" w:eastAsia="宋体" w:cs="Times New Roman"/>
                <w:b/>
                <w:kern w:val="0"/>
                <w:sz w:val="22"/>
              </w:rPr>
            </w:pPr>
            <w:r>
              <w:rPr>
                <w:rFonts w:hint="eastAsia" w:ascii="宋体" w:hAnsi="宋体" w:eastAsia="宋体" w:cs="Times New Roman"/>
                <w:b/>
                <w:kern w:val="0"/>
                <w:sz w:val="22"/>
              </w:rPr>
              <w:t>1</w:t>
            </w:r>
          </w:p>
        </w:tc>
        <w:tc>
          <w:tcPr>
            <w:tcW w:w="4955" w:type="dxa"/>
            <w:vAlign w:val="center"/>
          </w:tcPr>
          <w:p>
            <w:pPr>
              <w:spacing w:line="440" w:lineRule="exact"/>
              <w:jc w:val="center"/>
              <w:rPr>
                <w:rFonts w:hint="eastAsia" w:ascii="宋体" w:hAnsi="宋体" w:eastAsia="宋体" w:cs="Times New Roman"/>
                <w:kern w:val="0"/>
                <w:sz w:val="22"/>
                <w:lang w:eastAsia="zh-CN"/>
              </w:rPr>
            </w:pPr>
            <w:r>
              <w:rPr>
                <w:rFonts w:hint="eastAsia" w:ascii="宋体" w:hAnsi="宋体" w:eastAsia="宋体" w:cs="Times New Roman"/>
                <w:kern w:val="0"/>
                <w:sz w:val="22"/>
                <w:lang w:eastAsia="zh-CN"/>
              </w:rPr>
              <w:t>功能室设备</w:t>
            </w:r>
          </w:p>
        </w:tc>
        <w:tc>
          <w:tcPr>
            <w:tcW w:w="1220" w:type="dxa"/>
            <w:vAlign w:val="center"/>
          </w:tcPr>
          <w:p>
            <w:pPr>
              <w:spacing w:line="440" w:lineRule="exact"/>
              <w:jc w:val="center"/>
              <w:rPr>
                <w:rFonts w:ascii="宋体" w:hAnsi="宋体" w:eastAsia="宋体" w:cs="Times New Roman"/>
                <w:b/>
                <w:kern w:val="0"/>
                <w:sz w:val="22"/>
              </w:rPr>
            </w:pPr>
            <w:r>
              <w:rPr>
                <w:rFonts w:hint="eastAsia" w:ascii="宋体" w:hAnsi="宋体" w:eastAsia="宋体" w:cs="Times New Roman"/>
                <w:b/>
                <w:kern w:val="0"/>
                <w:sz w:val="22"/>
              </w:rPr>
              <w:t>1批</w:t>
            </w:r>
          </w:p>
        </w:tc>
        <w:tc>
          <w:tcPr>
            <w:tcW w:w="1680" w:type="dxa"/>
            <w:vAlign w:val="center"/>
          </w:tcPr>
          <w:p>
            <w:pPr>
              <w:spacing w:line="440" w:lineRule="exact"/>
              <w:jc w:val="center"/>
              <w:rPr>
                <w:rFonts w:hint="default" w:ascii="宋体" w:hAnsi="宋体" w:eastAsia="宋体" w:cs="Times New Roman"/>
                <w:b/>
                <w:kern w:val="0"/>
                <w:sz w:val="22"/>
                <w:lang w:val="en-US" w:eastAsia="zh-CN"/>
              </w:rPr>
            </w:pPr>
            <w:r>
              <w:rPr>
                <w:rFonts w:hint="eastAsia" w:ascii="宋体" w:hAnsi="宋体" w:eastAsia="宋体" w:cs="Times New Roman"/>
                <w:b/>
                <w:kern w:val="0"/>
                <w:sz w:val="22"/>
                <w:lang w:val="en-US" w:eastAsia="zh-CN"/>
              </w:rPr>
              <w:t>176.8</w:t>
            </w:r>
          </w:p>
        </w:tc>
      </w:tr>
    </w:tbl>
    <w:p>
      <w:pPr>
        <w:widowControl/>
        <w:spacing w:line="360" w:lineRule="auto"/>
        <w:ind w:firstLine="540"/>
        <w:jc w:val="left"/>
        <w:rPr>
          <w:rFonts w:ascii="宋体" w:hAnsi="宋体" w:eastAsia="宋体" w:cs="Times New Roman"/>
          <w:b/>
          <w:kern w:val="0"/>
          <w:sz w:val="22"/>
          <w:szCs w:val="20"/>
        </w:rPr>
      </w:pPr>
      <w:r>
        <w:rPr>
          <w:rFonts w:hint="eastAsia" w:ascii="宋体" w:hAnsi="宋体" w:eastAsia="宋体" w:cs="Times New Roman"/>
          <w:b/>
          <w:kern w:val="0"/>
          <w:sz w:val="22"/>
          <w:szCs w:val="20"/>
        </w:rPr>
        <w:t>四．投标供应商资格要求:</w:t>
      </w:r>
    </w:p>
    <w:p>
      <w:pPr>
        <w:widowControl/>
        <w:spacing w:line="360" w:lineRule="auto"/>
        <w:ind w:firstLine="540"/>
        <w:jc w:val="left"/>
        <w:rPr>
          <w:rFonts w:ascii="宋体" w:hAnsi="宋体" w:eastAsia="宋体" w:cs="Times New Roman"/>
          <w:kern w:val="0"/>
          <w:sz w:val="22"/>
          <w:szCs w:val="20"/>
        </w:rPr>
      </w:pPr>
      <w:r>
        <w:rPr>
          <w:rFonts w:hint="eastAsia" w:ascii="宋体" w:hAnsi="宋体" w:eastAsia="宋体" w:cs="Times New Roman"/>
          <w:kern w:val="0"/>
          <w:sz w:val="22"/>
          <w:szCs w:val="20"/>
        </w:rPr>
        <w:t xml:space="preserve">1、符合《中华人民共和国政府采购法》第二十二条对供应商主体的要求； </w:t>
      </w:r>
    </w:p>
    <w:p>
      <w:pPr>
        <w:widowControl/>
        <w:spacing w:line="360" w:lineRule="auto"/>
        <w:ind w:firstLine="540"/>
        <w:jc w:val="left"/>
        <w:rPr>
          <w:rFonts w:ascii="宋体" w:hAnsi="宋体" w:eastAsia="宋体" w:cs="Times New Roman"/>
          <w:kern w:val="0"/>
          <w:sz w:val="22"/>
          <w:szCs w:val="20"/>
        </w:rPr>
      </w:pPr>
      <w:r>
        <w:rPr>
          <w:rFonts w:hint="eastAsia" w:ascii="宋体" w:hAnsi="宋体" w:eastAsia="宋体" w:cs="Times New Roman"/>
          <w:kern w:val="0"/>
          <w:sz w:val="22"/>
          <w:szCs w:val="20"/>
        </w:rPr>
        <w:t>2、</w:t>
      </w:r>
      <w:r>
        <w:rPr>
          <w:rFonts w:ascii="宋体" w:hAnsi="宋体" w:eastAsia="宋体" w:cs="Times New Roman"/>
          <w:kern w:val="0"/>
          <w:sz w:val="22"/>
          <w:szCs w:val="20"/>
        </w:rPr>
        <w:t>本项目不接受联合体投标。</w:t>
      </w:r>
    </w:p>
    <w:p>
      <w:pPr>
        <w:widowControl/>
        <w:spacing w:line="440" w:lineRule="atLeast"/>
        <w:ind w:firstLine="540"/>
        <w:jc w:val="left"/>
        <w:rPr>
          <w:rFonts w:ascii="宋体" w:hAnsi="宋体" w:eastAsia="宋体" w:cs="Times New Roman"/>
          <w:sz w:val="22"/>
          <w:szCs w:val="24"/>
        </w:rPr>
      </w:pPr>
      <w:r>
        <w:rPr>
          <w:rFonts w:hint="eastAsia" w:ascii="宋体" w:hAnsi="宋体" w:eastAsia="宋体" w:cs="Times New Roman"/>
          <w:b/>
          <w:kern w:val="0"/>
          <w:sz w:val="22"/>
          <w:szCs w:val="20"/>
        </w:rPr>
        <w:t>五．招标文件提供期限、地址、售价:</w:t>
      </w:r>
    </w:p>
    <w:p>
      <w:pPr>
        <w:widowControl/>
        <w:spacing w:line="360" w:lineRule="auto"/>
        <w:ind w:firstLine="540"/>
        <w:jc w:val="left"/>
        <w:rPr>
          <w:rFonts w:ascii="宋体" w:hAnsi="宋体" w:eastAsia="宋体" w:cs="Times New Roman"/>
          <w:kern w:val="0"/>
          <w:sz w:val="22"/>
          <w:szCs w:val="20"/>
        </w:rPr>
      </w:pPr>
      <w:r>
        <w:rPr>
          <w:rFonts w:hint="eastAsia" w:ascii="宋体" w:hAnsi="宋体" w:eastAsia="宋体" w:cs="Times New Roman"/>
          <w:kern w:val="0"/>
          <w:sz w:val="22"/>
          <w:szCs w:val="20"/>
        </w:rPr>
        <w:t>1．招标文件提供期限为本公告发布次日起</w:t>
      </w:r>
      <w:r>
        <w:rPr>
          <w:rFonts w:ascii="宋体" w:hAnsi="宋体" w:eastAsia="宋体" w:cs="Times New Roman"/>
          <w:kern w:val="0"/>
          <w:sz w:val="22"/>
          <w:szCs w:val="20"/>
        </w:rPr>
        <w:t>5</w:t>
      </w:r>
      <w:r>
        <w:rPr>
          <w:rFonts w:hint="eastAsia" w:ascii="宋体" w:hAnsi="宋体" w:eastAsia="宋体" w:cs="Times New Roman"/>
          <w:kern w:val="0"/>
          <w:sz w:val="22"/>
          <w:szCs w:val="20"/>
        </w:rPr>
        <w:t>个工作日(双休日及法定节假日除外)。</w:t>
      </w:r>
    </w:p>
    <w:p>
      <w:pPr>
        <w:widowControl/>
        <w:spacing w:line="360" w:lineRule="auto"/>
        <w:ind w:firstLine="540"/>
        <w:jc w:val="left"/>
        <w:rPr>
          <w:rFonts w:ascii="宋体" w:hAnsi="宋体" w:eastAsia="宋体" w:cs="Times New Roman"/>
          <w:kern w:val="0"/>
          <w:sz w:val="22"/>
          <w:szCs w:val="20"/>
        </w:rPr>
      </w:pPr>
      <w:r>
        <w:rPr>
          <w:rFonts w:ascii="宋体" w:hAnsi="宋体" w:eastAsia="宋体" w:cs="Times New Roman"/>
          <w:kern w:val="0"/>
          <w:sz w:val="22"/>
          <w:szCs w:val="20"/>
        </w:rPr>
        <w:t>2</w:t>
      </w:r>
      <w:r>
        <w:rPr>
          <w:rFonts w:hint="eastAsia" w:ascii="宋体" w:hAnsi="宋体" w:eastAsia="宋体" w:cs="Times New Roman"/>
          <w:kern w:val="0"/>
          <w:sz w:val="22"/>
          <w:szCs w:val="20"/>
        </w:rPr>
        <w:t>、报名方式：在浙江政府采购网“采购云”平台”（http://www.zjzfcg.gov.cn/）上自主提供资格资料报名（未注册的供应商请尽早注册，客服电话：400-881-7190）；</w:t>
      </w:r>
    </w:p>
    <w:p>
      <w:pPr>
        <w:widowControl/>
        <w:spacing w:line="360" w:lineRule="auto"/>
        <w:ind w:firstLine="540"/>
        <w:jc w:val="left"/>
        <w:rPr>
          <w:rFonts w:ascii="宋体" w:hAnsi="宋体" w:eastAsia="宋体" w:cs="Times New Roman"/>
          <w:kern w:val="0"/>
          <w:sz w:val="22"/>
          <w:szCs w:val="20"/>
        </w:rPr>
      </w:pPr>
      <w:r>
        <w:rPr>
          <w:rFonts w:ascii="宋体" w:hAnsi="宋体" w:eastAsia="宋体" w:cs="Times New Roman"/>
          <w:kern w:val="0"/>
          <w:sz w:val="22"/>
          <w:szCs w:val="20"/>
        </w:rPr>
        <w:t>3</w:t>
      </w:r>
      <w:r>
        <w:rPr>
          <w:rFonts w:hint="eastAsia" w:ascii="宋体" w:hAnsi="宋体" w:eastAsia="宋体" w:cs="Times New Roman"/>
          <w:kern w:val="0"/>
          <w:sz w:val="22"/>
          <w:szCs w:val="20"/>
        </w:rPr>
        <w:t>、报名起止时间：2019年</w:t>
      </w:r>
      <w:r>
        <w:rPr>
          <w:rFonts w:hint="eastAsia" w:ascii="宋体" w:hAnsi="宋体" w:eastAsia="宋体" w:cs="Times New Roman"/>
          <w:kern w:val="0"/>
          <w:sz w:val="22"/>
          <w:szCs w:val="20"/>
          <w:lang w:val="en-US" w:eastAsia="zh-CN"/>
        </w:rPr>
        <w:t>7</w:t>
      </w:r>
      <w:r>
        <w:rPr>
          <w:rFonts w:hint="eastAsia" w:ascii="宋体" w:hAnsi="宋体" w:eastAsia="宋体" w:cs="Times New Roman"/>
          <w:kern w:val="0"/>
          <w:sz w:val="22"/>
          <w:szCs w:val="20"/>
        </w:rPr>
        <w:t>月</w:t>
      </w:r>
      <w:r>
        <w:rPr>
          <w:rFonts w:hint="eastAsia" w:ascii="宋体" w:hAnsi="宋体" w:eastAsia="宋体" w:cs="Times New Roman"/>
          <w:kern w:val="0"/>
          <w:sz w:val="22"/>
          <w:szCs w:val="20"/>
          <w:lang w:val="en-US" w:eastAsia="zh-CN"/>
        </w:rPr>
        <w:t>9</w:t>
      </w:r>
      <w:r>
        <w:rPr>
          <w:rFonts w:hint="eastAsia" w:ascii="宋体" w:hAnsi="宋体" w:eastAsia="宋体" w:cs="Times New Roman"/>
          <w:kern w:val="0"/>
          <w:sz w:val="22"/>
          <w:szCs w:val="20"/>
        </w:rPr>
        <w:t>日至投标截止时间止（工作时间上午8时30分整至11时整，下午14时30分至17时整，节假日除外）；</w:t>
      </w:r>
    </w:p>
    <w:p>
      <w:pPr>
        <w:widowControl/>
        <w:spacing w:line="360" w:lineRule="auto"/>
        <w:ind w:firstLine="540"/>
        <w:jc w:val="left"/>
        <w:rPr>
          <w:rFonts w:hint="eastAsia" w:ascii="宋体" w:hAnsi="宋体" w:eastAsia="宋体" w:cs="Times New Roman"/>
          <w:kern w:val="0"/>
          <w:sz w:val="22"/>
          <w:szCs w:val="20"/>
          <w:lang w:val="en-US" w:eastAsia="zh-CN"/>
        </w:rPr>
      </w:pPr>
      <w:r>
        <w:rPr>
          <w:rFonts w:ascii="宋体" w:hAnsi="宋体" w:eastAsia="宋体" w:cs="Times New Roman"/>
          <w:kern w:val="0"/>
          <w:sz w:val="22"/>
          <w:szCs w:val="20"/>
        </w:rPr>
        <w:t>4</w:t>
      </w:r>
      <w:r>
        <w:rPr>
          <w:rFonts w:hint="eastAsia" w:ascii="宋体" w:hAnsi="宋体" w:eastAsia="宋体" w:cs="Times New Roman"/>
          <w:kern w:val="0"/>
          <w:sz w:val="22"/>
          <w:szCs w:val="20"/>
        </w:rPr>
        <w:t>、标书售价(元)：每本</w:t>
      </w:r>
      <w:r>
        <w:rPr>
          <w:rFonts w:hint="eastAsia" w:ascii="宋体" w:hAnsi="宋体" w:eastAsia="宋体" w:cs="Times New Roman"/>
          <w:kern w:val="0"/>
          <w:sz w:val="22"/>
          <w:szCs w:val="20"/>
          <w:lang w:val="en-US" w:eastAsia="zh-CN"/>
        </w:rPr>
        <w:t>500</w:t>
      </w:r>
      <w:r>
        <w:rPr>
          <w:rFonts w:hint="eastAsia" w:ascii="宋体" w:hAnsi="宋体" w:eastAsia="宋体" w:cs="Times New Roman"/>
          <w:kern w:val="0"/>
          <w:sz w:val="22"/>
          <w:szCs w:val="20"/>
        </w:rPr>
        <w:t>元；（递交投标文件时缴纳标书费，投标截止时间之前报名均有效，未报名购买招标文件的潜在投标人拒绝参加投标）</w:t>
      </w:r>
      <w:r>
        <w:rPr>
          <w:rFonts w:hint="eastAsia" w:ascii="宋体" w:hAnsi="宋体" w:eastAsia="宋体" w:cs="Times New Roman"/>
          <w:kern w:val="0"/>
          <w:sz w:val="22"/>
          <w:szCs w:val="20"/>
          <w:lang w:eastAsia="zh-CN"/>
        </w:rPr>
        <w:t>。</w:t>
      </w:r>
      <w:r>
        <w:rPr>
          <w:rFonts w:hint="eastAsia" w:ascii="宋体" w:hAnsi="宋体" w:eastAsia="宋体" w:cs="Times New Roman"/>
          <w:kern w:val="0"/>
          <w:sz w:val="22"/>
          <w:szCs w:val="20"/>
          <w:lang w:val="en-US" w:eastAsia="zh-CN"/>
        </w:rPr>
        <w:t>发售地址：</w:t>
      </w:r>
      <w:r>
        <w:rPr>
          <w:rFonts w:hint="eastAsia" w:ascii="新宋体" w:hAnsi="新宋体" w:eastAsia="新宋体" w:cs="新宋体"/>
          <w:bCs/>
          <w:color w:val="auto"/>
          <w:kern w:val="0"/>
          <w:sz w:val="22"/>
          <w:szCs w:val="22"/>
          <w:highlight w:val="none"/>
          <w:lang w:val="en-US" w:eastAsia="zh-CN"/>
        </w:rPr>
        <w:t>温州市瓯海区南塘一组团商务楼11楼招标代理部</w:t>
      </w:r>
    </w:p>
    <w:p>
      <w:pPr>
        <w:snapToGrid w:val="0"/>
        <w:spacing w:line="440" w:lineRule="atLeast"/>
        <w:ind w:firstLine="480"/>
        <w:rPr>
          <w:rFonts w:ascii="宋体" w:hAnsi="宋体" w:eastAsia="宋体" w:cs="Times New Roman"/>
          <w:sz w:val="22"/>
          <w:szCs w:val="24"/>
        </w:rPr>
      </w:pPr>
      <w:r>
        <w:rPr>
          <w:rFonts w:hint="eastAsia" w:ascii="宋体" w:hAnsi="宋体" w:eastAsia="宋体" w:cs="Times New Roman"/>
          <w:b/>
          <w:kern w:val="0"/>
          <w:sz w:val="22"/>
          <w:szCs w:val="20"/>
        </w:rPr>
        <w:t>六、投标截止时间</w:t>
      </w:r>
      <w:r>
        <w:rPr>
          <w:rFonts w:hint="eastAsia" w:ascii="宋体" w:hAnsi="宋体" w:eastAsia="宋体" w:cs="Times New Roman"/>
          <w:sz w:val="22"/>
          <w:szCs w:val="24"/>
        </w:rPr>
        <w:t>：</w:t>
      </w:r>
      <w:r>
        <w:rPr>
          <w:rFonts w:hint="eastAsia" w:ascii="宋体" w:hAnsi="宋体" w:eastAsia="宋体" w:cs="Times New Roman"/>
          <w:b/>
          <w:sz w:val="22"/>
          <w:szCs w:val="24"/>
        </w:rPr>
        <w:t>2019年</w:t>
      </w:r>
      <w:r>
        <w:rPr>
          <w:rFonts w:hint="eastAsia" w:ascii="宋体" w:hAnsi="宋体" w:eastAsia="宋体" w:cs="Times New Roman"/>
          <w:b/>
          <w:sz w:val="22"/>
          <w:szCs w:val="24"/>
          <w:lang w:val="en-US" w:eastAsia="zh-CN"/>
        </w:rPr>
        <w:t>7</w:t>
      </w:r>
      <w:r>
        <w:rPr>
          <w:rFonts w:hint="eastAsia" w:ascii="宋体" w:hAnsi="宋体" w:eastAsia="宋体" w:cs="Times New Roman"/>
          <w:b/>
          <w:sz w:val="22"/>
          <w:szCs w:val="24"/>
        </w:rPr>
        <w:t>月</w:t>
      </w:r>
      <w:r>
        <w:rPr>
          <w:rFonts w:hint="eastAsia" w:ascii="宋体" w:hAnsi="宋体" w:eastAsia="宋体" w:cs="Times New Roman"/>
          <w:b/>
          <w:sz w:val="22"/>
          <w:szCs w:val="24"/>
          <w:lang w:val="en-US" w:eastAsia="zh-CN"/>
        </w:rPr>
        <w:t>31</w:t>
      </w:r>
      <w:r>
        <w:rPr>
          <w:rFonts w:hint="eastAsia" w:ascii="宋体" w:hAnsi="宋体" w:eastAsia="宋体" w:cs="Times New Roman"/>
          <w:b/>
          <w:sz w:val="22"/>
          <w:szCs w:val="24"/>
        </w:rPr>
        <w:t>日　</w:t>
      </w:r>
      <w:r>
        <w:rPr>
          <w:rFonts w:hint="eastAsia" w:ascii="宋体" w:hAnsi="宋体" w:eastAsia="宋体" w:cs="Times New Roman"/>
          <w:b/>
          <w:sz w:val="22"/>
          <w:szCs w:val="24"/>
          <w:lang w:val="en-US" w:eastAsia="zh-CN"/>
        </w:rPr>
        <w:t>09</w:t>
      </w:r>
      <w:r>
        <w:rPr>
          <w:rFonts w:hint="eastAsia" w:ascii="宋体" w:hAnsi="宋体" w:eastAsia="宋体" w:cs="Times New Roman"/>
          <w:b/>
          <w:sz w:val="22"/>
          <w:szCs w:val="24"/>
        </w:rPr>
        <w:t xml:space="preserve">:30 </w:t>
      </w:r>
    </w:p>
    <w:p>
      <w:pPr>
        <w:snapToGrid w:val="0"/>
        <w:spacing w:line="440" w:lineRule="atLeast"/>
        <w:ind w:firstLine="480"/>
        <w:rPr>
          <w:rFonts w:ascii="宋体" w:hAnsi="宋体" w:eastAsia="宋体" w:cs="Times New Roman"/>
          <w:color w:val="000000"/>
          <w:kern w:val="0"/>
          <w:szCs w:val="21"/>
        </w:rPr>
      </w:pPr>
      <w:r>
        <w:rPr>
          <w:rFonts w:hint="eastAsia" w:ascii="宋体" w:hAnsi="宋体" w:eastAsia="宋体" w:cs="Times New Roman"/>
          <w:b/>
          <w:kern w:val="0"/>
          <w:sz w:val="22"/>
          <w:szCs w:val="20"/>
        </w:rPr>
        <w:t>七、投标地点</w:t>
      </w:r>
      <w:r>
        <w:rPr>
          <w:rFonts w:hint="eastAsia" w:ascii="宋体" w:hAnsi="宋体" w:eastAsia="宋体" w:cs="Times New Roman"/>
          <w:sz w:val="22"/>
          <w:szCs w:val="24"/>
        </w:rPr>
        <w:t>：</w:t>
      </w:r>
      <w:r>
        <w:rPr>
          <w:rFonts w:hint="eastAsia" w:ascii="新宋体" w:hAnsi="新宋体" w:eastAsia="新宋体" w:cs="新宋体"/>
          <w:bCs/>
          <w:color w:val="auto"/>
          <w:kern w:val="0"/>
          <w:sz w:val="22"/>
          <w:szCs w:val="22"/>
          <w:highlight w:val="none"/>
        </w:rPr>
        <w:t>温州市行政审批与公共资源交易服务管理中心(温州市鹿城区会展路1268号温州市民中心A座3楼收标区)</w:t>
      </w:r>
    </w:p>
    <w:p>
      <w:pPr>
        <w:snapToGrid w:val="0"/>
        <w:spacing w:line="440" w:lineRule="atLeast"/>
        <w:ind w:firstLine="480"/>
        <w:rPr>
          <w:rFonts w:ascii="宋体" w:hAnsi="宋体" w:eastAsia="宋体" w:cs="Times New Roman"/>
          <w:sz w:val="22"/>
          <w:szCs w:val="24"/>
        </w:rPr>
      </w:pPr>
      <w:r>
        <w:rPr>
          <w:rFonts w:hint="eastAsia" w:ascii="宋体" w:hAnsi="宋体" w:eastAsia="宋体" w:cs="Times New Roman"/>
          <w:b/>
          <w:kern w:val="0"/>
          <w:sz w:val="22"/>
          <w:szCs w:val="20"/>
        </w:rPr>
        <w:t>八、开标时间</w:t>
      </w:r>
      <w:r>
        <w:rPr>
          <w:rFonts w:hint="eastAsia" w:ascii="宋体" w:hAnsi="宋体" w:eastAsia="宋体" w:cs="Times New Roman"/>
          <w:sz w:val="22"/>
          <w:szCs w:val="24"/>
        </w:rPr>
        <w:t>：</w:t>
      </w:r>
      <w:r>
        <w:rPr>
          <w:rFonts w:hint="eastAsia" w:ascii="宋体" w:hAnsi="宋体" w:eastAsia="宋体" w:cs="Times New Roman"/>
          <w:b/>
          <w:sz w:val="22"/>
          <w:szCs w:val="24"/>
        </w:rPr>
        <w:t>2019年7月3</w:t>
      </w:r>
      <w:r>
        <w:rPr>
          <w:rFonts w:hint="eastAsia" w:ascii="宋体" w:hAnsi="宋体" w:eastAsia="宋体" w:cs="Times New Roman"/>
          <w:b/>
          <w:sz w:val="22"/>
          <w:szCs w:val="24"/>
          <w:lang w:val="en-US" w:eastAsia="zh-CN"/>
        </w:rPr>
        <w:t>1</w:t>
      </w:r>
      <w:r>
        <w:rPr>
          <w:rFonts w:hint="eastAsia" w:ascii="宋体" w:hAnsi="宋体" w:eastAsia="宋体" w:cs="Times New Roman"/>
          <w:b/>
          <w:sz w:val="22"/>
          <w:szCs w:val="24"/>
        </w:rPr>
        <w:t>日　</w:t>
      </w:r>
      <w:r>
        <w:rPr>
          <w:rFonts w:hint="eastAsia" w:ascii="宋体" w:hAnsi="宋体" w:eastAsia="宋体" w:cs="Times New Roman"/>
          <w:b/>
          <w:sz w:val="22"/>
          <w:szCs w:val="24"/>
          <w:lang w:val="en-US" w:eastAsia="zh-CN"/>
        </w:rPr>
        <w:t>09</w:t>
      </w:r>
      <w:r>
        <w:rPr>
          <w:rFonts w:hint="eastAsia" w:ascii="宋体" w:hAnsi="宋体" w:eastAsia="宋体" w:cs="Times New Roman"/>
          <w:b/>
          <w:sz w:val="22"/>
          <w:szCs w:val="24"/>
        </w:rPr>
        <w:t>:30</w:t>
      </w:r>
    </w:p>
    <w:p>
      <w:pPr>
        <w:snapToGrid w:val="0"/>
        <w:spacing w:line="440" w:lineRule="atLeast"/>
        <w:ind w:firstLine="480"/>
        <w:rPr>
          <w:rFonts w:ascii="宋体" w:hAnsi="宋体" w:eastAsia="宋体" w:cs="Times New Roman"/>
          <w:color w:val="000000"/>
          <w:kern w:val="0"/>
          <w:szCs w:val="21"/>
        </w:rPr>
      </w:pPr>
      <w:r>
        <w:rPr>
          <w:rFonts w:hint="eastAsia" w:ascii="宋体" w:hAnsi="宋体" w:eastAsia="宋体" w:cs="Times New Roman"/>
          <w:b/>
          <w:kern w:val="0"/>
          <w:sz w:val="22"/>
          <w:szCs w:val="20"/>
        </w:rPr>
        <w:t>九、开标地点：</w:t>
      </w:r>
      <w:r>
        <w:rPr>
          <w:rFonts w:hint="eastAsia" w:ascii="新宋体" w:hAnsi="新宋体" w:eastAsia="新宋体" w:cs="新宋体"/>
          <w:bCs/>
          <w:color w:val="auto"/>
          <w:kern w:val="0"/>
          <w:sz w:val="22"/>
          <w:szCs w:val="22"/>
          <w:highlight w:val="none"/>
        </w:rPr>
        <w:t>温州市行政审批与公共资源交易服务管理中心(温州市鹿城区会展路1268号温州市民中心A座3楼开标室)(详见开标当天大厅大屏幕显示)</w:t>
      </w:r>
    </w:p>
    <w:p>
      <w:pPr>
        <w:widowControl/>
        <w:spacing w:line="440" w:lineRule="atLeast"/>
        <w:jc w:val="left"/>
        <w:rPr>
          <w:rFonts w:ascii="宋体" w:hAnsi="宋体" w:eastAsia="宋体" w:cs="Arial"/>
          <w:b/>
          <w:bCs/>
          <w:sz w:val="24"/>
          <w:szCs w:val="24"/>
        </w:rPr>
      </w:pPr>
      <w:r>
        <w:rPr>
          <w:rFonts w:hint="eastAsia" w:ascii="宋体" w:hAnsi="宋体" w:eastAsia="宋体" w:cs="Times New Roman"/>
          <w:b/>
          <w:kern w:val="0"/>
          <w:sz w:val="22"/>
          <w:szCs w:val="20"/>
        </w:rPr>
        <w:t>十．</w:t>
      </w:r>
      <w:r>
        <w:rPr>
          <w:rFonts w:hint="eastAsia" w:ascii="宋体" w:hAnsi="宋体" w:eastAsia="宋体" w:cs="Arial"/>
          <w:b/>
          <w:bCs/>
          <w:sz w:val="24"/>
          <w:szCs w:val="24"/>
        </w:rPr>
        <w:t>其他事项：</w:t>
      </w:r>
    </w:p>
    <w:p>
      <w:pPr>
        <w:widowControl/>
        <w:spacing w:line="440" w:lineRule="atLeast"/>
        <w:ind w:firstLine="440" w:firstLineChars="200"/>
        <w:jc w:val="left"/>
        <w:rPr>
          <w:rFonts w:ascii="宋体" w:hAnsi="宋体" w:eastAsia="宋体" w:cs="Times New Roman"/>
          <w:sz w:val="22"/>
          <w:szCs w:val="24"/>
        </w:rPr>
      </w:pPr>
      <w:r>
        <w:rPr>
          <w:rFonts w:hint="eastAsia" w:ascii="宋体" w:hAnsi="宋体" w:eastAsia="宋体" w:cs="Times New Roman"/>
          <w:sz w:val="22"/>
          <w:szCs w:val="24"/>
        </w:rPr>
        <w:t>1、本项目采购文件公告期限为公告发布次日起五个工作日。</w:t>
      </w:r>
    </w:p>
    <w:p>
      <w:pPr>
        <w:widowControl/>
        <w:spacing w:line="440" w:lineRule="atLeast"/>
        <w:ind w:firstLine="440" w:firstLineChars="200"/>
        <w:jc w:val="left"/>
        <w:rPr>
          <w:rFonts w:ascii="宋体" w:hAnsi="宋体" w:eastAsia="宋体" w:cs="Times New Roman"/>
          <w:sz w:val="22"/>
          <w:szCs w:val="24"/>
        </w:rPr>
      </w:pPr>
      <w:r>
        <w:rPr>
          <w:rFonts w:ascii="宋体" w:hAnsi="宋体" w:eastAsia="宋体" w:cs="Times New Roman"/>
          <w:sz w:val="22"/>
          <w:szCs w:val="24"/>
        </w:rPr>
        <w:t>2</w:t>
      </w:r>
      <w:r>
        <w:rPr>
          <w:rFonts w:hint="eastAsia" w:ascii="宋体" w:hAnsi="宋体" w:eastAsia="宋体" w:cs="Times New Roman"/>
          <w:sz w:val="22"/>
          <w:szCs w:val="24"/>
        </w:rPr>
        <w:t>、招标文件提供期限时间之后有潜在供应商提出要求获取招标文件的，将允许其获取，但该供应商如对招标文件有异议的，应于自招标文件提供期限满之日起七个工作日内以书面形式向代理机构提出。</w:t>
      </w:r>
    </w:p>
    <w:p>
      <w:pPr>
        <w:widowControl/>
        <w:spacing w:line="440" w:lineRule="atLeast"/>
        <w:ind w:firstLine="440" w:firstLineChars="200"/>
        <w:jc w:val="left"/>
        <w:rPr>
          <w:rFonts w:ascii="宋体" w:hAnsi="宋体" w:eastAsia="宋体" w:cs="Times New Roman"/>
          <w:sz w:val="22"/>
          <w:szCs w:val="24"/>
        </w:rPr>
      </w:pPr>
      <w:r>
        <w:rPr>
          <w:rFonts w:ascii="宋体" w:hAnsi="宋体" w:eastAsia="宋体" w:cs="Times New Roman"/>
          <w:sz w:val="22"/>
          <w:szCs w:val="24"/>
        </w:rPr>
        <w:t>3</w:t>
      </w:r>
      <w:r>
        <w:rPr>
          <w:rFonts w:hint="eastAsia" w:ascii="宋体" w:hAnsi="宋体" w:eastAsia="宋体" w:cs="Times New Roman"/>
          <w:sz w:val="22"/>
          <w:szCs w:val="24"/>
        </w:rPr>
        <w:t>、供应商知道或者应知其权益受到损害之日起七个工作日内，以书面形式向采购人（或采购代理机构）提出质疑。供应商应知其权益受到损害之日，是指：对可以质疑的采购文件提出质疑的，为收到采购文件之日（含网上报名下载采购文件）或者采购文件公告期限届满之日（</w:t>
      </w:r>
      <w:r>
        <w:rPr>
          <w:rFonts w:ascii="宋体" w:hAnsi="宋体" w:eastAsia="宋体" w:cs="Times New Roman"/>
          <w:sz w:val="22"/>
          <w:szCs w:val="24"/>
        </w:rPr>
        <w:t>采购文件在</w:t>
      </w:r>
      <w:r>
        <w:rPr>
          <w:rFonts w:hint="eastAsia" w:ascii="宋体" w:hAnsi="宋体" w:eastAsia="宋体" w:cs="Times New Roman"/>
          <w:sz w:val="22"/>
          <w:szCs w:val="24"/>
        </w:rPr>
        <w:t>招标文件公告期限</w:t>
      </w:r>
      <w:r>
        <w:rPr>
          <w:rFonts w:ascii="宋体" w:hAnsi="宋体" w:eastAsia="宋体" w:cs="Times New Roman"/>
          <w:sz w:val="22"/>
          <w:szCs w:val="24"/>
        </w:rPr>
        <w:t>后获得的，自</w:t>
      </w:r>
      <w:r>
        <w:rPr>
          <w:rFonts w:hint="eastAsia" w:ascii="宋体" w:hAnsi="宋体" w:eastAsia="宋体" w:cs="Times New Roman"/>
          <w:sz w:val="22"/>
          <w:szCs w:val="24"/>
        </w:rPr>
        <w:t>采购文件公告期限届满之日</w:t>
      </w:r>
      <w:r>
        <w:rPr>
          <w:rFonts w:ascii="宋体" w:hAnsi="宋体" w:eastAsia="宋体" w:cs="Times New Roman"/>
          <w:sz w:val="22"/>
          <w:szCs w:val="24"/>
        </w:rPr>
        <w:t>起计算</w:t>
      </w:r>
      <w:r>
        <w:rPr>
          <w:rFonts w:hint="eastAsia" w:ascii="宋体" w:hAnsi="宋体" w:eastAsia="宋体" w:cs="Times New Roman"/>
          <w:sz w:val="22"/>
          <w:szCs w:val="24"/>
        </w:rPr>
        <w:t>）；对采购过程提出质疑的，为各采购程序环节结束之日；对中标或者成交结果提出质疑的，为中标或者成交结果公告期限届满之日。</w:t>
      </w:r>
    </w:p>
    <w:p>
      <w:pPr>
        <w:widowControl/>
        <w:spacing w:line="440" w:lineRule="atLeast"/>
        <w:ind w:firstLine="440" w:firstLineChars="200"/>
        <w:jc w:val="left"/>
        <w:rPr>
          <w:rFonts w:ascii="宋体" w:hAnsi="宋体" w:eastAsia="宋体" w:cs="Times New Roman"/>
          <w:sz w:val="22"/>
          <w:szCs w:val="24"/>
        </w:rPr>
      </w:pPr>
      <w:r>
        <w:rPr>
          <w:rFonts w:ascii="宋体" w:hAnsi="宋体" w:eastAsia="宋体" w:cs="Times New Roman"/>
          <w:sz w:val="22"/>
          <w:szCs w:val="24"/>
        </w:rPr>
        <w:t>4</w:t>
      </w:r>
      <w:r>
        <w:rPr>
          <w:rFonts w:hint="eastAsia" w:ascii="宋体" w:hAnsi="宋体" w:eastAsia="宋体" w:cs="Times New Roman"/>
          <w:sz w:val="22"/>
          <w:szCs w:val="24"/>
        </w:rPr>
        <w:t>、供应商质疑应当有明确的请求和必要的证明材料；采购人及招标代理机构按</w:t>
      </w:r>
      <w:r>
        <w:rPr>
          <w:rFonts w:ascii="宋体" w:hAnsi="宋体" w:eastAsia="宋体" w:cs="Times New Roman"/>
          <w:color w:val="000000"/>
          <w:sz w:val="22"/>
          <w:szCs w:val="24"/>
        </w:rPr>
        <w:t>《</w:t>
      </w:r>
      <w:r>
        <w:rPr>
          <w:rFonts w:hint="eastAsia" w:ascii="Times New Roman" w:hAnsi="Times New Roman" w:eastAsia="宋体" w:cs="Times New Roman"/>
          <w:color w:val="000000"/>
          <w:sz w:val="23"/>
          <w:szCs w:val="23"/>
        </w:rPr>
        <w:t>政府采购质疑和投诉办法</w:t>
      </w:r>
      <w:r>
        <w:rPr>
          <w:rFonts w:ascii="宋体" w:hAnsi="宋体" w:eastAsia="宋体" w:cs="Times New Roman"/>
          <w:color w:val="000000"/>
          <w:sz w:val="22"/>
          <w:szCs w:val="24"/>
        </w:rPr>
        <w:t>》</w:t>
      </w:r>
      <w:r>
        <w:rPr>
          <w:rFonts w:hint="eastAsia" w:ascii="宋体" w:hAnsi="宋体" w:eastAsia="宋体" w:cs="Times New Roman"/>
          <w:sz w:val="22"/>
          <w:szCs w:val="24"/>
        </w:rPr>
        <w:t>进行处理供应商质疑事项。</w:t>
      </w:r>
    </w:p>
    <w:p>
      <w:pPr>
        <w:widowControl/>
        <w:spacing w:line="440" w:lineRule="atLeast"/>
        <w:ind w:firstLine="440" w:firstLineChars="200"/>
        <w:jc w:val="left"/>
        <w:rPr>
          <w:rFonts w:ascii="宋体" w:hAnsi="宋体" w:eastAsia="宋体" w:cs="Times New Roman"/>
          <w:sz w:val="22"/>
          <w:szCs w:val="24"/>
        </w:rPr>
      </w:pPr>
      <w:r>
        <w:rPr>
          <w:rFonts w:ascii="宋体" w:hAnsi="宋体" w:eastAsia="宋体" w:cs="Times New Roman"/>
          <w:sz w:val="22"/>
          <w:szCs w:val="24"/>
        </w:rPr>
        <w:t>5</w:t>
      </w:r>
      <w:r>
        <w:rPr>
          <w:rFonts w:hint="eastAsia" w:ascii="宋体" w:hAnsi="宋体" w:eastAsia="宋体" w:cs="Times New Roman"/>
          <w:sz w:val="22"/>
          <w:szCs w:val="24"/>
        </w:rPr>
        <w:t>、潜在供应商可在浙江政府采购网http://www.zjzfcg.gov.cn进行免费注册，具体详见浙江政府采购网供应商注册要求；</w:t>
      </w:r>
    </w:p>
    <w:p>
      <w:pPr>
        <w:snapToGrid w:val="0"/>
        <w:spacing w:line="440" w:lineRule="atLeast"/>
        <w:rPr>
          <w:rFonts w:ascii="宋体" w:hAnsi="宋体" w:eastAsia="宋体" w:cs="Times New Roman"/>
          <w:b/>
          <w:sz w:val="22"/>
          <w:szCs w:val="24"/>
        </w:rPr>
      </w:pPr>
      <w:r>
        <w:rPr>
          <w:rFonts w:hint="eastAsia" w:ascii="宋体" w:hAnsi="宋体" w:eastAsia="宋体" w:cs="Times New Roman"/>
          <w:b/>
          <w:sz w:val="22"/>
          <w:szCs w:val="24"/>
        </w:rPr>
        <w:t>十一、联系方式</w:t>
      </w:r>
    </w:p>
    <w:p>
      <w:pPr>
        <w:snapToGrid w:val="0"/>
        <w:spacing w:line="440" w:lineRule="atLeast"/>
        <w:ind w:firstLine="480"/>
        <w:rPr>
          <w:rFonts w:ascii="宋体" w:hAnsi="宋体" w:eastAsia="宋体" w:cs="Times New Roman"/>
          <w:sz w:val="22"/>
          <w:szCs w:val="24"/>
        </w:rPr>
      </w:pPr>
      <w:bookmarkStart w:id="3" w:name="B43_传真"/>
      <w:bookmarkEnd w:id="3"/>
      <w:r>
        <w:rPr>
          <w:rFonts w:hint="eastAsia" w:ascii="宋体" w:hAnsi="宋体" w:eastAsia="宋体" w:cs="Times New Roman"/>
          <w:sz w:val="22"/>
          <w:szCs w:val="24"/>
        </w:rPr>
        <w:t>采购单位：</w:t>
      </w:r>
      <w:r>
        <w:rPr>
          <w:rFonts w:hint="eastAsia" w:ascii="宋体" w:hAnsi="宋体" w:eastAsia="宋体" w:cs="Times New Roman"/>
          <w:sz w:val="22"/>
          <w:szCs w:val="24"/>
          <w:lang w:eastAsia="zh-CN"/>
        </w:rPr>
        <w:t>温州经济技术开发区文教体工作局</w:t>
      </w:r>
      <w:r>
        <w:rPr>
          <w:rFonts w:hint="eastAsia" w:ascii="宋体" w:hAnsi="宋体" w:eastAsia="宋体" w:cs="Times New Roman"/>
          <w:sz w:val="22"/>
          <w:szCs w:val="24"/>
        </w:rPr>
        <w:t xml:space="preserve">  </w:t>
      </w:r>
    </w:p>
    <w:p>
      <w:pPr>
        <w:snapToGrid w:val="0"/>
        <w:spacing w:line="440" w:lineRule="atLeast"/>
        <w:ind w:firstLine="480"/>
        <w:rPr>
          <w:rFonts w:ascii="宋体" w:hAnsi="宋体" w:eastAsia="宋体" w:cs="Times New Roman"/>
          <w:sz w:val="22"/>
          <w:szCs w:val="24"/>
        </w:rPr>
      </w:pPr>
      <w:r>
        <w:rPr>
          <w:rFonts w:hint="eastAsia" w:ascii="宋体" w:hAnsi="宋体" w:eastAsia="宋体" w:cs="Times New Roman"/>
          <w:sz w:val="22"/>
          <w:szCs w:val="24"/>
        </w:rPr>
        <w:t>联系人：</w:t>
      </w:r>
      <w:r>
        <w:rPr>
          <w:rFonts w:hint="eastAsia" w:ascii="宋体" w:hAnsi="宋体" w:eastAsia="宋体" w:cs="Times New Roman"/>
          <w:sz w:val="22"/>
          <w:szCs w:val="24"/>
          <w:lang w:eastAsia="zh-CN"/>
        </w:rPr>
        <w:t>沈</w:t>
      </w:r>
      <w:r>
        <w:rPr>
          <w:rFonts w:hint="eastAsia" w:ascii="宋体" w:hAnsi="宋体" w:eastAsia="宋体" w:cs="Times New Roman"/>
          <w:sz w:val="22"/>
          <w:szCs w:val="24"/>
        </w:rPr>
        <w:t>老师</w:t>
      </w:r>
    </w:p>
    <w:p>
      <w:pPr>
        <w:snapToGrid w:val="0"/>
        <w:spacing w:line="440" w:lineRule="atLeast"/>
        <w:ind w:firstLine="480"/>
        <w:rPr>
          <w:rFonts w:hint="default" w:ascii="宋体" w:hAnsi="宋体" w:eastAsia="宋体" w:cs="Times New Roman"/>
          <w:sz w:val="22"/>
          <w:szCs w:val="24"/>
          <w:lang w:val="en-US" w:eastAsia="zh-CN"/>
        </w:rPr>
      </w:pPr>
      <w:r>
        <w:rPr>
          <w:rFonts w:hint="eastAsia" w:ascii="宋体" w:hAnsi="宋体" w:eastAsia="宋体" w:cs="Times New Roman"/>
          <w:sz w:val="22"/>
          <w:szCs w:val="24"/>
        </w:rPr>
        <w:t>电话：0577-</w:t>
      </w:r>
      <w:r>
        <w:rPr>
          <w:rFonts w:hint="eastAsia" w:ascii="宋体" w:hAnsi="宋体" w:eastAsia="宋体" w:cs="Times New Roman"/>
          <w:sz w:val="22"/>
          <w:szCs w:val="24"/>
          <w:lang w:val="en-US" w:eastAsia="zh-CN"/>
        </w:rPr>
        <w:t>86837798</w:t>
      </w:r>
    </w:p>
    <w:p>
      <w:pPr>
        <w:snapToGrid w:val="0"/>
        <w:spacing w:line="440" w:lineRule="atLeast"/>
        <w:ind w:firstLine="480"/>
        <w:rPr>
          <w:rFonts w:hint="default" w:ascii="宋体" w:hAnsi="宋体" w:eastAsia="宋体" w:cs="Times New Roman"/>
          <w:sz w:val="22"/>
          <w:szCs w:val="24"/>
          <w:lang w:val="en-US"/>
        </w:rPr>
      </w:pPr>
      <w:r>
        <w:rPr>
          <w:rFonts w:hint="eastAsia" w:ascii="宋体" w:hAnsi="宋体" w:eastAsia="宋体" w:cs="Times New Roman"/>
          <w:sz w:val="22"/>
          <w:szCs w:val="24"/>
        </w:rPr>
        <w:t>地址：温州市</w:t>
      </w:r>
      <w:r>
        <w:rPr>
          <w:rFonts w:hint="eastAsia" w:ascii="宋体" w:hAnsi="宋体" w:eastAsia="宋体" w:cs="Times New Roman"/>
          <w:sz w:val="22"/>
          <w:szCs w:val="24"/>
          <w:lang w:eastAsia="zh-CN"/>
        </w:rPr>
        <w:t>龙湾区明珠路</w:t>
      </w:r>
      <w:r>
        <w:rPr>
          <w:rFonts w:hint="eastAsia" w:ascii="宋体" w:hAnsi="宋体" w:eastAsia="宋体" w:cs="Times New Roman"/>
          <w:sz w:val="22"/>
          <w:szCs w:val="24"/>
          <w:lang w:val="en-US" w:eastAsia="zh-CN"/>
        </w:rPr>
        <w:t>850号</w:t>
      </w:r>
    </w:p>
    <w:p>
      <w:pPr>
        <w:widowControl/>
        <w:shd w:val="clear" w:color="auto" w:fill="FFFFFF"/>
        <w:spacing w:before="60" w:after="60" w:line="440" w:lineRule="atLeast"/>
        <w:ind w:right="62" w:firstLine="440" w:firstLineChars="200"/>
        <w:jc w:val="left"/>
        <w:rPr>
          <w:rFonts w:hint="eastAsia" w:ascii="宋体" w:hAnsi="宋体" w:eastAsia="宋体" w:cs="Times New Roman"/>
          <w:color w:val="000000"/>
          <w:kern w:val="0"/>
          <w:sz w:val="22"/>
          <w:lang w:eastAsia="zh-CN"/>
        </w:rPr>
      </w:pPr>
      <w:r>
        <w:rPr>
          <w:rFonts w:hint="eastAsia" w:ascii="宋体" w:hAnsi="宋体" w:eastAsia="宋体" w:cs="Times New Roman"/>
          <w:color w:val="000000"/>
          <w:kern w:val="0"/>
          <w:sz w:val="22"/>
        </w:rPr>
        <w:t>采购代理机构：</w:t>
      </w:r>
      <w:r>
        <w:rPr>
          <w:rFonts w:hint="eastAsia" w:ascii="宋体" w:hAnsi="宋体" w:eastAsia="宋体" w:cs="Times New Roman"/>
          <w:color w:val="000000"/>
          <w:kern w:val="0"/>
          <w:sz w:val="22"/>
          <w:lang w:eastAsia="zh-CN"/>
        </w:rPr>
        <w:t>浙江永信工程咨询有限公司</w:t>
      </w:r>
    </w:p>
    <w:p>
      <w:pPr>
        <w:widowControl/>
        <w:shd w:val="clear" w:color="auto" w:fill="FFFFFF"/>
        <w:spacing w:before="60" w:after="60" w:line="440" w:lineRule="atLeast"/>
        <w:ind w:right="62" w:firstLine="440" w:firstLineChars="200"/>
        <w:jc w:val="left"/>
        <w:rPr>
          <w:rFonts w:ascii="宋体" w:hAnsi="宋体" w:eastAsia="宋体" w:cs="Times New Roman"/>
          <w:color w:val="000000"/>
          <w:kern w:val="0"/>
          <w:sz w:val="22"/>
        </w:rPr>
      </w:pPr>
      <w:r>
        <w:rPr>
          <w:rFonts w:hint="eastAsia" w:ascii="宋体" w:hAnsi="宋体" w:eastAsia="宋体" w:cs="Times New Roman"/>
          <w:color w:val="000000"/>
          <w:kern w:val="0"/>
          <w:sz w:val="22"/>
        </w:rPr>
        <w:t>地址：</w:t>
      </w:r>
      <w:r>
        <w:rPr>
          <w:rFonts w:hint="eastAsia" w:ascii="新宋体" w:hAnsi="新宋体" w:eastAsia="新宋体" w:cs="新宋体"/>
          <w:bCs/>
          <w:color w:val="auto"/>
          <w:kern w:val="0"/>
          <w:sz w:val="22"/>
          <w:szCs w:val="22"/>
          <w:highlight w:val="none"/>
          <w:lang w:val="en-US" w:eastAsia="zh-CN"/>
        </w:rPr>
        <w:t>温州市瓯海区南塘一组团商务楼11楼</w:t>
      </w:r>
    </w:p>
    <w:p>
      <w:pPr>
        <w:widowControl/>
        <w:shd w:val="clear" w:color="auto" w:fill="FFFFFF"/>
        <w:spacing w:before="60" w:after="60" w:line="440" w:lineRule="atLeast"/>
        <w:ind w:right="62" w:firstLine="440" w:firstLineChars="200"/>
        <w:jc w:val="left"/>
        <w:rPr>
          <w:rFonts w:ascii="宋体" w:hAnsi="宋体" w:eastAsia="宋体" w:cs="Times New Roman"/>
          <w:color w:val="000000"/>
          <w:kern w:val="0"/>
          <w:sz w:val="22"/>
        </w:rPr>
      </w:pPr>
      <w:r>
        <w:rPr>
          <w:rFonts w:hint="eastAsia" w:ascii="宋体" w:hAnsi="宋体" w:eastAsia="宋体" w:cs="Times New Roman"/>
          <w:color w:val="000000"/>
          <w:kern w:val="0"/>
          <w:sz w:val="22"/>
        </w:rPr>
        <w:t xml:space="preserve"> 联系人：</w:t>
      </w:r>
      <w:r>
        <w:rPr>
          <w:rFonts w:hint="eastAsia" w:ascii="宋体" w:hAnsi="宋体" w:eastAsia="宋体" w:cs="Times New Roman"/>
          <w:color w:val="000000"/>
          <w:kern w:val="0"/>
          <w:sz w:val="22"/>
          <w:lang w:eastAsia="zh-CN"/>
        </w:rPr>
        <w:t>王军</w:t>
      </w:r>
      <w:r>
        <w:rPr>
          <w:rFonts w:hint="eastAsia" w:ascii="宋体" w:hAnsi="宋体" w:eastAsia="宋体" w:cs="Times New Roman"/>
          <w:color w:val="000000"/>
          <w:kern w:val="0"/>
          <w:sz w:val="22"/>
        </w:rPr>
        <w:t xml:space="preserve">  联系电话：</w:t>
      </w:r>
      <w:r>
        <w:rPr>
          <w:rFonts w:hint="eastAsia" w:ascii="宋体" w:hAnsi="宋体" w:eastAsia="宋体" w:cs="Times New Roman"/>
          <w:color w:val="000000"/>
          <w:kern w:val="0"/>
          <w:sz w:val="22"/>
          <w:lang w:val="en-US" w:eastAsia="zh-CN"/>
        </w:rPr>
        <w:t>13456001532</w:t>
      </w:r>
      <w:r>
        <w:rPr>
          <w:rFonts w:hint="eastAsia" w:ascii="宋体" w:hAnsi="宋体" w:eastAsia="宋体" w:cs="Times New Roman"/>
          <w:color w:val="000000"/>
          <w:kern w:val="0"/>
          <w:sz w:val="22"/>
        </w:rPr>
        <w:t>传真：</w:t>
      </w:r>
      <w:r>
        <w:rPr>
          <w:rFonts w:hint="eastAsia" w:ascii="新宋体" w:hAnsi="新宋体" w:eastAsia="新宋体" w:cs="新宋体"/>
          <w:color w:val="auto"/>
          <w:sz w:val="22"/>
          <w:highlight w:val="none"/>
          <w:lang w:val="en-US" w:eastAsia="zh-CN"/>
        </w:rPr>
        <w:t>0577-88066206</w:t>
      </w:r>
    </w:p>
    <w:p>
      <w:pPr>
        <w:widowControl/>
        <w:shd w:val="clear" w:color="auto" w:fill="FFFFFF"/>
        <w:spacing w:before="60" w:after="60" w:line="440" w:lineRule="atLeast"/>
        <w:ind w:right="62" w:firstLine="440" w:firstLineChars="200"/>
        <w:jc w:val="left"/>
        <w:rPr>
          <w:rFonts w:hint="eastAsia" w:ascii="宋体" w:hAnsi="宋体" w:eastAsia="宋体" w:cs="宋体"/>
          <w:i w:val="0"/>
          <w:caps w:val="0"/>
          <w:color w:val="000000"/>
          <w:spacing w:val="0"/>
          <w:sz w:val="22"/>
          <w:szCs w:val="22"/>
        </w:rPr>
      </w:pPr>
      <w:r>
        <w:rPr>
          <w:rFonts w:hint="eastAsia" w:ascii="宋体" w:hAnsi="宋体" w:eastAsia="宋体" w:cs="Times New Roman"/>
          <w:color w:val="000000"/>
          <w:kern w:val="0"/>
          <w:sz w:val="22"/>
        </w:rPr>
        <w:t>同级政府采购监督管理部门名称：</w:t>
      </w:r>
      <w:r>
        <w:rPr>
          <w:rFonts w:hint="eastAsia" w:ascii="宋体" w:hAnsi="宋体" w:eastAsia="宋体" w:cs="宋体"/>
          <w:i w:val="0"/>
          <w:caps w:val="0"/>
          <w:color w:val="000000"/>
          <w:spacing w:val="0"/>
          <w:sz w:val="22"/>
          <w:szCs w:val="22"/>
        </w:rPr>
        <w:t>温州市财政局政府采购监管处</w:t>
      </w:r>
    </w:p>
    <w:p>
      <w:pPr>
        <w:keepNext w:val="0"/>
        <w:keepLines w:val="0"/>
        <w:pageBreakBefore w:val="0"/>
        <w:kinsoku/>
        <w:wordWrap/>
        <w:overflowPunct/>
        <w:topLinePunct w:val="0"/>
        <w:bidi w:val="0"/>
        <w:snapToGrid w:val="0"/>
        <w:spacing w:line="360" w:lineRule="auto"/>
        <w:ind w:firstLine="480"/>
        <w:textAlignment w:val="auto"/>
        <w:outlineLvl w:val="9"/>
        <w:rPr>
          <w:rFonts w:hint="eastAsia" w:ascii="微软雅黑" w:hAnsi="微软雅黑" w:eastAsia="微软雅黑" w:cs="微软雅黑"/>
          <w:i w:val="0"/>
          <w:caps w:val="0"/>
          <w:color w:val="000000"/>
          <w:spacing w:val="0"/>
          <w:sz w:val="27"/>
          <w:szCs w:val="27"/>
        </w:rPr>
      </w:pPr>
      <w:r>
        <w:rPr>
          <w:rFonts w:hint="eastAsia" w:ascii="宋体" w:hAnsi="宋体" w:eastAsia="宋体" w:cs="宋体"/>
          <w:i w:val="0"/>
          <w:caps w:val="0"/>
          <w:color w:val="000000"/>
          <w:spacing w:val="0"/>
          <w:sz w:val="22"/>
          <w:szCs w:val="22"/>
        </w:rPr>
        <w:t>联系人：陈先生、马女士     联系号码：057788506788、057788523909</w:t>
      </w:r>
    </w:p>
    <w:p>
      <w:pPr>
        <w:widowControl/>
        <w:shd w:val="clear" w:color="auto" w:fill="FFFFFF"/>
        <w:spacing w:before="60" w:after="60" w:line="440" w:lineRule="atLeast"/>
        <w:ind w:right="62" w:firstLine="440" w:firstLineChars="200"/>
        <w:jc w:val="left"/>
        <w:rPr>
          <w:rFonts w:hint="eastAsia" w:ascii="宋体" w:hAnsi="宋体" w:eastAsia="宋体" w:cs="宋体"/>
          <w:i w:val="0"/>
          <w:caps w:val="0"/>
          <w:color w:val="000000"/>
          <w:spacing w:val="0"/>
          <w:sz w:val="22"/>
          <w:szCs w:val="22"/>
        </w:rPr>
      </w:pPr>
    </w:p>
    <w:p>
      <w:pPr>
        <w:spacing w:line="400" w:lineRule="exact"/>
        <w:ind w:right="440"/>
        <w:jc w:val="right"/>
        <w:rPr>
          <w:rFonts w:ascii="宋体" w:hAnsi="宋体" w:eastAsia="宋体" w:cs="Times New Roman"/>
          <w:sz w:val="22"/>
          <w:szCs w:val="24"/>
        </w:rPr>
      </w:pPr>
    </w:p>
    <w:p>
      <w:pPr>
        <w:spacing w:line="400" w:lineRule="exact"/>
        <w:ind w:right="440"/>
        <w:jc w:val="right"/>
        <w:rPr>
          <w:rFonts w:hint="eastAsia" w:ascii="宋体" w:hAnsi="宋体" w:eastAsia="宋体" w:cs="Times New Roman"/>
          <w:color w:val="000000"/>
          <w:sz w:val="22"/>
          <w:szCs w:val="24"/>
          <w:lang w:eastAsia="zh-CN"/>
        </w:rPr>
      </w:pPr>
      <w:r>
        <w:rPr>
          <w:rFonts w:hint="eastAsia" w:ascii="宋体" w:hAnsi="宋体" w:eastAsia="宋体" w:cs="Times New Roman"/>
          <w:sz w:val="22"/>
          <w:szCs w:val="24"/>
          <w:lang w:eastAsia="zh-CN"/>
        </w:rPr>
        <w:t>温州经济技术开发区文教体工作局</w:t>
      </w:r>
    </w:p>
    <w:p>
      <w:pPr>
        <w:spacing w:line="400" w:lineRule="exact"/>
        <w:ind w:right="440"/>
        <w:jc w:val="right"/>
        <w:rPr>
          <w:rFonts w:hint="eastAsia" w:ascii="宋体" w:hAnsi="宋体" w:eastAsia="宋体" w:cs="Times New Roman"/>
          <w:color w:val="000000"/>
          <w:sz w:val="22"/>
          <w:szCs w:val="24"/>
          <w:lang w:eastAsia="zh-CN"/>
        </w:rPr>
      </w:pPr>
      <w:r>
        <w:rPr>
          <w:rFonts w:hint="eastAsia" w:ascii="宋体" w:hAnsi="宋体" w:eastAsia="宋体" w:cs="Times New Roman"/>
          <w:color w:val="000000"/>
          <w:sz w:val="22"/>
          <w:szCs w:val="24"/>
          <w:lang w:eastAsia="zh-CN"/>
        </w:rPr>
        <w:t>浙江永信工程咨询有限公司</w:t>
      </w:r>
    </w:p>
    <w:p>
      <w:pPr>
        <w:widowControl/>
        <w:spacing w:line="360" w:lineRule="auto"/>
        <w:ind w:right="420"/>
        <w:jc w:val="right"/>
        <w:rPr>
          <w:rFonts w:ascii="宋体" w:hAnsi="宋体" w:eastAsia="宋体" w:cs="Times New Roman"/>
          <w:color w:val="000000"/>
          <w:szCs w:val="24"/>
        </w:rPr>
      </w:pPr>
      <w:r>
        <w:rPr>
          <w:rFonts w:hint="eastAsia" w:ascii="宋体" w:hAnsi="宋体" w:eastAsia="宋体" w:cs="Times New Roman"/>
          <w:color w:val="000000"/>
          <w:szCs w:val="24"/>
        </w:rPr>
        <w:t>2019年</w:t>
      </w:r>
      <w:r>
        <w:rPr>
          <w:rFonts w:hint="eastAsia" w:ascii="宋体" w:hAnsi="宋体" w:eastAsia="宋体" w:cs="Times New Roman"/>
          <w:color w:val="000000"/>
          <w:szCs w:val="24"/>
          <w:lang w:val="en-US" w:eastAsia="zh-CN"/>
        </w:rPr>
        <w:t>7</w:t>
      </w:r>
      <w:r>
        <w:rPr>
          <w:rFonts w:hint="eastAsia" w:ascii="宋体" w:hAnsi="宋体" w:eastAsia="宋体" w:cs="Times New Roman"/>
          <w:color w:val="000000"/>
          <w:szCs w:val="24"/>
        </w:rPr>
        <w:t>月</w:t>
      </w:r>
      <w:r>
        <w:rPr>
          <w:rFonts w:hint="eastAsia" w:ascii="宋体" w:hAnsi="宋体" w:eastAsia="宋体" w:cs="Times New Roman"/>
          <w:color w:val="000000"/>
          <w:szCs w:val="24"/>
          <w:lang w:val="en-US" w:eastAsia="zh-CN"/>
        </w:rPr>
        <w:t>9</w:t>
      </w:r>
      <w:r>
        <w:rPr>
          <w:rFonts w:hint="eastAsia" w:ascii="宋体" w:hAnsi="宋体" w:eastAsia="宋体" w:cs="Times New Roman"/>
          <w:color w:val="000000"/>
          <w:szCs w:val="24"/>
        </w:rPr>
        <w:t>日</w:t>
      </w:r>
      <w:bookmarkEnd w:id="2"/>
    </w:p>
    <w:p>
      <w:pPr>
        <w:widowControl/>
        <w:spacing w:line="360" w:lineRule="auto"/>
        <w:ind w:right="420"/>
        <w:jc w:val="right"/>
        <w:rPr>
          <w:rFonts w:ascii="宋体" w:hAnsi="宋体" w:eastAsia="宋体" w:cs="Times New Roman"/>
          <w:color w:val="000000"/>
          <w:szCs w:val="24"/>
        </w:rPr>
      </w:pPr>
    </w:p>
    <w:p>
      <w:pPr>
        <w:widowControl/>
        <w:spacing w:line="360" w:lineRule="auto"/>
        <w:ind w:right="420"/>
        <w:jc w:val="right"/>
        <w:rPr>
          <w:rFonts w:ascii="宋体" w:hAnsi="宋体" w:eastAsia="宋体" w:cs="Times New Roman"/>
          <w:color w:val="000000"/>
          <w:szCs w:val="24"/>
        </w:rPr>
      </w:pPr>
    </w:p>
    <w:p>
      <w:pPr>
        <w:widowControl/>
        <w:spacing w:line="360" w:lineRule="auto"/>
        <w:ind w:right="420"/>
        <w:jc w:val="right"/>
        <w:rPr>
          <w:rFonts w:ascii="宋体" w:hAnsi="宋体" w:eastAsia="宋体" w:cs="Times New Roman"/>
          <w:color w:val="000000"/>
          <w:szCs w:val="24"/>
        </w:rPr>
      </w:pPr>
    </w:p>
    <w:p>
      <w:pPr>
        <w:widowControl/>
        <w:spacing w:line="360" w:lineRule="auto"/>
        <w:ind w:right="420"/>
        <w:jc w:val="right"/>
        <w:rPr>
          <w:rFonts w:ascii="宋体" w:hAnsi="宋体" w:eastAsia="宋体" w:cs="Times New Roman"/>
          <w:color w:val="000000"/>
          <w:szCs w:val="24"/>
        </w:rPr>
      </w:pPr>
    </w:p>
    <w:p>
      <w:pPr>
        <w:pStyle w:val="2"/>
        <w:rPr>
          <w:rFonts w:ascii="宋体" w:hAnsi="宋体" w:eastAsia="宋体" w:cs="Times New Roman"/>
          <w:color w:val="000000"/>
          <w:szCs w:val="24"/>
        </w:rPr>
      </w:pPr>
    </w:p>
    <w:p>
      <w:pPr>
        <w:pStyle w:val="3"/>
        <w:rPr>
          <w:rFonts w:ascii="宋体" w:hAnsi="宋体" w:eastAsia="宋体" w:cs="Times New Roman"/>
          <w:color w:val="000000"/>
          <w:szCs w:val="24"/>
        </w:rPr>
      </w:pPr>
    </w:p>
    <w:p>
      <w:pPr>
        <w:pStyle w:val="3"/>
        <w:rPr>
          <w:rFonts w:ascii="宋体" w:hAnsi="宋体" w:eastAsia="宋体" w:cs="Times New Roman"/>
          <w:color w:val="000000"/>
          <w:szCs w:val="24"/>
        </w:rPr>
      </w:pPr>
    </w:p>
    <w:p>
      <w:pPr>
        <w:pStyle w:val="3"/>
        <w:rPr>
          <w:rFonts w:ascii="宋体" w:hAnsi="宋体" w:eastAsia="宋体" w:cs="Times New Roman"/>
          <w:color w:val="000000"/>
          <w:szCs w:val="24"/>
        </w:rPr>
      </w:pPr>
    </w:p>
    <w:p>
      <w:pPr>
        <w:pStyle w:val="3"/>
        <w:rPr>
          <w:rFonts w:ascii="宋体" w:hAnsi="宋体" w:eastAsia="宋体" w:cs="Times New Roman"/>
          <w:color w:val="000000"/>
          <w:szCs w:val="24"/>
        </w:rPr>
      </w:pPr>
    </w:p>
    <w:p>
      <w:pPr>
        <w:pStyle w:val="3"/>
        <w:rPr>
          <w:rFonts w:ascii="宋体" w:hAnsi="宋体" w:eastAsia="宋体" w:cs="Times New Roman"/>
          <w:color w:val="000000"/>
          <w:szCs w:val="24"/>
        </w:rPr>
      </w:pPr>
    </w:p>
    <w:p>
      <w:pPr>
        <w:widowControl/>
        <w:spacing w:line="360" w:lineRule="auto"/>
        <w:ind w:right="420"/>
        <w:jc w:val="right"/>
        <w:rPr>
          <w:rFonts w:ascii="宋体" w:hAnsi="宋体" w:eastAsia="宋体" w:cs="Times New Roman"/>
          <w:kern w:val="0"/>
          <w:sz w:val="22"/>
          <w:szCs w:val="20"/>
        </w:rPr>
      </w:pPr>
    </w:p>
    <w:p>
      <w:pPr>
        <w:keepNext/>
        <w:keepLines/>
        <w:widowControl/>
        <w:spacing w:before="240" w:line="259" w:lineRule="auto"/>
        <w:jc w:val="center"/>
        <w:rPr>
          <w:rFonts w:ascii="宋体" w:hAnsi="宋体" w:eastAsia="宋体" w:cs="Times New Roman"/>
          <w:kern w:val="0"/>
          <w:sz w:val="32"/>
          <w:szCs w:val="32"/>
        </w:rPr>
      </w:pPr>
      <w:r>
        <w:rPr>
          <w:rFonts w:ascii="宋体" w:hAnsi="宋体" w:eastAsia="宋体" w:cs="Times New Roman"/>
          <w:kern w:val="0"/>
          <w:sz w:val="32"/>
          <w:szCs w:val="32"/>
          <w:lang w:val="zh-CN"/>
        </w:rPr>
        <w:t>招标文件目录</w:t>
      </w:r>
    </w:p>
    <w:p>
      <w:pPr>
        <w:tabs>
          <w:tab w:val="right" w:leader="dot" w:pos="9118"/>
        </w:tabs>
        <w:ind w:firstLine="108" w:firstLineChars="49"/>
        <w:rPr>
          <w:rFonts w:ascii="Calibri" w:hAnsi="Calibri" w:eastAsia="宋体" w:cs="Times New Roman"/>
          <w:b/>
          <w:sz w:val="22"/>
        </w:rPr>
      </w:pPr>
      <w:r>
        <w:rPr>
          <w:rFonts w:ascii="宋体" w:hAnsi="宋体" w:eastAsia="宋体" w:cs="Times New Roman"/>
          <w:b/>
          <w:sz w:val="22"/>
        </w:rPr>
        <w:fldChar w:fldCharType="begin"/>
      </w:r>
      <w:r>
        <w:rPr>
          <w:rFonts w:ascii="宋体" w:hAnsi="宋体" w:eastAsia="宋体" w:cs="Times New Roman"/>
          <w:b/>
          <w:sz w:val="22"/>
        </w:rPr>
        <w:instrText xml:space="preserve"> TOC \o "1-3" \h \z \u </w:instrText>
      </w:r>
      <w:r>
        <w:rPr>
          <w:rFonts w:ascii="宋体" w:hAnsi="宋体" w:eastAsia="宋体" w:cs="Times New Roman"/>
          <w:b/>
          <w:sz w:val="22"/>
        </w:rPr>
        <w:fldChar w:fldCharType="separate"/>
      </w:r>
      <w:r>
        <w:fldChar w:fldCharType="begin"/>
      </w:r>
      <w:r>
        <w:instrText xml:space="preserve"> HYPERLINK \l "_Toc494407521" </w:instrText>
      </w:r>
      <w:r>
        <w:fldChar w:fldCharType="separate"/>
      </w:r>
      <w:r>
        <w:rPr>
          <w:rFonts w:hint="eastAsia" w:ascii="宋体" w:hAnsi="宋体" w:eastAsia="宋体" w:cs="Times New Roman"/>
          <w:sz w:val="22"/>
          <w:u w:val="single"/>
        </w:rPr>
        <w:t>关于</w:t>
      </w:r>
      <w:r>
        <w:rPr>
          <w:rFonts w:hint="eastAsia" w:ascii="宋体" w:hAnsi="宋体" w:eastAsia="宋体" w:cs="Times New Roman"/>
          <w:sz w:val="22"/>
          <w:u w:val="single"/>
          <w:lang w:eastAsia="zh-CN"/>
        </w:rPr>
        <w:t>天河中学新建教学综合楼功能室设备</w:t>
      </w:r>
      <w:r>
        <w:rPr>
          <w:rFonts w:hint="eastAsia" w:ascii="宋体" w:hAnsi="宋体" w:eastAsia="宋体" w:cs="Times New Roman"/>
          <w:sz w:val="22"/>
          <w:u w:val="single"/>
        </w:rPr>
        <w:t>项目的公开招标公告</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"_Toc494407523" </w:instrText>
      </w:r>
      <w:r>
        <w:fldChar w:fldCharType="separate"/>
      </w:r>
      <w:r>
        <w:rPr>
          <w:rFonts w:hint="eastAsia" w:ascii="宋体" w:hAnsi="宋体" w:eastAsia="宋体" w:cs="Times New Roman"/>
          <w:sz w:val="22"/>
          <w:u w:val="single"/>
        </w:rPr>
        <w:t>第一部分投标邀请函（投标须知前附表）</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"_Toc494407525" </w:instrText>
      </w:r>
      <w:r>
        <w:fldChar w:fldCharType="separate"/>
      </w:r>
      <w:r>
        <w:rPr>
          <w:rFonts w:hint="eastAsia" w:ascii="宋体" w:hAnsi="宋体" w:eastAsia="宋体" w:cs="Times New Roman"/>
          <w:sz w:val="22"/>
          <w:u w:val="single"/>
        </w:rPr>
        <w:t>第二部分招标内容及要求</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"_Toc494407526" </w:instrText>
      </w:r>
      <w:r>
        <w:fldChar w:fldCharType="separate"/>
      </w:r>
      <w:r>
        <w:rPr>
          <w:rFonts w:hint="eastAsia" w:ascii="宋体" w:hAnsi="宋体" w:eastAsia="宋体" w:cs="Times New Roman"/>
          <w:sz w:val="22"/>
          <w:u w:val="single"/>
        </w:rPr>
        <w:t>一、采购总说明</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"_Toc494407527" </w:instrText>
      </w:r>
      <w:r>
        <w:fldChar w:fldCharType="separate"/>
      </w:r>
      <w:r>
        <w:rPr>
          <w:rFonts w:hint="eastAsia" w:ascii="宋体" w:hAnsi="宋体" w:eastAsia="宋体" w:cs="Times New Roman"/>
          <w:sz w:val="22"/>
          <w:u w:val="single"/>
        </w:rPr>
        <w:t>二、总体技术要求</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"_Toc494407528" </w:instrText>
      </w:r>
      <w:r>
        <w:fldChar w:fldCharType="separate"/>
      </w:r>
      <w:r>
        <w:rPr>
          <w:rFonts w:hint="eastAsia" w:ascii="宋体" w:hAnsi="宋体" w:eastAsia="宋体" w:cs="Times New Roman"/>
          <w:sz w:val="22"/>
          <w:u w:val="single"/>
        </w:rPr>
        <w:t>三、采购内容</w:t>
      </w:r>
      <w:bookmarkStart w:id="4" w:name="_Hlt494407645"/>
      <w:r>
        <w:rPr>
          <w:rFonts w:hint="eastAsia" w:ascii="宋体" w:hAnsi="宋体" w:eastAsia="宋体" w:cs="Times New Roman"/>
          <w:sz w:val="22"/>
          <w:u w:val="single"/>
        </w:rPr>
        <w:t>及</w:t>
      </w:r>
      <w:bookmarkEnd w:id="4"/>
      <w:r>
        <w:rPr>
          <w:rFonts w:hint="eastAsia" w:ascii="宋体" w:hAnsi="宋体" w:eastAsia="宋体" w:cs="Times New Roman"/>
          <w:sz w:val="22"/>
          <w:u w:val="single"/>
        </w:rPr>
        <w:t>具体要求</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"_Toc494407529" </w:instrText>
      </w:r>
      <w:r>
        <w:fldChar w:fldCharType="separate"/>
      </w:r>
      <w:r>
        <w:rPr>
          <w:rFonts w:hint="eastAsia" w:ascii="宋体" w:hAnsi="宋体" w:eastAsia="宋体" w:cs="Times New Roman"/>
          <w:sz w:val="22"/>
          <w:u w:val="single"/>
        </w:rPr>
        <w:t>四、商务条款</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"_Toc494407530" </w:instrText>
      </w:r>
      <w:r>
        <w:fldChar w:fldCharType="separate"/>
      </w:r>
      <w:r>
        <w:rPr>
          <w:rFonts w:hint="eastAsia" w:ascii="宋体" w:hAnsi="宋体" w:eastAsia="宋体" w:cs="Times New Roman"/>
          <w:sz w:val="22"/>
          <w:u w:val="single"/>
        </w:rPr>
        <w:t>五、工作范围：</w:t>
      </w:r>
      <w:r>
        <w:rPr>
          <w:rFonts w:hint="eastAsia" w:ascii="宋体" w:hAnsi="宋体" w:eastAsia="宋体" w:cs="Times New Roman"/>
          <w:b/>
          <w:sz w:val="22"/>
        </w:rPr>
        <w:t xml:space="preserve"> </w:t>
      </w:r>
      <w:r>
        <w:rPr>
          <w:rFonts w:hint="eastAsia" w:ascii="宋体" w:hAnsi="宋体" w:eastAsia="宋体" w:cs="Times New Roman"/>
          <w:b/>
          <w:sz w:val="22"/>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"_Toc494407531" </w:instrText>
      </w:r>
      <w:r>
        <w:fldChar w:fldCharType="separate"/>
      </w:r>
      <w:r>
        <w:rPr>
          <w:rFonts w:hint="eastAsia" w:ascii="宋体" w:hAnsi="宋体" w:eastAsia="宋体" w:cs="Times New Roman"/>
          <w:sz w:val="22"/>
          <w:u w:val="single"/>
        </w:rPr>
        <w:t>第三部分供应商须知</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"_Toc494407532" </w:instrText>
      </w:r>
      <w:r>
        <w:fldChar w:fldCharType="separate"/>
      </w:r>
      <w:r>
        <w:rPr>
          <w:rFonts w:hint="eastAsia" w:ascii="宋体" w:hAnsi="宋体" w:eastAsia="宋体" w:cs="Times New Roman"/>
          <w:sz w:val="22"/>
          <w:u w:val="single"/>
        </w:rPr>
        <w:t>一、说明</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"_Toc494407533" </w:instrText>
      </w:r>
      <w:r>
        <w:fldChar w:fldCharType="separate"/>
      </w:r>
      <w:r>
        <w:rPr>
          <w:rFonts w:hint="eastAsia" w:ascii="宋体" w:hAnsi="宋体" w:eastAsia="宋体" w:cs="Times New Roman"/>
          <w:sz w:val="22"/>
          <w:u w:val="single"/>
        </w:rPr>
        <w:t>二、招标文件</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"_Toc494407534" </w:instrText>
      </w:r>
      <w:r>
        <w:fldChar w:fldCharType="separate"/>
      </w:r>
      <w:r>
        <w:rPr>
          <w:rFonts w:hint="eastAsia" w:ascii="宋体" w:hAnsi="宋体" w:eastAsia="宋体" w:cs="Times New Roman"/>
          <w:sz w:val="22"/>
          <w:u w:val="single"/>
        </w:rPr>
        <w:t>三、投标文件</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"_Toc494407535" </w:instrText>
      </w:r>
      <w:r>
        <w:fldChar w:fldCharType="separate"/>
      </w:r>
      <w:r>
        <w:rPr>
          <w:rFonts w:hint="eastAsia" w:ascii="宋体" w:hAnsi="宋体" w:eastAsia="宋体" w:cs="Times New Roman"/>
          <w:sz w:val="22"/>
          <w:u w:val="single"/>
        </w:rPr>
        <w:t>四、投标文件的密封与递交</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"_Toc494407536" </w:instrText>
      </w:r>
      <w:r>
        <w:fldChar w:fldCharType="separate"/>
      </w:r>
      <w:r>
        <w:rPr>
          <w:rFonts w:hint="eastAsia" w:ascii="宋体" w:hAnsi="宋体" w:eastAsia="宋体" w:cs="Times New Roman"/>
          <w:sz w:val="22"/>
          <w:u w:val="single"/>
        </w:rPr>
        <w:t>五、开标和评标</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"_Toc494407537" </w:instrText>
      </w:r>
      <w:r>
        <w:fldChar w:fldCharType="separate"/>
      </w:r>
      <w:r>
        <w:rPr>
          <w:rFonts w:hint="eastAsia" w:ascii="宋体" w:hAnsi="宋体" w:eastAsia="宋体" w:cs="Times New Roman"/>
          <w:sz w:val="22"/>
          <w:u w:val="single"/>
        </w:rPr>
        <w:t>六、授予合同</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"_Toc494407538" </w:instrText>
      </w:r>
      <w:r>
        <w:fldChar w:fldCharType="separate"/>
      </w:r>
      <w:r>
        <w:rPr>
          <w:rFonts w:hint="eastAsia" w:ascii="宋体" w:hAnsi="宋体" w:eastAsia="宋体" w:cs="Times New Roman"/>
          <w:sz w:val="22"/>
          <w:u w:val="single"/>
        </w:rPr>
        <w:t>第四部分政府采购政策功能相关说明</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"_Toc494407539" </w:instrText>
      </w:r>
      <w:r>
        <w:fldChar w:fldCharType="separate"/>
      </w:r>
      <w:r>
        <w:rPr>
          <w:rFonts w:hint="eastAsia" w:ascii="宋体" w:hAnsi="宋体" w:eastAsia="宋体" w:cs="Times New Roman"/>
          <w:sz w:val="22"/>
          <w:u w:val="single"/>
        </w:rPr>
        <w:t>第五部分合同主要条款</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"_Toc494407540" </w:instrText>
      </w:r>
      <w:r>
        <w:fldChar w:fldCharType="separate"/>
      </w:r>
      <w:r>
        <w:rPr>
          <w:rFonts w:hint="eastAsia" w:ascii="宋体" w:hAnsi="宋体" w:eastAsia="宋体" w:cs="Times New Roman"/>
          <w:sz w:val="22"/>
          <w:u w:val="single"/>
        </w:rPr>
        <w:t>第六部分附件—投标文件格式</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"_Toc494407541" </w:instrText>
      </w:r>
      <w:r>
        <w:fldChar w:fldCharType="separate"/>
      </w:r>
      <w:r>
        <w:rPr>
          <w:rFonts w:hint="eastAsia" w:ascii="宋体" w:hAnsi="宋体" w:eastAsia="宋体" w:cs="Times New Roman"/>
          <w:sz w:val="22"/>
          <w:u w:val="single"/>
        </w:rPr>
        <w:t>一、商务报价标部分格式</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"_Toc494407542" </w:instrText>
      </w:r>
      <w:r>
        <w:fldChar w:fldCharType="separate"/>
      </w:r>
      <w:r>
        <w:rPr>
          <w:rFonts w:hint="eastAsia" w:ascii="宋体" w:hAnsi="宋体" w:eastAsia="宋体" w:cs="Times New Roman"/>
          <w:sz w:val="22"/>
          <w:u w:val="single"/>
        </w:rPr>
        <w:t>附件一开标一览表</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"_Toc494407543" </w:instrText>
      </w:r>
      <w:r>
        <w:fldChar w:fldCharType="separate"/>
      </w:r>
      <w:r>
        <w:rPr>
          <w:rFonts w:hint="eastAsia" w:ascii="宋体" w:hAnsi="宋体" w:eastAsia="宋体" w:cs="Times New Roman"/>
          <w:sz w:val="22"/>
          <w:u w:val="single"/>
        </w:rPr>
        <w:t>附件二</w:t>
      </w:r>
      <w:r>
        <w:rPr>
          <w:rFonts w:hint="eastAsia" w:ascii="宋体" w:hAnsi="宋体" w:eastAsia="宋体" w:cs="Times New Roman"/>
          <w:sz w:val="22"/>
          <w:u w:val="single"/>
          <w:lang w:val="zh-CN"/>
        </w:rPr>
        <w:t>投标货物数量、价格表</w:t>
      </w:r>
      <w:r>
        <w:rPr>
          <w:rFonts w:hint="eastAsia" w:ascii="宋体" w:hAnsi="宋体" w:eastAsia="宋体" w:cs="Times New Roman"/>
          <w:sz w:val="22"/>
          <w:u w:val="single"/>
          <w:lang w:val="zh-CN"/>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"_Toc494407544" </w:instrText>
      </w:r>
      <w:r>
        <w:fldChar w:fldCharType="separate"/>
      </w:r>
      <w:r>
        <w:rPr>
          <w:rFonts w:hint="eastAsia" w:ascii="宋体" w:hAnsi="宋体" w:eastAsia="宋体" w:cs="Times New Roman"/>
          <w:sz w:val="22"/>
          <w:u w:val="single"/>
        </w:rPr>
        <w:t>附件三随机备品备件、专用工具清单</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"_Toc494407545" </w:instrText>
      </w:r>
      <w:r>
        <w:fldChar w:fldCharType="separate"/>
      </w:r>
      <w:r>
        <w:rPr>
          <w:rFonts w:hint="eastAsia" w:ascii="宋体" w:hAnsi="宋体" w:eastAsia="宋体" w:cs="Times New Roman"/>
          <w:sz w:val="22"/>
          <w:u w:val="single"/>
        </w:rPr>
        <w:t>附件四产品零件、易损件、备品备件报价表</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"_Toc494407546" </w:instrText>
      </w:r>
      <w:r>
        <w:fldChar w:fldCharType="separate"/>
      </w:r>
      <w:r>
        <w:rPr>
          <w:rFonts w:hint="eastAsia" w:ascii="宋体" w:hAnsi="宋体" w:eastAsia="宋体" w:cs="Times New Roman"/>
          <w:sz w:val="22"/>
          <w:u w:val="single"/>
        </w:rPr>
        <w:t>二、资信标部分格式</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"_Toc494407547" </w:instrText>
      </w:r>
      <w:r>
        <w:fldChar w:fldCharType="separate"/>
      </w:r>
      <w:r>
        <w:rPr>
          <w:rFonts w:hint="eastAsia" w:ascii="宋体" w:hAnsi="宋体" w:eastAsia="宋体" w:cs="Times New Roman"/>
          <w:sz w:val="22"/>
          <w:u w:val="single"/>
        </w:rPr>
        <w:t>附件五投标函</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"_Toc494407548" </w:instrText>
      </w:r>
      <w:r>
        <w:fldChar w:fldCharType="separate"/>
      </w:r>
      <w:r>
        <w:rPr>
          <w:rFonts w:hint="eastAsia" w:ascii="宋体" w:hAnsi="宋体" w:eastAsia="宋体" w:cs="Times New Roman"/>
          <w:sz w:val="22"/>
          <w:u w:val="single"/>
        </w:rPr>
        <w:t>附件六法定人代表授权书</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"_Toc494407549" </w:instrText>
      </w:r>
      <w:r>
        <w:fldChar w:fldCharType="separate"/>
      </w:r>
      <w:r>
        <w:rPr>
          <w:rFonts w:hint="eastAsia" w:ascii="宋体" w:hAnsi="宋体" w:eastAsia="宋体" w:cs="Times New Roman"/>
          <w:sz w:val="22"/>
          <w:u w:val="single"/>
        </w:rPr>
        <w:t>附件七</w:t>
      </w:r>
      <w:r>
        <w:rPr>
          <w:rFonts w:hint="eastAsia" w:ascii="宋体" w:hAnsi="宋体" w:eastAsia="宋体" w:cs="Times New Roman"/>
          <w:sz w:val="22"/>
          <w:u w:val="single"/>
          <w:lang w:val="zh-CN"/>
        </w:rPr>
        <w:t>供应商参与政府采购活动投标资格声明函</w:t>
      </w:r>
      <w:r>
        <w:rPr>
          <w:rFonts w:hint="eastAsia" w:ascii="宋体" w:hAnsi="宋体" w:eastAsia="宋体" w:cs="Times New Roman"/>
          <w:sz w:val="22"/>
          <w:u w:val="single"/>
          <w:lang w:val="zh-CN"/>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"_Toc494407550" </w:instrText>
      </w:r>
      <w:r>
        <w:fldChar w:fldCharType="separate"/>
      </w:r>
      <w:r>
        <w:rPr>
          <w:rFonts w:hint="eastAsia" w:ascii="宋体" w:hAnsi="宋体" w:eastAsia="宋体" w:cs="Times New Roman"/>
          <w:sz w:val="22"/>
          <w:u w:val="single"/>
        </w:rPr>
        <w:t>附件八法定代表人诚信投标承诺书</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"_Toc494407551" </w:instrText>
      </w:r>
      <w:r>
        <w:fldChar w:fldCharType="separate"/>
      </w:r>
      <w:r>
        <w:rPr>
          <w:rFonts w:hint="eastAsia" w:ascii="宋体" w:hAnsi="宋体" w:eastAsia="宋体" w:cs="Times New Roman"/>
          <w:sz w:val="22"/>
          <w:u w:val="single"/>
        </w:rPr>
        <w:t>附件九业绩清单</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"_Toc494407552" </w:instrText>
      </w:r>
      <w:r>
        <w:fldChar w:fldCharType="separate"/>
      </w:r>
      <w:r>
        <w:rPr>
          <w:rFonts w:hint="eastAsia" w:ascii="宋体" w:hAnsi="宋体" w:eastAsia="宋体" w:cs="Times New Roman"/>
          <w:sz w:val="22"/>
          <w:u w:val="single"/>
        </w:rPr>
        <w:t>三、技术标部分格式</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"_Toc494407553" </w:instrText>
      </w:r>
      <w:r>
        <w:fldChar w:fldCharType="separate"/>
      </w:r>
      <w:r>
        <w:rPr>
          <w:rFonts w:hint="eastAsia" w:ascii="宋体" w:hAnsi="宋体" w:eastAsia="宋体" w:cs="Times New Roman"/>
          <w:sz w:val="22"/>
          <w:u w:val="single"/>
        </w:rPr>
        <w:t>附件十商务、技术偏离表</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"_Toc494407554" </w:instrText>
      </w:r>
      <w:r>
        <w:fldChar w:fldCharType="separate"/>
      </w:r>
      <w:r>
        <w:rPr>
          <w:rFonts w:hint="eastAsia" w:ascii="宋体" w:hAnsi="宋体" w:eastAsia="宋体" w:cs="Times New Roman"/>
          <w:sz w:val="22"/>
          <w:u w:val="single"/>
        </w:rPr>
        <w:t>附件十一投标产品配置清单</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"_Toc494407555" </w:instrText>
      </w:r>
      <w:r>
        <w:fldChar w:fldCharType="separate"/>
      </w:r>
      <w:r>
        <w:rPr>
          <w:rFonts w:hint="eastAsia" w:ascii="宋体" w:hAnsi="宋体" w:eastAsia="宋体" w:cs="Times New Roman"/>
          <w:sz w:val="22"/>
          <w:u w:val="single"/>
        </w:rPr>
        <w:t>附件十二节能环保产品声明函</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"_Toc494407556" </w:instrText>
      </w:r>
      <w:r>
        <w:fldChar w:fldCharType="separate"/>
      </w:r>
      <w:r>
        <w:rPr>
          <w:rFonts w:hint="eastAsia" w:ascii="宋体" w:hAnsi="宋体" w:eastAsia="宋体" w:cs="Times New Roman"/>
          <w:sz w:val="22"/>
          <w:u w:val="single"/>
        </w:rPr>
        <w:t>附件十三节能（环保）产品清单</w:t>
      </w:r>
      <w:r>
        <w:rPr>
          <w:rFonts w:hint="eastAsia" w:ascii="宋体" w:hAnsi="宋体" w:eastAsia="宋体" w:cs="Times New Roman"/>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"_Toc494407557" </w:instrText>
      </w:r>
      <w:r>
        <w:fldChar w:fldCharType="separate"/>
      </w:r>
      <w:r>
        <w:rPr>
          <w:rFonts w:hint="eastAsia" w:ascii="宋体" w:hAnsi="宋体" w:eastAsia="宋体" w:cs="Times New Roman"/>
          <w:sz w:val="22"/>
          <w:u w:val="single"/>
        </w:rPr>
        <w:t>附件十四</w:t>
      </w:r>
      <w:r>
        <w:rPr>
          <w:rFonts w:hint="eastAsia" w:ascii="宋体" w:hAnsi="宋体" w:eastAsia="宋体" w:cs="Times New Roman"/>
          <w:bCs/>
          <w:sz w:val="22"/>
          <w:u w:val="single"/>
        </w:rPr>
        <w:t>供应商项目服务人员</w:t>
      </w:r>
      <w:r>
        <w:rPr>
          <w:rFonts w:hint="eastAsia" w:ascii="宋体" w:hAnsi="宋体" w:eastAsia="宋体" w:cs="Times New Roman"/>
          <w:bCs/>
          <w:sz w:val="22"/>
          <w:u w:val="single"/>
        </w:rPr>
        <w:fldChar w:fldCharType="end"/>
      </w:r>
    </w:p>
    <w:p>
      <w:pPr>
        <w:tabs>
          <w:tab w:val="right" w:leader="dot" w:pos="9118"/>
        </w:tabs>
        <w:ind w:firstLine="102" w:firstLineChars="49"/>
        <w:jc w:val="left"/>
        <w:rPr>
          <w:rFonts w:ascii="Calibri" w:hAnsi="Calibri" w:eastAsia="宋体" w:cs="Times New Roman"/>
          <w:b/>
          <w:sz w:val="22"/>
        </w:rPr>
      </w:pPr>
      <w:r>
        <w:fldChar w:fldCharType="begin"/>
      </w:r>
      <w:r>
        <w:instrText xml:space="preserve"> HYPERLINK \l "_Toc494407559" </w:instrText>
      </w:r>
      <w:r>
        <w:fldChar w:fldCharType="separate"/>
      </w:r>
      <w:r>
        <w:rPr>
          <w:rFonts w:hint="eastAsia" w:ascii="宋体" w:hAnsi="宋体" w:eastAsia="宋体" w:cs="Times New Roman"/>
          <w:sz w:val="22"/>
          <w:u w:val="single"/>
        </w:rPr>
        <w:t>第七部分评标办法</w:t>
      </w:r>
      <w:r>
        <w:rPr>
          <w:rFonts w:hint="eastAsia" w:ascii="宋体" w:hAnsi="宋体" w:eastAsia="宋体" w:cs="Times New Roman"/>
          <w:sz w:val="22"/>
          <w:u w:val="single"/>
        </w:rPr>
        <w:fldChar w:fldCharType="end"/>
      </w:r>
    </w:p>
    <w:p>
      <w:pPr>
        <w:rPr>
          <w:rFonts w:ascii="宋体" w:hAnsi="宋体" w:eastAsia="宋体" w:cs="Times New Roman"/>
          <w:b/>
          <w:kern w:val="0"/>
          <w:szCs w:val="20"/>
        </w:rPr>
      </w:pPr>
      <w:r>
        <w:rPr>
          <w:rFonts w:ascii="宋体" w:hAnsi="宋体" w:eastAsia="宋体" w:cs="Times New Roman"/>
          <w:b/>
          <w:bCs/>
          <w:kern w:val="0"/>
          <w:szCs w:val="20"/>
          <w:lang w:val="zh-CN"/>
        </w:rPr>
        <w:fldChar w:fldCharType="end"/>
      </w:r>
    </w:p>
    <w:p>
      <w:pPr>
        <w:autoSpaceDE w:val="0"/>
        <w:autoSpaceDN w:val="0"/>
        <w:adjustRightInd w:val="0"/>
        <w:spacing w:line="500" w:lineRule="atLeast"/>
        <w:textAlignment w:val="baseline"/>
        <w:rPr>
          <w:rFonts w:ascii="宋体" w:hAnsi="宋体" w:eastAsia="宋体" w:cs="Times New Roman"/>
          <w:kern w:val="0"/>
          <w:sz w:val="24"/>
          <w:szCs w:val="20"/>
          <w:lang w:val="zh-CN"/>
        </w:rPr>
      </w:pPr>
    </w:p>
    <w:p>
      <w:pPr>
        <w:autoSpaceDE w:val="0"/>
        <w:autoSpaceDN w:val="0"/>
        <w:adjustRightInd w:val="0"/>
        <w:spacing w:line="500" w:lineRule="atLeast"/>
        <w:textAlignment w:val="baseline"/>
        <w:rPr>
          <w:rFonts w:ascii="宋体" w:hAnsi="宋体" w:eastAsia="宋体" w:cs="Times New Roman"/>
          <w:kern w:val="0"/>
          <w:sz w:val="24"/>
          <w:szCs w:val="20"/>
          <w:lang w:val="zh-CN"/>
        </w:rPr>
      </w:pPr>
    </w:p>
    <w:p>
      <w:pPr>
        <w:autoSpaceDE w:val="0"/>
        <w:autoSpaceDN w:val="0"/>
        <w:adjustRightInd w:val="0"/>
        <w:spacing w:line="500" w:lineRule="atLeast"/>
        <w:textAlignment w:val="baseline"/>
        <w:rPr>
          <w:rFonts w:ascii="宋体" w:hAnsi="宋体" w:eastAsia="宋体" w:cs="Times New Roman"/>
          <w:kern w:val="0"/>
          <w:sz w:val="24"/>
          <w:szCs w:val="20"/>
          <w:lang w:val="zh-CN"/>
        </w:rPr>
      </w:pPr>
    </w:p>
    <w:p>
      <w:pPr>
        <w:autoSpaceDE w:val="0"/>
        <w:autoSpaceDN w:val="0"/>
        <w:adjustRightInd w:val="0"/>
        <w:spacing w:line="500" w:lineRule="atLeast"/>
        <w:textAlignment w:val="baseline"/>
        <w:rPr>
          <w:rFonts w:ascii="宋体" w:hAnsi="宋体" w:eastAsia="宋体" w:cs="Times New Roman"/>
          <w:kern w:val="0"/>
          <w:sz w:val="24"/>
          <w:szCs w:val="20"/>
          <w:lang w:val="zh-CN"/>
        </w:rPr>
      </w:pPr>
    </w:p>
    <w:p>
      <w:pPr>
        <w:pStyle w:val="2"/>
        <w:rPr>
          <w:lang w:val="zh-CN"/>
        </w:rPr>
      </w:pPr>
    </w:p>
    <w:p>
      <w:pPr>
        <w:autoSpaceDE w:val="0"/>
        <w:autoSpaceDN w:val="0"/>
        <w:adjustRightInd w:val="0"/>
        <w:spacing w:line="500" w:lineRule="atLeast"/>
        <w:textAlignment w:val="baseline"/>
        <w:rPr>
          <w:rFonts w:ascii="宋体" w:hAnsi="宋体" w:eastAsia="宋体" w:cs="Times New Roman"/>
          <w:kern w:val="0"/>
          <w:sz w:val="24"/>
          <w:szCs w:val="20"/>
          <w:lang w:val="zh-CN"/>
        </w:rPr>
      </w:pPr>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8"/>
          <w:szCs w:val="28"/>
        </w:rPr>
      </w:pPr>
      <w:bookmarkStart w:id="5" w:name="_Toc483388386"/>
      <w:bookmarkStart w:id="6" w:name="_Toc494407523"/>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8"/>
          <w:szCs w:val="28"/>
        </w:rPr>
      </w:pPr>
      <w:r>
        <w:rPr>
          <w:rFonts w:hint="eastAsia" w:ascii="宋体" w:hAnsi="宋体" w:eastAsia="宋体" w:cs="Times New Roman"/>
          <w:b/>
          <w:kern w:val="0"/>
          <w:sz w:val="28"/>
          <w:szCs w:val="28"/>
        </w:rPr>
        <w:t>第一部分   投标邀请函（投标须知前附表）</w:t>
      </w:r>
      <w:bookmarkEnd w:id="5"/>
      <w:bookmarkEnd w:id="6"/>
    </w:p>
    <w:tbl>
      <w:tblPr>
        <w:tblStyle w:val="22"/>
        <w:tblW w:w="101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664"/>
        <w:gridCol w:w="1731"/>
        <w:gridCol w:w="77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30" w:hRule="atLeast"/>
          <w:jc w:val="center"/>
        </w:trPr>
        <w:tc>
          <w:tcPr>
            <w:tcW w:w="664" w:type="dxa"/>
            <w:vAlign w:val="center"/>
          </w:tcPr>
          <w:p>
            <w:pPr>
              <w:spacing w:line="400" w:lineRule="atLeast"/>
              <w:jc w:val="right"/>
              <w:rPr>
                <w:rFonts w:ascii="宋体" w:hAnsi="宋体" w:eastAsia="宋体" w:cs="Arial"/>
                <w:kern w:val="0"/>
                <w:sz w:val="22"/>
              </w:rPr>
            </w:pPr>
            <w:r>
              <w:rPr>
                <w:rFonts w:hint="eastAsia" w:ascii="宋体" w:hAnsi="宋体" w:eastAsia="宋体" w:cs="Arial"/>
                <w:kern w:val="0"/>
                <w:sz w:val="22"/>
              </w:rPr>
              <w:t>项号</w:t>
            </w:r>
          </w:p>
        </w:tc>
        <w:tc>
          <w:tcPr>
            <w:tcW w:w="1731" w:type="dxa"/>
            <w:vAlign w:val="center"/>
          </w:tcPr>
          <w:p>
            <w:pPr>
              <w:spacing w:line="400" w:lineRule="atLeast"/>
              <w:jc w:val="center"/>
              <w:rPr>
                <w:rFonts w:ascii="宋体" w:hAnsi="宋体" w:eastAsia="宋体" w:cs="Arial"/>
                <w:kern w:val="0"/>
                <w:sz w:val="22"/>
              </w:rPr>
            </w:pPr>
            <w:r>
              <w:rPr>
                <w:rFonts w:hint="eastAsia" w:ascii="宋体" w:hAnsi="宋体" w:eastAsia="宋体" w:cs="Arial"/>
                <w:kern w:val="0"/>
                <w:sz w:val="22"/>
              </w:rPr>
              <w:t>内容</w:t>
            </w:r>
          </w:p>
        </w:tc>
        <w:tc>
          <w:tcPr>
            <w:tcW w:w="7776" w:type="dxa"/>
            <w:vAlign w:val="center"/>
          </w:tcPr>
          <w:p>
            <w:pPr>
              <w:spacing w:line="400" w:lineRule="atLeast"/>
              <w:jc w:val="center"/>
              <w:rPr>
                <w:rFonts w:ascii="宋体" w:hAnsi="宋体" w:eastAsia="宋体" w:cs="Arial"/>
                <w:kern w:val="0"/>
                <w:sz w:val="22"/>
              </w:rPr>
            </w:pPr>
            <w:r>
              <w:rPr>
                <w:rFonts w:hint="eastAsia" w:ascii="宋体" w:hAnsi="宋体" w:eastAsia="宋体" w:cs="Arial"/>
                <w:kern w:val="0"/>
                <w:sz w:val="22"/>
              </w:rPr>
              <w:t>说明与要求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30"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Times New Roman"/>
                <w:kern w:val="0"/>
                <w:sz w:val="22"/>
              </w:rPr>
            </w:pPr>
            <w:r>
              <w:rPr>
                <w:rFonts w:hint="eastAsia" w:ascii="宋体" w:hAnsi="宋体" w:eastAsia="宋体" w:cs="Times New Roman"/>
                <w:kern w:val="0"/>
                <w:sz w:val="22"/>
              </w:rPr>
              <w:t>项目名称</w:t>
            </w:r>
          </w:p>
        </w:tc>
        <w:tc>
          <w:tcPr>
            <w:tcW w:w="7776" w:type="dxa"/>
            <w:vAlign w:val="center"/>
          </w:tcPr>
          <w:p>
            <w:pPr>
              <w:autoSpaceDE w:val="0"/>
              <w:autoSpaceDN w:val="0"/>
              <w:adjustRightInd w:val="0"/>
              <w:snapToGrid w:val="0"/>
              <w:spacing w:line="454" w:lineRule="atLeast"/>
              <w:textAlignment w:val="bottom"/>
              <w:outlineLvl w:val="0"/>
              <w:rPr>
                <w:rFonts w:hint="eastAsia" w:ascii="宋体" w:hAnsi="宋体" w:eastAsia="宋体" w:cs="Times New Roman"/>
                <w:kern w:val="0"/>
                <w:sz w:val="22"/>
                <w:lang w:eastAsia="zh-CN"/>
              </w:rPr>
            </w:pPr>
            <w:r>
              <w:rPr>
                <w:rFonts w:hint="eastAsia" w:ascii="宋体" w:hAnsi="宋体" w:eastAsia="宋体" w:cs="Times New Roman"/>
                <w:kern w:val="0"/>
                <w:sz w:val="22"/>
                <w:lang w:eastAsia="zh-CN"/>
              </w:rPr>
              <w:t>天河中学新建教学综合楼功能室设备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30"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Times New Roman"/>
                <w:kern w:val="0"/>
                <w:sz w:val="22"/>
              </w:rPr>
            </w:pPr>
            <w:r>
              <w:rPr>
                <w:rFonts w:hint="eastAsia" w:ascii="宋体" w:hAnsi="宋体" w:eastAsia="宋体" w:cs="Times New Roman"/>
                <w:kern w:val="0"/>
                <w:sz w:val="22"/>
              </w:rPr>
              <w:t>项目编号</w:t>
            </w:r>
          </w:p>
        </w:tc>
        <w:tc>
          <w:tcPr>
            <w:tcW w:w="7776" w:type="dxa"/>
            <w:vAlign w:val="center"/>
          </w:tcPr>
          <w:p>
            <w:pPr>
              <w:rPr>
                <w:rFonts w:hint="eastAsia" w:ascii="宋体" w:hAnsi="宋体" w:eastAsia="宋体" w:cs="Times New Roman"/>
                <w:kern w:val="0"/>
                <w:sz w:val="22"/>
                <w:lang w:eastAsia="zh-CN"/>
              </w:rPr>
            </w:pPr>
            <w:r>
              <w:rPr>
                <w:rFonts w:hint="eastAsia" w:ascii="宋体" w:hAnsi="宋体" w:eastAsia="宋体" w:cs="Times New Roman"/>
                <w:kern w:val="0"/>
                <w:sz w:val="22"/>
                <w:lang w:eastAsia="zh-CN"/>
              </w:rPr>
              <w:t>zjyx20190704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30"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Arial"/>
                <w:kern w:val="0"/>
                <w:sz w:val="22"/>
              </w:rPr>
            </w:pPr>
            <w:r>
              <w:rPr>
                <w:rFonts w:hint="eastAsia" w:ascii="宋体" w:hAnsi="宋体" w:eastAsia="宋体" w:cs="Times New Roman"/>
                <w:kern w:val="0"/>
                <w:sz w:val="22"/>
              </w:rPr>
              <w:t>资金来源</w:t>
            </w:r>
          </w:p>
        </w:tc>
        <w:tc>
          <w:tcPr>
            <w:tcW w:w="7776" w:type="dxa"/>
            <w:vAlign w:val="center"/>
          </w:tcPr>
          <w:p>
            <w:pPr>
              <w:rPr>
                <w:rFonts w:ascii="宋体" w:hAnsi="宋体" w:eastAsia="宋体" w:cs="Arial"/>
                <w:kern w:val="0"/>
                <w:sz w:val="22"/>
              </w:rPr>
            </w:pPr>
            <w:r>
              <w:rPr>
                <w:rFonts w:hint="eastAsia" w:ascii="宋体" w:hAnsi="宋体" w:eastAsia="宋体" w:cs="Times New Roman"/>
                <w:kern w:val="0"/>
                <w:sz w:val="22"/>
              </w:rPr>
              <w:t>财政性资金,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30"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Times New Roman"/>
                <w:kern w:val="0"/>
                <w:sz w:val="22"/>
              </w:rPr>
            </w:pPr>
            <w:r>
              <w:rPr>
                <w:rFonts w:hint="eastAsia" w:ascii="宋体" w:hAnsi="宋体" w:eastAsia="宋体" w:cs="Times New Roman"/>
                <w:kern w:val="0"/>
                <w:sz w:val="22"/>
              </w:rPr>
              <w:t>采购方式</w:t>
            </w:r>
          </w:p>
        </w:tc>
        <w:tc>
          <w:tcPr>
            <w:tcW w:w="7776" w:type="dxa"/>
            <w:vAlign w:val="center"/>
          </w:tcPr>
          <w:p>
            <w:pPr>
              <w:rPr>
                <w:rFonts w:ascii="宋体" w:hAnsi="宋体" w:eastAsia="宋体" w:cs="Times New Roman"/>
                <w:kern w:val="0"/>
                <w:sz w:val="22"/>
              </w:rPr>
            </w:pPr>
            <w:r>
              <w:rPr>
                <w:rFonts w:hint="eastAsia" w:ascii="宋体" w:hAnsi="宋体" w:eastAsia="宋体" w:cs="Times New Roman"/>
                <w:kern w:val="0"/>
                <w:sz w:val="22"/>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30"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Times New Roman"/>
                <w:b w:val="0"/>
                <w:bCs/>
                <w:kern w:val="0"/>
                <w:sz w:val="22"/>
              </w:rPr>
            </w:pPr>
            <w:r>
              <w:rPr>
                <w:rFonts w:hint="eastAsia" w:ascii="宋体" w:hAnsi="宋体" w:eastAsia="宋体" w:cs="Times New Roman"/>
                <w:b w:val="0"/>
                <w:bCs/>
                <w:kern w:val="0"/>
                <w:sz w:val="22"/>
              </w:rPr>
              <w:t>采购预算</w:t>
            </w:r>
          </w:p>
          <w:p>
            <w:pPr>
              <w:rPr>
                <w:rFonts w:ascii="宋体" w:hAnsi="宋体" w:eastAsia="宋体" w:cs="Times New Roman"/>
                <w:b w:val="0"/>
                <w:bCs/>
                <w:kern w:val="0"/>
                <w:sz w:val="22"/>
              </w:rPr>
            </w:pPr>
            <w:r>
              <w:rPr>
                <w:rFonts w:hint="eastAsia" w:ascii="宋体" w:hAnsi="宋体" w:eastAsia="宋体" w:cs="Times New Roman"/>
                <w:b w:val="0"/>
                <w:bCs/>
                <w:kern w:val="0"/>
                <w:sz w:val="22"/>
              </w:rPr>
              <w:t>（最高限价）</w:t>
            </w:r>
          </w:p>
        </w:tc>
        <w:tc>
          <w:tcPr>
            <w:tcW w:w="7776" w:type="dxa"/>
            <w:vAlign w:val="center"/>
          </w:tcPr>
          <w:p>
            <w:pPr>
              <w:rPr>
                <w:rFonts w:ascii="宋体" w:hAnsi="宋体" w:eastAsia="宋体" w:cs="Times New Roman"/>
                <w:b w:val="0"/>
                <w:bCs/>
                <w:kern w:val="0"/>
                <w:sz w:val="22"/>
              </w:rPr>
            </w:pPr>
            <w:r>
              <w:rPr>
                <w:rFonts w:hint="eastAsia" w:ascii="宋体" w:hAnsi="宋体" w:eastAsia="宋体" w:cs="Times New Roman"/>
                <w:b w:val="0"/>
                <w:bCs/>
                <w:kern w:val="0"/>
                <w:sz w:val="22"/>
              </w:rPr>
              <w:t>预算:</w:t>
            </w:r>
            <w:r>
              <w:rPr>
                <w:rFonts w:hint="eastAsia" w:ascii="宋体" w:hAnsi="宋体" w:eastAsia="宋体" w:cs="Times New Roman"/>
                <w:b w:val="0"/>
                <w:bCs/>
                <w:kern w:val="0"/>
                <w:sz w:val="22"/>
                <w:lang w:val="en-US" w:eastAsia="zh-CN"/>
              </w:rPr>
              <w:t>176.8</w:t>
            </w:r>
            <w:r>
              <w:rPr>
                <w:rFonts w:hint="eastAsia" w:ascii="宋体" w:hAnsi="宋体" w:eastAsia="宋体" w:cs="Times New Roman"/>
                <w:b w:val="0"/>
                <w:bCs/>
                <w:kern w:val="0"/>
                <w:sz w:val="22"/>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采购人</w:t>
            </w:r>
          </w:p>
        </w:tc>
        <w:tc>
          <w:tcPr>
            <w:tcW w:w="7776"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采购单位：</w:t>
            </w:r>
            <w:r>
              <w:rPr>
                <w:rFonts w:hint="eastAsia" w:ascii="宋体" w:hAnsi="宋体" w:eastAsia="宋体" w:cs="Times New Roman"/>
                <w:kern w:val="0"/>
                <w:sz w:val="22"/>
                <w:lang w:eastAsia="zh-CN"/>
              </w:rPr>
              <w:t>温州经济技术开发区文教体工作局</w:t>
            </w:r>
            <w:r>
              <w:rPr>
                <w:rFonts w:hint="eastAsia" w:ascii="宋体" w:hAnsi="宋体" w:eastAsia="宋体" w:cs="Times New Roman"/>
                <w:kern w:val="0"/>
                <w:sz w:val="22"/>
              </w:rPr>
              <w:t xml:space="preserve">  </w:t>
            </w:r>
          </w:p>
          <w:p>
            <w:pPr>
              <w:adjustRightInd w:val="0"/>
              <w:rPr>
                <w:rFonts w:ascii="宋体" w:hAnsi="宋体" w:eastAsia="宋体" w:cs="Times New Roman"/>
                <w:kern w:val="0"/>
                <w:sz w:val="22"/>
              </w:rPr>
            </w:pPr>
            <w:r>
              <w:rPr>
                <w:rFonts w:hint="eastAsia" w:ascii="宋体" w:hAnsi="宋体" w:eastAsia="宋体" w:cs="Times New Roman"/>
                <w:kern w:val="0"/>
                <w:sz w:val="22"/>
              </w:rPr>
              <w:t>联系人：</w:t>
            </w:r>
            <w:r>
              <w:rPr>
                <w:rFonts w:hint="eastAsia" w:ascii="宋体" w:hAnsi="宋体" w:eastAsia="宋体" w:cs="Times New Roman"/>
                <w:kern w:val="0"/>
                <w:sz w:val="22"/>
                <w:lang w:eastAsia="zh-CN"/>
              </w:rPr>
              <w:t>沈</w:t>
            </w:r>
            <w:r>
              <w:rPr>
                <w:rFonts w:hint="eastAsia" w:ascii="宋体" w:hAnsi="宋体" w:eastAsia="宋体" w:cs="Times New Roman"/>
                <w:kern w:val="0"/>
                <w:sz w:val="22"/>
              </w:rPr>
              <w:t>老师</w:t>
            </w:r>
          </w:p>
          <w:p>
            <w:pPr>
              <w:adjustRightInd w:val="0"/>
              <w:rPr>
                <w:rFonts w:ascii="宋体" w:hAnsi="宋体" w:eastAsia="宋体" w:cs="Times New Roman"/>
                <w:kern w:val="0"/>
                <w:sz w:val="22"/>
              </w:rPr>
            </w:pPr>
            <w:r>
              <w:rPr>
                <w:rFonts w:hint="eastAsia" w:ascii="宋体" w:hAnsi="宋体" w:eastAsia="宋体" w:cs="Times New Roman"/>
                <w:kern w:val="0"/>
                <w:sz w:val="22"/>
              </w:rPr>
              <w:t>电话：</w:t>
            </w:r>
            <w:r>
              <w:rPr>
                <w:rFonts w:hint="eastAsia" w:ascii="宋体" w:hAnsi="宋体" w:eastAsia="宋体" w:cs="Times New Roman"/>
                <w:sz w:val="22"/>
                <w:szCs w:val="24"/>
              </w:rPr>
              <w:t>0577-</w:t>
            </w:r>
            <w:r>
              <w:rPr>
                <w:rFonts w:hint="eastAsia" w:ascii="宋体" w:hAnsi="宋体" w:eastAsia="宋体" w:cs="Times New Roman"/>
                <w:sz w:val="22"/>
                <w:szCs w:val="24"/>
                <w:lang w:val="en-US" w:eastAsia="zh-CN"/>
              </w:rPr>
              <w:t>86837798</w:t>
            </w:r>
          </w:p>
          <w:p>
            <w:pPr>
              <w:adjustRightInd w:val="0"/>
              <w:rPr>
                <w:rFonts w:ascii="宋体" w:hAnsi="宋体" w:eastAsia="宋体" w:cs="Times New Roman"/>
                <w:sz w:val="22"/>
                <w:szCs w:val="24"/>
              </w:rPr>
            </w:pPr>
            <w:r>
              <w:rPr>
                <w:rFonts w:hint="eastAsia" w:ascii="宋体" w:hAnsi="宋体" w:eastAsia="宋体" w:cs="Times New Roman"/>
                <w:kern w:val="0"/>
                <w:sz w:val="22"/>
              </w:rPr>
              <w:t>地址：</w:t>
            </w:r>
            <w:r>
              <w:rPr>
                <w:rFonts w:hint="eastAsia" w:ascii="宋体" w:hAnsi="宋体" w:eastAsia="宋体" w:cs="Times New Roman"/>
                <w:sz w:val="22"/>
                <w:szCs w:val="24"/>
              </w:rPr>
              <w:t>温州市</w:t>
            </w:r>
            <w:r>
              <w:rPr>
                <w:rFonts w:hint="eastAsia" w:ascii="宋体" w:hAnsi="宋体" w:eastAsia="宋体" w:cs="Times New Roman"/>
                <w:sz w:val="22"/>
                <w:szCs w:val="24"/>
                <w:lang w:eastAsia="zh-CN"/>
              </w:rPr>
              <w:t>龙湾区明珠路</w:t>
            </w:r>
            <w:r>
              <w:rPr>
                <w:rFonts w:hint="eastAsia" w:ascii="宋体" w:hAnsi="宋体" w:eastAsia="宋体" w:cs="Times New Roman"/>
                <w:sz w:val="22"/>
                <w:szCs w:val="24"/>
                <w:lang w:val="en-US" w:eastAsia="zh-CN"/>
              </w:rPr>
              <w:t>850号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30" w:hRule="atLeast"/>
          <w:jc w:val="center"/>
        </w:trPr>
        <w:tc>
          <w:tcPr>
            <w:tcW w:w="664" w:type="dxa"/>
            <w:vAlign w:val="center"/>
          </w:tcPr>
          <w:p>
            <w:pPr>
              <w:widowControl/>
              <w:numPr>
                <w:ilvl w:val="0"/>
                <w:numId w:val="1"/>
              </w:numPr>
              <w:tabs>
                <w:tab w:val="left" w:pos="420"/>
              </w:tabs>
              <w:ind w:left="420" w:right="105" w:hanging="420"/>
              <w:jc w:val="right"/>
              <w:rPr>
                <w:rFonts w:ascii="宋体" w:hAnsi="宋体" w:eastAsia="宋体" w:cs="Arial"/>
                <w:kern w:val="0"/>
                <w:sz w:val="22"/>
              </w:rPr>
            </w:pPr>
          </w:p>
        </w:tc>
        <w:tc>
          <w:tcPr>
            <w:tcW w:w="1731" w:type="dxa"/>
            <w:vAlign w:val="center"/>
          </w:tcPr>
          <w:p>
            <w:pPr>
              <w:rPr>
                <w:rFonts w:ascii="宋体" w:hAnsi="宋体" w:eastAsia="宋体" w:cs="Times New Roman"/>
                <w:kern w:val="0"/>
                <w:sz w:val="22"/>
              </w:rPr>
            </w:pPr>
            <w:r>
              <w:rPr>
                <w:rFonts w:hint="eastAsia" w:ascii="宋体" w:hAnsi="宋体" w:eastAsia="宋体" w:cs="Times New Roman"/>
                <w:kern w:val="0"/>
                <w:sz w:val="22"/>
              </w:rPr>
              <w:t>采购代理机构</w:t>
            </w:r>
          </w:p>
        </w:tc>
        <w:tc>
          <w:tcPr>
            <w:tcW w:w="7776" w:type="dxa"/>
            <w:vAlign w:val="center"/>
          </w:tcPr>
          <w:p>
            <w:pPr>
              <w:adjustRightInd w:val="0"/>
              <w:rPr>
                <w:rFonts w:hint="eastAsia" w:ascii="宋体" w:hAnsi="宋体" w:eastAsia="宋体" w:cs="Times New Roman"/>
                <w:kern w:val="0"/>
                <w:sz w:val="22"/>
                <w:lang w:eastAsia="zh-CN"/>
              </w:rPr>
            </w:pPr>
            <w:r>
              <w:rPr>
                <w:rFonts w:hint="eastAsia" w:ascii="宋体" w:hAnsi="宋体" w:eastAsia="宋体" w:cs="Times New Roman"/>
                <w:kern w:val="0"/>
                <w:sz w:val="22"/>
              </w:rPr>
              <w:t>名称：</w:t>
            </w:r>
            <w:r>
              <w:rPr>
                <w:rFonts w:hint="eastAsia" w:ascii="宋体" w:hAnsi="宋体" w:eastAsia="宋体" w:cs="Times New Roman"/>
                <w:kern w:val="0"/>
                <w:sz w:val="22"/>
                <w:lang w:eastAsia="zh-CN"/>
              </w:rPr>
              <w:t>浙江永信工程咨询有限公司</w:t>
            </w:r>
          </w:p>
          <w:p>
            <w:pPr>
              <w:adjustRightInd w:val="0"/>
              <w:rPr>
                <w:rFonts w:ascii="宋体" w:hAnsi="宋体" w:eastAsia="宋体" w:cs="Times New Roman"/>
                <w:kern w:val="0"/>
                <w:sz w:val="22"/>
              </w:rPr>
            </w:pPr>
            <w:r>
              <w:rPr>
                <w:rFonts w:hint="eastAsia" w:ascii="宋体" w:hAnsi="宋体" w:eastAsia="宋体" w:cs="Times New Roman"/>
                <w:kern w:val="0"/>
                <w:sz w:val="22"/>
              </w:rPr>
              <w:t>地址：</w:t>
            </w:r>
            <w:r>
              <w:rPr>
                <w:rFonts w:hint="eastAsia" w:ascii="新宋体" w:hAnsi="新宋体" w:eastAsia="新宋体" w:cs="新宋体"/>
                <w:bCs/>
                <w:color w:val="auto"/>
                <w:kern w:val="0"/>
                <w:sz w:val="22"/>
                <w:szCs w:val="22"/>
                <w:highlight w:val="none"/>
                <w:lang w:val="en-US" w:eastAsia="zh-CN"/>
              </w:rPr>
              <w:t>温州市瓯海区南塘一组团商务楼11楼</w:t>
            </w:r>
          </w:p>
          <w:p>
            <w:pPr>
              <w:adjustRightInd w:val="0"/>
              <w:rPr>
                <w:rFonts w:hint="eastAsia" w:ascii="宋体" w:hAnsi="宋体" w:eastAsia="宋体" w:cs="Times New Roman"/>
                <w:kern w:val="0"/>
                <w:sz w:val="22"/>
                <w:lang w:eastAsia="zh-CN"/>
              </w:rPr>
            </w:pPr>
            <w:r>
              <w:rPr>
                <w:rFonts w:hint="eastAsia" w:ascii="宋体" w:hAnsi="宋体" w:eastAsia="宋体" w:cs="Times New Roman"/>
                <w:kern w:val="0"/>
                <w:sz w:val="22"/>
              </w:rPr>
              <w:t>项目负责人：</w:t>
            </w:r>
            <w:r>
              <w:rPr>
                <w:rFonts w:hint="eastAsia" w:ascii="宋体" w:hAnsi="宋体" w:eastAsia="宋体" w:cs="Times New Roman"/>
                <w:kern w:val="0"/>
                <w:sz w:val="22"/>
                <w:lang w:eastAsia="zh-CN"/>
              </w:rPr>
              <w:t>王军</w:t>
            </w:r>
          </w:p>
          <w:p>
            <w:pPr>
              <w:adjustRightInd w:val="0"/>
              <w:rPr>
                <w:rFonts w:hint="default" w:ascii="宋体" w:hAnsi="宋体" w:eastAsia="宋体" w:cs="Times New Roman"/>
                <w:kern w:val="0"/>
                <w:sz w:val="22"/>
                <w:lang w:val="en-US" w:eastAsia="zh-CN"/>
              </w:rPr>
            </w:pPr>
            <w:r>
              <w:rPr>
                <w:rFonts w:hint="eastAsia" w:ascii="宋体" w:hAnsi="宋体" w:eastAsia="宋体" w:cs="Times New Roman"/>
                <w:kern w:val="0"/>
                <w:sz w:val="22"/>
              </w:rPr>
              <w:t>手机：</w:t>
            </w:r>
            <w:r>
              <w:rPr>
                <w:rFonts w:hint="eastAsia" w:ascii="宋体" w:hAnsi="宋体" w:eastAsia="宋体" w:cs="Times New Roman"/>
                <w:kern w:val="0"/>
                <w:sz w:val="22"/>
                <w:lang w:val="en-US" w:eastAsia="zh-CN"/>
              </w:rPr>
              <w:t>13456001532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30" w:hRule="atLeast"/>
          <w:jc w:val="center"/>
        </w:trPr>
        <w:tc>
          <w:tcPr>
            <w:tcW w:w="664" w:type="dxa"/>
            <w:vAlign w:val="center"/>
          </w:tcPr>
          <w:p>
            <w:pPr>
              <w:widowControl/>
              <w:numPr>
                <w:ilvl w:val="0"/>
                <w:numId w:val="1"/>
              </w:numPr>
              <w:tabs>
                <w:tab w:val="left" w:pos="420"/>
              </w:tabs>
              <w:ind w:left="420" w:right="105" w:hanging="420"/>
              <w:jc w:val="right"/>
              <w:rPr>
                <w:rFonts w:ascii="宋体" w:hAnsi="宋体" w:eastAsia="宋体" w:cs="Arial"/>
                <w:kern w:val="0"/>
                <w:sz w:val="22"/>
              </w:rPr>
            </w:pPr>
          </w:p>
        </w:tc>
        <w:tc>
          <w:tcPr>
            <w:tcW w:w="1731" w:type="dxa"/>
            <w:vAlign w:val="center"/>
          </w:tcPr>
          <w:p>
            <w:pPr>
              <w:rPr>
                <w:rFonts w:ascii="宋体" w:hAnsi="宋体" w:eastAsia="宋体" w:cs="Arial"/>
                <w:kern w:val="0"/>
                <w:sz w:val="22"/>
              </w:rPr>
            </w:pPr>
            <w:r>
              <w:rPr>
                <w:rFonts w:hint="eastAsia" w:ascii="宋体" w:hAnsi="宋体" w:eastAsia="宋体" w:cs="Arial"/>
                <w:kern w:val="0"/>
                <w:sz w:val="22"/>
              </w:rPr>
              <w:t>评标办法</w:t>
            </w:r>
          </w:p>
        </w:tc>
        <w:tc>
          <w:tcPr>
            <w:tcW w:w="7776"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综合评分法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30"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Arial"/>
                <w:kern w:val="0"/>
                <w:sz w:val="22"/>
              </w:rPr>
            </w:pPr>
            <w:r>
              <w:rPr>
                <w:rFonts w:hint="eastAsia" w:ascii="宋体" w:hAnsi="宋体" w:eastAsia="宋体" w:cs="Arial"/>
                <w:kern w:val="0"/>
                <w:sz w:val="22"/>
              </w:rPr>
              <w:t>招标内容</w:t>
            </w:r>
          </w:p>
        </w:tc>
        <w:tc>
          <w:tcPr>
            <w:tcW w:w="7776"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具体内容见招标文件。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21"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Times New Roman"/>
                <w:kern w:val="0"/>
                <w:sz w:val="22"/>
              </w:rPr>
            </w:pPr>
            <w:r>
              <w:rPr>
                <w:rFonts w:hint="eastAsia" w:ascii="宋体" w:hAnsi="宋体" w:eastAsia="宋体" w:cs="Times New Roman"/>
                <w:kern w:val="0"/>
                <w:sz w:val="22"/>
              </w:rPr>
              <w:t>投标供应商</w:t>
            </w:r>
          </w:p>
          <w:p>
            <w:pPr>
              <w:rPr>
                <w:rFonts w:ascii="宋体" w:hAnsi="宋体" w:eastAsia="宋体" w:cs="Times New Roman"/>
                <w:kern w:val="0"/>
                <w:sz w:val="22"/>
              </w:rPr>
            </w:pPr>
            <w:r>
              <w:rPr>
                <w:rFonts w:hint="eastAsia" w:ascii="宋体" w:hAnsi="宋体" w:eastAsia="宋体" w:cs="Times New Roman"/>
                <w:kern w:val="0"/>
                <w:sz w:val="22"/>
              </w:rPr>
              <w:t>资格要求</w:t>
            </w:r>
          </w:p>
        </w:tc>
        <w:tc>
          <w:tcPr>
            <w:tcW w:w="7776" w:type="dxa"/>
            <w:vAlign w:val="center"/>
          </w:tcPr>
          <w:p>
            <w:pPr>
              <w:widowControl/>
              <w:numPr>
                <w:ilvl w:val="0"/>
                <w:numId w:val="2"/>
              </w:numPr>
              <w:rPr>
                <w:rFonts w:ascii="宋体" w:hAnsi="宋体" w:eastAsia="宋体" w:cs="宋体"/>
                <w:kern w:val="28"/>
                <w:sz w:val="22"/>
              </w:rPr>
            </w:pPr>
            <w:r>
              <w:rPr>
                <w:rFonts w:hint="eastAsia" w:ascii="宋体" w:hAnsi="宋体" w:eastAsia="宋体" w:cs="宋体"/>
                <w:kern w:val="28"/>
                <w:sz w:val="22"/>
              </w:rPr>
              <w:t>符合《中华人民共和国政府采购法》第二十二条的要求；</w:t>
            </w:r>
          </w:p>
          <w:p>
            <w:pPr>
              <w:widowControl/>
              <w:numPr>
                <w:ilvl w:val="0"/>
                <w:numId w:val="2"/>
              </w:numPr>
              <w:rPr>
                <w:rFonts w:ascii="宋体" w:hAnsi="宋体" w:eastAsia="宋体" w:cs="Times New Roman"/>
                <w:kern w:val="0"/>
                <w:sz w:val="22"/>
                <w:szCs w:val="20"/>
              </w:rPr>
            </w:pPr>
            <w:r>
              <w:rPr>
                <w:rFonts w:ascii="宋体" w:hAnsi="宋体" w:eastAsia="宋体" w:cs="宋体"/>
                <w:kern w:val="28"/>
                <w:sz w:val="22"/>
              </w:rPr>
              <w:t>本项目不接受联合体投标。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21"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是否接受联合体投标</w:t>
            </w:r>
          </w:p>
        </w:tc>
        <w:tc>
          <w:tcPr>
            <w:tcW w:w="7776" w:type="dxa"/>
            <w:vAlign w:val="center"/>
          </w:tcPr>
          <w:p>
            <w:pPr>
              <w:adjustRightInd w:val="0"/>
              <w:rPr>
                <w:rFonts w:ascii="宋体" w:hAnsi="宋体" w:eastAsia="宋体" w:cs="Times New Roman"/>
                <w:kern w:val="0"/>
                <w:sz w:val="22"/>
              </w:rPr>
            </w:pPr>
            <w:r>
              <w:rPr>
                <w:rFonts w:ascii="宋体" w:hAnsi="宋体" w:eastAsia="宋体" w:cs="Times New Roman"/>
                <w:kern w:val="0"/>
                <w:sz w:val="22"/>
              </w:rPr>
              <w:fldChar w:fldCharType="begin"/>
            </w:r>
            <w:r>
              <w:rPr>
                <w:rFonts w:hint="eastAsia" w:ascii="宋体" w:hAnsi="宋体" w:eastAsia="宋体" w:cs="Times New Roman"/>
                <w:kern w:val="0"/>
                <w:sz w:val="22"/>
              </w:rPr>
              <w:instrText xml:space="preserve">eq \o\ac(□,√)</w:instrText>
            </w:r>
            <w:r>
              <w:rPr>
                <w:rFonts w:ascii="宋体" w:hAnsi="宋体" w:eastAsia="宋体" w:cs="Times New Roman"/>
                <w:kern w:val="0"/>
                <w:sz w:val="22"/>
              </w:rPr>
              <w:fldChar w:fldCharType="end"/>
            </w:r>
            <w:r>
              <w:rPr>
                <w:rFonts w:hint="eastAsia" w:ascii="宋体" w:hAnsi="宋体" w:eastAsia="宋体" w:cs="Times New Roman"/>
                <w:kern w:val="0"/>
                <w:sz w:val="22"/>
              </w:rPr>
              <w:t>不接受</w:t>
            </w:r>
          </w:p>
          <w:p>
            <w:pPr>
              <w:adjustRightInd w:val="0"/>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21"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踏勘现场</w:t>
            </w:r>
          </w:p>
        </w:tc>
        <w:tc>
          <w:tcPr>
            <w:tcW w:w="7776" w:type="dxa"/>
            <w:vAlign w:val="center"/>
          </w:tcPr>
          <w:p>
            <w:pPr>
              <w:adjustRightInd w:val="0"/>
              <w:rPr>
                <w:rFonts w:ascii="宋体" w:hAnsi="宋体" w:eastAsia="宋体" w:cs="Times New Roman"/>
                <w:kern w:val="0"/>
                <w:sz w:val="22"/>
              </w:rPr>
            </w:pPr>
            <w:r>
              <w:rPr>
                <w:rFonts w:ascii="宋体" w:hAnsi="宋体" w:eastAsia="宋体" w:cs="Times New Roman"/>
                <w:kern w:val="0"/>
                <w:sz w:val="22"/>
              </w:rPr>
              <w:fldChar w:fldCharType="begin"/>
            </w:r>
            <w:r>
              <w:rPr>
                <w:rFonts w:hint="eastAsia" w:ascii="宋体" w:hAnsi="宋体" w:eastAsia="宋体" w:cs="Times New Roman"/>
                <w:kern w:val="0"/>
                <w:sz w:val="22"/>
              </w:rPr>
              <w:instrText xml:space="preserve">eq \o\ac(□,√)</w:instrText>
            </w:r>
            <w:r>
              <w:rPr>
                <w:rFonts w:ascii="宋体" w:hAnsi="宋体" w:eastAsia="宋体" w:cs="Times New Roman"/>
                <w:kern w:val="0"/>
                <w:sz w:val="22"/>
              </w:rPr>
              <w:fldChar w:fldCharType="end"/>
            </w:r>
            <w:r>
              <w:rPr>
                <w:rFonts w:hint="eastAsia" w:ascii="宋体" w:hAnsi="宋体" w:eastAsia="宋体" w:cs="Times New Roman"/>
                <w:kern w:val="0"/>
                <w:sz w:val="22"/>
              </w:rPr>
              <w:t>不组织</w:t>
            </w:r>
          </w:p>
          <w:p>
            <w:pPr>
              <w:adjustRightInd w:val="0"/>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 xml:space="preserve">组织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21"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是否允许递交备选投标方案</w:t>
            </w:r>
          </w:p>
        </w:tc>
        <w:tc>
          <w:tcPr>
            <w:tcW w:w="7776" w:type="dxa"/>
            <w:vAlign w:val="center"/>
          </w:tcPr>
          <w:p>
            <w:pPr>
              <w:adjustRightInd w:val="0"/>
              <w:rPr>
                <w:rFonts w:ascii="宋体" w:hAnsi="宋体" w:eastAsia="宋体" w:cs="Times New Roman"/>
                <w:kern w:val="0"/>
                <w:sz w:val="22"/>
              </w:rPr>
            </w:pPr>
            <w:r>
              <w:rPr>
                <w:rFonts w:ascii="宋体" w:hAnsi="宋体" w:eastAsia="宋体" w:cs="Times New Roman"/>
                <w:kern w:val="0"/>
                <w:sz w:val="22"/>
              </w:rPr>
              <w:fldChar w:fldCharType="begin"/>
            </w:r>
            <w:r>
              <w:rPr>
                <w:rFonts w:hint="eastAsia" w:ascii="宋体" w:hAnsi="宋体" w:eastAsia="宋体" w:cs="Times New Roman"/>
                <w:kern w:val="0"/>
                <w:sz w:val="22"/>
              </w:rPr>
              <w:instrText xml:space="preserve">eq \o\ac(□,√)</w:instrText>
            </w:r>
            <w:r>
              <w:rPr>
                <w:rFonts w:ascii="宋体" w:hAnsi="宋体" w:eastAsia="宋体" w:cs="Times New Roman"/>
                <w:kern w:val="0"/>
                <w:sz w:val="22"/>
              </w:rPr>
              <w:fldChar w:fldCharType="end"/>
            </w:r>
            <w:r>
              <w:rPr>
                <w:rFonts w:hint="eastAsia" w:ascii="宋体" w:hAnsi="宋体" w:eastAsia="宋体" w:cs="Times New Roman"/>
                <w:kern w:val="0"/>
                <w:sz w:val="22"/>
              </w:rPr>
              <w:t xml:space="preserve"> 不允许</w:t>
            </w:r>
          </w:p>
          <w:p>
            <w:pPr>
              <w:adjustRightInd w:val="0"/>
              <w:rPr>
                <w:rFonts w:ascii="宋体" w:hAnsi="宋体" w:eastAsia="宋体" w:cs="仿宋_GB2312"/>
                <w:kern w:val="0"/>
                <w:sz w:val="22"/>
              </w:rPr>
            </w:pPr>
            <w:r>
              <w:rPr>
                <w:rFonts w:ascii="宋体" w:hAnsi="宋体" w:eastAsia="宋体" w:cs="Times New Roman"/>
                <w:kern w:val="0"/>
                <w:sz w:val="22"/>
              </w:rPr>
              <w:t>□</w:t>
            </w:r>
            <w:r>
              <w:rPr>
                <w:rFonts w:hint="eastAsia" w:ascii="宋体" w:hAnsi="宋体" w:eastAsia="宋体" w:cs="Times New Roman"/>
                <w:kern w:val="0"/>
                <w:sz w:val="22"/>
              </w:rPr>
              <w:t xml:space="preserve"> 允许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191"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投标货币</w:t>
            </w:r>
          </w:p>
        </w:tc>
        <w:tc>
          <w:tcPr>
            <w:tcW w:w="7776"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人民币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42"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投标语言</w:t>
            </w:r>
          </w:p>
        </w:tc>
        <w:tc>
          <w:tcPr>
            <w:tcW w:w="7776" w:type="dxa"/>
            <w:vAlign w:val="center"/>
          </w:tcPr>
          <w:p>
            <w:pPr>
              <w:adjustRightInd w:val="0"/>
              <w:rPr>
                <w:rFonts w:ascii="宋体" w:hAnsi="宋体" w:eastAsia="宋体" w:cs="Times New Roman"/>
                <w:kern w:val="0"/>
                <w:sz w:val="22"/>
              </w:rPr>
            </w:pPr>
            <w:r>
              <w:rPr>
                <w:rFonts w:hint="eastAsia" w:ascii="宋体" w:hAnsi="宋体" w:eastAsia="宋体" w:cs="Times New Roman"/>
                <w:kern w:val="0"/>
                <w:sz w:val="22"/>
              </w:rPr>
              <w:t>中文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4"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Arial"/>
                <w:kern w:val="0"/>
                <w:sz w:val="22"/>
              </w:rPr>
            </w:pPr>
            <w:r>
              <w:rPr>
                <w:rFonts w:hint="eastAsia" w:ascii="宋体" w:hAnsi="宋体" w:eastAsia="宋体" w:cs="Arial"/>
                <w:kern w:val="0"/>
                <w:sz w:val="22"/>
              </w:rPr>
              <w:t>投标文件份数</w:t>
            </w:r>
          </w:p>
        </w:tc>
        <w:tc>
          <w:tcPr>
            <w:tcW w:w="7776" w:type="dxa"/>
            <w:vAlign w:val="center"/>
          </w:tcPr>
          <w:p>
            <w:pPr>
              <w:tabs>
                <w:tab w:val="right" w:leader="dot" w:pos="9118"/>
              </w:tabs>
              <w:jc w:val="center"/>
              <w:rPr>
                <w:rFonts w:ascii="宋体" w:hAnsi="宋体" w:eastAsia="宋体" w:cs="Times New Roman"/>
                <w:b/>
                <w:sz w:val="22"/>
              </w:rPr>
            </w:pPr>
            <w:r>
              <w:rPr>
                <w:rFonts w:hint="eastAsia" w:ascii="宋体" w:hAnsi="宋体" w:eastAsia="宋体" w:cs="Times New Roman"/>
                <w:b/>
                <w:sz w:val="22"/>
              </w:rPr>
              <w:t>正本壹份，副本肆份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26"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Arial"/>
                <w:kern w:val="0"/>
                <w:sz w:val="22"/>
              </w:rPr>
            </w:pPr>
            <w:r>
              <w:rPr>
                <w:rFonts w:hint="eastAsia" w:ascii="宋体" w:hAnsi="宋体" w:eastAsia="宋体" w:cs="Arial"/>
                <w:kern w:val="0"/>
                <w:sz w:val="22"/>
              </w:rPr>
              <w:t>投标有效期</w:t>
            </w:r>
          </w:p>
        </w:tc>
        <w:tc>
          <w:tcPr>
            <w:tcW w:w="7776" w:type="dxa"/>
            <w:vAlign w:val="center"/>
          </w:tcPr>
          <w:p>
            <w:pPr>
              <w:rPr>
                <w:rFonts w:ascii="宋体" w:hAnsi="宋体" w:eastAsia="宋体" w:cs="Arial"/>
                <w:kern w:val="0"/>
                <w:sz w:val="22"/>
              </w:rPr>
            </w:pPr>
            <w:r>
              <w:rPr>
                <w:rFonts w:hint="eastAsia" w:ascii="宋体" w:hAnsi="宋体" w:eastAsia="宋体" w:cs="Arial"/>
                <w:kern w:val="0"/>
                <w:sz w:val="22"/>
              </w:rPr>
              <w:t>提交投标文件截止时间起90天内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26"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Arial"/>
                <w:kern w:val="0"/>
                <w:sz w:val="22"/>
              </w:rPr>
            </w:pPr>
            <w:r>
              <w:rPr>
                <w:rFonts w:hint="eastAsia" w:ascii="宋体" w:hAnsi="宋体" w:eastAsia="宋体" w:cs="Arial"/>
                <w:kern w:val="0"/>
                <w:sz w:val="22"/>
              </w:rPr>
              <w:t>签字或盖章要求</w:t>
            </w:r>
          </w:p>
        </w:tc>
        <w:tc>
          <w:tcPr>
            <w:tcW w:w="7776" w:type="dxa"/>
            <w:vAlign w:val="center"/>
          </w:tcPr>
          <w:p>
            <w:pPr>
              <w:rPr>
                <w:rFonts w:ascii="宋体" w:hAnsi="宋体" w:eastAsia="宋体" w:cs="Arial"/>
                <w:kern w:val="0"/>
                <w:sz w:val="22"/>
              </w:rPr>
            </w:pPr>
            <w:r>
              <w:rPr>
                <w:rFonts w:hint="eastAsia" w:ascii="宋体" w:hAnsi="宋体" w:eastAsia="宋体" w:cs="Times New Roman"/>
                <w:kern w:val="0"/>
                <w:sz w:val="22"/>
              </w:rPr>
              <w:t>投标文件的正本均须按招标文件格式要求，由投标供应商加盖单位公章和法定代表人或其授权代表印章（或签字）。投标文件中所涉及的公章必须是投标供应商全称的公章，不得使用投标专用章、合同章等类似图章代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26"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hint="eastAsia" w:ascii="宋体" w:hAnsi="宋体" w:eastAsia="宋体" w:cs="Arial"/>
                <w:kern w:val="0"/>
                <w:sz w:val="22"/>
              </w:rPr>
              <w:t>密封、装订要求</w:t>
            </w:r>
          </w:p>
        </w:tc>
        <w:tc>
          <w:tcPr>
            <w:tcW w:w="7776" w:type="dxa"/>
            <w:vAlign w:val="center"/>
          </w:tcPr>
          <w:p>
            <w:pPr>
              <w:rPr>
                <w:rFonts w:ascii="宋体" w:hAnsi="宋体" w:eastAsia="宋体" w:cs="Times New Roman"/>
                <w:kern w:val="0"/>
                <w:sz w:val="22"/>
              </w:rPr>
            </w:pPr>
            <w:r>
              <w:rPr>
                <w:rFonts w:hint="eastAsia" w:ascii="宋体" w:hAnsi="宋体" w:eastAsia="宋体" w:cs="Times New Roman"/>
                <w:kern w:val="0"/>
                <w:sz w:val="22"/>
              </w:rPr>
              <w:t>投标供应商应将投标文件的商务报价文件与技术资信部分投标文件分开包装密封，包装应有投标供应商公章及法定代表人或其授权代表印章（或签字）。如投标文件的商务报价文件与技术资信部分投标文件未分开制作与包装或未密封，投标文件将被拒绝接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26"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hint="eastAsia" w:ascii="宋体" w:hAnsi="宋体" w:eastAsia="宋体" w:cs="Arial"/>
                <w:kern w:val="0"/>
                <w:sz w:val="22"/>
              </w:rPr>
              <w:t>投标样品</w:t>
            </w:r>
          </w:p>
        </w:tc>
        <w:tc>
          <w:tcPr>
            <w:tcW w:w="7776" w:type="dxa"/>
            <w:vAlign w:val="center"/>
          </w:tcPr>
          <w:p>
            <w:pPr>
              <w:rPr>
                <w:rFonts w:ascii="宋体" w:hAnsi="宋体" w:eastAsia="宋体" w:cs="Times New Roman"/>
                <w:kern w:val="0"/>
                <w:sz w:val="22"/>
              </w:rPr>
            </w:pPr>
            <w:r>
              <w:rPr>
                <w:rFonts w:ascii="宋体" w:hAnsi="宋体" w:eastAsia="宋体" w:cs="Times New Roman"/>
                <w:kern w:val="0"/>
                <w:sz w:val="22"/>
              </w:rPr>
              <w:sym w:font="Wingdings 2" w:char="00A3"/>
            </w:r>
            <w:r>
              <w:rPr>
                <w:rFonts w:hint="eastAsia" w:ascii="宋体" w:hAnsi="宋体" w:eastAsia="宋体" w:cs="Times New Roman"/>
                <w:kern w:val="0"/>
                <w:sz w:val="22"/>
              </w:rPr>
              <w:t>不需要</w:t>
            </w:r>
          </w:p>
          <w:p>
            <w:pPr>
              <w:rPr>
                <w:rFonts w:ascii="宋体" w:hAnsi="宋体" w:eastAsia="宋体" w:cs="Times New Roman"/>
                <w:kern w:val="0"/>
                <w:sz w:val="22"/>
              </w:rPr>
            </w:pPr>
            <w:r>
              <w:rPr>
                <w:rFonts w:ascii="宋体" w:hAnsi="宋体" w:eastAsia="宋体" w:cs="Times New Roman"/>
                <w:kern w:val="0"/>
                <w:sz w:val="22"/>
              </w:rPr>
              <w:fldChar w:fldCharType="begin"/>
            </w:r>
            <w:r>
              <w:rPr>
                <w:rFonts w:hint="eastAsia" w:ascii="宋体" w:hAnsi="宋体" w:eastAsia="宋体" w:cs="Times New Roman"/>
                <w:kern w:val="0"/>
                <w:sz w:val="22"/>
              </w:rPr>
              <w:instrText xml:space="preserve">eq \o\ac(□,√)</w:instrText>
            </w:r>
            <w:r>
              <w:rPr>
                <w:rFonts w:ascii="宋体" w:hAnsi="宋体" w:eastAsia="宋体" w:cs="Times New Roman"/>
                <w:kern w:val="0"/>
                <w:sz w:val="22"/>
              </w:rPr>
              <w:fldChar w:fldCharType="end"/>
            </w:r>
            <w:r>
              <w:rPr>
                <w:rFonts w:hint="eastAsia" w:ascii="宋体" w:hAnsi="宋体" w:eastAsia="宋体" w:cs="Times New Roman"/>
                <w:kern w:val="0"/>
                <w:sz w:val="22"/>
              </w:rPr>
              <w:t>需要:具体见供应商须知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219"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adjustRightInd w:val="0"/>
              <w:jc w:val="center"/>
              <w:rPr>
                <w:rFonts w:ascii="宋体" w:hAnsi="宋体" w:eastAsia="宋体" w:cs="Times New Roman"/>
                <w:kern w:val="0"/>
                <w:sz w:val="22"/>
              </w:rPr>
            </w:pPr>
            <w:r>
              <w:rPr>
                <w:rFonts w:hint="eastAsia" w:ascii="宋体" w:hAnsi="宋体" w:eastAsia="宋体" w:cs="Times New Roman"/>
                <w:kern w:val="0"/>
                <w:sz w:val="22"/>
              </w:rPr>
              <w:t>履约担保</w:t>
            </w:r>
          </w:p>
        </w:tc>
        <w:tc>
          <w:tcPr>
            <w:tcW w:w="7776" w:type="dxa"/>
            <w:vAlign w:val="center"/>
          </w:tcPr>
          <w:p>
            <w:pPr>
              <w:rPr>
                <w:rFonts w:ascii="宋体" w:hAnsi="宋体" w:eastAsia="宋体" w:cs="Times New Roman"/>
                <w:kern w:val="0"/>
                <w:sz w:val="22"/>
              </w:rPr>
            </w:pPr>
            <w:r>
              <w:rPr>
                <w:rFonts w:ascii="宋体" w:hAnsi="宋体" w:eastAsia="宋体" w:cs="Times New Roman"/>
                <w:kern w:val="0"/>
                <w:sz w:val="22"/>
              </w:rPr>
              <w:t>□</w:t>
            </w:r>
            <w:r>
              <w:rPr>
                <w:rFonts w:hint="eastAsia" w:ascii="宋体" w:hAnsi="宋体" w:eastAsia="宋体" w:cs="Times New Roman"/>
                <w:kern w:val="0"/>
                <w:sz w:val="22"/>
              </w:rPr>
              <w:t>不需要</w:t>
            </w:r>
          </w:p>
          <w:p>
            <w:pPr>
              <w:adjustRightInd w:val="0"/>
              <w:rPr>
                <w:rFonts w:ascii="宋体" w:hAnsi="宋体" w:eastAsia="宋体" w:cs="Times New Roman"/>
                <w:kern w:val="0"/>
                <w:sz w:val="22"/>
              </w:rPr>
            </w:pPr>
            <w:r>
              <w:rPr>
                <w:rFonts w:ascii="宋体" w:hAnsi="宋体" w:eastAsia="宋体" w:cs="Times New Roman"/>
                <w:kern w:val="0"/>
                <w:sz w:val="22"/>
              </w:rPr>
              <w:fldChar w:fldCharType="begin"/>
            </w:r>
            <w:r>
              <w:rPr>
                <w:rFonts w:hint="eastAsia" w:ascii="宋体" w:hAnsi="宋体" w:eastAsia="宋体" w:cs="Times New Roman"/>
                <w:kern w:val="0"/>
                <w:sz w:val="22"/>
              </w:rPr>
              <w:instrText xml:space="preserve">eq \o\ac(□,√)</w:instrText>
            </w:r>
            <w:r>
              <w:rPr>
                <w:rFonts w:ascii="宋体" w:hAnsi="宋体" w:eastAsia="宋体" w:cs="Times New Roman"/>
                <w:kern w:val="0"/>
                <w:sz w:val="22"/>
              </w:rPr>
              <w:fldChar w:fldCharType="end"/>
            </w:r>
            <w:r>
              <w:rPr>
                <w:rFonts w:hint="eastAsia" w:ascii="宋体" w:hAnsi="宋体" w:eastAsia="宋体" w:cs="Times New Roman"/>
                <w:kern w:val="0"/>
                <w:sz w:val="22"/>
              </w:rPr>
              <w:t xml:space="preserve">需要 </w:t>
            </w:r>
            <w:r>
              <w:rPr>
                <w:rFonts w:hint="eastAsia" w:ascii="宋体" w:hAnsi="宋体" w:eastAsia="宋体" w:cs="Times New Roman"/>
                <w:bCs/>
                <w:kern w:val="0"/>
                <w:sz w:val="22"/>
              </w:rPr>
              <w:t xml:space="preserve"> 合同签订前中标供应商应提供合同总金额</w:t>
            </w:r>
            <w:r>
              <w:rPr>
                <w:rFonts w:ascii="宋体" w:hAnsi="宋体" w:eastAsia="宋体" w:cs="Times New Roman"/>
                <w:bCs/>
                <w:kern w:val="0"/>
                <w:sz w:val="22"/>
              </w:rPr>
              <w:t>5</w:t>
            </w:r>
            <w:r>
              <w:rPr>
                <w:rFonts w:hint="eastAsia" w:ascii="宋体" w:hAnsi="宋体" w:eastAsia="宋体" w:cs="Times New Roman"/>
                <w:bCs/>
                <w:kern w:val="0"/>
                <w:sz w:val="22"/>
              </w:rPr>
              <w:t>%的履约保证金至采购人指定账户。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919"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hint="eastAsia" w:ascii="宋体" w:hAnsi="宋体" w:eastAsia="宋体" w:cs="Arial"/>
                <w:kern w:val="0"/>
                <w:sz w:val="22"/>
              </w:rPr>
              <w:t>招标文件发售时间及获取方式</w:t>
            </w:r>
          </w:p>
        </w:tc>
        <w:tc>
          <w:tcPr>
            <w:tcW w:w="7776" w:type="dxa"/>
            <w:vAlign w:val="center"/>
          </w:tcPr>
          <w:p>
            <w:pPr>
              <w:rPr>
                <w:rFonts w:ascii="宋体" w:hAnsi="宋体" w:eastAsia="宋体" w:cs="Times New Roman"/>
                <w:kern w:val="0"/>
                <w:sz w:val="22"/>
              </w:rPr>
            </w:pPr>
            <w:r>
              <w:rPr>
                <w:rFonts w:hint="eastAsia" w:ascii="宋体" w:hAnsi="宋体" w:eastAsia="宋体" w:cs="Times New Roman"/>
                <w:kern w:val="0"/>
                <w:sz w:val="22"/>
              </w:rPr>
              <w:t>本项目采购公告发布次日起</w:t>
            </w:r>
            <w:r>
              <w:rPr>
                <w:rFonts w:ascii="宋体" w:hAnsi="宋体" w:eastAsia="宋体" w:cs="Times New Roman"/>
                <w:kern w:val="0"/>
                <w:sz w:val="22"/>
              </w:rPr>
              <w:t>5</w:t>
            </w:r>
            <w:r>
              <w:rPr>
                <w:rFonts w:hint="eastAsia" w:ascii="宋体" w:hAnsi="宋体" w:eastAsia="宋体" w:cs="Times New Roman"/>
                <w:kern w:val="0"/>
                <w:sz w:val="22"/>
              </w:rPr>
              <w:t>个工作日(双休日及法定节假日除外)。</w:t>
            </w:r>
          </w:p>
          <w:p>
            <w:pPr>
              <w:rPr>
                <w:rFonts w:ascii="宋体" w:hAnsi="宋体" w:eastAsia="宋体" w:cs="Arial"/>
                <w:kern w:val="0"/>
                <w:sz w:val="22"/>
              </w:rPr>
            </w:pPr>
            <w:r>
              <w:rPr>
                <w:rFonts w:ascii="宋体" w:hAnsi="宋体" w:eastAsia="宋体" w:cs="Times New Roman"/>
                <w:kern w:val="0"/>
                <w:sz w:val="22"/>
              </w:rPr>
              <w:sym w:font="Wingdings 2" w:char="0052"/>
            </w:r>
            <w:r>
              <w:rPr>
                <w:rFonts w:hint="eastAsia" w:ascii="宋体" w:hAnsi="宋体" w:eastAsia="宋体" w:cs="Times New Roman"/>
                <w:kern w:val="0"/>
                <w:sz w:val="22"/>
              </w:rPr>
              <w:t>报名后从浙江政府采购网（</w:t>
            </w:r>
            <w:r>
              <w:rPr>
                <w:rFonts w:ascii="宋体" w:hAnsi="宋体" w:eastAsia="宋体" w:cs="Times New Roman"/>
                <w:kern w:val="0"/>
                <w:sz w:val="22"/>
              </w:rPr>
              <w:t>http://www.zjzfcg.gov.cn</w:t>
            </w:r>
            <w:r>
              <w:rPr>
                <w:rFonts w:hint="eastAsia" w:ascii="宋体" w:hAnsi="宋体" w:eastAsia="宋体" w:cs="Times New Roman"/>
                <w:kern w:val="0"/>
                <w:sz w:val="22"/>
              </w:rPr>
              <w:t>）直接下载。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25"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hint="eastAsia" w:ascii="宋体" w:hAnsi="宋体" w:eastAsia="宋体" w:cs="Arial"/>
                <w:kern w:val="0"/>
                <w:sz w:val="22"/>
              </w:rPr>
              <w:t>投标截止时间</w:t>
            </w:r>
          </w:p>
        </w:tc>
        <w:tc>
          <w:tcPr>
            <w:tcW w:w="7776" w:type="dxa"/>
            <w:vAlign w:val="center"/>
          </w:tcPr>
          <w:p>
            <w:pPr>
              <w:rPr>
                <w:rFonts w:ascii="宋体" w:hAnsi="宋体" w:eastAsia="宋体" w:cs="Arial"/>
                <w:kern w:val="0"/>
                <w:sz w:val="22"/>
              </w:rPr>
            </w:pPr>
            <w:r>
              <w:rPr>
                <w:rFonts w:hint="eastAsia" w:ascii="宋体" w:hAnsi="宋体" w:eastAsia="宋体" w:cs="Times New Roman"/>
                <w:kern w:val="0"/>
                <w:sz w:val="22"/>
              </w:rPr>
              <w:t>2019年7月3</w:t>
            </w:r>
            <w:r>
              <w:rPr>
                <w:rFonts w:hint="eastAsia" w:ascii="宋体" w:hAnsi="宋体" w:eastAsia="宋体" w:cs="Times New Roman"/>
                <w:kern w:val="0"/>
                <w:sz w:val="22"/>
                <w:lang w:val="en-US" w:eastAsia="zh-CN"/>
              </w:rPr>
              <w:t>1</w:t>
            </w:r>
            <w:r>
              <w:rPr>
                <w:rFonts w:hint="eastAsia" w:ascii="宋体" w:hAnsi="宋体" w:eastAsia="宋体" w:cs="Times New Roman"/>
                <w:kern w:val="0"/>
                <w:sz w:val="22"/>
              </w:rPr>
              <w:t>日</w:t>
            </w:r>
            <w:r>
              <w:rPr>
                <w:rFonts w:hint="eastAsia" w:ascii="宋体" w:hAnsi="宋体" w:eastAsia="宋体" w:cs="Times New Roman"/>
                <w:kern w:val="0"/>
                <w:sz w:val="22"/>
                <w:lang w:eastAsia="zh-CN"/>
              </w:rPr>
              <w:t>上</w:t>
            </w:r>
            <w:r>
              <w:rPr>
                <w:rFonts w:hint="eastAsia" w:ascii="宋体" w:hAnsi="宋体" w:eastAsia="宋体" w:cs="Times New Roman"/>
                <w:kern w:val="0"/>
                <w:sz w:val="22"/>
              </w:rPr>
              <w:t>午</w:t>
            </w:r>
            <w:r>
              <w:rPr>
                <w:rFonts w:hint="eastAsia" w:ascii="宋体" w:hAnsi="宋体" w:eastAsia="宋体" w:cs="Times New Roman"/>
                <w:kern w:val="0"/>
                <w:sz w:val="22"/>
                <w:lang w:val="en-US" w:eastAsia="zh-CN"/>
              </w:rPr>
              <w:t>09</w:t>
            </w:r>
            <w:r>
              <w:rPr>
                <w:rFonts w:hint="eastAsia" w:ascii="宋体" w:hAnsi="宋体" w:eastAsia="宋体" w:cs="Times New Roman"/>
                <w:kern w:val="0"/>
                <w:sz w:val="22"/>
              </w:rPr>
              <w:t>:</w:t>
            </w:r>
            <w:r>
              <w:rPr>
                <w:rFonts w:ascii="宋体" w:hAnsi="宋体" w:eastAsia="宋体" w:cs="Times New Roman"/>
                <w:kern w:val="0"/>
                <w:sz w:val="22"/>
              </w:rPr>
              <w:t>3</w:t>
            </w:r>
            <w:r>
              <w:rPr>
                <w:rFonts w:hint="eastAsia" w:ascii="宋体" w:hAnsi="宋体" w:eastAsia="宋体" w:cs="Times New Roman"/>
                <w:kern w:val="0"/>
                <w:sz w:val="22"/>
              </w:rPr>
              <w:t>0 截</w:t>
            </w:r>
            <w:r>
              <w:rPr>
                <w:rFonts w:hint="eastAsia" w:ascii="宋体" w:hAnsi="宋体" w:eastAsia="宋体" w:cs="Arial"/>
                <w:kern w:val="0"/>
                <w:sz w:val="22"/>
              </w:rPr>
              <w:t>止</w:t>
            </w:r>
            <w:r>
              <w:rPr>
                <w:rFonts w:ascii="宋体" w:hAnsi="宋体" w:eastAsia="宋体" w:cs="Arial"/>
                <w:kern w:val="0"/>
                <w:sz w:val="22"/>
              </w:rPr>
              <w:t>(</w:t>
            </w:r>
            <w:r>
              <w:rPr>
                <w:rFonts w:hint="eastAsia" w:ascii="宋体" w:hAnsi="宋体" w:eastAsia="宋体" w:cs="Arial"/>
                <w:kern w:val="0"/>
                <w:sz w:val="22"/>
              </w:rPr>
              <w:t>北京时间</w:t>
            </w:r>
            <w:r>
              <w:rPr>
                <w:rFonts w:ascii="宋体" w:hAnsi="宋体" w:eastAsia="宋体" w:cs="Arial"/>
                <w:kern w:val="0"/>
                <w:sz w:val="22"/>
              </w:rPr>
              <w:t>)</w:t>
            </w:r>
            <w:r>
              <w:rPr>
                <w:rFonts w:hint="eastAsia" w:ascii="宋体" w:hAnsi="宋体" w:eastAsia="宋体" w:cs="Arial"/>
                <w:kern w:val="0"/>
                <w:sz w:val="22"/>
              </w:rPr>
              <w:t>。</w:t>
            </w:r>
            <w:r>
              <w:rPr>
                <w:rFonts w:hint="eastAsia" w:ascii="宋体" w:hAnsi="宋体" w:eastAsia="宋体" w:cs="Arial"/>
                <w:b/>
                <w:kern w:val="0"/>
                <w:sz w:val="22"/>
              </w:rPr>
              <w:t>（以发布的公告时间为准）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325"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hint="eastAsia" w:ascii="宋体" w:hAnsi="宋体" w:eastAsia="宋体" w:cs="Times New Roman"/>
                <w:kern w:val="0"/>
                <w:sz w:val="22"/>
              </w:rPr>
              <w:t>投标文件递交时间及地点</w:t>
            </w:r>
          </w:p>
        </w:tc>
        <w:tc>
          <w:tcPr>
            <w:tcW w:w="7776" w:type="dxa"/>
            <w:vAlign w:val="center"/>
          </w:tcPr>
          <w:p>
            <w:pPr>
              <w:rPr>
                <w:rFonts w:ascii="宋体" w:hAnsi="宋体" w:eastAsia="宋体" w:cs="Times New Roman"/>
                <w:kern w:val="0"/>
                <w:sz w:val="22"/>
              </w:rPr>
            </w:pPr>
            <w:r>
              <w:rPr>
                <w:rFonts w:hint="eastAsia" w:ascii="宋体" w:hAnsi="宋体" w:eastAsia="宋体" w:cs="Times New Roman"/>
                <w:kern w:val="0"/>
                <w:sz w:val="22"/>
              </w:rPr>
              <w:t>2019年7月3</w:t>
            </w:r>
            <w:r>
              <w:rPr>
                <w:rFonts w:hint="eastAsia" w:ascii="宋体" w:hAnsi="宋体" w:eastAsia="宋体" w:cs="Times New Roman"/>
                <w:kern w:val="0"/>
                <w:sz w:val="22"/>
                <w:lang w:val="en-US" w:eastAsia="zh-CN"/>
              </w:rPr>
              <w:t>1</w:t>
            </w:r>
            <w:r>
              <w:rPr>
                <w:rFonts w:hint="eastAsia" w:ascii="宋体" w:hAnsi="宋体" w:eastAsia="宋体" w:cs="Times New Roman"/>
                <w:kern w:val="0"/>
                <w:sz w:val="22"/>
              </w:rPr>
              <w:t>日</w:t>
            </w:r>
            <w:r>
              <w:rPr>
                <w:rFonts w:hint="eastAsia" w:ascii="宋体" w:hAnsi="宋体" w:eastAsia="宋体" w:cs="Times New Roman"/>
                <w:kern w:val="0"/>
                <w:sz w:val="22"/>
                <w:lang w:eastAsia="zh-CN"/>
              </w:rPr>
              <w:t>上</w:t>
            </w:r>
            <w:r>
              <w:rPr>
                <w:rFonts w:hint="eastAsia" w:ascii="宋体" w:hAnsi="宋体" w:eastAsia="宋体" w:cs="Times New Roman"/>
                <w:kern w:val="0"/>
                <w:sz w:val="22"/>
              </w:rPr>
              <w:t>午</w:t>
            </w:r>
            <w:r>
              <w:rPr>
                <w:rFonts w:hint="eastAsia" w:ascii="宋体" w:hAnsi="宋体" w:eastAsia="宋体" w:cs="Times New Roman"/>
                <w:kern w:val="0"/>
                <w:sz w:val="22"/>
                <w:lang w:val="en-US" w:eastAsia="zh-CN"/>
              </w:rPr>
              <w:t>09</w:t>
            </w:r>
            <w:r>
              <w:rPr>
                <w:rFonts w:hint="eastAsia" w:ascii="宋体" w:hAnsi="宋体" w:eastAsia="宋体" w:cs="Times New Roman"/>
                <w:kern w:val="0"/>
                <w:sz w:val="22"/>
              </w:rPr>
              <w:t>:</w:t>
            </w:r>
            <w:r>
              <w:rPr>
                <w:rFonts w:ascii="宋体" w:hAnsi="宋体" w:eastAsia="宋体" w:cs="Times New Roman"/>
                <w:kern w:val="0"/>
                <w:sz w:val="22"/>
              </w:rPr>
              <w:t>3</w:t>
            </w:r>
            <w:r>
              <w:rPr>
                <w:rFonts w:hint="eastAsia" w:ascii="宋体" w:hAnsi="宋体" w:eastAsia="宋体" w:cs="Times New Roman"/>
                <w:kern w:val="0"/>
                <w:sz w:val="22"/>
              </w:rPr>
              <w:t>0 ；</w:t>
            </w:r>
            <w:r>
              <w:rPr>
                <w:rFonts w:hint="eastAsia" w:ascii="宋体" w:hAnsi="宋体" w:eastAsia="宋体" w:cs="Arial"/>
                <w:b/>
                <w:kern w:val="0"/>
                <w:sz w:val="22"/>
              </w:rPr>
              <w:t>（以发布的公告时间为准）</w:t>
            </w:r>
          </w:p>
          <w:p>
            <w:pPr>
              <w:rPr>
                <w:rFonts w:ascii="宋体" w:hAnsi="宋体" w:eastAsia="宋体" w:cs="Arial"/>
                <w:kern w:val="0"/>
                <w:sz w:val="22"/>
              </w:rPr>
            </w:pPr>
            <w:r>
              <w:rPr>
                <w:rFonts w:hint="eastAsia" w:ascii="宋体" w:hAnsi="宋体" w:eastAsia="宋体" w:cs="Times New Roman"/>
                <w:kern w:val="0"/>
                <w:sz w:val="22"/>
              </w:rPr>
              <w:t>投标文件递交地点：温州市行政审批与公共资源交易服务管理中心(温州市鹿城区会展路1268号温州市民中心A座3楼收标区)。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634"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hint="eastAsia" w:ascii="宋体" w:hAnsi="宋体" w:eastAsia="宋体" w:cs="Arial"/>
                <w:kern w:val="0"/>
                <w:sz w:val="22"/>
              </w:rPr>
              <w:t>开标时间</w:t>
            </w:r>
          </w:p>
          <w:p>
            <w:pPr>
              <w:jc w:val="center"/>
              <w:rPr>
                <w:rFonts w:ascii="宋体" w:hAnsi="宋体" w:eastAsia="宋体" w:cs="Arial"/>
                <w:kern w:val="0"/>
                <w:sz w:val="22"/>
              </w:rPr>
            </w:pPr>
            <w:r>
              <w:rPr>
                <w:rFonts w:hint="eastAsia" w:ascii="宋体" w:hAnsi="宋体" w:eastAsia="宋体" w:cs="Arial"/>
                <w:kern w:val="0"/>
                <w:sz w:val="22"/>
              </w:rPr>
              <w:t>开标地点</w:t>
            </w:r>
          </w:p>
          <w:p>
            <w:pPr>
              <w:jc w:val="center"/>
              <w:rPr>
                <w:rFonts w:ascii="宋体" w:hAnsi="宋体" w:eastAsia="宋体" w:cs="Arial"/>
                <w:kern w:val="0"/>
                <w:sz w:val="22"/>
              </w:rPr>
            </w:pPr>
            <w:r>
              <w:rPr>
                <w:rFonts w:hint="eastAsia" w:ascii="宋体" w:hAnsi="宋体" w:eastAsia="宋体" w:cs="Arial"/>
                <w:kern w:val="0"/>
                <w:sz w:val="22"/>
              </w:rPr>
              <w:t>注意事项</w:t>
            </w:r>
          </w:p>
        </w:tc>
        <w:tc>
          <w:tcPr>
            <w:tcW w:w="7776" w:type="dxa"/>
            <w:vAlign w:val="center"/>
          </w:tcPr>
          <w:p>
            <w:pPr>
              <w:rPr>
                <w:rFonts w:ascii="宋体" w:hAnsi="宋体" w:eastAsia="宋体" w:cs="Arial"/>
                <w:b/>
                <w:kern w:val="0"/>
                <w:sz w:val="22"/>
              </w:rPr>
            </w:pPr>
            <w:r>
              <w:rPr>
                <w:rFonts w:hint="eastAsia" w:ascii="宋体" w:hAnsi="宋体" w:eastAsia="宋体" w:cs="Arial"/>
                <w:kern w:val="0"/>
                <w:sz w:val="22"/>
              </w:rPr>
              <w:t>开标时间：</w:t>
            </w:r>
            <w:r>
              <w:rPr>
                <w:rFonts w:hint="eastAsia" w:ascii="宋体" w:hAnsi="宋体" w:eastAsia="宋体" w:cs="Times New Roman"/>
                <w:kern w:val="0"/>
                <w:sz w:val="22"/>
              </w:rPr>
              <w:t>2019年7月3</w:t>
            </w:r>
            <w:r>
              <w:rPr>
                <w:rFonts w:hint="eastAsia" w:ascii="宋体" w:hAnsi="宋体" w:eastAsia="宋体" w:cs="Times New Roman"/>
                <w:kern w:val="0"/>
                <w:sz w:val="22"/>
                <w:lang w:val="en-US" w:eastAsia="zh-CN"/>
              </w:rPr>
              <w:t>1</w:t>
            </w:r>
            <w:r>
              <w:rPr>
                <w:rFonts w:hint="eastAsia" w:ascii="宋体" w:hAnsi="宋体" w:eastAsia="宋体" w:cs="Times New Roman"/>
                <w:kern w:val="0"/>
                <w:sz w:val="22"/>
              </w:rPr>
              <w:t>日</w:t>
            </w:r>
            <w:r>
              <w:rPr>
                <w:rFonts w:hint="eastAsia" w:ascii="宋体" w:hAnsi="宋体" w:eastAsia="宋体" w:cs="Times New Roman"/>
                <w:kern w:val="0"/>
                <w:sz w:val="22"/>
                <w:lang w:eastAsia="zh-CN"/>
              </w:rPr>
              <w:t>上午</w:t>
            </w:r>
            <w:r>
              <w:rPr>
                <w:rFonts w:hint="eastAsia" w:ascii="宋体" w:hAnsi="宋体" w:eastAsia="宋体" w:cs="Times New Roman"/>
                <w:kern w:val="0"/>
                <w:sz w:val="22"/>
                <w:lang w:val="en-US" w:eastAsia="zh-CN"/>
              </w:rPr>
              <w:t>09</w:t>
            </w:r>
            <w:r>
              <w:rPr>
                <w:rFonts w:hint="eastAsia" w:ascii="宋体" w:hAnsi="宋体" w:eastAsia="宋体" w:cs="Times New Roman"/>
                <w:kern w:val="0"/>
                <w:sz w:val="22"/>
              </w:rPr>
              <w:t>:</w:t>
            </w:r>
            <w:r>
              <w:rPr>
                <w:rFonts w:ascii="宋体" w:hAnsi="宋体" w:eastAsia="宋体" w:cs="Times New Roman"/>
                <w:kern w:val="0"/>
                <w:sz w:val="22"/>
              </w:rPr>
              <w:t>3</w:t>
            </w:r>
            <w:r>
              <w:rPr>
                <w:rFonts w:hint="eastAsia" w:ascii="宋体" w:hAnsi="宋体" w:eastAsia="宋体" w:cs="Times New Roman"/>
                <w:kern w:val="0"/>
                <w:sz w:val="22"/>
              </w:rPr>
              <w:t xml:space="preserve">0 </w:t>
            </w:r>
            <w:r>
              <w:rPr>
                <w:rFonts w:hint="eastAsia" w:ascii="宋体" w:hAnsi="宋体" w:eastAsia="宋体" w:cs="Arial"/>
                <w:kern w:val="0"/>
                <w:sz w:val="22"/>
              </w:rPr>
              <w:t>正</w:t>
            </w:r>
            <w:r>
              <w:rPr>
                <w:rFonts w:hint="eastAsia" w:ascii="宋体" w:hAnsi="宋体" w:eastAsia="宋体" w:cs="Arial"/>
                <w:b/>
                <w:kern w:val="0"/>
                <w:sz w:val="22"/>
              </w:rPr>
              <w:t>（以发布的公告时间为准）</w:t>
            </w:r>
          </w:p>
          <w:p>
            <w:pPr>
              <w:rPr>
                <w:rFonts w:ascii="宋体" w:hAnsi="宋体" w:eastAsia="宋体" w:cs="Times New Roman"/>
                <w:kern w:val="0"/>
                <w:sz w:val="22"/>
              </w:rPr>
            </w:pPr>
            <w:r>
              <w:rPr>
                <w:rFonts w:hint="eastAsia" w:ascii="宋体" w:hAnsi="宋体" w:eastAsia="宋体" w:cs="Times New Roman"/>
                <w:kern w:val="0"/>
                <w:sz w:val="22"/>
              </w:rPr>
              <w:t>开标</w:t>
            </w:r>
            <w:r>
              <w:rPr>
                <w:rFonts w:hint="eastAsia" w:ascii="宋体" w:hAnsi="宋体" w:eastAsia="宋体" w:cs="Arial"/>
                <w:kern w:val="0"/>
                <w:sz w:val="22"/>
              </w:rPr>
              <w:t>地点：</w:t>
            </w:r>
            <w:r>
              <w:rPr>
                <w:rFonts w:hint="eastAsia" w:ascii="新宋体" w:hAnsi="新宋体" w:eastAsia="新宋体" w:cs="新宋体"/>
                <w:bCs/>
                <w:color w:val="auto"/>
                <w:kern w:val="0"/>
                <w:sz w:val="22"/>
                <w:szCs w:val="22"/>
                <w:highlight w:val="none"/>
              </w:rPr>
              <w:t>温州市行政审批与公共资源交易服务管理中心(温州市鹿城区会展路1268号温州市民中心A座3楼开标室)(详见开标当天大厅大屏幕显示)</w:t>
            </w:r>
          </w:p>
          <w:p>
            <w:pPr>
              <w:rPr>
                <w:rFonts w:ascii="宋体" w:hAnsi="宋体" w:eastAsia="宋体" w:cs="Times New Roman"/>
                <w:kern w:val="0"/>
                <w:sz w:val="22"/>
              </w:rPr>
            </w:pPr>
            <w:r>
              <w:rPr>
                <w:rFonts w:hint="eastAsia" w:ascii="宋体" w:hAnsi="宋体" w:eastAsia="宋体" w:cs="Arial"/>
                <w:kern w:val="0"/>
                <w:sz w:val="22"/>
              </w:rPr>
              <w:t>注意事项：参加开标会的投标供应商的法定代表人或其授权代表须携带“身份证原件”，未能提供的将被拒绝接收其投标文件，务必准时参加开标会并签名报到以证明其出席（带身份证件原件）。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452"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hint="eastAsia" w:ascii="宋体" w:hAnsi="宋体" w:eastAsia="宋体" w:cs="Arial"/>
                <w:kern w:val="0"/>
                <w:sz w:val="22"/>
              </w:rPr>
              <w:t>开标程序</w:t>
            </w:r>
          </w:p>
        </w:tc>
        <w:tc>
          <w:tcPr>
            <w:tcW w:w="7776" w:type="dxa"/>
            <w:vAlign w:val="center"/>
          </w:tcPr>
          <w:p>
            <w:pPr>
              <w:rPr>
                <w:rFonts w:ascii="宋体" w:hAnsi="宋体" w:eastAsia="宋体" w:cs="Arial"/>
                <w:kern w:val="0"/>
                <w:sz w:val="22"/>
              </w:rPr>
            </w:pPr>
            <w:r>
              <w:rPr>
                <w:rFonts w:hint="eastAsia" w:ascii="宋体" w:hAnsi="宋体" w:eastAsia="宋体" w:cs="Arial"/>
                <w:kern w:val="0"/>
                <w:sz w:val="22"/>
              </w:rPr>
              <w:t>（1）宣布开标纪律；</w:t>
            </w:r>
          </w:p>
          <w:p>
            <w:pPr>
              <w:rPr>
                <w:rFonts w:ascii="宋体" w:hAnsi="宋体" w:eastAsia="宋体" w:cs="Arial"/>
                <w:kern w:val="0"/>
                <w:sz w:val="22"/>
              </w:rPr>
            </w:pPr>
            <w:r>
              <w:rPr>
                <w:rFonts w:hint="eastAsia" w:ascii="宋体" w:hAnsi="宋体" w:eastAsia="宋体" w:cs="Arial"/>
                <w:kern w:val="0"/>
                <w:sz w:val="22"/>
              </w:rPr>
              <w:t>（2）公布在投标截止时间前递交投标文件的投标供应商名称，并点名确认投标供应商是否派授权代表到场；</w:t>
            </w:r>
          </w:p>
          <w:p>
            <w:pPr>
              <w:rPr>
                <w:rFonts w:ascii="宋体" w:hAnsi="宋体" w:eastAsia="宋体" w:cs="Arial"/>
                <w:kern w:val="0"/>
                <w:sz w:val="22"/>
              </w:rPr>
            </w:pPr>
            <w:r>
              <w:rPr>
                <w:rFonts w:hint="eastAsia" w:ascii="宋体" w:hAnsi="宋体" w:eastAsia="宋体" w:cs="Arial"/>
                <w:kern w:val="0"/>
                <w:sz w:val="22"/>
              </w:rPr>
              <w:t>（3）宣布唱标人、记录人、监督人员等有关人员姓名；</w:t>
            </w:r>
          </w:p>
          <w:p>
            <w:pPr>
              <w:rPr>
                <w:rFonts w:ascii="宋体" w:hAnsi="宋体" w:eastAsia="宋体" w:cs="Arial"/>
                <w:kern w:val="0"/>
                <w:sz w:val="22"/>
              </w:rPr>
            </w:pPr>
            <w:r>
              <w:rPr>
                <w:rFonts w:hint="eastAsia" w:ascii="宋体" w:hAnsi="宋体" w:eastAsia="宋体" w:cs="Arial"/>
                <w:kern w:val="0"/>
                <w:sz w:val="22"/>
              </w:rPr>
              <w:t>（4）密封情况检查：由投标供应商或其推选的代表检查投标文件密封情况；</w:t>
            </w:r>
          </w:p>
          <w:p>
            <w:pPr>
              <w:rPr>
                <w:rFonts w:ascii="宋体" w:hAnsi="宋体" w:eastAsia="宋体" w:cs="Arial"/>
                <w:kern w:val="0"/>
                <w:sz w:val="22"/>
              </w:rPr>
            </w:pPr>
            <w:r>
              <w:rPr>
                <w:rFonts w:hint="eastAsia" w:ascii="宋体" w:hAnsi="宋体" w:eastAsia="宋体" w:cs="Arial"/>
                <w:kern w:val="0"/>
                <w:sz w:val="22"/>
              </w:rPr>
              <w:t>（5）开标顺序：投标供应商送达投标文件的逆序；先开启技术资信部分投标文件，评审结束后，宣布采购预算，再开启报价文件；</w:t>
            </w:r>
          </w:p>
          <w:p>
            <w:pPr>
              <w:rPr>
                <w:rFonts w:ascii="宋体" w:hAnsi="宋体" w:eastAsia="宋体" w:cs="Arial"/>
                <w:kern w:val="0"/>
                <w:sz w:val="22"/>
              </w:rPr>
            </w:pPr>
            <w:r>
              <w:rPr>
                <w:rFonts w:hint="eastAsia" w:ascii="宋体" w:hAnsi="宋体" w:eastAsia="宋体" w:cs="Arial"/>
                <w:kern w:val="0"/>
                <w:sz w:val="22"/>
              </w:rPr>
              <w:t>（6）确认开标结果：</w:t>
            </w:r>
            <w:r>
              <w:rPr>
                <w:rFonts w:ascii="宋体" w:hAnsi="宋体" w:eastAsia="宋体" w:cs="Arial"/>
                <w:kern w:val="0"/>
                <w:sz w:val="22"/>
              </w:rPr>
              <w:t>投标供应商</w:t>
            </w:r>
            <w:r>
              <w:rPr>
                <w:rFonts w:hint="eastAsia" w:ascii="宋体" w:hAnsi="宋体" w:eastAsia="宋体" w:cs="Arial"/>
                <w:kern w:val="0"/>
                <w:sz w:val="22"/>
              </w:rPr>
              <w:t>授权</w:t>
            </w:r>
            <w:r>
              <w:rPr>
                <w:rFonts w:ascii="宋体" w:hAnsi="宋体" w:eastAsia="宋体" w:cs="Arial"/>
                <w:kern w:val="0"/>
                <w:sz w:val="22"/>
              </w:rPr>
              <w:t>代表对开标记录进行当场校核及勘误，并签字确认；并同时由记录人、监督人当场签字确认</w:t>
            </w:r>
            <w:r>
              <w:rPr>
                <w:rFonts w:hint="eastAsia" w:ascii="宋体" w:hAnsi="宋体" w:eastAsia="宋体" w:cs="Arial"/>
                <w:kern w:val="0"/>
                <w:sz w:val="22"/>
              </w:rPr>
              <w:t>。</w:t>
            </w:r>
          </w:p>
          <w:p>
            <w:pPr>
              <w:rPr>
                <w:rFonts w:ascii="宋体" w:hAnsi="宋体" w:eastAsia="宋体" w:cs="Arial"/>
                <w:kern w:val="0"/>
                <w:sz w:val="22"/>
              </w:rPr>
            </w:pPr>
            <w:r>
              <w:rPr>
                <w:rFonts w:hint="eastAsia" w:ascii="宋体" w:hAnsi="宋体" w:eastAsia="宋体" w:cs="Arial"/>
                <w:kern w:val="0"/>
                <w:sz w:val="22"/>
              </w:rPr>
              <w:t>（7</w:t>
            </w:r>
            <w:r>
              <w:rPr>
                <w:rFonts w:ascii="宋体" w:hAnsi="宋体" w:eastAsia="宋体" w:cs="Arial"/>
                <w:kern w:val="0"/>
                <w:sz w:val="22"/>
              </w:rPr>
              <w:t>）</w:t>
            </w:r>
            <w:r>
              <w:rPr>
                <w:rFonts w:hint="eastAsia" w:ascii="宋体" w:hAnsi="宋体" w:eastAsia="宋体" w:cs="Arial"/>
                <w:kern w:val="0"/>
                <w:sz w:val="22"/>
              </w:rPr>
              <w:t>宣布开标结束。</w:t>
            </w:r>
          </w:p>
          <w:p>
            <w:pPr>
              <w:rPr>
                <w:rFonts w:ascii="宋体" w:hAnsi="宋体" w:eastAsia="宋体" w:cs="Arial"/>
                <w:kern w:val="0"/>
                <w:sz w:val="22"/>
              </w:rPr>
            </w:pPr>
            <w:r>
              <w:rPr>
                <w:rFonts w:hint="eastAsia" w:ascii="宋体" w:hAnsi="宋体" w:eastAsia="宋体" w:cs="Arial"/>
                <w:kern w:val="0"/>
                <w:sz w:val="22"/>
              </w:rPr>
              <w:t>（8）</w:t>
            </w:r>
            <w:r>
              <w:rPr>
                <w:rFonts w:ascii="宋体" w:hAnsi="宋体" w:eastAsia="宋体" w:cs="Arial"/>
                <w:kern w:val="0"/>
                <w:sz w:val="22"/>
              </w:rPr>
              <w:t>投标供应商</w:t>
            </w:r>
            <w:r>
              <w:rPr>
                <w:rFonts w:hint="eastAsia" w:ascii="宋体" w:hAnsi="宋体" w:eastAsia="宋体" w:cs="Arial"/>
                <w:kern w:val="0"/>
                <w:sz w:val="22"/>
              </w:rPr>
              <w:t>授权</w:t>
            </w:r>
            <w:r>
              <w:rPr>
                <w:rFonts w:ascii="宋体" w:hAnsi="宋体" w:eastAsia="宋体" w:cs="Arial"/>
                <w:kern w:val="0"/>
                <w:sz w:val="22"/>
              </w:rPr>
              <w:t>代表</w:t>
            </w:r>
            <w:r>
              <w:rPr>
                <w:rFonts w:hint="eastAsia" w:ascii="宋体" w:hAnsi="宋体" w:eastAsia="宋体" w:cs="Arial"/>
                <w:kern w:val="0"/>
                <w:sz w:val="22"/>
              </w:rPr>
              <w:t>未参加开标会议；</w:t>
            </w:r>
            <w:r>
              <w:rPr>
                <w:rFonts w:ascii="宋体" w:hAnsi="宋体" w:eastAsia="宋体" w:cs="Arial"/>
                <w:kern w:val="0"/>
                <w:sz w:val="22"/>
              </w:rPr>
              <w:t>未到场签字确认的，不影响</w:t>
            </w:r>
            <w:r>
              <w:rPr>
                <w:rFonts w:hint="eastAsia" w:ascii="宋体" w:hAnsi="宋体" w:eastAsia="宋体" w:cs="Arial"/>
                <w:kern w:val="0"/>
                <w:sz w:val="22"/>
              </w:rPr>
              <w:t>开标，</w:t>
            </w:r>
            <w:r>
              <w:rPr>
                <w:rFonts w:ascii="宋体" w:hAnsi="宋体" w:eastAsia="宋体" w:cs="Arial"/>
                <w:kern w:val="0"/>
                <w:sz w:val="22"/>
              </w:rPr>
              <w:t>评标过程</w:t>
            </w:r>
            <w:r>
              <w:rPr>
                <w:rFonts w:hint="eastAsia" w:ascii="宋体" w:hAnsi="宋体" w:eastAsia="宋体" w:cs="Arial"/>
                <w:kern w:val="0"/>
                <w:sz w:val="22"/>
              </w:rPr>
              <w:t>，视同认可开标结果；</w:t>
            </w:r>
            <w:r>
              <w:rPr>
                <w:rFonts w:hint="eastAsia" w:ascii="宋体" w:hAnsi="宋体" w:eastAsia="宋体" w:cs="Times New Roman"/>
                <w:kern w:val="0"/>
                <w:sz w:val="22"/>
              </w:rPr>
              <w:t>事后不得对采购相关人员、开标过程和开标结果提出异议。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824"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hint="eastAsia" w:ascii="宋体" w:hAnsi="宋体" w:eastAsia="宋体" w:cs="Arial"/>
                <w:kern w:val="0"/>
                <w:sz w:val="22"/>
              </w:rPr>
              <w:t>评审委员会的</w:t>
            </w:r>
          </w:p>
          <w:p>
            <w:pPr>
              <w:jc w:val="center"/>
              <w:rPr>
                <w:rFonts w:ascii="宋体" w:hAnsi="宋体" w:eastAsia="宋体" w:cs="Arial"/>
                <w:kern w:val="0"/>
                <w:sz w:val="22"/>
              </w:rPr>
            </w:pPr>
            <w:r>
              <w:rPr>
                <w:rFonts w:hint="eastAsia" w:ascii="宋体" w:hAnsi="宋体" w:eastAsia="宋体" w:cs="Arial"/>
                <w:kern w:val="0"/>
                <w:sz w:val="22"/>
              </w:rPr>
              <w:t>组建</w:t>
            </w:r>
          </w:p>
        </w:tc>
        <w:tc>
          <w:tcPr>
            <w:tcW w:w="7776" w:type="dxa"/>
            <w:vAlign w:val="center"/>
          </w:tcPr>
          <w:p>
            <w:pPr>
              <w:rPr>
                <w:rFonts w:ascii="宋体" w:hAnsi="宋体" w:eastAsia="宋体" w:cs="Arial"/>
                <w:kern w:val="0"/>
                <w:sz w:val="22"/>
              </w:rPr>
            </w:pPr>
            <w:r>
              <w:rPr>
                <w:rFonts w:hint="eastAsia" w:ascii="宋体" w:hAnsi="宋体" w:eastAsia="宋体" w:cs="Arial"/>
                <w:kern w:val="0"/>
                <w:sz w:val="22"/>
              </w:rPr>
              <w:t>评审委员会构成： 由采购人代表以及有关技术、经济等方面的专家组成，成员为5人及以上单数，其中技术、经济类专家不得少于总人数的2/3；评标专家确定方式：按相关规定从专家库中抽取。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824"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adjustRightInd w:val="0"/>
              <w:jc w:val="center"/>
              <w:rPr>
                <w:rFonts w:ascii="宋体" w:hAnsi="宋体" w:eastAsia="宋体" w:cs="Times New Roman"/>
                <w:kern w:val="0"/>
                <w:sz w:val="22"/>
              </w:rPr>
            </w:pPr>
            <w:r>
              <w:rPr>
                <w:rFonts w:ascii="宋体" w:hAnsi="宋体" w:eastAsia="宋体" w:cs="Times New Roman"/>
                <w:kern w:val="0"/>
                <w:sz w:val="22"/>
              </w:rPr>
              <w:t>政府采购</w:t>
            </w:r>
          </w:p>
          <w:p>
            <w:pPr>
              <w:adjustRightInd w:val="0"/>
              <w:jc w:val="center"/>
              <w:rPr>
                <w:rFonts w:ascii="宋体" w:hAnsi="宋体" w:eastAsia="宋体" w:cs="Times New Roman"/>
                <w:kern w:val="0"/>
                <w:sz w:val="22"/>
              </w:rPr>
            </w:pPr>
            <w:r>
              <w:rPr>
                <w:rFonts w:hint="eastAsia" w:ascii="宋体" w:hAnsi="宋体" w:eastAsia="宋体" w:cs="Times New Roman"/>
                <w:kern w:val="0"/>
                <w:sz w:val="22"/>
              </w:rPr>
              <w:t>扶持</w:t>
            </w:r>
            <w:r>
              <w:rPr>
                <w:rFonts w:ascii="宋体" w:hAnsi="宋体" w:eastAsia="宋体" w:cs="Times New Roman"/>
                <w:kern w:val="0"/>
                <w:sz w:val="22"/>
              </w:rPr>
              <w:t>政策</w:t>
            </w:r>
          </w:p>
        </w:tc>
        <w:tc>
          <w:tcPr>
            <w:tcW w:w="7776" w:type="dxa"/>
            <w:vAlign w:val="center"/>
          </w:tcPr>
          <w:p>
            <w:pPr>
              <w:rPr>
                <w:rFonts w:ascii="宋体" w:hAnsi="宋体" w:eastAsia="宋体" w:cs="Arial"/>
                <w:kern w:val="0"/>
                <w:sz w:val="22"/>
              </w:rPr>
            </w:pPr>
            <w:r>
              <w:rPr>
                <w:rFonts w:hint="eastAsia" w:ascii="宋体" w:hAnsi="宋体" w:eastAsia="宋体" w:cs="Times New Roman"/>
                <w:kern w:val="0"/>
                <w:sz w:val="22"/>
              </w:rPr>
              <w:t>1、</w:t>
            </w:r>
            <w:r>
              <w:rPr>
                <w:rFonts w:hint="eastAsia" w:ascii="宋体" w:hAnsi="宋体" w:eastAsia="宋体" w:cs="Arial"/>
                <w:kern w:val="0"/>
                <w:sz w:val="22"/>
              </w:rPr>
              <w:t>对符合财政扶持政策的小微企业（或监狱企业、或残疾人福利性单位）给予评标价格折扣。供应商企业属于以上多种性质的，</w:t>
            </w:r>
            <w:r>
              <w:rPr>
                <w:rFonts w:ascii="宋体" w:hAnsi="宋体" w:eastAsia="宋体" w:cs="Arial"/>
                <w:kern w:val="0"/>
                <w:sz w:val="22"/>
              </w:rPr>
              <w:t>不重复享受</w:t>
            </w:r>
            <w:r>
              <w:rPr>
                <w:rFonts w:hint="eastAsia" w:ascii="宋体" w:hAnsi="宋体" w:eastAsia="宋体" w:cs="Arial"/>
                <w:kern w:val="0"/>
                <w:sz w:val="22"/>
              </w:rPr>
              <w:t>扶持</w:t>
            </w:r>
            <w:r>
              <w:rPr>
                <w:rFonts w:ascii="宋体" w:hAnsi="宋体" w:eastAsia="宋体" w:cs="Arial"/>
                <w:kern w:val="0"/>
                <w:sz w:val="22"/>
              </w:rPr>
              <w:t>政策</w:t>
            </w:r>
            <w:r>
              <w:rPr>
                <w:rFonts w:hint="eastAsia" w:ascii="宋体" w:hAnsi="宋体" w:eastAsia="宋体" w:cs="Arial"/>
                <w:kern w:val="0"/>
                <w:sz w:val="22"/>
              </w:rPr>
              <w:t>。</w:t>
            </w:r>
          </w:p>
          <w:p>
            <w:pPr>
              <w:rPr>
                <w:rFonts w:ascii="宋体" w:hAnsi="宋体" w:eastAsia="宋体" w:cs="Times New Roman"/>
                <w:kern w:val="0"/>
                <w:sz w:val="22"/>
              </w:rPr>
            </w:pPr>
            <w:r>
              <w:rPr>
                <w:rFonts w:ascii="宋体" w:hAnsi="宋体" w:eastAsia="宋体" w:cs="Arial"/>
                <w:kern w:val="0"/>
                <w:sz w:val="22"/>
              </w:rPr>
              <w:t>2</w:t>
            </w:r>
            <w:r>
              <w:rPr>
                <w:rFonts w:hint="eastAsia" w:ascii="宋体" w:hAnsi="宋体" w:eastAsia="宋体" w:cs="Arial"/>
                <w:kern w:val="0"/>
                <w:sz w:val="22"/>
              </w:rPr>
              <w:t>、对节能、环保产品优先采购。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217"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rPr>
                <w:rFonts w:ascii="宋体" w:hAnsi="宋体" w:eastAsia="宋体" w:cs="Arial"/>
                <w:kern w:val="0"/>
                <w:sz w:val="22"/>
              </w:rPr>
            </w:pPr>
            <w:r>
              <w:rPr>
                <w:rFonts w:hint="eastAsia" w:ascii="宋体" w:hAnsi="宋体" w:eastAsia="宋体" w:cs="Arial"/>
                <w:kern w:val="0"/>
                <w:sz w:val="22"/>
              </w:rPr>
              <w:t>供应商信用查询</w:t>
            </w:r>
          </w:p>
        </w:tc>
        <w:tc>
          <w:tcPr>
            <w:tcW w:w="7776" w:type="dxa"/>
            <w:vAlign w:val="center"/>
          </w:tcPr>
          <w:p>
            <w:pPr>
              <w:rPr>
                <w:rFonts w:ascii="宋体" w:hAnsi="宋体" w:eastAsia="宋体" w:cs="Times New Roman"/>
                <w:color w:val="000000"/>
                <w:sz w:val="22"/>
                <w:szCs w:val="24"/>
              </w:rPr>
            </w:pPr>
            <w:r>
              <w:rPr>
                <w:rFonts w:hint="eastAsia" w:ascii="宋体" w:hAnsi="宋体" w:eastAsia="宋体" w:cs="Times New Roman"/>
                <w:color w:val="000000"/>
                <w:sz w:val="22"/>
                <w:szCs w:val="24"/>
              </w:rPr>
              <w:t>1、投标供应商信用信息查询的查询渠道：“信用中国”(</w:t>
            </w:r>
            <w:r>
              <w:fldChar w:fldCharType="begin"/>
            </w:r>
            <w:r>
              <w:instrText xml:space="preserve"> HYPERLINK "http://www.creditchina.gov.cn" </w:instrText>
            </w:r>
            <w:r>
              <w:fldChar w:fldCharType="separate"/>
            </w:r>
            <w:r>
              <w:rPr>
                <w:rFonts w:hint="eastAsia" w:ascii="宋体" w:hAnsi="宋体" w:eastAsia="宋体" w:cs="Times New Roman"/>
                <w:color w:val="000000"/>
                <w:sz w:val="22"/>
                <w:szCs w:val="24"/>
              </w:rPr>
              <w:t>www.creditchina.gov.cn</w:t>
            </w:r>
            <w:r>
              <w:rPr>
                <w:rFonts w:hint="eastAsia" w:ascii="宋体" w:hAnsi="宋体" w:eastAsia="宋体" w:cs="Times New Roman"/>
                <w:color w:val="000000"/>
                <w:sz w:val="22"/>
                <w:szCs w:val="24"/>
              </w:rPr>
              <w:fldChar w:fldCharType="end"/>
            </w:r>
            <w:r>
              <w:rPr>
                <w:rFonts w:hint="eastAsia" w:ascii="宋体" w:hAnsi="宋体" w:eastAsia="宋体" w:cs="Times New Roman"/>
                <w:color w:val="000000"/>
                <w:sz w:val="22"/>
                <w:szCs w:val="24"/>
              </w:rPr>
              <w:t>)；“中国政府采购网”（http://www.ccgp.gov.cn/）；“浙江省政府采购网”（</w:t>
            </w:r>
            <w:r>
              <w:rPr>
                <w:rFonts w:ascii="宋体" w:hAnsi="宋体" w:eastAsia="宋体" w:cs="Times New Roman"/>
                <w:color w:val="000000"/>
                <w:sz w:val="22"/>
                <w:szCs w:val="24"/>
              </w:rPr>
              <w:t>http://www.zjzfcg.gov.cn/</w:t>
            </w:r>
            <w:r>
              <w:rPr>
                <w:rFonts w:hint="eastAsia" w:ascii="宋体" w:hAnsi="宋体" w:eastAsia="宋体" w:cs="Times New Roman"/>
                <w:color w:val="000000"/>
                <w:sz w:val="22"/>
                <w:szCs w:val="24"/>
              </w:rPr>
              <w:t>）曝光台中曝光处在禁止参加政府采购活动有效期内的；</w:t>
            </w:r>
          </w:p>
          <w:p>
            <w:pPr>
              <w:rPr>
                <w:rFonts w:ascii="宋体" w:hAnsi="宋体" w:eastAsia="宋体" w:cs="Times New Roman"/>
                <w:color w:val="000000"/>
                <w:sz w:val="22"/>
                <w:szCs w:val="24"/>
              </w:rPr>
            </w:pPr>
            <w:r>
              <w:rPr>
                <w:rFonts w:hint="eastAsia" w:ascii="宋体" w:hAnsi="宋体" w:eastAsia="宋体" w:cs="Times New Roman"/>
                <w:color w:val="000000"/>
                <w:sz w:val="22"/>
                <w:szCs w:val="24"/>
              </w:rPr>
              <w:t>2、投标供应商信用信息查询截止时点：本项目投标截止时间。</w:t>
            </w:r>
          </w:p>
          <w:p>
            <w:pPr>
              <w:rPr>
                <w:rFonts w:ascii="宋体" w:hAnsi="宋体" w:eastAsia="宋体" w:cs="Times New Roman"/>
                <w:color w:val="000000"/>
                <w:sz w:val="22"/>
                <w:szCs w:val="24"/>
              </w:rPr>
            </w:pPr>
            <w:r>
              <w:rPr>
                <w:rFonts w:hint="eastAsia" w:ascii="宋体" w:hAnsi="宋体" w:eastAsia="宋体" w:cs="Times New Roman"/>
                <w:color w:val="000000"/>
                <w:sz w:val="22"/>
                <w:szCs w:val="24"/>
              </w:rPr>
              <w:t>3、投标供应商信用信息查询记录和证据留存的具体方式：网页截图打印；</w:t>
            </w:r>
          </w:p>
          <w:p>
            <w:pPr>
              <w:rPr>
                <w:rFonts w:ascii="宋体" w:hAnsi="宋体" w:eastAsia="宋体" w:cs="Arial"/>
                <w:kern w:val="0"/>
                <w:sz w:val="22"/>
              </w:rPr>
            </w:pPr>
            <w:r>
              <w:rPr>
                <w:rFonts w:hint="eastAsia" w:ascii="宋体" w:hAnsi="宋体" w:eastAsia="宋体" w:cs="Times New Roman"/>
                <w:color w:val="000000"/>
                <w:sz w:val="22"/>
                <w:szCs w:val="24"/>
              </w:rPr>
              <w:t>4、信用信息的使用规则：对列入失信被执行人、重大税收违法案件当事人名单、政府采购严重违法失信行为记录名单及其他不符合《中华人民共和国政府采购法》第二十二规定条件的供应商，其投标做无效投标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824"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hint="eastAsia" w:ascii="宋体" w:hAnsi="宋体" w:eastAsia="宋体" w:cs="Arial"/>
                <w:kern w:val="0"/>
                <w:sz w:val="22"/>
              </w:rPr>
              <w:t>合同备案</w:t>
            </w:r>
          </w:p>
        </w:tc>
        <w:tc>
          <w:tcPr>
            <w:tcW w:w="7776" w:type="dxa"/>
            <w:vAlign w:val="center"/>
          </w:tcPr>
          <w:p>
            <w:pPr>
              <w:rPr>
                <w:rFonts w:ascii="宋体" w:hAnsi="宋体" w:eastAsia="宋体" w:cs="Arial"/>
                <w:kern w:val="0"/>
                <w:sz w:val="22"/>
              </w:rPr>
            </w:pPr>
            <w:r>
              <w:rPr>
                <w:rFonts w:hint="eastAsia" w:ascii="宋体" w:hAnsi="宋体" w:eastAsia="宋体" w:cs="Arial"/>
                <w:kern w:val="0"/>
                <w:sz w:val="22"/>
              </w:rPr>
              <w:t>1、中标供应商须在发出中标通知书之日起30日历天内与采购人签订合同。</w:t>
            </w:r>
          </w:p>
          <w:p>
            <w:pPr>
              <w:rPr>
                <w:rFonts w:ascii="宋体" w:hAnsi="宋体" w:eastAsia="宋体" w:cs="Arial"/>
                <w:kern w:val="0"/>
                <w:sz w:val="22"/>
              </w:rPr>
            </w:pPr>
            <w:r>
              <w:rPr>
                <w:rFonts w:hint="eastAsia" w:ascii="宋体" w:hAnsi="宋体" w:eastAsia="宋体" w:cs="Arial"/>
                <w:kern w:val="0"/>
                <w:sz w:val="22"/>
              </w:rPr>
              <w:t>2、中标供应商与采购人签订合同后，</w:t>
            </w:r>
            <w:r>
              <w:rPr>
                <w:rFonts w:ascii="宋体" w:hAnsi="宋体" w:eastAsia="宋体" w:cs="Arial"/>
                <w:kern w:val="0"/>
                <w:sz w:val="22"/>
              </w:rPr>
              <w:t>2</w:t>
            </w:r>
            <w:r>
              <w:rPr>
                <w:rFonts w:hint="eastAsia" w:ascii="宋体" w:hAnsi="宋体" w:eastAsia="宋体" w:cs="Arial"/>
                <w:kern w:val="0"/>
                <w:sz w:val="22"/>
              </w:rPr>
              <w:t>日历天内将合同原件交</w:t>
            </w:r>
            <w:r>
              <w:rPr>
                <w:rFonts w:hint="eastAsia" w:ascii="宋体" w:hAnsi="宋体" w:eastAsia="宋体" w:cs="Arial"/>
                <w:kern w:val="0"/>
                <w:sz w:val="22"/>
                <w:lang w:eastAsia="zh-CN"/>
              </w:rPr>
              <w:t>浙江永信工程咨询有限公司</w:t>
            </w:r>
            <w:r>
              <w:rPr>
                <w:rFonts w:hint="eastAsia" w:ascii="宋体" w:hAnsi="宋体" w:eastAsia="宋体" w:cs="Arial"/>
                <w:kern w:val="0"/>
                <w:sz w:val="22"/>
              </w:rPr>
              <w:t>备案。合同原件扫描件电子版发给</w:t>
            </w:r>
            <w:r>
              <w:rPr>
                <w:rFonts w:hint="eastAsia" w:ascii="宋体" w:hAnsi="宋体" w:eastAsia="宋体" w:cs="Arial"/>
                <w:kern w:val="0"/>
                <w:sz w:val="22"/>
                <w:lang w:eastAsia="zh-CN"/>
              </w:rPr>
              <w:t>浙江永信工程咨询有限公司</w:t>
            </w:r>
            <w:r>
              <w:rPr>
                <w:rFonts w:hint="eastAsia" w:ascii="宋体" w:hAnsi="宋体" w:eastAsia="宋体" w:cs="Arial"/>
                <w:kern w:val="0"/>
                <w:sz w:val="22"/>
              </w:rPr>
              <w:t>：邮箱：</w:t>
            </w:r>
            <w:r>
              <w:fldChar w:fldCharType="begin"/>
            </w:r>
            <w:r>
              <w:instrText xml:space="preserve"> HYPERLINK "mailto:618284@qq.com" </w:instrText>
            </w:r>
            <w:r>
              <w:fldChar w:fldCharType="separate"/>
            </w:r>
            <w:r>
              <w:rPr>
                <w:rFonts w:hint="eastAsia" w:ascii="宋体" w:hAnsi="宋体" w:eastAsia="宋体" w:cs="Arial"/>
                <w:color w:val="0000FF"/>
                <w:kern w:val="0"/>
                <w:sz w:val="22"/>
                <w:u w:val="single"/>
                <w:lang w:val="en-US" w:eastAsia="zh-CN"/>
              </w:rPr>
              <w:t>54418837</w:t>
            </w:r>
            <w:r>
              <w:rPr>
                <w:rFonts w:hint="eastAsia" w:ascii="宋体" w:hAnsi="宋体" w:eastAsia="宋体" w:cs="Arial"/>
                <w:color w:val="0000FF"/>
                <w:kern w:val="0"/>
                <w:sz w:val="22"/>
                <w:u w:val="single"/>
              </w:rPr>
              <w:t>@qq.com</w:t>
            </w:r>
            <w:r>
              <w:rPr>
                <w:rFonts w:hint="eastAsia" w:ascii="宋体" w:hAnsi="宋体" w:eastAsia="宋体" w:cs="Arial"/>
                <w:color w:val="0000FF"/>
                <w:kern w:val="0"/>
                <w:sz w:val="22"/>
                <w:u w:val="single"/>
              </w:rPr>
              <w:fldChar w:fldCharType="end"/>
            </w:r>
            <w:r>
              <w:rPr>
                <w:rFonts w:hint="eastAsia" w:ascii="宋体" w:hAnsi="宋体" w:eastAsia="宋体" w:cs="Arial"/>
                <w:kern w:val="0"/>
                <w:sz w:val="22"/>
              </w:rPr>
              <w:t>；</w:t>
            </w:r>
          </w:p>
          <w:p>
            <w:pPr>
              <w:rPr>
                <w:rFonts w:ascii="宋体" w:hAnsi="宋体" w:eastAsia="宋体" w:cs="Arial"/>
                <w:kern w:val="0"/>
                <w:sz w:val="22"/>
              </w:rPr>
            </w:pPr>
            <w:r>
              <w:rPr>
                <w:rFonts w:hint="eastAsia" w:ascii="宋体" w:hAnsi="宋体" w:eastAsia="宋体" w:cs="Arial"/>
                <w:kern w:val="0"/>
                <w:sz w:val="22"/>
              </w:rPr>
              <w:t>3、本项目政府采购合同按规定在</w:t>
            </w:r>
            <w:r>
              <w:rPr>
                <w:rFonts w:hint="eastAsia" w:ascii="宋体" w:hAnsi="宋体" w:eastAsia="宋体" w:cs="Times New Roman"/>
                <w:kern w:val="0"/>
                <w:sz w:val="22"/>
              </w:rPr>
              <w:t>浙江政府采购网（</w:t>
            </w:r>
            <w:r>
              <w:rPr>
                <w:rFonts w:ascii="宋体" w:hAnsi="宋体" w:eastAsia="宋体" w:cs="Times New Roman"/>
                <w:kern w:val="0"/>
                <w:sz w:val="22"/>
              </w:rPr>
              <w:t>http://www.zjzfcg.gov.cn</w:t>
            </w:r>
            <w:r>
              <w:rPr>
                <w:rFonts w:hint="eastAsia" w:ascii="宋体" w:hAnsi="宋体" w:eastAsia="宋体" w:cs="Times New Roman"/>
                <w:kern w:val="0"/>
                <w:sz w:val="22"/>
              </w:rPr>
              <w:t>）</w:t>
            </w:r>
            <w:r>
              <w:rPr>
                <w:rFonts w:hint="eastAsia" w:ascii="宋体" w:hAnsi="宋体" w:eastAsia="宋体" w:cs="Arial"/>
                <w:kern w:val="0"/>
                <w:sz w:val="22"/>
              </w:rPr>
              <w:t>予以公告。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824"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Times New Roman"/>
                <w:kern w:val="0"/>
                <w:sz w:val="22"/>
              </w:rPr>
            </w:pPr>
            <w:r>
              <w:rPr>
                <w:rFonts w:hint="eastAsia" w:ascii="宋体" w:hAnsi="宋体" w:eastAsia="宋体" w:cs="Times New Roman"/>
                <w:kern w:val="0"/>
                <w:sz w:val="22"/>
              </w:rPr>
              <w:t>合同履约管理</w:t>
            </w:r>
          </w:p>
        </w:tc>
        <w:tc>
          <w:tcPr>
            <w:tcW w:w="7776" w:type="dxa"/>
            <w:vAlign w:val="center"/>
          </w:tcPr>
          <w:p>
            <w:pPr>
              <w:rPr>
                <w:rFonts w:ascii="宋体" w:hAnsi="宋体" w:eastAsia="宋体" w:cs="Arial"/>
                <w:kern w:val="0"/>
                <w:sz w:val="22"/>
              </w:rPr>
            </w:pPr>
            <w:r>
              <w:rPr>
                <w:rFonts w:hint="eastAsia" w:ascii="宋体" w:hAnsi="宋体" w:eastAsia="宋体" w:cs="Arial"/>
                <w:kern w:val="0"/>
                <w:sz w:val="22"/>
              </w:rPr>
              <w:t>合同签订后，采购人依法加强对合同履约进行管理，并在中标单位供货、项目验收等重要关节，如实填写《合同验收报告》（表附合同条款中），并及时向同级财政部门报告验收过程中遇到的问题。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824"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Times New Roman"/>
                <w:kern w:val="0"/>
                <w:sz w:val="22"/>
              </w:rPr>
            </w:pPr>
            <w:r>
              <w:rPr>
                <w:rFonts w:hint="eastAsia" w:ascii="宋体" w:hAnsi="宋体" w:eastAsia="宋体" w:cs="Times New Roman"/>
                <w:kern w:val="0"/>
                <w:sz w:val="22"/>
              </w:rPr>
              <w:t>免责声明</w:t>
            </w:r>
          </w:p>
        </w:tc>
        <w:tc>
          <w:tcPr>
            <w:tcW w:w="7776" w:type="dxa"/>
            <w:vAlign w:val="center"/>
          </w:tcPr>
          <w:p>
            <w:pPr>
              <w:rPr>
                <w:rFonts w:ascii="宋体" w:hAnsi="宋体" w:eastAsia="宋体" w:cs="Arial"/>
                <w:kern w:val="0"/>
                <w:sz w:val="22"/>
              </w:rPr>
            </w:pPr>
            <w:r>
              <w:rPr>
                <w:rFonts w:hint="eastAsia" w:ascii="宋体" w:hAnsi="宋体" w:eastAsia="宋体" w:cs="Arial"/>
                <w:kern w:val="0"/>
                <w:sz w:val="22"/>
              </w:rPr>
              <w:t>1、投标供应商自行承担投标过程中产生的费用。无论何种因素导致采购项目延期开标、废标（流标）、投标供应商未中标、项目终止采购的，采购人与代理机构均不承担供应商投标费用。</w:t>
            </w:r>
          </w:p>
          <w:p>
            <w:pPr>
              <w:rPr>
                <w:rFonts w:ascii="宋体" w:hAnsi="宋体" w:eastAsia="宋体" w:cs="Arial"/>
                <w:kern w:val="0"/>
                <w:sz w:val="22"/>
              </w:rPr>
            </w:pPr>
            <w:r>
              <w:rPr>
                <w:rFonts w:hint="eastAsia" w:ascii="宋体" w:hAnsi="宋体" w:eastAsia="宋体" w:cs="Arial"/>
                <w:kern w:val="0"/>
                <w:sz w:val="22"/>
              </w:rPr>
              <w:t>2、投标供应商在投标、合同履行过程中必须做好安全保障工作，不因项目实施而危及自身及第三方人员、财产安全。若发生任何安全事故，由中标供应商自行承担一切责任并赔偿损失。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824" w:hRule="atLeast"/>
          <w:jc w:val="center"/>
        </w:trPr>
        <w:tc>
          <w:tcPr>
            <w:tcW w:w="664" w:type="dxa"/>
            <w:vAlign w:val="center"/>
          </w:tcPr>
          <w:p>
            <w:pPr>
              <w:widowControl/>
              <w:numPr>
                <w:ilvl w:val="0"/>
                <w:numId w:val="1"/>
              </w:numPr>
              <w:tabs>
                <w:tab w:val="left" w:pos="420"/>
              </w:tabs>
              <w:ind w:left="420" w:hanging="420"/>
              <w:jc w:val="right"/>
              <w:rPr>
                <w:rFonts w:ascii="宋体" w:hAnsi="宋体" w:eastAsia="宋体" w:cs="Arial"/>
                <w:kern w:val="0"/>
                <w:sz w:val="22"/>
              </w:rPr>
            </w:pPr>
          </w:p>
        </w:tc>
        <w:tc>
          <w:tcPr>
            <w:tcW w:w="1731" w:type="dxa"/>
            <w:vAlign w:val="center"/>
          </w:tcPr>
          <w:p>
            <w:pPr>
              <w:jc w:val="center"/>
              <w:rPr>
                <w:rFonts w:ascii="宋体" w:hAnsi="宋体" w:eastAsia="宋体" w:cs="Arial"/>
                <w:kern w:val="0"/>
                <w:sz w:val="22"/>
              </w:rPr>
            </w:pPr>
            <w:r>
              <w:rPr>
                <w:rFonts w:ascii="宋体" w:hAnsi="宋体" w:eastAsia="宋体" w:cs="Arial"/>
                <w:kern w:val="0"/>
                <w:sz w:val="22"/>
              </w:rPr>
              <w:t>解释</w:t>
            </w:r>
            <w:r>
              <w:rPr>
                <w:rFonts w:hint="eastAsia" w:ascii="宋体" w:hAnsi="宋体" w:eastAsia="宋体" w:cs="Arial"/>
                <w:kern w:val="0"/>
                <w:sz w:val="22"/>
              </w:rPr>
              <w:t>权</w:t>
            </w:r>
          </w:p>
        </w:tc>
        <w:tc>
          <w:tcPr>
            <w:tcW w:w="7776" w:type="dxa"/>
            <w:vAlign w:val="center"/>
          </w:tcPr>
          <w:p>
            <w:pPr>
              <w:rPr>
                <w:rFonts w:ascii="宋体" w:hAnsi="宋体" w:eastAsia="宋体" w:cs="Arial"/>
                <w:kern w:val="0"/>
                <w:sz w:val="22"/>
              </w:rPr>
            </w:pPr>
            <w:r>
              <w:rPr>
                <w:rFonts w:ascii="宋体" w:hAnsi="宋体" w:eastAsia="宋体" w:cs="Arial"/>
                <w:kern w:val="0"/>
                <w:sz w:val="22"/>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供应商须知、评标办法、投标文件格式的先后顺序解释；同一文件中就同一事项的约定不一致的，以逻辑顺序在后者为准；同一文件不同版本之间有不一致的，以形成时间在后者为准。按本款前述约定仍不能形成结论的，由</w:t>
            </w:r>
            <w:r>
              <w:rPr>
                <w:rFonts w:hint="eastAsia" w:ascii="宋体" w:hAnsi="宋体" w:eastAsia="宋体" w:cs="Arial"/>
                <w:kern w:val="0"/>
                <w:sz w:val="22"/>
              </w:rPr>
              <w:t>采购人</w:t>
            </w:r>
            <w:r>
              <w:rPr>
                <w:rFonts w:ascii="宋体" w:hAnsi="宋体" w:eastAsia="宋体" w:cs="Arial"/>
                <w:kern w:val="0"/>
                <w:sz w:val="22"/>
              </w:rPr>
              <w:t>负责解释</w:t>
            </w:r>
            <w:r>
              <w:rPr>
                <w:rFonts w:hint="eastAsia" w:ascii="宋体" w:hAnsi="宋体" w:eastAsia="宋体" w:cs="Arial"/>
                <w:kern w:val="0"/>
                <w:sz w:val="22"/>
              </w:rPr>
              <w:t>。</w:t>
            </w:r>
          </w:p>
        </w:tc>
      </w:tr>
    </w:tbl>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pStyle w:val="2"/>
      </w:pPr>
    </w:p>
    <w:p>
      <w:pPr>
        <w:rPr>
          <w:rFonts w:ascii="宋体" w:hAnsi="宋体" w:eastAsia="宋体" w:cs="Times New Roman"/>
          <w:b/>
          <w:kern w:val="0"/>
          <w:szCs w:val="20"/>
        </w:rPr>
      </w:pPr>
    </w:p>
    <w:p>
      <w:pPr>
        <w:rPr>
          <w:rFonts w:ascii="宋体" w:hAnsi="宋体" w:eastAsia="宋体" w:cs="Times New Roman"/>
          <w:b/>
          <w:kern w:val="0"/>
          <w:szCs w:val="20"/>
        </w:rPr>
      </w:pPr>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8"/>
          <w:szCs w:val="28"/>
        </w:rPr>
      </w:pPr>
      <w:bookmarkStart w:id="7" w:name="_Toc494407525"/>
      <w:r>
        <w:rPr>
          <w:rFonts w:hint="eastAsia" w:ascii="宋体" w:hAnsi="宋体" w:eastAsia="宋体" w:cs="Times New Roman"/>
          <w:b/>
          <w:kern w:val="0"/>
          <w:sz w:val="28"/>
          <w:szCs w:val="28"/>
        </w:rPr>
        <w:t>第二部分   招标内容及要求</w:t>
      </w:r>
      <w:bookmarkEnd w:id="7"/>
    </w:p>
    <w:p>
      <w:pPr>
        <w:autoSpaceDE w:val="0"/>
        <w:autoSpaceDN w:val="0"/>
        <w:adjustRightInd w:val="0"/>
        <w:snapToGrid w:val="0"/>
        <w:spacing w:line="360" w:lineRule="exact"/>
        <w:jc w:val="center"/>
        <w:rPr>
          <w:rFonts w:ascii="宋体" w:hAnsi="宋体" w:eastAsia="宋体" w:cs="Times New Roman"/>
          <w:kern w:val="0"/>
          <w:szCs w:val="20"/>
          <w:lang w:val="zh-CN"/>
        </w:rPr>
      </w:pPr>
    </w:p>
    <w:p>
      <w:pPr>
        <w:outlineLvl w:val="0"/>
        <w:rPr>
          <w:rFonts w:ascii="宋体" w:hAnsi="宋体" w:eastAsia="宋体" w:cs="Times New Roman"/>
          <w:b/>
          <w:kern w:val="0"/>
          <w:sz w:val="22"/>
        </w:rPr>
      </w:pPr>
      <w:bookmarkStart w:id="8" w:name="_Toc494407526"/>
      <w:bookmarkStart w:id="9" w:name="_Toc157410886"/>
      <w:r>
        <w:rPr>
          <w:rFonts w:hint="eastAsia" w:ascii="宋体" w:hAnsi="宋体" w:eastAsia="宋体" w:cs="Times New Roman"/>
          <w:b/>
          <w:kern w:val="0"/>
          <w:sz w:val="22"/>
        </w:rPr>
        <w:t>一、采购总说明</w:t>
      </w:r>
      <w:bookmarkEnd w:id="8"/>
    </w:p>
    <w:p>
      <w:pPr>
        <w:snapToGrid w:val="0"/>
        <w:spacing w:line="400" w:lineRule="exact"/>
        <w:ind w:firstLine="440" w:firstLineChars="200"/>
        <w:rPr>
          <w:rFonts w:ascii="宋体" w:hAnsi="宋体" w:eastAsia="宋体" w:cs="Times New Roman"/>
          <w:kern w:val="0"/>
          <w:sz w:val="22"/>
          <w:szCs w:val="20"/>
        </w:rPr>
      </w:pPr>
      <w:r>
        <w:rPr>
          <w:rFonts w:hint="eastAsia" w:ascii="宋体" w:hAnsi="宋体" w:eastAsia="宋体" w:cs="Times New Roman"/>
          <w:kern w:val="0"/>
          <w:sz w:val="22"/>
          <w:szCs w:val="20"/>
        </w:rPr>
        <w:t>经批准，</w:t>
      </w:r>
      <w:r>
        <w:rPr>
          <w:rFonts w:hint="eastAsia" w:ascii="宋体" w:hAnsi="宋体" w:eastAsia="宋体" w:cs="Times New Roman"/>
          <w:kern w:val="0"/>
          <w:sz w:val="22"/>
          <w:szCs w:val="20"/>
          <w:lang w:eastAsia="zh-CN"/>
        </w:rPr>
        <w:t>温州经济技术开发区文教体工作局</w:t>
      </w:r>
      <w:r>
        <w:rPr>
          <w:rFonts w:hint="eastAsia" w:ascii="宋体" w:hAnsi="宋体" w:eastAsia="宋体" w:cs="Times New Roman"/>
          <w:kern w:val="0"/>
          <w:sz w:val="22"/>
          <w:szCs w:val="20"/>
        </w:rPr>
        <w:t>对所需的</w:t>
      </w:r>
      <w:r>
        <w:rPr>
          <w:rFonts w:hint="eastAsia" w:ascii="宋体" w:hAnsi="宋体" w:eastAsia="宋体" w:cs="Times New Roman"/>
          <w:kern w:val="0"/>
          <w:sz w:val="22"/>
          <w:szCs w:val="20"/>
          <w:lang w:eastAsia="zh-CN"/>
        </w:rPr>
        <w:t>功能室设备</w:t>
      </w:r>
      <w:r>
        <w:rPr>
          <w:rFonts w:hint="eastAsia" w:ascii="宋体" w:hAnsi="宋体" w:eastAsia="宋体" w:cs="Times New Roman"/>
          <w:kern w:val="0"/>
          <w:sz w:val="22"/>
          <w:szCs w:val="20"/>
        </w:rPr>
        <w:t>进行公开招标采购。本次招标的资金已经落实。我们热情欢迎有关公司（企业）前来投标。</w:t>
      </w:r>
    </w:p>
    <w:p>
      <w:pPr>
        <w:spacing w:line="400" w:lineRule="exact"/>
        <w:outlineLvl w:val="0"/>
        <w:rPr>
          <w:rFonts w:ascii="宋体" w:hAnsi="宋体" w:eastAsia="宋体" w:cs="Times New Roman"/>
          <w:b/>
          <w:kern w:val="0"/>
          <w:sz w:val="22"/>
        </w:rPr>
      </w:pPr>
      <w:bookmarkStart w:id="10" w:name="_Toc494407527"/>
      <w:r>
        <w:rPr>
          <w:rFonts w:hint="eastAsia" w:ascii="宋体" w:hAnsi="宋体" w:eastAsia="宋体" w:cs="Times New Roman"/>
          <w:b/>
          <w:kern w:val="0"/>
          <w:sz w:val="22"/>
        </w:rPr>
        <w:t>二、总体技术要求</w:t>
      </w:r>
      <w:bookmarkEnd w:id="10"/>
    </w:p>
    <w:p>
      <w:pPr>
        <w:adjustRightInd w:val="0"/>
        <w:snapToGrid w:val="0"/>
        <w:spacing w:line="400" w:lineRule="exact"/>
        <w:ind w:firstLine="482"/>
        <w:rPr>
          <w:rFonts w:ascii="宋体" w:hAnsi="宋体" w:eastAsia="宋体" w:cs="Times New Roman"/>
          <w:kern w:val="0"/>
          <w:sz w:val="22"/>
        </w:rPr>
      </w:pPr>
      <w:r>
        <w:rPr>
          <w:rFonts w:hint="eastAsia" w:ascii="宋体" w:hAnsi="宋体" w:eastAsia="宋体" w:cs="Times New Roman"/>
          <w:kern w:val="0"/>
          <w:sz w:val="22"/>
        </w:rPr>
        <w:t>1、本技术规范要求提出的是最低限度的基本技术要求，并未对所有技术细节作出规定，供应商应提供符合本技术要求和国家标准、行业标准的优质产品。</w:t>
      </w:r>
    </w:p>
    <w:p>
      <w:pPr>
        <w:adjustRightInd w:val="0"/>
        <w:snapToGrid w:val="0"/>
        <w:spacing w:line="400" w:lineRule="exact"/>
        <w:ind w:firstLine="482"/>
        <w:rPr>
          <w:rFonts w:ascii="宋体" w:hAnsi="宋体" w:eastAsia="宋体" w:cs="Times New Roman"/>
          <w:kern w:val="0"/>
          <w:sz w:val="22"/>
        </w:rPr>
      </w:pPr>
      <w:r>
        <w:rPr>
          <w:rFonts w:hint="eastAsia" w:ascii="宋体" w:hAnsi="宋体" w:eastAsia="宋体" w:cs="Times New Roman"/>
          <w:kern w:val="0"/>
          <w:sz w:val="22"/>
        </w:rPr>
        <w:t>2、供应商产品与本技术要求不一致时，供应商应在投标文件中予以说明，并由评标委员会鉴定供应商产品能否达到要求。如供应商没有在投标文件中提出异议，则视为供应商提供的产品完全按照本招标文件要求。</w:t>
      </w:r>
    </w:p>
    <w:p>
      <w:pPr>
        <w:adjustRightInd w:val="0"/>
        <w:snapToGrid w:val="0"/>
        <w:spacing w:line="400" w:lineRule="exact"/>
        <w:ind w:firstLine="482"/>
        <w:rPr>
          <w:rFonts w:ascii="宋体" w:hAnsi="宋体" w:eastAsia="宋体" w:cs="Times New Roman"/>
          <w:kern w:val="0"/>
          <w:sz w:val="22"/>
        </w:rPr>
      </w:pPr>
      <w:r>
        <w:rPr>
          <w:rFonts w:hint="eastAsia" w:ascii="宋体" w:hAnsi="宋体" w:eastAsia="宋体" w:cs="Times New Roman"/>
          <w:kern w:val="0"/>
          <w:sz w:val="22"/>
        </w:rPr>
        <w:t>3、技术要求及标准的执行</w:t>
      </w:r>
    </w:p>
    <w:p>
      <w:pPr>
        <w:adjustRightInd w:val="0"/>
        <w:snapToGrid w:val="0"/>
        <w:spacing w:line="400" w:lineRule="exact"/>
        <w:ind w:firstLine="482"/>
        <w:rPr>
          <w:rFonts w:ascii="宋体" w:hAnsi="宋体" w:eastAsia="宋体" w:cs="Times New Roman"/>
          <w:kern w:val="0"/>
          <w:sz w:val="22"/>
          <w:szCs w:val="20"/>
        </w:rPr>
      </w:pPr>
      <w:r>
        <w:rPr>
          <w:rFonts w:hint="eastAsia" w:ascii="宋体" w:hAnsi="宋体" w:eastAsia="宋体" w:cs="Times New Roman"/>
          <w:kern w:val="0"/>
          <w:sz w:val="22"/>
        </w:rPr>
        <w:t>供应商提供的产品应标明所执行的质量标准，若同一标准已颁发新标准，则按最新标准执行。若同一产品同时有几个标准（国际标准、国家标准、行业标准、企业标准等），则按最高层次的标准执行。</w:t>
      </w:r>
      <w:r>
        <w:rPr>
          <w:rFonts w:hint="eastAsia" w:ascii="宋体" w:hAnsi="宋体" w:eastAsia="宋体" w:cs="Times New Roman"/>
          <w:kern w:val="0"/>
          <w:sz w:val="22"/>
          <w:szCs w:val="20"/>
        </w:rPr>
        <w:t>下述标准及规范要求有出入则以较严格者为准。</w:t>
      </w:r>
    </w:p>
    <w:p>
      <w:pPr>
        <w:adjustRightInd w:val="0"/>
        <w:snapToGrid w:val="0"/>
        <w:spacing w:line="400" w:lineRule="exact"/>
        <w:ind w:firstLine="482"/>
        <w:rPr>
          <w:rFonts w:ascii="宋体" w:hAnsi="宋体" w:eastAsia="宋体" w:cs="Times New Roman"/>
          <w:kern w:val="0"/>
          <w:sz w:val="22"/>
        </w:rPr>
      </w:pPr>
      <w:r>
        <w:rPr>
          <w:rFonts w:hint="eastAsia" w:ascii="宋体" w:hAnsi="宋体" w:eastAsia="宋体" w:cs="Times New Roman"/>
          <w:kern w:val="0"/>
          <w:sz w:val="22"/>
        </w:rPr>
        <w:t>4、供应商须按国家有关规定及标准完成本次采购产品的供货、运输、装卸、就位、安装、调试、技术培训、检验、通过有关部门验收、维保期服务、产品终身维修等各项工作，并保证投标产品使用的安全性能与检测结果的可靠性。如中标，中标供应商及制造商对中标产品使用的安全性能与可靠性负全部责任。</w:t>
      </w:r>
      <w:bookmarkEnd w:id="9"/>
    </w:p>
    <w:p>
      <w:pPr>
        <w:spacing w:line="360" w:lineRule="auto"/>
        <w:outlineLvl w:val="0"/>
        <w:rPr>
          <w:rFonts w:hint="eastAsia" w:ascii="宋体" w:hAnsi="宋体" w:eastAsia="宋体" w:cs="Times New Roman"/>
          <w:b/>
          <w:kern w:val="0"/>
          <w:sz w:val="22"/>
        </w:rPr>
      </w:pPr>
      <w:bookmarkStart w:id="11" w:name="_Toc494407528"/>
      <w:r>
        <w:rPr>
          <w:rFonts w:hint="eastAsia" w:ascii="宋体" w:hAnsi="宋体" w:eastAsia="宋体" w:cs="Times New Roman"/>
          <w:b/>
          <w:kern w:val="0"/>
          <w:sz w:val="22"/>
        </w:rPr>
        <w:t>三、采购内容及具体要求</w:t>
      </w:r>
      <w:bookmarkEnd w:id="11"/>
    </w:p>
    <w:p>
      <w:pPr>
        <w:spacing w:line="360" w:lineRule="auto"/>
        <w:outlineLvl w:val="0"/>
        <w:rPr>
          <w:rFonts w:hint="eastAsia" w:ascii="宋体" w:hAnsi="宋体" w:eastAsia="宋体" w:cs="Times New Roman"/>
          <w:kern w:val="0"/>
          <w:sz w:val="22"/>
          <w:lang w:val="en-US" w:eastAsia="zh-CN"/>
        </w:rPr>
      </w:pPr>
      <w:r>
        <w:rPr>
          <w:rFonts w:hint="eastAsia" w:ascii="宋体" w:hAnsi="宋体" w:eastAsia="宋体" w:cs="Times New Roman"/>
          <w:kern w:val="0"/>
          <w:sz w:val="22"/>
          <w:lang w:val="en-US" w:eastAsia="zh-CN"/>
        </w:rPr>
        <w:t>本次采购一共13个功能教室内的设备。</w:t>
      </w:r>
    </w:p>
    <w:p>
      <w:pPr>
        <w:pStyle w:val="2"/>
        <w:rPr>
          <w:rFonts w:hint="eastAsia"/>
          <w:lang w:val="en-US" w:eastAsia="zh-CN"/>
        </w:rPr>
      </w:pPr>
      <w:r>
        <w:rPr>
          <w:rFonts w:hint="eastAsia"/>
          <w:lang w:val="en-US" w:eastAsia="zh-CN"/>
        </w:rPr>
        <w:t>功能室列表如下：</w:t>
      </w:r>
    </w:p>
    <w:tbl>
      <w:tblPr>
        <w:tblStyle w:val="23"/>
        <w:tblW w:w="5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3148"/>
        <w:gridCol w:w="651"/>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eastAsia" w:eastAsiaTheme="minorEastAsia"/>
                <w:vertAlign w:val="baseline"/>
                <w:lang w:eastAsia="zh-CN"/>
              </w:rPr>
            </w:pPr>
            <w:r>
              <w:rPr>
                <w:rFonts w:hint="eastAsia"/>
                <w:vertAlign w:val="baseline"/>
                <w:lang w:eastAsia="zh-CN"/>
              </w:rPr>
              <w:t>序号</w:t>
            </w:r>
          </w:p>
        </w:tc>
        <w:tc>
          <w:tcPr>
            <w:tcW w:w="3148" w:type="dxa"/>
          </w:tcPr>
          <w:p>
            <w:pPr>
              <w:rPr>
                <w:rFonts w:hint="eastAsia" w:eastAsiaTheme="minorEastAsia"/>
                <w:vertAlign w:val="baseline"/>
                <w:lang w:val="en-US" w:eastAsia="zh-CN"/>
              </w:rPr>
            </w:pPr>
            <w:r>
              <w:rPr>
                <w:rFonts w:hint="eastAsia"/>
                <w:vertAlign w:val="baseline"/>
                <w:lang w:val="en-US" w:eastAsia="zh-CN"/>
              </w:rPr>
              <w:t>教室名称</w:t>
            </w:r>
          </w:p>
        </w:tc>
        <w:tc>
          <w:tcPr>
            <w:tcW w:w="651" w:type="dxa"/>
          </w:tcPr>
          <w:p>
            <w:pPr>
              <w:rPr>
                <w:rFonts w:hint="eastAsia" w:eastAsiaTheme="minorEastAsia"/>
                <w:vertAlign w:val="baseline"/>
                <w:lang w:eastAsia="zh-CN"/>
              </w:rPr>
            </w:pPr>
            <w:r>
              <w:rPr>
                <w:rFonts w:hint="eastAsia"/>
                <w:vertAlign w:val="baseline"/>
                <w:lang w:eastAsia="zh-CN"/>
              </w:rPr>
              <w:t>单位</w:t>
            </w:r>
          </w:p>
        </w:tc>
        <w:tc>
          <w:tcPr>
            <w:tcW w:w="639" w:type="dxa"/>
          </w:tcPr>
          <w:p>
            <w:pPr>
              <w:rPr>
                <w:rFonts w:hint="eastAsia" w:eastAsiaTheme="minorEastAsia"/>
                <w:vertAlign w:val="baseline"/>
                <w:lang w:eastAsia="zh-CN"/>
              </w:rPr>
            </w:pPr>
            <w:r>
              <w:rPr>
                <w:rFonts w:hint="eastAsia"/>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eastAsia"/>
                <w:vertAlign w:val="baseline"/>
                <w:lang w:val="en-US" w:eastAsia="zh-CN"/>
              </w:rPr>
            </w:pPr>
            <w:r>
              <w:rPr>
                <w:rFonts w:hint="eastAsia"/>
                <w:vertAlign w:val="baseline"/>
                <w:lang w:val="en-US" w:eastAsia="zh-CN"/>
              </w:rPr>
              <w:t>1</w:t>
            </w:r>
          </w:p>
        </w:tc>
        <w:tc>
          <w:tcPr>
            <w:tcW w:w="3148" w:type="dxa"/>
          </w:tcPr>
          <w:p>
            <w:pPr>
              <w:rPr>
                <w:rFonts w:hint="eastAsia" w:eastAsiaTheme="minorEastAsia"/>
                <w:vertAlign w:val="baseline"/>
                <w:lang w:eastAsia="zh-CN"/>
              </w:rPr>
            </w:pPr>
            <w:r>
              <w:rPr>
                <w:rFonts w:hint="eastAsia"/>
                <w:vertAlign w:val="baseline"/>
                <w:lang w:eastAsia="zh-CN"/>
              </w:rPr>
              <w:t>心理室</w:t>
            </w:r>
          </w:p>
        </w:tc>
        <w:tc>
          <w:tcPr>
            <w:tcW w:w="651" w:type="dxa"/>
          </w:tcPr>
          <w:p>
            <w:pPr>
              <w:rPr>
                <w:rFonts w:hint="eastAsia" w:eastAsiaTheme="minorEastAsia"/>
                <w:vertAlign w:val="baseline"/>
                <w:lang w:eastAsia="zh-CN"/>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eastAsia" w:eastAsiaTheme="minorEastAsia"/>
                <w:vertAlign w:val="baseline"/>
                <w:lang w:val="en-US" w:eastAsia="zh-CN"/>
              </w:rPr>
            </w:pPr>
            <w:r>
              <w:rPr>
                <w:rFonts w:hint="eastAsia"/>
                <w:vertAlign w:val="baseline"/>
                <w:lang w:val="en-US" w:eastAsia="zh-CN"/>
              </w:rPr>
              <w:t>2</w:t>
            </w:r>
          </w:p>
        </w:tc>
        <w:tc>
          <w:tcPr>
            <w:tcW w:w="3148" w:type="dxa"/>
          </w:tcPr>
          <w:p>
            <w:pPr>
              <w:rPr>
                <w:rFonts w:hint="eastAsia" w:eastAsiaTheme="minorEastAsia"/>
                <w:vertAlign w:val="baseline"/>
                <w:lang w:eastAsia="zh-CN"/>
              </w:rPr>
            </w:pPr>
            <w:r>
              <w:rPr>
                <w:rFonts w:hint="eastAsia"/>
                <w:vertAlign w:val="baseline"/>
                <w:lang w:eastAsia="zh-CN"/>
              </w:rPr>
              <w:t>卫生室</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eastAsia" w:eastAsiaTheme="minorEastAsia"/>
                <w:vertAlign w:val="baseline"/>
                <w:lang w:val="en-US" w:eastAsia="zh-CN"/>
              </w:rPr>
            </w:pPr>
            <w:r>
              <w:rPr>
                <w:rFonts w:hint="eastAsia"/>
                <w:vertAlign w:val="baseline"/>
                <w:lang w:val="en-US" w:eastAsia="zh-CN"/>
              </w:rPr>
              <w:t>3</w:t>
            </w:r>
          </w:p>
        </w:tc>
        <w:tc>
          <w:tcPr>
            <w:tcW w:w="3148" w:type="dxa"/>
          </w:tcPr>
          <w:p>
            <w:pPr>
              <w:rPr>
                <w:rFonts w:hint="eastAsia" w:eastAsiaTheme="minorEastAsia"/>
                <w:vertAlign w:val="baseline"/>
                <w:lang w:eastAsia="zh-CN"/>
              </w:rPr>
            </w:pPr>
            <w:r>
              <w:rPr>
                <w:rFonts w:hint="eastAsia"/>
                <w:vertAlign w:val="baseline"/>
                <w:lang w:eastAsia="zh-CN"/>
              </w:rPr>
              <w:t>音乐教室</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eastAsia" w:eastAsiaTheme="minorEastAsia"/>
                <w:vertAlign w:val="baseline"/>
                <w:lang w:val="en-US" w:eastAsia="zh-CN"/>
              </w:rPr>
            </w:pPr>
            <w:r>
              <w:rPr>
                <w:rFonts w:hint="eastAsia"/>
                <w:vertAlign w:val="baseline"/>
                <w:lang w:val="en-US" w:eastAsia="zh-CN"/>
              </w:rPr>
              <w:t>4</w:t>
            </w:r>
          </w:p>
        </w:tc>
        <w:tc>
          <w:tcPr>
            <w:tcW w:w="3148" w:type="dxa"/>
          </w:tcPr>
          <w:p>
            <w:pPr>
              <w:rPr>
                <w:rFonts w:hint="eastAsia" w:eastAsiaTheme="minorEastAsia"/>
                <w:vertAlign w:val="baseline"/>
                <w:lang w:eastAsia="zh-CN"/>
              </w:rPr>
            </w:pPr>
            <w:r>
              <w:rPr>
                <w:rFonts w:hint="eastAsia"/>
                <w:vertAlign w:val="baseline"/>
                <w:lang w:eastAsia="zh-CN"/>
              </w:rPr>
              <w:t>美术教室</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eastAsia" w:eastAsiaTheme="minorEastAsia"/>
                <w:vertAlign w:val="baseline"/>
                <w:lang w:val="en-US" w:eastAsia="zh-CN"/>
              </w:rPr>
            </w:pPr>
            <w:r>
              <w:rPr>
                <w:rFonts w:hint="eastAsia"/>
                <w:vertAlign w:val="baseline"/>
                <w:lang w:val="en-US" w:eastAsia="zh-CN"/>
              </w:rPr>
              <w:t>5</w:t>
            </w:r>
          </w:p>
        </w:tc>
        <w:tc>
          <w:tcPr>
            <w:tcW w:w="3148" w:type="dxa"/>
          </w:tcPr>
          <w:p>
            <w:pPr>
              <w:rPr>
                <w:rFonts w:hint="eastAsia" w:eastAsiaTheme="minorEastAsia"/>
                <w:vertAlign w:val="baseline"/>
                <w:lang w:eastAsia="zh-CN"/>
              </w:rPr>
            </w:pPr>
            <w:r>
              <w:rPr>
                <w:rFonts w:hint="eastAsia"/>
                <w:vertAlign w:val="baseline"/>
                <w:lang w:eastAsia="zh-CN"/>
              </w:rPr>
              <w:t>塔吊物理实验室</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eastAsia" w:eastAsiaTheme="minorEastAsia"/>
                <w:vertAlign w:val="baseline"/>
                <w:lang w:val="en-US" w:eastAsia="zh-CN"/>
              </w:rPr>
            </w:pPr>
            <w:r>
              <w:rPr>
                <w:rFonts w:hint="eastAsia"/>
                <w:vertAlign w:val="baseline"/>
                <w:lang w:val="en-US" w:eastAsia="zh-CN"/>
              </w:rPr>
              <w:t>6</w:t>
            </w:r>
          </w:p>
        </w:tc>
        <w:tc>
          <w:tcPr>
            <w:tcW w:w="3148" w:type="dxa"/>
          </w:tcPr>
          <w:p>
            <w:pPr>
              <w:rPr>
                <w:rFonts w:hint="eastAsia" w:eastAsiaTheme="minorEastAsia"/>
                <w:vertAlign w:val="baseline"/>
                <w:lang w:eastAsia="zh-CN"/>
              </w:rPr>
            </w:pPr>
            <w:r>
              <w:rPr>
                <w:rFonts w:hint="eastAsia"/>
                <w:vertAlign w:val="baseline"/>
                <w:lang w:eastAsia="zh-CN"/>
              </w:rPr>
              <w:t>通风塔吊化学实验室</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eastAsia" w:eastAsiaTheme="minorEastAsia"/>
                <w:vertAlign w:val="baseline"/>
                <w:lang w:val="en-US" w:eastAsia="zh-CN"/>
              </w:rPr>
            </w:pPr>
            <w:r>
              <w:rPr>
                <w:rFonts w:hint="eastAsia"/>
                <w:vertAlign w:val="baseline"/>
                <w:lang w:val="en-US" w:eastAsia="zh-CN"/>
              </w:rPr>
              <w:t>7</w:t>
            </w:r>
          </w:p>
        </w:tc>
        <w:tc>
          <w:tcPr>
            <w:tcW w:w="3148" w:type="dxa"/>
          </w:tcPr>
          <w:p>
            <w:pPr>
              <w:rPr>
                <w:rFonts w:hint="eastAsia" w:eastAsiaTheme="minorEastAsia"/>
                <w:vertAlign w:val="baseline"/>
                <w:lang w:eastAsia="zh-CN"/>
              </w:rPr>
            </w:pPr>
            <w:r>
              <w:rPr>
                <w:rFonts w:hint="eastAsia"/>
                <w:vertAlign w:val="baseline"/>
                <w:lang w:eastAsia="zh-CN"/>
              </w:rPr>
              <w:t>塔吊生物实验室</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default"/>
                <w:vertAlign w:val="baseline"/>
                <w:lang w:val="en-US" w:eastAsia="zh-CN"/>
              </w:rPr>
            </w:pPr>
            <w:r>
              <w:rPr>
                <w:rFonts w:hint="eastAsia"/>
                <w:vertAlign w:val="baseline"/>
                <w:lang w:val="en-US" w:eastAsia="zh-CN"/>
              </w:rPr>
              <w:t>8</w:t>
            </w:r>
          </w:p>
        </w:tc>
        <w:tc>
          <w:tcPr>
            <w:tcW w:w="3148" w:type="dxa"/>
          </w:tcPr>
          <w:p>
            <w:pPr>
              <w:rPr>
                <w:rFonts w:hint="eastAsia" w:eastAsiaTheme="minorEastAsia"/>
                <w:vertAlign w:val="baseline"/>
                <w:lang w:eastAsia="zh-CN"/>
              </w:rPr>
            </w:pPr>
            <w:r>
              <w:rPr>
                <w:rFonts w:hint="eastAsia"/>
                <w:vertAlign w:val="baseline"/>
                <w:lang w:eastAsia="zh-CN"/>
              </w:rPr>
              <w:t>化学危险品室</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default"/>
                <w:vertAlign w:val="baseline"/>
                <w:lang w:val="en-US" w:eastAsia="zh-CN"/>
              </w:rPr>
            </w:pPr>
            <w:r>
              <w:rPr>
                <w:rFonts w:hint="eastAsia"/>
                <w:vertAlign w:val="baseline"/>
                <w:lang w:val="en-US" w:eastAsia="zh-CN"/>
              </w:rPr>
              <w:t>9</w:t>
            </w:r>
          </w:p>
        </w:tc>
        <w:tc>
          <w:tcPr>
            <w:tcW w:w="3148" w:type="dxa"/>
          </w:tcPr>
          <w:p>
            <w:pPr>
              <w:rPr>
                <w:rFonts w:hint="eastAsia" w:eastAsiaTheme="minorEastAsia"/>
                <w:vertAlign w:val="baseline"/>
                <w:lang w:eastAsia="zh-CN"/>
              </w:rPr>
            </w:pPr>
            <w:r>
              <w:rPr>
                <w:rFonts w:hint="eastAsia"/>
                <w:vertAlign w:val="baseline"/>
                <w:lang w:eastAsia="zh-CN"/>
              </w:rPr>
              <w:t>智慧教室</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default"/>
                <w:vertAlign w:val="baseline"/>
                <w:lang w:val="en-US" w:eastAsia="zh-CN"/>
              </w:rPr>
            </w:pPr>
            <w:r>
              <w:rPr>
                <w:rFonts w:hint="eastAsia"/>
                <w:vertAlign w:val="baseline"/>
                <w:lang w:val="en-US" w:eastAsia="zh-CN"/>
              </w:rPr>
              <w:t>10</w:t>
            </w:r>
          </w:p>
        </w:tc>
        <w:tc>
          <w:tcPr>
            <w:tcW w:w="3148" w:type="dxa"/>
          </w:tcPr>
          <w:p>
            <w:pPr>
              <w:rPr>
                <w:rFonts w:hint="eastAsia" w:eastAsiaTheme="minorEastAsia"/>
                <w:vertAlign w:val="baseline"/>
                <w:lang w:eastAsia="zh-CN"/>
              </w:rPr>
            </w:pPr>
            <w:r>
              <w:rPr>
                <w:rFonts w:hint="eastAsia"/>
                <w:vertAlign w:val="baseline"/>
                <w:lang w:eastAsia="zh-CN"/>
              </w:rPr>
              <w:t>植物园、气象站</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default"/>
                <w:vertAlign w:val="baseline"/>
                <w:lang w:val="en-US" w:eastAsia="zh-CN"/>
              </w:rPr>
            </w:pPr>
            <w:r>
              <w:rPr>
                <w:rFonts w:hint="eastAsia"/>
                <w:vertAlign w:val="baseline"/>
                <w:lang w:val="en-US" w:eastAsia="zh-CN"/>
              </w:rPr>
              <w:t>11</w:t>
            </w:r>
          </w:p>
        </w:tc>
        <w:tc>
          <w:tcPr>
            <w:tcW w:w="3148" w:type="dxa"/>
          </w:tcPr>
          <w:p>
            <w:pPr>
              <w:rPr>
                <w:rFonts w:hint="eastAsia" w:eastAsiaTheme="minorEastAsia"/>
                <w:vertAlign w:val="baseline"/>
                <w:lang w:eastAsia="zh-CN"/>
              </w:rPr>
            </w:pPr>
            <w:r>
              <w:rPr>
                <w:rFonts w:hint="eastAsia"/>
                <w:vertAlign w:val="baseline"/>
                <w:lang w:eastAsia="zh-CN"/>
              </w:rPr>
              <w:t>档案室</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default"/>
                <w:vertAlign w:val="baseline"/>
                <w:lang w:val="en-US" w:eastAsia="zh-CN"/>
              </w:rPr>
            </w:pPr>
            <w:r>
              <w:rPr>
                <w:rFonts w:hint="eastAsia"/>
                <w:vertAlign w:val="baseline"/>
                <w:lang w:val="en-US" w:eastAsia="zh-CN"/>
              </w:rPr>
              <w:t>12</w:t>
            </w:r>
          </w:p>
        </w:tc>
        <w:tc>
          <w:tcPr>
            <w:tcW w:w="3148" w:type="dxa"/>
          </w:tcPr>
          <w:p>
            <w:pPr>
              <w:rPr>
                <w:rFonts w:hint="eastAsia" w:eastAsiaTheme="minorEastAsia"/>
                <w:vertAlign w:val="baseline"/>
                <w:lang w:eastAsia="zh-CN"/>
              </w:rPr>
            </w:pPr>
            <w:r>
              <w:rPr>
                <w:rFonts w:hint="eastAsia"/>
                <w:vertAlign w:val="baseline"/>
                <w:lang w:eastAsia="zh-CN"/>
              </w:rPr>
              <w:t>创客教室（木工）</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91" w:type="dxa"/>
          </w:tcPr>
          <w:p>
            <w:pPr>
              <w:rPr>
                <w:rFonts w:hint="default"/>
                <w:vertAlign w:val="baseline"/>
                <w:lang w:val="en-US" w:eastAsia="zh-CN"/>
              </w:rPr>
            </w:pPr>
            <w:r>
              <w:rPr>
                <w:rFonts w:hint="eastAsia"/>
                <w:vertAlign w:val="baseline"/>
                <w:lang w:val="en-US" w:eastAsia="zh-CN"/>
              </w:rPr>
              <w:t>13</w:t>
            </w:r>
          </w:p>
        </w:tc>
        <w:tc>
          <w:tcPr>
            <w:tcW w:w="3148" w:type="dxa"/>
          </w:tcPr>
          <w:p>
            <w:pPr>
              <w:rPr>
                <w:rFonts w:hint="eastAsia" w:eastAsiaTheme="minorEastAsia"/>
                <w:vertAlign w:val="baseline"/>
                <w:lang w:eastAsia="zh-CN"/>
              </w:rPr>
            </w:pPr>
            <w:r>
              <w:rPr>
                <w:rFonts w:hint="eastAsia"/>
                <w:vertAlign w:val="baseline"/>
                <w:lang w:eastAsia="zh-CN"/>
              </w:rPr>
              <w:t>创客教室（航模）</w:t>
            </w:r>
          </w:p>
        </w:tc>
        <w:tc>
          <w:tcPr>
            <w:tcW w:w="651" w:type="dxa"/>
          </w:tcPr>
          <w:p>
            <w:pPr>
              <w:rPr>
                <w:vertAlign w:val="baseline"/>
              </w:rPr>
            </w:pPr>
            <w:r>
              <w:rPr>
                <w:rFonts w:hint="eastAsia"/>
                <w:vertAlign w:val="baseline"/>
                <w:lang w:eastAsia="zh-CN"/>
              </w:rPr>
              <w:t>室</w:t>
            </w:r>
          </w:p>
        </w:tc>
        <w:tc>
          <w:tcPr>
            <w:tcW w:w="639" w:type="dxa"/>
          </w:tcPr>
          <w:p>
            <w:pPr>
              <w:rPr>
                <w:rFonts w:hint="eastAsia" w:eastAsiaTheme="minorEastAsia"/>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4890" w:type="dxa"/>
            <w:gridSpan w:val="3"/>
          </w:tcPr>
          <w:p>
            <w:pPr>
              <w:rPr>
                <w:rFonts w:hint="default"/>
                <w:vertAlign w:val="baseline"/>
                <w:lang w:val="en-US" w:eastAsia="zh-CN"/>
              </w:rPr>
            </w:pPr>
            <w:r>
              <w:rPr>
                <w:rFonts w:hint="eastAsia"/>
                <w:vertAlign w:val="baseline"/>
                <w:lang w:val="en-US" w:eastAsia="zh-CN"/>
              </w:rPr>
              <w:t>合计</w:t>
            </w:r>
          </w:p>
        </w:tc>
        <w:tc>
          <w:tcPr>
            <w:tcW w:w="639" w:type="dxa"/>
          </w:tcPr>
          <w:p>
            <w:pPr>
              <w:rPr>
                <w:rFonts w:hint="default"/>
                <w:vertAlign w:val="baseline"/>
                <w:lang w:val="en-US" w:eastAsia="zh-CN"/>
              </w:rPr>
            </w:pPr>
            <w:r>
              <w:rPr>
                <w:rFonts w:hint="eastAsia"/>
                <w:vertAlign w:val="baseline"/>
                <w:lang w:val="en-US" w:eastAsia="zh-CN"/>
              </w:rPr>
              <w:t>13</w:t>
            </w:r>
          </w:p>
        </w:tc>
      </w:tr>
    </w:tbl>
    <w:p>
      <w:pPr>
        <w:rPr>
          <w:rFonts w:hint="default"/>
          <w:b/>
          <w:bCs/>
          <w:sz w:val="30"/>
          <w:szCs w:val="30"/>
          <w:lang w:val="en-US" w:eastAsia="zh-CN"/>
        </w:rPr>
      </w:pPr>
    </w:p>
    <w:p>
      <w:pPr>
        <w:pStyle w:val="2"/>
        <w:rPr>
          <w:rFonts w:hint="default"/>
          <w:b/>
          <w:bCs/>
          <w:sz w:val="30"/>
          <w:szCs w:val="30"/>
          <w:lang w:val="en-US" w:eastAsia="zh-CN"/>
        </w:rPr>
      </w:pPr>
    </w:p>
    <w:p>
      <w:pPr>
        <w:pStyle w:val="3"/>
        <w:rPr>
          <w:rFonts w:hint="default"/>
          <w:b/>
          <w:bCs/>
          <w:sz w:val="30"/>
          <w:szCs w:val="30"/>
          <w:lang w:val="en-US" w:eastAsia="zh-CN"/>
        </w:rPr>
      </w:pPr>
    </w:p>
    <w:p>
      <w:pPr>
        <w:pStyle w:val="3"/>
        <w:rPr>
          <w:rFonts w:hint="default"/>
          <w:b/>
          <w:bCs/>
          <w:sz w:val="30"/>
          <w:szCs w:val="30"/>
          <w:lang w:val="en-US" w:eastAsia="zh-CN"/>
        </w:rPr>
      </w:pPr>
    </w:p>
    <w:p>
      <w:pPr>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心理室</w:t>
      </w:r>
    </w:p>
    <w:tbl>
      <w:tblPr>
        <w:tblStyle w:val="22"/>
        <w:tblW w:w="10598" w:type="dxa"/>
        <w:tblInd w:w="0" w:type="dxa"/>
        <w:shd w:val="clear" w:color="auto" w:fill="auto"/>
        <w:tblLayout w:type="fixed"/>
        <w:tblCellMar>
          <w:top w:w="0" w:type="dxa"/>
          <w:left w:w="0" w:type="dxa"/>
          <w:bottom w:w="0" w:type="dxa"/>
          <w:right w:w="0" w:type="dxa"/>
        </w:tblCellMar>
      </w:tblPr>
      <w:tblGrid>
        <w:gridCol w:w="372"/>
        <w:gridCol w:w="870"/>
        <w:gridCol w:w="5932"/>
        <w:gridCol w:w="816"/>
        <w:gridCol w:w="684"/>
        <w:gridCol w:w="666"/>
        <w:gridCol w:w="1258"/>
      </w:tblGrid>
      <w:tr>
        <w:tblPrEx>
          <w:shd w:val="clear" w:color="auto" w:fill="auto"/>
          <w:tblLayout w:type="fixed"/>
          <w:tblCellMar>
            <w:top w:w="0" w:type="dxa"/>
            <w:left w:w="0" w:type="dxa"/>
            <w:bottom w:w="0" w:type="dxa"/>
            <w:right w:w="0" w:type="dxa"/>
          </w:tblCellMar>
        </w:tblPrEx>
        <w:trPr>
          <w:trHeight w:val="66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心理室配置清单</w:t>
            </w:r>
          </w:p>
        </w:tc>
      </w:tr>
      <w:tr>
        <w:tblPrEx>
          <w:tblLayout w:type="fixed"/>
          <w:tblCellMar>
            <w:top w:w="0" w:type="dxa"/>
            <w:left w:w="0" w:type="dxa"/>
            <w:bottom w:w="0" w:type="dxa"/>
            <w:right w:w="0" w:type="dxa"/>
          </w:tblCellMar>
        </w:tblPrEx>
        <w:trPr>
          <w:trHeight w:val="803" w:hRule="atLeast"/>
        </w:trPr>
        <w:tc>
          <w:tcPr>
            <w:tcW w:w="372"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序号</w:t>
            </w:r>
          </w:p>
        </w:tc>
        <w:tc>
          <w:tcPr>
            <w:tcW w:w="870"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设备名称</w:t>
            </w:r>
          </w:p>
        </w:tc>
        <w:tc>
          <w:tcPr>
            <w:tcW w:w="5932"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功能简介</w:t>
            </w:r>
          </w:p>
        </w:tc>
        <w:tc>
          <w:tcPr>
            <w:tcW w:w="816"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单位</w:t>
            </w:r>
          </w:p>
        </w:tc>
        <w:tc>
          <w:tcPr>
            <w:tcW w:w="684"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数量</w:t>
            </w:r>
          </w:p>
        </w:tc>
        <w:tc>
          <w:tcPr>
            <w:tcW w:w="666"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备注</w:t>
            </w:r>
          </w:p>
        </w:tc>
        <w:tc>
          <w:tcPr>
            <w:tcW w:w="1258"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参考图</w:t>
            </w:r>
          </w:p>
        </w:tc>
      </w:tr>
      <w:tr>
        <w:tblPrEx>
          <w:tblLayout w:type="fixed"/>
          <w:tblCellMar>
            <w:top w:w="0" w:type="dxa"/>
            <w:left w:w="0" w:type="dxa"/>
            <w:bottom w:w="0" w:type="dxa"/>
            <w:right w:w="0" w:type="dxa"/>
          </w:tblCellMar>
        </w:tblPrEx>
        <w:trPr>
          <w:trHeight w:val="281"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个别辅导室</w:t>
            </w:r>
          </w:p>
        </w:tc>
      </w:tr>
      <w:tr>
        <w:tblPrEx>
          <w:tblLayout w:type="fixed"/>
          <w:tblCellMar>
            <w:top w:w="0" w:type="dxa"/>
            <w:left w:w="0" w:type="dxa"/>
            <w:bottom w:w="0" w:type="dxa"/>
            <w:right w:w="0" w:type="dxa"/>
          </w:tblCellMar>
        </w:tblPrEx>
        <w:trPr>
          <w:trHeight w:val="60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音乐放松椅</w:t>
            </w:r>
          </w:p>
        </w:tc>
        <w:tc>
          <w:tcPr>
            <w:tcW w:w="59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一、放松系统：</w:t>
            </w:r>
          </w:p>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 xml:space="preserve">    1、人体工学设计，椅背柔软度AAA级，全金属底座涡轮涡杆传动装置，全电动无线遥控折叠。</w:t>
            </w:r>
          </w:p>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 xml:space="preserve">    2、内置超静音电机，控制放松椅升降角度，调节范围：椅背110度-180度，腿部90度-180度。</w:t>
            </w:r>
          </w:p>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 xml:space="preserve">    3、坐、仰、卧姿态角度控制随心所欲，最大程度的适应个人身高、体型，达到最佳身体感受。</w:t>
            </w:r>
          </w:p>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 xml:space="preserve">    4、浅色外套，海绵内衬，电压220V，电流1A。</w:t>
            </w:r>
          </w:p>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 xml:space="preserve">    5、体感音波频率范围：20～150Hz，输出功率：20W，振动输出：负载4Ω时≥18W，音响输出：负载8Ω时≥0.5W×2</w:t>
            </w:r>
          </w:p>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二、音频播放系统：</w:t>
            </w:r>
          </w:p>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 xml:space="preserve">    1、高保真立体声音箱，重低音。高音单元:2×3W(AT f0=1kHz,THD=10%)，低音单元:6W (AT f0=100Hz,THD=10%)。</w:t>
            </w:r>
          </w:p>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 xml:space="preserve">    2、提供丰富的减压、放松，心理健康调适音乐，包括草原冥想、高山悟语、小溪吟诵、大海遐思  、音乐放松减压、淙泉鸟语之梦、月夜之梦、草原之梦、海浪之梦。该系列音乐具有主动的、积极的功能，是提升创造、思考，使右脑灵活的方法，并且能引导出重要的α脑波。脑内的α波主宰人体安定平静的情绪，透过常听心灵治疗的音乐能有效加强α波，凌驾其它不安的脑波，达到身心松弛、心境稳定平和的效果。</w:t>
            </w:r>
          </w:p>
          <w:p>
            <w:pPr>
              <w:keepNext w:val="0"/>
              <w:keepLines w:val="0"/>
              <w:widowControl/>
              <w:suppressLineNumbers w:val="0"/>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 xml:space="preserve">三、姿态控制系统：无线蓝牙遥控触屏操作，可调整座椅音乐播放音量，体感振动频率，可进行音乐选择，可遥控调整座椅姿态，适合人体舒适度。   </w:t>
            </w:r>
          </w:p>
          <w:p>
            <w:pPr>
              <w:keepNext w:val="0"/>
              <w:keepLines w:val="0"/>
              <w:widowControl/>
              <w:suppressLineNumbers w:val="0"/>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四、放松专用眼罩 ：高织棉自由式眼罩，心理放松专用。                                               五、15寸超薄LED数码显示屏，分辨率1280*800，支持视频，音频，图片，文字等多种方式显示。含8GSD卡1张。                                                                                                  六、播放器支架纯金属材质，匹配显示器，万向旋转支架。         ★产品涉及信息化技术服务团队成员均需取得工业和信息化部教育考试中心颁发的信息化技术方面专业技术人员综合素质与岗位胜任能力测评合格证书，团队成员≥2人，提供证书复印件加盖投标人公章（提供证书查询网址及原件）          </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张</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64770</wp:posOffset>
                  </wp:positionH>
                  <wp:positionV relativeFrom="paragraph">
                    <wp:posOffset>3050540</wp:posOffset>
                  </wp:positionV>
                  <wp:extent cx="695325" cy="810895"/>
                  <wp:effectExtent l="0" t="0" r="5715" b="12065"/>
                  <wp:wrapNone/>
                  <wp:docPr id="22" name="图片_11"/>
                  <wp:cNvGraphicFramePr/>
                  <a:graphic xmlns:a="http://schemas.openxmlformats.org/drawingml/2006/main">
                    <a:graphicData uri="http://schemas.openxmlformats.org/drawingml/2006/picture">
                      <pic:pic xmlns:pic="http://schemas.openxmlformats.org/drawingml/2006/picture">
                        <pic:nvPicPr>
                          <pic:cNvPr id="22" name="图片_11"/>
                          <pic:cNvPicPr/>
                        </pic:nvPicPr>
                        <pic:blipFill>
                          <a:blip r:embed="rId18"/>
                          <a:stretch>
                            <a:fillRect/>
                          </a:stretch>
                        </pic:blipFill>
                        <pic:spPr>
                          <a:xfrm>
                            <a:off x="0" y="0"/>
                            <a:ext cx="695325" cy="8108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沙盘套装（1600件）</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标准沙箱：配置2个：遵循国际标准规格配置大小为72×57×7CM，实木喷漆，底部为海蓝色，实木制作；                                                                                                                       配置沙箱架：沙箱架1个,实木制作;</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沙：10公斤，环保安全的专用水洗沙；</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沙具：包括1000个沙具,9大类32小类，包括人物类、动物类、植物类、建筑类、家具与用品类、交通运输类、食物果实类、石头贝壳类和其他等。材质分陶瓷、树脂 、木质、塑料、塑胶、泥质等。可满足不同偏好来访者的需要。</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5245735</wp:posOffset>
                  </wp:positionH>
                  <wp:positionV relativeFrom="paragraph">
                    <wp:posOffset>942340</wp:posOffset>
                  </wp:positionV>
                  <wp:extent cx="508000" cy="719455"/>
                  <wp:effectExtent l="0" t="0" r="10160" b="12065"/>
                  <wp:wrapNone/>
                  <wp:docPr id="19" name="图片_5"/>
                  <wp:cNvGraphicFramePr/>
                  <a:graphic xmlns:a="http://schemas.openxmlformats.org/drawingml/2006/main">
                    <a:graphicData uri="http://schemas.openxmlformats.org/drawingml/2006/picture">
                      <pic:pic xmlns:pic="http://schemas.openxmlformats.org/drawingml/2006/picture">
                        <pic:nvPicPr>
                          <pic:cNvPr id="19" name="图片_5"/>
                          <pic:cNvPicPr/>
                        </pic:nvPicPr>
                        <pic:blipFill>
                          <a:blip r:embed="rId19"/>
                          <a:stretch>
                            <a:fillRect/>
                          </a:stretch>
                        </pic:blipFill>
                        <pic:spPr>
                          <a:xfrm>
                            <a:off x="0" y="0"/>
                            <a:ext cx="508000" cy="719455"/>
                          </a:xfrm>
                          <a:prstGeom prst="rect">
                            <a:avLst/>
                          </a:prstGeom>
                          <a:noFill/>
                          <a:ln>
                            <a:noFill/>
                          </a:ln>
                        </pic:spPr>
                      </pic:pic>
                    </a:graphicData>
                  </a:graphic>
                </wp:anchor>
              </w:drawing>
            </w:r>
            <w:r>
              <w:rPr>
                <w:rFonts w:hint="eastAsia" w:ascii="宋体" w:hAnsi="宋体" w:eastAsia="宋体" w:cs="宋体"/>
                <w:i w:val="0"/>
                <w:color w:val="auto"/>
                <w:kern w:val="0"/>
                <w:sz w:val="24"/>
                <w:szCs w:val="24"/>
                <w:u w:val="none"/>
                <w:lang w:val="en-US" w:eastAsia="zh-CN" w:bidi="ar"/>
              </w:rPr>
              <w:t>配件：沙耙1把；沙刷1把；沙盘操作手册1本。</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b/>
                <w:bCs/>
                <w:i w:val="0"/>
                <w:color w:val="auto"/>
                <w:kern w:val="0"/>
                <w:sz w:val="24"/>
                <w:szCs w:val="24"/>
                <w:u w:val="none"/>
                <w:lang w:val="en-US" w:eastAsia="zh-CN" w:bidi="ar"/>
              </w:rPr>
              <w:t>★系统认证：该产品系高新技术企业自主创新研发生产，具备自主知识产权，心理沙盘需提供国家级权威机构出具的有效期内的全项检测报告（该报告必须含产品外形尺寸偏差、形状和位置公差、外观要求、表面理化性能要求、甲醛释放量检测项）；沙具陈列架需提供国家级权威机构出具的有效期内的全项检测报告（该报告必须含产品外形尺寸偏差、形状和位置公差、外观要求、表面理化性能要求、甲醛释放量检测项）；厂家 ISO9001质量管理体系、ISO14001环境管理体系、GBT28001职业健康和安全管理体系认证证书复印件加盖公章；提供原生产厂家针对此项目的投标授权书原件。</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4"/>
                <w:szCs w:val="24"/>
                <w:u w:val="none"/>
              </w:rPr>
            </w:pPr>
          </w:p>
        </w:tc>
      </w:tr>
      <w:tr>
        <w:tblPrEx>
          <w:tblLayout w:type="fixed"/>
          <w:tblCellMar>
            <w:top w:w="0" w:type="dxa"/>
            <w:left w:w="0" w:type="dxa"/>
            <w:bottom w:w="0" w:type="dxa"/>
            <w:right w:w="0" w:type="dxa"/>
          </w:tblCellMar>
        </w:tblPrEx>
        <w:trPr>
          <w:trHeight w:val="1203"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心理室沙发</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沙发规格尺寸2780*870*730mm，主体采用橡胶木制作，填充物为海绵，面料为麻布面料，一个座位配一个抱枕，沙发配同款脚踏规格尺寸：800*800*380mm。</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151765</wp:posOffset>
                  </wp:positionV>
                  <wp:extent cx="619125" cy="501015"/>
                  <wp:effectExtent l="0" t="0" r="5715" b="1905"/>
                  <wp:wrapNone/>
                  <wp:docPr id="20" name="图片_4"/>
                  <wp:cNvGraphicFramePr/>
                  <a:graphic xmlns:a="http://schemas.openxmlformats.org/drawingml/2006/main">
                    <a:graphicData uri="http://schemas.openxmlformats.org/drawingml/2006/picture">
                      <pic:pic xmlns:pic="http://schemas.openxmlformats.org/drawingml/2006/picture">
                        <pic:nvPicPr>
                          <pic:cNvPr id="20" name="图片_4"/>
                          <pic:cNvPicPr/>
                        </pic:nvPicPr>
                        <pic:blipFill>
                          <a:blip r:embed="rId20"/>
                          <a:stretch>
                            <a:fillRect/>
                          </a:stretch>
                        </pic:blipFill>
                        <pic:spPr>
                          <a:xfrm>
                            <a:off x="0" y="0"/>
                            <a:ext cx="619125" cy="50101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坐垫</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软垫</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513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团体辅导器具箱</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标准版</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产品描述：</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 xml:space="preserve"> 1.产品内容：产品活动包括认识自我、学会学习、人际交往、情绪调适、升学择业以及生活和社会适应六大主题。</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2.活动数量：六个主题，每个主题不少于5个活动,总活动方案不少于60个。每个活动均详细说明活动的设计理念、活动目标、心理学依据、活动所需道具、活动过程及所需注意的事项。</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3.活动道具：产品提供所有活动中至少38个的配套道具。道具包含模拟生活类、创意玩具类、心理文具类、辅助教案类、心理影音类、教育卡片类六大类，共提供道具不少于700件。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4.每个活动所提供的道具至少同时满足40人参与。</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5.提供产品合格证、产品说明书。</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6.正式出版的配套指导书籍：产品内容须与配套指导书籍一一对应。</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7. *配套教学视频指导光盘，不少于6课。</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 xml:space="preserve">8. 不少于六大主题的相关活动材料清单。 </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71755</wp:posOffset>
                  </wp:positionH>
                  <wp:positionV relativeFrom="paragraph">
                    <wp:posOffset>1571625</wp:posOffset>
                  </wp:positionV>
                  <wp:extent cx="578485" cy="464820"/>
                  <wp:effectExtent l="0" t="0" r="635" b="7620"/>
                  <wp:wrapNone/>
                  <wp:docPr id="21" name="图片_7"/>
                  <wp:cNvGraphicFramePr/>
                  <a:graphic xmlns:a="http://schemas.openxmlformats.org/drawingml/2006/main">
                    <a:graphicData uri="http://schemas.openxmlformats.org/drawingml/2006/picture">
                      <pic:pic xmlns:pic="http://schemas.openxmlformats.org/drawingml/2006/picture">
                        <pic:nvPicPr>
                          <pic:cNvPr id="21" name="图片_7"/>
                          <pic:cNvPicPr/>
                        </pic:nvPicPr>
                        <pic:blipFill>
                          <a:blip r:embed="rId21"/>
                          <a:stretch>
                            <a:fillRect/>
                          </a:stretch>
                        </pic:blipFill>
                        <pic:spPr>
                          <a:xfrm>
                            <a:off x="0" y="0"/>
                            <a:ext cx="578485" cy="4648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46"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茶几</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lang w:val="en-US" w:eastAsia="zh-CN"/>
              </w:rPr>
            </w:pPr>
            <w:r>
              <w:rPr>
                <w:rFonts w:hint="eastAsia" w:asciiTheme="minorEastAsia" w:hAnsiTheme="minorEastAsia" w:eastAsiaTheme="minorEastAsia" w:cstheme="minorEastAsia"/>
                <w:i w:val="0"/>
                <w:color w:val="auto"/>
                <w:kern w:val="0"/>
                <w:sz w:val="24"/>
                <w:szCs w:val="24"/>
                <w:u w:val="none"/>
                <w:lang w:val="en-US" w:eastAsia="zh-CN" w:bidi="ar"/>
              </w:rPr>
              <w:t>规格：600*600*630mm圆形全实木质茶几</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127000</wp:posOffset>
                  </wp:positionH>
                  <wp:positionV relativeFrom="paragraph">
                    <wp:posOffset>29210</wp:posOffset>
                  </wp:positionV>
                  <wp:extent cx="530225" cy="497840"/>
                  <wp:effectExtent l="0" t="0" r="3175" b="5080"/>
                  <wp:wrapNone/>
                  <wp:docPr id="23" name="图片_6"/>
                  <wp:cNvGraphicFramePr/>
                  <a:graphic xmlns:a="http://schemas.openxmlformats.org/drawingml/2006/main">
                    <a:graphicData uri="http://schemas.openxmlformats.org/drawingml/2006/picture">
                      <pic:pic xmlns:pic="http://schemas.openxmlformats.org/drawingml/2006/picture">
                        <pic:nvPicPr>
                          <pic:cNvPr id="23" name="图片_6"/>
                          <pic:cNvPicPr/>
                        </pic:nvPicPr>
                        <pic:blipFill>
                          <a:blip r:embed="rId22"/>
                          <a:stretch>
                            <a:fillRect/>
                          </a:stretch>
                        </pic:blipFill>
                        <pic:spPr>
                          <a:xfrm>
                            <a:off x="0" y="0"/>
                            <a:ext cx="530225" cy="4978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326"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教师办公室</w:t>
            </w:r>
          </w:p>
        </w:tc>
      </w:tr>
      <w:tr>
        <w:tblPrEx>
          <w:tblLayout w:type="fixed"/>
          <w:tblCellMar>
            <w:top w:w="0" w:type="dxa"/>
            <w:left w:w="0" w:type="dxa"/>
            <w:bottom w:w="0" w:type="dxa"/>
            <w:right w:w="0" w:type="dxa"/>
          </w:tblCellMar>
        </w:tblPrEx>
        <w:trPr>
          <w:trHeight w:val="819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心理测评及档案管理系统</w:t>
            </w:r>
          </w:p>
        </w:tc>
        <w:tc>
          <w:tcPr>
            <w:tcW w:w="59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系统应符合教育部“新课标”所倡导的“建立促进学生全面发展的评价体系”精神，对学生心理进行全面评价和检测。系统需包含五大基本功能，包括基础信息中心、心理教育中心、心理检测中心、心理辅导中心、个人中心，在学校实现了心理普查、心理档案、危机干预等方面的全方位的管理。</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一、 系统及心理学量表专业性、科学性、适用性要求</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*1.系统心理测评功能涉及的学生心理健康水平评价标准研究为省部级教育行政部门或教育学心理学相关国家一级学术机构中小学心理测量相关课题研究成果。</w:t>
            </w:r>
          </w:p>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*2.系统学生心理学量表库（非单一量表）信效度符合心理学标准，其中小学生心理健康测评的理论建构根据中国中小学生年龄特点研发并具备国家版权局著作权证书并通过教育部相关课题成果鉴定。</w:t>
            </w:r>
          </w:p>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*3.量表库具备国家版权局著作权产权证书，其心理学量表编制过程科学合理，内部一致性信度和重测信效度高于0.7。</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*4.学生心理学量表常模数据为5年内修订。</w:t>
            </w:r>
          </w:p>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二、功能要求</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进行师生的心理测查、评估工作，可快速筛查与预警，自动生成学生个人心理测评档案和团体测试报表，建立和完善心理测量档案。#包括信息管理、测评管理、群体分析、数据管理、心理档案管理、心理预警、危机干预等功能模块。</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学生心理健康档案报告内容包括：个人信息、多维度总体分析【需至少包括困扰（抑郁、焦虑、强迫、恐惧）、复原力（自信、积极认知、自我调节、社会支持）和适应性（学习适应、人际适应、青春期适应、行为适应）】、结果释义、发展建议、培养建议。</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（一）基本信息中心</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1.安全的权限保障—权限两重控制，根据角色控制操作权限</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学生心理信息是严格保密的材料，系统需根据保密原则，对学校管理员根据不同的角色进行了严格的权限分配。</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2.标准规范的信息设置</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系统在“基础信息管理”中设置丰富的背景资料字段，为资料的采集提供了良好的平台。背景资料中的字段需完全依照《教育部中小学校基础信息管理标准》文件，方便与学籍系统中的学生/教师信息对接。</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3.身份证号作为唯一身份识别信息</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为了确保系统内学生和教师信息的准确性，系统默认“身份证号”作为唯一的身份识别信息，保证人员和账号的准确匹配，确保心理信息的真实有效可靠。</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（二）心理教育中心</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1.日常办公自动化管理系统</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#将日常工作中所需要的通知、公告、工作计划、会议记录、工作总结等工作流程均纳入到该系统中来。</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2.自动汇总工作</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根据工作计划和记录，心理工作人员可对季度、年度的工作情况进行统计，可作为工作绩效评估的工具。</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（三）心理检测中心</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1.可扩展、专业、规划的心理量表工具库</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①需包含针对中国中小学生和教师编制的心理学量表。其中学生心理学量表25个以上，通过对学生的人格、智能等心理特征的全面测试，可系统地反映出现阶段学生心理健康状况和心理素质水平，为学校进行心理健康辅导、心理咨询等提供直接依据。</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量表需包括：小/中学生心理健康量表、小/中学生道德判断量表、小/中学生学科兴趣量表、小/中学生情绪适应量表、小/中学生创新意识量表、小/中学生内外向量表、小/中学生自信心量表、小/中学生数学能力测验、小/中学生图形能力测验、小/中学生言语能力测验、小/中学生学习态度量表、小/中学生学习方法量表等。</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②50个以上的国际知名量表。</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③#为区分量表测试内容，量表类别分为心理健康量表、人格量表、能力量表、学业量表、认知量表、生涯规划量表、职业倦怠量表等。</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④#系统同时还设置了自定义导入量表的功能，形成一个可扩展的心理量表工具库。</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2.教师、家长和学生三视角评价</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由于心理健康问题的复杂性、评定者偏见的影响及互动方式的不同，需进行多视角评定。#学生心理健康量表需具备学生评价量表、教师评价量表和家长评价量，从三个不同的视角评定中小学生心理健康，对学生进行了全方位、多视角的心理检测。</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3.心理健康量表避免滥用的控制，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该部分的主要功能是量表分发、参与心理测评并查看心理测评的报告。整个系统的量表控制权完全掌握在学校老师手中，老师不分发量表，学生不可随意进行心理测验。</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#在分发量表时，为避免测试人员短时间内测试同一量表而产生的练习效应，可设置“再测时间限制”。当开启再测时间限制时，系统默认90天之内不能再次测试该量表。</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4.及时撤回分发记录</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分发量表时会规定可测评的时间段范围。当未到开始测试时间时，心理老师可撤回已分发的量表，修改后重新分发任务。该设置可让心理老师在分发测评任务的过程中，有发现问题及时修改的机会。当已到测试时间后，即使未有人员测试数据，亦不可撤回。</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5.准确监控进程</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#可根据样本、量表、时间等条件搜索已分发的记录，并可监控分发量表的测试完成情况。</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6.丰富的心理测评形式</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系统既可实现计算机辅助测评，即时生成测验报告，又能将纸笔测评结果批量导入，辅助生成测评报告和完成测评结果数据分析，充分满足多方需求，为大规模的施测提供可靠保障。</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7.实时生成学校、年级团体报告</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#团体报告为一个群体测试一个量表得分的总体情况，如最高分，最低分，平均分，标准差。平台可实时生成选定年级和学校的团体报告，了解某年级或学校心理健康的整体情况。</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8.数据管理</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系统具备强大的科研数据导出功能，导出系统内的测评统计数据（个人信息+答案+因子分，自定义问卷可导出原始数据）。</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9.群体分析</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#可根据已有的测验结果进行统计分析，并用“图表+解说”形式向用户显示分析结果，并可进行打印下载。根据不同的用户需求，提供多层次的统计分析功能。</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①描述统计。</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②单一样本t检验。</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③独立样本t检验。</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④相关样本t检验。</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⑤相关分析。</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（四）心理辅导中心</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 #危机干预管理：包括启动、人员组织、干预事件、干预方式、干预效果及跟进，问题分析，干预工作分析与总结等，跟进危机干预的整个流程，提供专业化的记录模板。</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（五）个人中心</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登录者可修改自己的个人信息，上传头像，修改用户名及登录密码。</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查看分发给自己的测试任务，参与测试，查看报告。</w:t>
            </w:r>
            <w:r>
              <w:rPr>
                <w:rFonts w:hint="eastAsia" w:asciiTheme="minorEastAsia" w:hAnsiTheme="minorEastAsia" w:eastAsiaTheme="minorEastAsia" w:cstheme="minorEastAsia"/>
                <w:i w:val="0"/>
                <w:color w:val="auto"/>
                <w:kern w:val="0"/>
                <w:sz w:val="24"/>
                <w:szCs w:val="24"/>
                <w:u w:val="none"/>
                <w:lang w:val="en-US" w:eastAsia="zh-CN" w:bidi="ar"/>
              </w:rPr>
              <w:br w:type="textWrapping"/>
            </w: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120015</wp:posOffset>
                  </wp:positionH>
                  <wp:positionV relativeFrom="paragraph">
                    <wp:posOffset>4927600</wp:posOffset>
                  </wp:positionV>
                  <wp:extent cx="560070" cy="728980"/>
                  <wp:effectExtent l="0" t="0" r="3810" b="2540"/>
                  <wp:wrapNone/>
                  <wp:docPr id="18" name="图片_5_SpCnt_1"/>
                  <wp:cNvGraphicFramePr/>
                  <a:graphic xmlns:a="http://schemas.openxmlformats.org/drawingml/2006/main">
                    <a:graphicData uri="http://schemas.openxmlformats.org/drawingml/2006/picture">
                      <pic:pic xmlns:pic="http://schemas.openxmlformats.org/drawingml/2006/picture">
                        <pic:nvPicPr>
                          <pic:cNvPr id="18" name="图片_5_SpCnt_1"/>
                          <pic:cNvPicPr/>
                        </pic:nvPicPr>
                        <pic:blipFill>
                          <a:blip r:embed="rId23"/>
                          <a:stretch>
                            <a:fillRect/>
                          </a:stretch>
                        </pic:blipFill>
                        <pic:spPr>
                          <a:xfrm>
                            <a:off x="0" y="0"/>
                            <a:ext cx="560070" cy="7289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310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电脑</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教师机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1、CPU：INTEL I3-7100第七代CPU（主频3.9GHz）；2、主板：Intel B250；3、内存：4G DDR4 2400MHz；4、硬盘：1TB  7200转SATA3；5、显卡：集成；6、显示器：19.5寸LED宽频背光液晶显示器；7、操作系统：正版WIN10 Home Basic 64；8、键鼠：抗菌防水键盘/光电鼠标；9、光驱：DVD RAMBO；10、其他：集成声卡/集成千兆网卡， 每台电脑配送一条2m成品网线，8个USB接口（前4后4，其中4个USB3.0接口）；整机免费质保三年，原厂免费保修及上门服务。</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140335</wp:posOffset>
                  </wp:positionH>
                  <wp:positionV relativeFrom="paragraph">
                    <wp:posOffset>658495</wp:posOffset>
                  </wp:positionV>
                  <wp:extent cx="489585" cy="553720"/>
                  <wp:effectExtent l="0" t="0" r="13335" b="10160"/>
                  <wp:wrapNone/>
                  <wp:docPr id="13" name="图片_25"/>
                  <wp:cNvGraphicFramePr/>
                  <a:graphic xmlns:a="http://schemas.openxmlformats.org/drawingml/2006/main">
                    <a:graphicData uri="http://schemas.openxmlformats.org/drawingml/2006/picture">
                      <pic:pic xmlns:pic="http://schemas.openxmlformats.org/drawingml/2006/picture">
                        <pic:nvPicPr>
                          <pic:cNvPr id="13" name="图片_25"/>
                          <pic:cNvPicPr/>
                        </pic:nvPicPr>
                        <pic:blipFill>
                          <a:blip r:embed="rId24"/>
                          <a:stretch>
                            <a:fillRect/>
                          </a:stretch>
                        </pic:blipFill>
                        <pic:spPr>
                          <a:xfrm>
                            <a:off x="0" y="0"/>
                            <a:ext cx="489585" cy="5537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打印机</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黑白多功能激光一体机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1、黑白多功能激光一体机 （打印、复印、扫描）三合一机。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2、兼容系统：WIN XP，WIN7，WIN8；</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3、其他：常规；</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141605</wp:posOffset>
                  </wp:positionH>
                  <wp:positionV relativeFrom="paragraph">
                    <wp:posOffset>257175</wp:posOffset>
                  </wp:positionV>
                  <wp:extent cx="541655" cy="573405"/>
                  <wp:effectExtent l="0" t="0" r="6985" b="5715"/>
                  <wp:wrapNone/>
                  <wp:docPr id="14" name="图片_26"/>
                  <wp:cNvGraphicFramePr/>
                  <a:graphic xmlns:a="http://schemas.openxmlformats.org/drawingml/2006/main">
                    <a:graphicData uri="http://schemas.openxmlformats.org/drawingml/2006/picture">
                      <pic:pic xmlns:pic="http://schemas.openxmlformats.org/drawingml/2006/picture">
                        <pic:nvPicPr>
                          <pic:cNvPr id="14" name="图片_26"/>
                          <pic:cNvPicPr/>
                        </pic:nvPicPr>
                        <pic:blipFill>
                          <a:blip r:embed="rId25"/>
                          <a:stretch>
                            <a:fillRect/>
                          </a:stretch>
                        </pic:blipFill>
                        <pic:spPr>
                          <a:xfrm>
                            <a:off x="0" y="0"/>
                            <a:ext cx="541655" cy="5734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35"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档案柜</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1、材质：三聚氰胺板</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2、环保清漆</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3、柜门玻璃：钢化玻璃</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4、尺寸：80mm*40mm*200mm</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8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办公桌椅</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办公桌尺寸：1000mm*500mm*760mm，中密度环保三聚氰胺板，可见边PVC封边，知名品牌五金件。测评椅:组装，金属不绣钢材质，8cm原生高回弹海绵，网布，散热透气，固定扶手，支持人体工程学，U型弹力护腰枕，座椅高度可调节。</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569"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宣泄室</w:t>
            </w:r>
          </w:p>
        </w:tc>
      </w:tr>
      <w:tr>
        <w:tblPrEx>
          <w:tblLayout w:type="fixed"/>
          <w:tblCellMar>
            <w:top w:w="0" w:type="dxa"/>
            <w:left w:w="0" w:type="dxa"/>
            <w:bottom w:w="0" w:type="dxa"/>
            <w:right w:w="0" w:type="dxa"/>
          </w:tblCellMar>
        </w:tblPrEx>
        <w:trPr>
          <w:trHeight w:val="88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墙面防撞软包</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高档皮革面料，高密度回弹海绵，环保底板，规格：30个平方</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平方</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27"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宣泄人套装</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1.硅胶宣泄人1个:材料：硅胶，装水/沙 颜色：红、蓝，可按客户要求调配颜色</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高度：可调节，155cm--175cm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重量：35kg　</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底座：钢板加高强吸盘,连接处配备优质弹簧使训练效果更佳此宣泄人材料采用天然硅胶所制，里面为沙袋专用抗激打海绵，使用户训练时手不会受到损伤，感觉更好.更加有效果，为了激打感觉更好缓冲更强，下面采用不道翁底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 xml:space="preserve">上面宣泄人与下面底座接触部位是PVC材料，为了使客户使用或移动时更加方便，安装简单，下面底座是空心的，只需加水（或沙）即可在室内进行使用。                                                                                         2.宣泄柱1个：总高度：160cm   主体高度：90cm    主体直径：30cm    底座高度：60cm    底座直径：50cm  主体面料：PU   填充物：环保高弹性发泡料,海绵，反弹胶                                                                    3.宣泄手套2副：高品质PU材质，内胆进口高弹式乳胶发泡一次成型，手心特殊透气材质，手腕人性化设计，有效保护宣泄者手部不受伤害。 </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 宣泄棒2个：双层的，充气型，里面是进口高分子材料，外面是潜水衣布料。</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 xml:space="preserve">5宣泄人脸谱5张：绒布材质，多种人物表情                                                             </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9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瑜伽球（宣泄球）</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硅胶材质，直径不低于15cm，带手环。</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53975</wp:posOffset>
                  </wp:positionH>
                  <wp:positionV relativeFrom="paragraph">
                    <wp:posOffset>49530</wp:posOffset>
                  </wp:positionV>
                  <wp:extent cx="611505" cy="476250"/>
                  <wp:effectExtent l="0" t="0" r="13335" b="11430"/>
                  <wp:wrapNone/>
                  <wp:docPr id="16" name="图片_6_SpCnt_1"/>
                  <wp:cNvGraphicFramePr/>
                  <a:graphic xmlns:a="http://schemas.openxmlformats.org/drawingml/2006/main">
                    <a:graphicData uri="http://schemas.openxmlformats.org/drawingml/2006/picture">
                      <pic:pic xmlns:pic="http://schemas.openxmlformats.org/drawingml/2006/picture">
                        <pic:nvPicPr>
                          <pic:cNvPr id="16" name="图片_6_SpCnt_1"/>
                          <pic:cNvPicPr/>
                        </pic:nvPicPr>
                        <pic:blipFill>
                          <a:blip r:embed="rId26"/>
                          <a:stretch>
                            <a:fillRect/>
                          </a:stretch>
                        </pic:blipFill>
                        <pic:spPr>
                          <a:xfrm>
                            <a:off x="0" y="0"/>
                            <a:ext cx="611505" cy="4762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48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羊角球</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规格：球直径55cm，橡胶环保无毒材质。锻炼孩子的运动能力和平衡性·用高挡橡胶制成,弹性好 对成长中的青少年它可以促进儿童骨骼发育，增加血液循环，促使儿童增高；对于肥胖者，在跳跃过程中，由于腹部高速发热，它可以燃烧并转化腹部多余脂肪，从而达到减肥的目的。</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01"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门、墙装饰</w:t>
            </w:r>
          </w:p>
        </w:tc>
      </w:tr>
      <w:tr>
        <w:tblPrEx>
          <w:tblLayout w:type="fixed"/>
          <w:tblCellMar>
            <w:top w:w="0" w:type="dxa"/>
            <w:left w:w="0" w:type="dxa"/>
            <w:bottom w:w="0" w:type="dxa"/>
            <w:right w:w="0" w:type="dxa"/>
          </w:tblCellMar>
        </w:tblPrEx>
        <w:trPr>
          <w:trHeight w:val="92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心理辅导中心门牌</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铁艺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铁艺支架，双面刻字。</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4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闹钟</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石英钟</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石英挂钟，静音，美观。</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62230</wp:posOffset>
                  </wp:positionH>
                  <wp:positionV relativeFrom="paragraph">
                    <wp:posOffset>181610</wp:posOffset>
                  </wp:positionV>
                  <wp:extent cx="574675" cy="603885"/>
                  <wp:effectExtent l="0" t="0" r="4445" b="5715"/>
                  <wp:wrapNone/>
                  <wp:docPr id="15" name="图片_9"/>
                  <wp:cNvGraphicFramePr/>
                  <a:graphic xmlns:a="http://schemas.openxmlformats.org/drawingml/2006/main">
                    <a:graphicData uri="http://schemas.openxmlformats.org/drawingml/2006/picture">
                      <pic:pic xmlns:pic="http://schemas.openxmlformats.org/drawingml/2006/picture">
                        <pic:nvPicPr>
                          <pic:cNvPr id="15" name="图片_9"/>
                          <pic:cNvPicPr/>
                        </pic:nvPicPr>
                        <pic:blipFill>
                          <a:blip r:embed="rId27"/>
                          <a:stretch>
                            <a:fillRect/>
                          </a:stretch>
                        </pic:blipFill>
                        <pic:spPr>
                          <a:xfrm>
                            <a:off x="0" y="0"/>
                            <a:ext cx="574675" cy="6038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8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心理信箱</w:t>
            </w:r>
          </w:p>
        </w:tc>
        <w:tc>
          <w:tcPr>
            <w:tcW w:w="5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铝合金</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铝合金信息，定制款面板。</w:t>
            </w:r>
          </w:p>
        </w:tc>
        <w:tc>
          <w:tcPr>
            <w:tcW w:w="81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70485</wp:posOffset>
                  </wp:positionH>
                  <wp:positionV relativeFrom="paragraph">
                    <wp:posOffset>90170</wp:posOffset>
                  </wp:positionV>
                  <wp:extent cx="544195" cy="605790"/>
                  <wp:effectExtent l="0" t="0" r="4445" b="3810"/>
                  <wp:wrapNone/>
                  <wp:docPr id="17" name="图片_17"/>
                  <wp:cNvGraphicFramePr/>
                  <a:graphic xmlns:a="http://schemas.openxmlformats.org/drawingml/2006/main">
                    <a:graphicData uri="http://schemas.openxmlformats.org/drawingml/2006/picture">
                      <pic:pic xmlns:pic="http://schemas.openxmlformats.org/drawingml/2006/picture">
                        <pic:nvPicPr>
                          <pic:cNvPr id="17" name="图片_17"/>
                          <pic:cNvPicPr/>
                        </pic:nvPicPr>
                        <pic:blipFill>
                          <a:blip r:embed="rId28"/>
                          <a:stretch>
                            <a:fillRect/>
                          </a:stretch>
                        </pic:blipFill>
                        <pic:spPr>
                          <a:xfrm>
                            <a:off x="0" y="0"/>
                            <a:ext cx="544195" cy="605790"/>
                          </a:xfrm>
                          <a:prstGeom prst="rect">
                            <a:avLst/>
                          </a:prstGeom>
                          <a:noFill/>
                          <a:ln>
                            <a:noFill/>
                          </a:ln>
                        </pic:spPr>
                      </pic:pic>
                    </a:graphicData>
                  </a:graphic>
                </wp:anchor>
              </w:drawing>
            </w:r>
          </w:p>
        </w:tc>
      </w:tr>
    </w:tbl>
    <w:p>
      <w:pPr>
        <w:jc w:val="center"/>
        <w:rPr>
          <w:rFonts w:hint="eastAsia" w:asciiTheme="minorEastAsia" w:hAnsiTheme="minorEastAsia" w:eastAsiaTheme="minorEastAsia" w:cstheme="minorEastAsia"/>
          <w:b/>
          <w:bCs/>
          <w:color w:val="auto"/>
          <w:sz w:val="24"/>
          <w:szCs w:val="24"/>
          <w:lang w:val="en-US" w:eastAsia="zh-CN"/>
        </w:rPr>
      </w:pPr>
    </w:p>
    <w:p>
      <w:pPr>
        <w:jc w:val="both"/>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both"/>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p>
    <w:p>
      <w:pPr>
        <w:jc w:val="cente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卫生室</w:t>
      </w:r>
    </w:p>
    <w:tbl>
      <w:tblPr>
        <w:tblStyle w:val="22"/>
        <w:tblW w:w="10518" w:type="dxa"/>
        <w:jc w:val="center"/>
        <w:tblInd w:w="0" w:type="dxa"/>
        <w:shd w:val="clear" w:color="auto" w:fill="auto"/>
        <w:tblLayout w:type="fixed"/>
        <w:tblCellMar>
          <w:top w:w="0" w:type="dxa"/>
          <w:left w:w="0" w:type="dxa"/>
          <w:bottom w:w="0" w:type="dxa"/>
          <w:right w:w="0" w:type="dxa"/>
        </w:tblCellMar>
      </w:tblPr>
      <w:tblGrid>
        <w:gridCol w:w="390"/>
        <w:gridCol w:w="810"/>
        <w:gridCol w:w="6082"/>
        <w:gridCol w:w="685"/>
        <w:gridCol w:w="667"/>
        <w:gridCol w:w="666"/>
        <w:gridCol w:w="1218"/>
      </w:tblGrid>
      <w:tr>
        <w:tblPrEx>
          <w:shd w:val="clear" w:color="auto" w:fill="auto"/>
          <w:tblLayout w:type="fixed"/>
          <w:tblCellMar>
            <w:top w:w="0" w:type="dxa"/>
            <w:left w:w="0" w:type="dxa"/>
            <w:bottom w:w="0" w:type="dxa"/>
            <w:right w:w="0" w:type="dxa"/>
          </w:tblCellMar>
        </w:tblPrEx>
        <w:trPr>
          <w:trHeight w:val="522" w:hRule="atLeast"/>
          <w:jc w:val="center"/>
        </w:trPr>
        <w:tc>
          <w:tcPr>
            <w:tcW w:w="10518" w:type="dxa"/>
            <w:gridSpan w:val="7"/>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lang w:val="en-US"/>
              </w:rPr>
            </w:pPr>
            <w:r>
              <w:rPr>
                <w:rFonts w:hint="eastAsia" w:asciiTheme="minorEastAsia" w:hAnsiTheme="minorEastAsia" w:eastAsiaTheme="minorEastAsia" w:cstheme="minorEastAsia"/>
                <w:b/>
                <w:i w:val="0"/>
                <w:color w:val="auto"/>
                <w:kern w:val="0"/>
                <w:sz w:val="24"/>
                <w:szCs w:val="24"/>
                <w:u w:val="none"/>
                <w:lang w:val="en-US" w:eastAsia="zh-CN" w:bidi="ar"/>
              </w:rPr>
              <w:t>卫生室配置清单</w:t>
            </w:r>
          </w:p>
        </w:tc>
      </w:tr>
      <w:tr>
        <w:tblPrEx>
          <w:tblLayout w:type="fixed"/>
          <w:tblCellMar>
            <w:top w:w="0" w:type="dxa"/>
            <w:left w:w="0" w:type="dxa"/>
            <w:bottom w:w="0" w:type="dxa"/>
            <w:right w:w="0" w:type="dxa"/>
          </w:tblCellMar>
        </w:tblPrEx>
        <w:trPr>
          <w:trHeight w:val="462" w:hRule="atLeast"/>
          <w:jc w:val="center"/>
        </w:trPr>
        <w:tc>
          <w:tcPr>
            <w:tcW w:w="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序号</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名称</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规格尺寸，材质说明</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单位</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数量</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备注</w:t>
            </w:r>
          </w:p>
        </w:tc>
        <w:tc>
          <w:tcPr>
            <w:tcW w:w="12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参考图</w:t>
            </w:r>
          </w:p>
        </w:tc>
      </w:tr>
      <w:tr>
        <w:tblPrEx>
          <w:tblLayout w:type="fixed"/>
          <w:tblCellMar>
            <w:top w:w="0" w:type="dxa"/>
            <w:left w:w="0" w:type="dxa"/>
            <w:bottom w:w="0" w:type="dxa"/>
            <w:right w:w="0" w:type="dxa"/>
          </w:tblCellMar>
        </w:tblPrEx>
        <w:trPr>
          <w:trHeight w:val="3496" w:hRule="atLeast"/>
          <w:jc w:val="center"/>
        </w:trPr>
        <w:tc>
          <w:tcPr>
            <w:tcW w:w="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办公桌</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桌面：1200*700*750mm，采用白色实芯纳米抗化板，★．环保性能参照GB 18580-2001中甲醛释放量E1级检测标准，检测结果未检出。 参照EN 71-3：2013+A1：2014 可溶性六价铬、可溶性铅、可溶性锑、 可溶性砷检测结果未检出。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 xml:space="preserve">   物理性能：参照ASTM D638-14弯曲强度横向检验结果59.7MPa纵向检验结果75.5MPa。参照GB/T17657-2013 表面耐干热性能、耐沸水性能表面质量、表面耐龟裂性检测结果5级。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钢架：采用50*50方形钢管，厚度大于1.5mm，表面采用静电喷涂。</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45085</wp:posOffset>
                  </wp:positionH>
                  <wp:positionV relativeFrom="paragraph">
                    <wp:posOffset>1051560</wp:posOffset>
                  </wp:positionV>
                  <wp:extent cx="684530" cy="603250"/>
                  <wp:effectExtent l="0" t="0" r="1270" b="6350"/>
                  <wp:wrapNone/>
                  <wp:docPr id="32" name="Picture_2"/>
                  <wp:cNvGraphicFramePr/>
                  <a:graphic xmlns:a="http://schemas.openxmlformats.org/drawingml/2006/main">
                    <a:graphicData uri="http://schemas.openxmlformats.org/drawingml/2006/picture">
                      <pic:pic xmlns:pic="http://schemas.openxmlformats.org/drawingml/2006/picture">
                        <pic:nvPicPr>
                          <pic:cNvPr id="32" name="Picture_2"/>
                          <pic:cNvPicPr/>
                        </pic:nvPicPr>
                        <pic:blipFill>
                          <a:blip r:embed="rId29"/>
                          <a:stretch>
                            <a:fillRect/>
                          </a:stretch>
                        </pic:blipFill>
                        <pic:spPr>
                          <a:xfrm>
                            <a:off x="0" y="0"/>
                            <a:ext cx="684530" cy="6032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97" w:hRule="atLeast"/>
          <w:jc w:val="center"/>
        </w:trPr>
        <w:tc>
          <w:tcPr>
            <w:tcW w:w="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工作椅</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规格：470mm*440mm*790mm椅子的椅脚架为12mm实心钢筋金属，线条优美，受力稳固。各钢筋条连接接驳位电焊处理，材料表面有白色喷涂、电镀两种表现处理工艺，起到很好的保护作用。</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50165</wp:posOffset>
                  </wp:positionH>
                  <wp:positionV relativeFrom="paragraph">
                    <wp:posOffset>66675</wp:posOffset>
                  </wp:positionV>
                  <wp:extent cx="630555" cy="754380"/>
                  <wp:effectExtent l="0" t="0" r="9525" b="7620"/>
                  <wp:wrapNone/>
                  <wp:docPr id="29" name="图片_1"/>
                  <wp:cNvGraphicFramePr/>
                  <a:graphic xmlns:a="http://schemas.openxmlformats.org/drawingml/2006/main">
                    <a:graphicData uri="http://schemas.openxmlformats.org/drawingml/2006/picture">
                      <pic:pic xmlns:pic="http://schemas.openxmlformats.org/drawingml/2006/picture">
                        <pic:nvPicPr>
                          <pic:cNvPr id="29" name="图片_1"/>
                          <pic:cNvPicPr/>
                        </pic:nvPicPr>
                        <pic:blipFill>
                          <a:blip r:embed="rId30"/>
                          <a:stretch>
                            <a:fillRect/>
                          </a:stretch>
                        </pic:blipFill>
                        <pic:spPr>
                          <a:xfrm>
                            <a:off x="0" y="0"/>
                            <a:ext cx="630555" cy="7543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355" w:hRule="atLeast"/>
          <w:jc w:val="center"/>
        </w:trPr>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仪器柜</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规格：1000*500*1800mm，铝木结构，铝型材规格32*32*1.5mm，柜门上下均为铝合金门框内镶5mm厚玻璃对开门，设有16mm厚白色三聚氰胺面板2块活动层板并配铝合金加强条；以上芯板均为E1级环保芯板，甲醛释放量（穿孔萃取法 ）应不大于≤ 8mg/100g。其他各项技术指标和质量要求应符合：GB/T 10357.4—1989《家具力学性能试验柜类稳定性》、GB/T 10357.5 －2011《家具力学性能试验柜类强度和耐久性》。           </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959" w:hRule="atLeast"/>
          <w:jc w:val="center"/>
        </w:trPr>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药品柜</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规格：1000*500*1800mm，铝木结构，铝型材规格32*32*1.5mm，柜门上下均为铝合金门框内镶5mm厚玻璃对开门，内设阶梯，设有16mm厚白色三聚氰胺面板2块活动层板并配铝合金加强条；以上芯板均为E1级环保芯板，甲醛释放量（穿孔萃取法 ）应不大于≤ 8mg/100g。其他各项技术指标和质量要求应符合：GB/T 10357.4—1989《家具力学性能试验柜类稳定性》、GB/T 10357.5 －2011《家具力学性能试验柜类强度和耐久性》。           </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96" w:hRule="atLeast"/>
          <w:jc w:val="center"/>
        </w:trPr>
        <w:tc>
          <w:tcPr>
            <w:tcW w:w="10518" w:type="dxa"/>
            <w:gridSpan w:val="7"/>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检查室</w:t>
            </w:r>
          </w:p>
        </w:tc>
      </w:tr>
      <w:tr>
        <w:tblPrEx>
          <w:tblLayout w:type="fixed"/>
          <w:tblCellMar>
            <w:top w:w="0" w:type="dxa"/>
            <w:left w:w="0" w:type="dxa"/>
            <w:bottom w:w="0" w:type="dxa"/>
            <w:right w:w="0" w:type="dxa"/>
          </w:tblCellMar>
        </w:tblPrEx>
        <w:trPr>
          <w:trHeight w:val="820" w:hRule="atLeast"/>
          <w:jc w:val="center"/>
        </w:trPr>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检查床</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平板诊查床， 规格尺寸：1880mm*600mm*670mm，床框采用40mm*20mm*1.2mm厚的矩管焊接；床腿采用32mm*32mm*1.0mm的圆管焊接；床面采用厚的木板包覆以海绵和人造革制成。 </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27" w:hRule="atLeast"/>
          <w:jc w:val="center"/>
        </w:trPr>
        <w:tc>
          <w:tcPr>
            <w:tcW w:w="10518" w:type="dxa"/>
            <w:gridSpan w:val="7"/>
            <w:tcBorders>
              <w:top w:val="single" w:color="000000" w:sz="4" w:space="0"/>
              <w:left w:val="single" w:color="000000" w:sz="4" w:space="0"/>
              <w:bottom w:val="single" w:color="auto"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仪器类</w:t>
            </w:r>
          </w:p>
        </w:tc>
      </w:tr>
      <w:tr>
        <w:tblPrEx>
          <w:tblLayout w:type="fixed"/>
          <w:tblCellMar>
            <w:top w:w="0" w:type="dxa"/>
            <w:left w:w="0" w:type="dxa"/>
            <w:bottom w:w="0" w:type="dxa"/>
            <w:right w:w="0" w:type="dxa"/>
          </w:tblCellMar>
        </w:tblPrEx>
        <w:trPr>
          <w:trHeight w:val="2022"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体重秤</w:t>
            </w:r>
          </w:p>
        </w:tc>
        <w:tc>
          <w:tcPr>
            <w:tcW w:w="608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lang w:val="en-US"/>
              </w:rPr>
            </w:pPr>
            <w:r>
              <w:rPr>
                <w:rFonts w:hint="eastAsia" w:asciiTheme="minorEastAsia" w:hAnsiTheme="minorEastAsia" w:eastAsiaTheme="minorEastAsia" w:cstheme="minorEastAsia"/>
                <w:i w:val="0"/>
                <w:color w:val="auto"/>
                <w:kern w:val="0"/>
                <w:sz w:val="24"/>
                <w:szCs w:val="24"/>
                <w:u w:val="none"/>
                <w:lang w:val="en-US" w:eastAsia="zh-CN" w:bidi="ar"/>
              </w:rPr>
              <w:t xml:space="preserve">RGZ-120 指针为金属铝制指针，精准，不易断。秤板上加有保护罩，规格27.9cm *37.9cm*2.2cm。 承重板常规为1.2mm 1.5mm 1.8MM厚，底座秤板为2.0mm厚优质钢板，体重计旋转脚钉式设计，高度可调节0-8mm，底座更平稳 。物理秤抗干扰。 表盘清晰明了，精准稳定灵敏。 静电喷塑，铝制清晰测量杆。最大称量120千克，最小分度值0.5千克,量度范围700mm-1900mm，最小分度值5mm误差±5mm，身高尺安装稳固，使用灵活. </w:t>
            </w:r>
            <w:r>
              <w:rPr>
                <w:rFonts w:hint="eastAsia" w:asciiTheme="minorEastAsia" w:hAnsiTheme="minorEastAsia" w:eastAsiaTheme="minorEastAsia" w:cstheme="minorEastAsia"/>
                <w:b/>
                <w:bCs/>
                <w:i w:val="0"/>
                <w:color w:val="auto"/>
                <w:kern w:val="0"/>
                <w:sz w:val="24"/>
                <w:szCs w:val="24"/>
                <w:u w:val="none"/>
                <w:lang w:val="en-US" w:eastAsia="zh-CN" w:bidi="ar"/>
              </w:rPr>
              <w:t>★提供产品省级或以上产品检测报告复印件。</w:t>
            </w:r>
            <w:r>
              <w:rPr>
                <w:rFonts w:hint="eastAsia" w:asciiTheme="minorEastAsia" w:hAnsiTheme="minorEastAsia" w:eastAsiaTheme="minorEastAsia" w:cstheme="minorEastAsia"/>
                <w:b/>
                <w:bCs/>
                <w:color w:val="auto"/>
                <w:kern w:val="0"/>
                <w:sz w:val="24"/>
                <w:szCs w:val="24"/>
                <w:lang w:eastAsia="zh-CN"/>
              </w:rPr>
              <w:t>并</w:t>
            </w:r>
            <w:r>
              <w:rPr>
                <w:rFonts w:hint="eastAsia" w:asciiTheme="minorEastAsia" w:hAnsiTheme="minorEastAsia" w:eastAsiaTheme="minorEastAsia" w:cstheme="minorEastAsia"/>
                <w:b/>
                <w:bCs/>
                <w:color w:val="auto"/>
                <w:sz w:val="24"/>
                <w:szCs w:val="24"/>
              </w:rPr>
              <w:t>提供生产厂家</w:t>
            </w:r>
            <w:r>
              <w:rPr>
                <w:rFonts w:hint="eastAsia" w:asciiTheme="minorEastAsia" w:hAnsiTheme="minorEastAsia" w:eastAsiaTheme="minorEastAsia" w:cstheme="minorEastAsia"/>
                <w:b/>
                <w:bCs/>
                <w:color w:val="auto"/>
                <w:sz w:val="24"/>
                <w:szCs w:val="24"/>
                <w:lang w:eastAsia="zh-CN"/>
              </w:rPr>
              <w:t>授权书</w:t>
            </w:r>
            <w:r>
              <w:rPr>
                <w:rFonts w:hint="eastAsia" w:asciiTheme="minorEastAsia" w:hAnsiTheme="minorEastAsia" w:eastAsiaTheme="minorEastAsia" w:cstheme="minorEastAsia"/>
                <w:b/>
                <w:bCs/>
                <w:color w:val="auto"/>
                <w:sz w:val="24"/>
                <w:szCs w:val="24"/>
              </w:rPr>
              <w:t>的原件</w:t>
            </w:r>
          </w:p>
        </w:tc>
        <w:tc>
          <w:tcPr>
            <w:tcW w:w="68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auto"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auto"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2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电子肺活量计</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电子式 1.供中小学卫生室测试学生肺活量使用。2.规格：电子式，液晶屏尺寸：60*26mm  测量范围：0～10000mL，最小分辫率：1mL。  3.精度：1%F.S(气体容积以当时状态计)  4.工作电压：220V/50Hz或交直流两用。5.配一次性吹嘴。</w:t>
            </w:r>
          </w:p>
          <w:p>
            <w:pPr>
              <w:widowControl/>
              <w:jc w:val="left"/>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b/>
                <w:bCs/>
                <w:color w:val="auto"/>
                <w:kern w:val="0"/>
                <w:sz w:val="24"/>
                <w:szCs w:val="24"/>
              </w:rPr>
              <w:t>产品通过省级或以上产品检测</w:t>
            </w:r>
            <w:r>
              <w:rPr>
                <w:rFonts w:hint="eastAsia" w:asciiTheme="minorEastAsia" w:hAnsiTheme="minorEastAsia" w:eastAsiaTheme="minorEastAsia" w:cstheme="minorEastAsia"/>
                <w:b/>
                <w:bCs/>
                <w:color w:val="auto"/>
                <w:kern w:val="0"/>
                <w:sz w:val="24"/>
                <w:szCs w:val="24"/>
                <w:lang w:eastAsia="zh-CN"/>
              </w:rPr>
              <w:t>复印件</w:t>
            </w:r>
            <w:r>
              <w:rPr>
                <w:rFonts w:hint="eastAsia" w:asciiTheme="minorEastAsia" w:hAnsiTheme="minorEastAsia" w:eastAsiaTheme="minorEastAsia" w:cstheme="minorEastAsia"/>
                <w:b/>
                <w:bCs/>
                <w:color w:val="auto"/>
                <w:kern w:val="0"/>
                <w:sz w:val="24"/>
                <w:szCs w:val="24"/>
              </w:rPr>
              <w:t>，</w:t>
            </w:r>
            <w:r>
              <w:rPr>
                <w:rFonts w:hint="eastAsia" w:asciiTheme="minorEastAsia" w:hAnsiTheme="minorEastAsia" w:eastAsiaTheme="minorEastAsia" w:cstheme="minorEastAsia"/>
                <w:b/>
                <w:bCs/>
                <w:color w:val="auto"/>
                <w:kern w:val="0"/>
                <w:sz w:val="24"/>
                <w:szCs w:val="24"/>
                <w:lang w:eastAsia="zh-CN"/>
              </w:rPr>
              <w:t>并</w:t>
            </w:r>
            <w:r>
              <w:rPr>
                <w:rFonts w:hint="eastAsia" w:asciiTheme="minorEastAsia" w:hAnsiTheme="minorEastAsia" w:eastAsiaTheme="minorEastAsia" w:cstheme="minorEastAsia"/>
                <w:b/>
                <w:bCs/>
                <w:color w:val="auto"/>
                <w:sz w:val="24"/>
                <w:szCs w:val="24"/>
              </w:rPr>
              <w:t>提供生产厂家</w:t>
            </w:r>
            <w:r>
              <w:rPr>
                <w:rFonts w:hint="eastAsia" w:asciiTheme="minorEastAsia" w:hAnsiTheme="minorEastAsia" w:eastAsiaTheme="minorEastAsia" w:cstheme="minorEastAsia"/>
                <w:b/>
                <w:bCs/>
                <w:color w:val="auto"/>
                <w:sz w:val="24"/>
                <w:szCs w:val="24"/>
                <w:lang w:eastAsia="zh-CN"/>
              </w:rPr>
              <w:t>授权书</w:t>
            </w:r>
            <w:r>
              <w:rPr>
                <w:rFonts w:hint="eastAsia" w:asciiTheme="minorEastAsia" w:hAnsiTheme="minorEastAsia" w:eastAsiaTheme="minorEastAsia" w:cstheme="minorEastAsia"/>
                <w:b/>
                <w:bCs/>
                <w:color w:val="auto"/>
                <w:sz w:val="24"/>
                <w:szCs w:val="24"/>
              </w:rPr>
              <w:t>的原件</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9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血压计</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台式水银，测量范围：0-300mmHg(0-40KPa) ；基本误差：±3.75mmHg；灵敏度2.25mmHg；外形尺寸：350*92*50mm。</w:t>
            </w:r>
          </w:p>
          <w:p>
            <w:pPr>
              <w:widowControl/>
              <w:jc w:val="left"/>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b/>
                <w:bCs/>
                <w:i w:val="0"/>
                <w:color w:val="auto"/>
                <w:kern w:val="0"/>
                <w:sz w:val="24"/>
                <w:szCs w:val="24"/>
                <w:u w:val="none"/>
                <w:lang w:val="en-US" w:eastAsia="zh-CN" w:bidi="ar"/>
              </w:rPr>
              <w:t>★</w:t>
            </w:r>
            <w:r>
              <w:rPr>
                <w:rFonts w:hint="eastAsia" w:asciiTheme="minorEastAsia" w:hAnsiTheme="minorEastAsia" w:eastAsiaTheme="minorEastAsia" w:cstheme="minorEastAsia"/>
                <w:b/>
                <w:bCs/>
                <w:color w:val="auto"/>
                <w:kern w:val="0"/>
                <w:sz w:val="24"/>
                <w:szCs w:val="24"/>
              </w:rPr>
              <w:t>提供医疗器械生产许可证，医疗器械产品注册证，产品通过省级或以上产品检测，</w:t>
            </w:r>
            <w:r>
              <w:rPr>
                <w:rFonts w:hint="eastAsia" w:asciiTheme="minorEastAsia" w:hAnsiTheme="minorEastAsia" w:eastAsiaTheme="minorEastAsia" w:cstheme="minorEastAsia"/>
                <w:b/>
                <w:bCs/>
                <w:color w:val="auto"/>
                <w:kern w:val="0"/>
                <w:sz w:val="24"/>
                <w:szCs w:val="24"/>
                <w:lang w:eastAsia="zh-CN"/>
              </w:rPr>
              <w:t>并</w:t>
            </w:r>
            <w:r>
              <w:rPr>
                <w:rFonts w:hint="eastAsia" w:asciiTheme="minorEastAsia" w:hAnsiTheme="minorEastAsia" w:eastAsiaTheme="minorEastAsia" w:cstheme="minorEastAsia"/>
                <w:b/>
                <w:bCs/>
                <w:color w:val="auto"/>
                <w:sz w:val="24"/>
                <w:szCs w:val="24"/>
              </w:rPr>
              <w:t>提供生产厂家</w:t>
            </w:r>
            <w:r>
              <w:rPr>
                <w:rFonts w:hint="eastAsia" w:asciiTheme="minorEastAsia" w:hAnsiTheme="minorEastAsia" w:eastAsiaTheme="minorEastAsia" w:cstheme="minorEastAsia"/>
                <w:b/>
                <w:bCs/>
                <w:color w:val="auto"/>
                <w:sz w:val="24"/>
                <w:szCs w:val="24"/>
                <w:lang w:eastAsia="zh-CN"/>
              </w:rPr>
              <w:t>授权书</w:t>
            </w:r>
            <w:r>
              <w:rPr>
                <w:rFonts w:hint="eastAsia" w:asciiTheme="minorEastAsia" w:hAnsiTheme="minorEastAsia" w:eastAsiaTheme="minorEastAsia" w:cstheme="minorEastAsia"/>
                <w:b/>
                <w:bCs/>
                <w:color w:val="auto"/>
                <w:sz w:val="24"/>
                <w:szCs w:val="24"/>
              </w:rPr>
              <w:t>的原件</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88"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听诊器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单用A型，铜镀铬耳挂和三通，加厚扁型听头，精致塑料内盒包装。</w:t>
            </w:r>
          </w:p>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b/>
                <w:bCs/>
                <w:i w:val="0"/>
                <w:color w:val="auto"/>
                <w:kern w:val="0"/>
                <w:sz w:val="24"/>
                <w:szCs w:val="24"/>
                <w:u w:val="none"/>
                <w:lang w:val="en-US" w:eastAsia="zh-CN" w:bidi="ar"/>
              </w:rPr>
              <w:t>★</w:t>
            </w:r>
            <w:r>
              <w:rPr>
                <w:rFonts w:hint="eastAsia" w:asciiTheme="minorEastAsia" w:hAnsiTheme="minorEastAsia" w:eastAsiaTheme="minorEastAsia" w:cstheme="minorEastAsia"/>
                <w:b/>
                <w:bCs/>
                <w:color w:val="auto"/>
                <w:kern w:val="0"/>
                <w:sz w:val="24"/>
                <w:szCs w:val="24"/>
              </w:rPr>
              <w:t>提供医疗器械生产备案凭证，产品备案凭证，产品通过省级或以上医疗器械检验所出具的产品检测报告</w:t>
            </w:r>
            <w:r>
              <w:rPr>
                <w:rFonts w:hint="eastAsia" w:asciiTheme="minorEastAsia" w:hAnsiTheme="minorEastAsia" w:eastAsiaTheme="minorEastAsia" w:cstheme="minorEastAsia"/>
                <w:b/>
                <w:bCs/>
                <w:color w:val="auto"/>
                <w:kern w:val="0"/>
                <w:sz w:val="24"/>
                <w:szCs w:val="24"/>
                <w:lang w:eastAsia="zh-CN"/>
              </w:rPr>
              <w:t>等复印件加盖公章</w:t>
            </w:r>
            <w:r>
              <w:rPr>
                <w:rFonts w:hint="eastAsia" w:asciiTheme="minorEastAsia" w:hAnsiTheme="minorEastAsia" w:eastAsiaTheme="minorEastAsia" w:cstheme="minorEastAsia"/>
                <w:b/>
                <w:bCs/>
                <w:color w:val="auto"/>
                <w:kern w:val="0"/>
                <w:sz w:val="24"/>
                <w:szCs w:val="24"/>
              </w:rPr>
              <w:t>，</w:t>
            </w:r>
            <w:r>
              <w:rPr>
                <w:rFonts w:hint="eastAsia" w:asciiTheme="minorEastAsia" w:hAnsiTheme="minorEastAsia" w:eastAsiaTheme="minorEastAsia" w:cstheme="minorEastAsia"/>
                <w:b/>
                <w:bCs/>
                <w:color w:val="auto"/>
                <w:kern w:val="0"/>
                <w:sz w:val="24"/>
                <w:szCs w:val="24"/>
                <w:lang w:eastAsia="zh-CN"/>
              </w:rPr>
              <w:t>并</w:t>
            </w:r>
            <w:r>
              <w:rPr>
                <w:rFonts w:hint="eastAsia" w:asciiTheme="minorEastAsia" w:hAnsiTheme="minorEastAsia" w:eastAsiaTheme="minorEastAsia" w:cstheme="minorEastAsia"/>
                <w:b/>
                <w:bCs/>
                <w:color w:val="auto"/>
                <w:sz w:val="24"/>
                <w:szCs w:val="24"/>
              </w:rPr>
              <w:t>提供生产厂家</w:t>
            </w:r>
            <w:r>
              <w:rPr>
                <w:rFonts w:hint="eastAsia" w:asciiTheme="minorEastAsia" w:hAnsiTheme="minorEastAsia" w:eastAsiaTheme="minorEastAsia" w:cstheme="minorEastAsia"/>
                <w:b/>
                <w:bCs/>
                <w:color w:val="auto"/>
                <w:sz w:val="24"/>
                <w:szCs w:val="24"/>
                <w:lang w:eastAsia="zh-CN"/>
              </w:rPr>
              <w:t>授权书</w:t>
            </w:r>
            <w:r>
              <w:rPr>
                <w:rFonts w:hint="eastAsia" w:asciiTheme="minorEastAsia" w:hAnsiTheme="minorEastAsia" w:eastAsiaTheme="minorEastAsia" w:cstheme="minorEastAsia"/>
                <w:b/>
                <w:bCs/>
                <w:color w:val="auto"/>
                <w:sz w:val="24"/>
                <w:szCs w:val="24"/>
              </w:rPr>
              <w:t>的原件</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付</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842"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紫外线灯</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紫外线波长为253.7A，电源电压220V50Hz，功率为2*30W，灯臂可以调节，调节角度0-180度。采用双灯管结构，也可单独使用，不用时可垂放，关上保护门，以免灯管破坏，又能保持灯管清洁。 底座人性化设计，安装方便，解决用户安装不便的难题。定时器可以在120分钟内定时控制消毒时间，定时器工作完毕会自行断路而灯管熄灭。</w:t>
            </w:r>
          </w:p>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lang w:eastAsia="zh-CN"/>
              </w:rPr>
            </w:pP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b/>
                <w:bCs/>
                <w:color w:val="auto"/>
                <w:kern w:val="0"/>
                <w:sz w:val="24"/>
                <w:szCs w:val="24"/>
              </w:rPr>
              <w:t>产品通过省级或以上产品检测</w:t>
            </w:r>
            <w:r>
              <w:rPr>
                <w:rFonts w:hint="eastAsia" w:asciiTheme="minorEastAsia" w:hAnsiTheme="minorEastAsia" w:eastAsiaTheme="minorEastAsia" w:cstheme="minorEastAsia"/>
                <w:b/>
                <w:bCs/>
                <w:color w:val="auto"/>
                <w:kern w:val="0"/>
                <w:sz w:val="24"/>
                <w:szCs w:val="24"/>
                <w:lang w:eastAsia="zh-CN"/>
              </w:rPr>
              <w:t>复印件加盖公章，原件备查</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422"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视力表灯箱</w:t>
            </w:r>
            <w:r>
              <w:rPr>
                <w:rFonts w:hint="eastAsia" w:asciiTheme="minorEastAsia" w:hAnsiTheme="minorEastAsia" w:eastAsiaTheme="minorEastAsia" w:cstheme="minorEastAsia"/>
                <w:i w:val="0"/>
                <w:color w:val="auto"/>
                <w:kern w:val="0"/>
                <w:sz w:val="24"/>
                <w:szCs w:val="24"/>
                <w:u w:val="none"/>
                <w:lang w:val="en-US" w:eastAsia="zh-CN" w:bidi="ar"/>
              </w:rPr>
              <w:br w:type="textWrapping"/>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5M标准对数 ，视力表灯箱采用三划等长的正方形“E”字视标，光照度应达到200~700Lx，铝合金外框，电压：220V/50hz,输入功率：≤60VA+15%，外形尺寸：940x280x80mm，含指示棒，遮眼板。</w:t>
            </w:r>
          </w:p>
          <w:p>
            <w:pPr>
              <w:widowControl/>
              <w:jc w:val="left"/>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b/>
                <w:bCs/>
                <w:color w:val="auto"/>
                <w:kern w:val="0"/>
                <w:sz w:val="24"/>
                <w:szCs w:val="24"/>
              </w:rPr>
              <w:t>提供医疗器械生产备案凭证，产品备案凭证，产品通过省级或以上医疗器械检验所出具的产品检测报告，</w:t>
            </w:r>
            <w:r>
              <w:rPr>
                <w:rFonts w:hint="eastAsia" w:asciiTheme="minorEastAsia" w:hAnsiTheme="minorEastAsia" w:eastAsiaTheme="minorEastAsia" w:cstheme="minorEastAsia"/>
                <w:b/>
                <w:bCs/>
                <w:color w:val="auto"/>
                <w:kern w:val="0"/>
                <w:sz w:val="24"/>
                <w:szCs w:val="24"/>
                <w:lang w:eastAsia="zh-CN"/>
              </w:rPr>
              <w:t>并</w:t>
            </w:r>
            <w:r>
              <w:rPr>
                <w:rFonts w:hint="eastAsia" w:asciiTheme="minorEastAsia" w:hAnsiTheme="minorEastAsia" w:eastAsiaTheme="minorEastAsia" w:cstheme="minorEastAsia"/>
                <w:b/>
                <w:bCs/>
                <w:color w:val="auto"/>
                <w:sz w:val="24"/>
                <w:szCs w:val="24"/>
              </w:rPr>
              <w:t>提供生产厂家</w:t>
            </w:r>
            <w:r>
              <w:rPr>
                <w:rFonts w:hint="eastAsia" w:asciiTheme="minorEastAsia" w:hAnsiTheme="minorEastAsia" w:eastAsiaTheme="minorEastAsia" w:cstheme="minorEastAsia"/>
                <w:b/>
                <w:bCs/>
                <w:color w:val="auto"/>
                <w:sz w:val="24"/>
                <w:szCs w:val="24"/>
                <w:lang w:eastAsia="zh-CN"/>
              </w:rPr>
              <w:t>授权书</w:t>
            </w:r>
            <w:r>
              <w:rPr>
                <w:rFonts w:hint="eastAsia" w:asciiTheme="minorEastAsia" w:hAnsiTheme="minorEastAsia" w:eastAsiaTheme="minorEastAsia" w:cstheme="minorEastAsia"/>
                <w:b/>
                <w:bCs/>
                <w:color w:val="auto"/>
                <w:sz w:val="24"/>
                <w:szCs w:val="24"/>
              </w:rPr>
              <w:t>的原件</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20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落地蛇形灯</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不锈钢反光灯。升降杆调整范围：1380㎜—1730㎜;电源电压： 220V±22V 50Hz±1 Hz;输入功率： ≤200VA;环境温度：5℃--40℃;湿度：≤80%;大气压力：86Kpa--106 Kpa;使用灯泡功率： ≤200W;电源线长度：1650mm.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额戴反光镜</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直径80mm,五官科反光器具</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串镜片</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检查眼镜屈光度专用，精致铝盒装。串镜片：规格型号 30型，每排5片，共6排30片。</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8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测径规</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钢制，342mm×82mm×12mm，外径测量范围：0-500mm，内径测量范围：0-250mm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26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开合式担架</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折叠式，2100×530×180mm 折叠式担架承受最大静载荷150Kg的力后，担架杆不允许产生永久性变形，帆布面、帆布缝制处及担架脚无开裂、破损现象</w:t>
            </w:r>
          </w:p>
          <w:p>
            <w:pPr>
              <w:widowControl/>
              <w:jc w:val="left"/>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b/>
                <w:bCs/>
                <w:color w:val="auto"/>
                <w:kern w:val="0"/>
                <w:sz w:val="24"/>
                <w:szCs w:val="24"/>
              </w:rPr>
              <w:t>提供医疗器械生产许可证，医疗器械产品注册证，产品通过省级或以上产品检测</w:t>
            </w:r>
            <w:r>
              <w:rPr>
                <w:rFonts w:hint="eastAsia" w:asciiTheme="minorEastAsia" w:hAnsiTheme="minorEastAsia" w:eastAsiaTheme="minorEastAsia" w:cstheme="minorEastAsia"/>
                <w:b/>
                <w:bCs/>
                <w:color w:val="auto"/>
                <w:kern w:val="0"/>
                <w:sz w:val="24"/>
                <w:szCs w:val="24"/>
                <w:lang w:eastAsia="zh-CN"/>
              </w:rPr>
              <w:t>复印件</w:t>
            </w:r>
            <w:r>
              <w:rPr>
                <w:rFonts w:hint="eastAsia" w:asciiTheme="minorEastAsia" w:hAnsiTheme="minorEastAsia" w:eastAsiaTheme="minorEastAsia" w:cstheme="minorEastAsia"/>
                <w:b/>
                <w:bCs/>
                <w:color w:val="auto"/>
                <w:kern w:val="0"/>
                <w:sz w:val="24"/>
                <w:szCs w:val="24"/>
              </w:rPr>
              <w:t>，</w:t>
            </w:r>
            <w:r>
              <w:rPr>
                <w:rFonts w:hint="eastAsia" w:asciiTheme="minorEastAsia" w:hAnsiTheme="minorEastAsia" w:eastAsiaTheme="minorEastAsia" w:cstheme="minorEastAsia"/>
                <w:b/>
                <w:bCs/>
                <w:color w:val="auto"/>
                <w:kern w:val="0"/>
                <w:sz w:val="24"/>
                <w:szCs w:val="24"/>
                <w:lang w:eastAsia="zh-CN"/>
              </w:rPr>
              <w:t>并</w:t>
            </w:r>
            <w:r>
              <w:rPr>
                <w:rFonts w:hint="eastAsia" w:asciiTheme="minorEastAsia" w:hAnsiTheme="minorEastAsia" w:eastAsiaTheme="minorEastAsia" w:cstheme="minorEastAsia"/>
                <w:b/>
                <w:bCs/>
                <w:color w:val="auto"/>
                <w:sz w:val="24"/>
                <w:szCs w:val="24"/>
              </w:rPr>
              <w:t>提供生产厂家</w:t>
            </w:r>
            <w:r>
              <w:rPr>
                <w:rFonts w:hint="eastAsia" w:asciiTheme="minorEastAsia" w:hAnsiTheme="minorEastAsia" w:eastAsiaTheme="minorEastAsia" w:cstheme="minorEastAsia"/>
                <w:b/>
                <w:bCs/>
                <w:color w:val="auto"/>
                <w:sz w:val="24"/>
                <w:szCs w:val="24"/>
                <w:lang w:eastAsia="zh-CN"/>
              </w:rPr>
              <w:t>授权书</w:t>
            </w:r>
            <w:r>
              <w:rPr>
                <w:rFonts w:hint="eastAsia" w:asciiTheme="minorEastAsia" w:hAnsiTheme="minorEastAsia" w:eastAsiaTheme="minorEastAsia" w:cstheme="minorEastAsia"/>
                <w:b/>
                <w:bCs/>
                <w:color w:val="auto"/>
                <w:sz w:val="24"/>
                <w:szCs w:val="24"/>
              </w:rPr>
              <w:t>的原件</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付</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14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皮脂厚度测量仪</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皮脂厚度计刻度盘范围0-60mm，分度值0.5mm，指针指示，正常指示为零，可调节。接点间压力调节到10克/平方毫米 。精致铝盒包装，箱体300*120*65mm，产品全长270mm，把柄长110mm厚20mm，,上下臂长150mm厚4mm。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24"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压缩空气式雾化器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1、功能：供药物雾化吸入治疗用。2、主要参数：1）正常工作条件a)环境温度：5℃～40℃；b)相对湿度：≤80%；c)大气压力：86kPa～106kPa；d)电源电压：交流220V；</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e)频率：50Hz。2）最大雾化率：≥0.20mL/min；3）压缩泵最大压强：≥0.15MPa；</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4）压缩泵的自由空气流量应不低于6L/min。5）残液量应不大于2mL。6）正常工作压力范围为60kPa～130kP。7）整机噪音：≤65dB（A）；8）输入功率：≤130VA。</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2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身高坐高计</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HM1000-SZ 机械式 身高量程60～200cm，坐高量程30～120cm，分度值1mm，误差±2mm，重复性±2mm；底板：398*386*15mm、 坐板：390*290*15mm ；显示：刻度尺。刻度尺使用灵无分段、接活，刻度计不锈钢或铝合金制，刻度计缝。</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急救箱</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纱布块，药棉，创口贴，体温计，镊子，剪刀，绷带，止血带，急救毯，酒精，碘伏，风油精，清凉油，烫伤膏等  (具体配置参照客户要求)</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82"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外伤处理器械</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脱脂纱布1包，药棉1包，绷带1卷，40止血带1根，创口贴10片，镊子1把，剪刀1把，酒精1瓶，碘伏1瓶，止血钳1把，缝合针1包，缝合线1捆等等</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口腔检查器械</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塑料箱，一次性口腔器械盒，口镜，口腔镊，牙探针，压舌板，弯盘等</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卫生箱</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铝合金359*189*209mm ，内有隔层，可手提或肩背</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远视力表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视力检测用 400*660mm ，纸质</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近视力表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视力检测用 210*770mm ，纸质</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胸围尺</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150cm   测量范围：0-150cm 材质：ABS。．PVC塑料质，顶端粘附金属薄片；2.双面刻度，分度值≤1mm，有效量程：≥1500mm。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条</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辨色图谱</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色盲检查图(第五版)</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本</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23</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教室卫生测量尺</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材质：木质 ， 规格：三折</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24</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器械台（车）</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不锈钢双层，带轮，500*400*850mm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污物桶</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 300mm,脚踏翻盖式</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26</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敷料缸</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不锈钢9cm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27</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棉球缸</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不锈钢9cm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28</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器械缸</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不锈钢9cm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29</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贮槽</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不锈钢20cm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方盘</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不锈钢31*24cm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带盖方盘</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不锈钢23*15cm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32</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酒精灯</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150ml，加厚玻璃酒精灯。</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33</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冲眼壶</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34</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受水器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塑料精致而成</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医用剪刀</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12.5-22cm ， 12把/套</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36</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医用镊子</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12.5-25cm ， 6种/套</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37</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叩诊锤</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不锈钢支架， 带刻度</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38</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压舌板</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14cm不锈钢</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39</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口镜</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27平光/放大</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止血带</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卡扣式</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计算器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十六位电子显示</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42</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回转台</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回转台，可旋转，高度13.5cm ,盘面直径31.5cm,底座的直径21.5cm</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43</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心率遥测仪</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PTA心率遥测仪，国体监制，和调频调谐收音机配合使用。</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44</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氧气瓶</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10L钢制，含氧气吸入器等</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45</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秒表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液晶数字式秒表:显示月、日、星期、时、分、秒; 1/100秒计时（&lt;30分）</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46</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注射器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5ml一次性灭菌塑料注射器</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47</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神灯</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头外框：24*17cm,头内径：18.5*17cm,上杆：32cm,中杆：29cm,下杆：43cm,可调节高度:94-143cm,波普范围:2-50微米</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48</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带状检影镜</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YZ24带状光检影镜， 光源：3.5V/2.8W卤钨灯泡。充电器：AC110V-240V,  50Hz电源：Li+电池组 DC:3.7V.输入功率：20VA.   YZB/苏0444-2009</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9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49</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五官检查器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WG-I医用，窥耳器(直径2,3,4毫米) ×4, 窥鼻器(直径8) ×1 ,鼻扩张器 ×1, 喉镜杆 ×1, 反光喉镜(Φ15/Φ18/Φ21) ×3  塑料压舌板 ×1 , 电筒手柄 ×1,备用电珠（2.5V/0.3A）×4   电源：1.5V×2 “C”型电池（2号）</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6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电子握力计</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电子式，材质：塑料，电子；测量范围：1-120 KGF；分辨率：0.1 KGF；测量精度：0.2%FS；电源电压：6.5-12V（电池），标准9V。</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58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照度计</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 最大测量：100000Lux，准确度高反应速度快，读值锁定功能，可锁定测量值，符号及单位显示，读取方便，自动归零，测量范围：1Lux-100000 Lux，分辨率：1Lux，显示：31/2位液晶显示器，显示量大读数1999，量程档位：2000 Lux档、20000 Lux、100000 Lux，Lux档显示之读数需要×10才为正确的照度值，100000 Lux档显示之读数需要×100才为正确的照度值，准确度：±（4%rdg+2d）0-19999Lux，±（5%rdg+2d）20000-100000Lux，(以色温2856K标准面灯校正)，重复测试：±2%，温度特性：±0.1d/℃,取样率：2.0次/秒，感光体：光二极管附滤光镜片，守载显示：2000 Lux，20000 Lux档过载显示“1”</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447"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52</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高压灭菌器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规格：手提电热式；容积：不小于15L；电源电压：220V±10% 50±1Hz；起闭压力0.14-0.165mpa，功率：2kw.  材质：锅体外壳、内腔均采用优质不锈钢SUS304材质制成，耐酸，耐碱，耐腐蚀；加热方式：电加热；18L  最高工作温度：126℃-128℃；由放汽阀、锅盖、排汽管、三角搁架、压力表、安全阀、消毒桶、锅体、电热管等部分组成,装有工作压力为0.14MPa的安全阀和能承受0.165MPa的放汽阀。</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515"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53</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音叉</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木盒， 钢质 256HZ</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82"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54</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异物针</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不锈钢，直，弯各一支</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55</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血糖仪</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著名商标，悦准I型，250组记忆，8秒快速检测</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56"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56</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常用防治矫正仪器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防治近视、弱视、钭视，标准型。</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57</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放大镜</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手持式，金属外圈，10倍放大</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06"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58</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喉头喷雾器</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医用(单手式双管)</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59</w:t>
            </w:r>
          </w:p>
        </w:tc>
        <w:tc>
          <w:tcPr>
            <w:tcW w:w="81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白大衣</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涤平（抗菌型），易洗耐磨，抗皱不起球，透气性好。</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8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工作帽</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涤卡面料/涤平、保证不起球；直径19厘米、高度14厘米。</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61</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夹板</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木质夹板，每组三套</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62</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拐杖</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铝合金材质，可伸缩</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付</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63</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体温计</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玻璃水银制</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64</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电炉</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密闭式，功率1000W</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0" w:hRule="atLeast"/>
          <w:jc w:val="center"/>
        </w:trPr>
        <w:tc>
          <w:tcPr>
            <w:tcW w:w="3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65</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热水袋</w:t>
            </w:r>
          </w:p>
        </w:tc>
        <w:tc>
          <w:tcPr>
            <w:tcW w:w="6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大号橡胶注水暖水袋</w:t>
            </w:r>
          </w:p>
        </w:tc>
        <w:tc>
          <w:tcPr>
            <w:tcW w:w="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bl>
    <w:p>
      <w:pPr>
        <w:jc w:val="cente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br w:type="page"/>
      </w:r>
      <w:r>
        <w:rPr>
          <w:rFonts w:hint="eastAsia" w:asciiTheme="minorEastAsia" w:hAnsiTheme="minorEastAsia" w:eastAsiaTheme="minorEastAsia" w:cstheme="minorEastAsia"/>
          <w:b/>
          <w:bCs/>
          <w:color w:val="auto"/>
          <w:sz w:val="24"/>
          <w:szCs w:val="24"/>
          <w:lang w:val="en-US" w:eastAsia="zh-CN"/>
        </w:rPr>
        <w:t>音乐室</w:t>
      </w:r>
    </w:p>
    <w:tbl>
      <w:tblPr>
        <w:tblStyle w:val="22"/>
        <w:tblW w:w="10598" w:type="dxa"/>
        <w:tblInd w:w="0" w:type="dxa"/>
        <w:shd w:val="clear" w:color="auto" w:fill="auto"/>
        <w:tblLayout w:type="fixed"/>
        <w:tblCellMar>
          <w:top w:w="0" w:type="dxa"/>
          <w:left w:w="0" w:type="dxa"/>
          <w:bottom w:w="0" w:type="dxa"/>
          <w:right w:w="0" w:type="dxa"/>
        </w:tblCellMar>
      </w:tblPr>
      <w:tblGrid>
        <w:gridCol w:w="374"/>
        <w:gridCol w:w="956"/>
        <w:gridCol w:w="5877"/>
        <w:gridCol w:w="767"/>
        <w:gridCol w:w="700"/>
        <w:gridCol w:w="666"/>
        <w:gridCol w:w="1258"/>
      </w:tblGrid>
      <w:tr>
        <w:tblPrEx>
          <w:shd w:val="clear" w:color="auto" w:fill="auto"/>
          <w:tblLayout w:type="fixed"/>
          <w:tblCellMar>
            <w:top w:w="0" w:type="dxa"/>
            <w:left w:w="0" w:type="dxa"/>
            <w:bottom w:w="0" w:type="dxa"/>
            <w:right w:w="0" w:type="dxa"/>
          </w:tblCellMar>
        </w:tblPrEx>
        <w:trPr>
          <w:trHeight w:val="48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FCD5B4"/>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lang w:val="en-US"/>
              </w:rPr>
            </w:pPr>
            <w:r>
              <w:rPr>
                <w:rFonts w:hint="eastAsia" w:asciiTheme="minorEastAsia" w:hAnsiTheme="minorEastAsia" w:eastAsiaTheme="minorEastAsia" w:cstheme="minorEastAsia"/>
                <w:b/>
                <w:i w:val="0"/>
                <w:color w:val="auto"/>
                <w:kern w:val="0"/>
                <w:sz w:val="24"/>
                <w:szCs w:val="24"/>
                <w:u w:val="none"/>
                <w:lang w:val="en-US" w:eastAsia="zh-CN" w:bidi="ar"/>
              </w:rPr>
              <w:t>音乐教室配置清单</w:t>
            </w:r>
          </w:p>
        </w:tc>
      </w:tr>
      <w:tr>
        <w:tblPrEx>
          <w:tblLayout w:type="fixed"/>
          <w:tblCellMar>
            <w:top w:w="0" w:type="dxa"/>
            <w:left w:w="0" w:type="dxa"/>
            <w:bottom w:w="0" w:type="dxa"/>
            <w:right w:w="0" w:type="dxa"/>
          </w:tblCellMar>
        </w:tblPrEx>
        <w:trPr>
          <w:trHeight w:val="462" w:hRule="atLeast"/>
        </w:trPr>
        <w:tc>
          <w:tcPr>
            <w:tcW w:w="374"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序号</w:t>
            </w:r>
          </w:p>
        </w:tc>
        <w:tc>
          <w:tcPr>
            <w:tcW w:w="956"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名称</w:t>
            </w:r>
          </w:p>
        </w:tc>
        <w:tc>
          <w:tcPr>
            <w:tcW w:w="5877"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规格尺寸，材质说明</w:t>
            </w:r>
          </w:p>
        </w:tc>
        <w:tc>
          <w:tcPr>
            <w:tcW w:w="767"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单位</w:t>
            </w:r>
          </w:p>
        </w:tc>
        <w:tc>
          <w:tcPr>
            <w:tcW w:w="700"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数量</w:t>
            </w:r>
          </w:p>
        </w:tc>
        <w:tc>
          <w:tcPr>
            <w:tcW w:w="666"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备注</w:t>
            </w:r>
          </w:p>
        </w:tc>
        <w:tc>
          <w:tcPr>
            <w:tcW w:w="1258"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参考图</w:t>
            </w:r>
          </w:p>
        </w:tc>
      </w:tr>
      <w:tr>
        <w:tblPrEx>
          <w:tblLayout w:type="fixed"/>
          <w:tblCellMar>
            <w:top w:w="0" w:type="dxa"/>
            <w:left w:w="0" w:type="dxa"/>
            <w:bottom w:w="0" w:type="dxa"/>
            <w:right w:w="0" w:type="dxa"/>
          </w:tblCellMar>
        </w:tblPrEx>
        <w:trPr>
          <w:trHeight w:val="336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钢琴</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琴键数：88鍵（7 1/4八度高音）</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踏板：3个 (中间踏板 弱音功能)</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琴槌：特制弦槌(使用天然羊毛）</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击弦机：KAWAI原装ABS击弦机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琴键：实木键盘特制材料，抗菌处理</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上门板：独特发音孔设计</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琴盖安全装置：键盘盖缓降功能</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外观颜色：亮光黑色</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重量(Kg)：261 kg</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尺寸：122cm（高）×151cm（宽）×59cm（深）</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44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音乐凳</w:t>
            </w:r>
          </w:p>
        </w:tc>
        <w:tc>
          <w:tcPr>
            <w:tcW w:w="58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尺寸：250*300*400mm六面体结构,材料：外型采用PVC吹塑而成，内部泡沫填充，三面有防滑橡胶垫，承受压力100公斤，装有隐藏式提手、重量轻适合学生自行搬动，没有锐角，清洗方便。品优势：环保.外形美观.移动轻便.不易磨损.清洗方便、使用寿命10年。</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48</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5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知识文化窗帘</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内容应适合小学生知识水平和理解能力，与学科教学内容相关或科学普及方面。每副挂图的选题适当，主题明确，无科学性错误，以图为主辅以文字。图片清晰美观，文字准确精炼，语句通顺易读，标点使用正确。</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平方</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04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器乐柜</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1000*500*2000mm省标准，铝木结构，立柱采用32*32铝合金结构，柜体板材16mm厚三聚氰氨板（双贴面），外露截面用PVC条封边。柜门上部为铝合金门框，5mm厚钢化玻璃对开门，安装锁。下部为16mm厚三聚氰胺贴面板对开门（双贴面）。上层2块隔板，下层1块隔板，隔板间距可调，16mm厚三聚氰胺面板（双贴面），有铝合金加强条。以上芯板均为E1级环保芯板，甲醛释放量（穿孔萃取法 ）应不大于≤8mg/100g。柜架为铝合金方管柜架，厚度不小于1.3mm，优质粉末静电喷塑，配耐磨脚钉高低可调。升降条冷轧钢，表面粉末静电喷塑，升降条长度为960mm,活动格间距不大于50mm</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9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乐器</w:t>
            </w:r>
          </w:p>
        </w:tc>
      </w:tr>
      <w:tr>
        <w:tblPrEx>
          <w:tblLayout w:type="fixed"/>
          <w:tblCellMar>
            <w:top w:w="0" w:type="dxa"/>
            <w:left w:w="0" w:type="dxa"/>
            <w:bottom w:w="0" w:type="dxa"/>
            <w:right w:w="0" w:type="dxa"/>
          </w:tblCellMar>
        </w:tblPrEx>
        <w:trPr>
          <w:trHeight w:val="42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电子钢琴</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88键配重键盘，有MIDI接口，带踏板和琴架</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9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音响系统</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含音箱（或有源音箱）一对、功放和DVD机各一台</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Chars="10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82"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音乐节拍器</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机械式</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6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音叉</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钢制，440Hz</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973"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初中音乐教学挂图</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适合初中音乐教学要求的音乐家肖像、乐器图样、乐理知识等，需涵盖《义务教育音乐课程标准（2011年版）》规定及教材所涉及的内容。应为国家正式出版物</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Chars="10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钟琴</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钢制，木架，音域4个八度（高、中、低音）</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沙锤</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椰壳制</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对</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卡巴撒</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中号</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双响筒</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木制，长17cm～18cm,宽19cm～20cm，棍长18cm～19cm</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副</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北梆子</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硬木制，坚实无疤节或劈裂，外表光滑无毛刺</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副</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12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南梆子</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红木、枣木或其他硬木制，坚实无疤节或劈裂。直径4cm、长25cm圆柱形和长20cm、宽5cm～6cm、厚4cm长方形为一副,外表光滑、圆弧和棱角适度</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Chars="10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副</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木鱼</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硬木，发音清脆，7音一组</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铃鼓</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木框,铜钹,羊皮鼓面,鼓面直径20cm～25cm</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三角铁</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钢制，边长分别为15cm、20cm、25cm，三件一套</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碰铃</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黄铜制，系绳</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副</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大军鼓</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66cm×30.5cm(26in×12in),含鼓槌</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小军鼓</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35.5cm×14cm（14in×5.5in）,含鼓棒</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竖笛</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八孔，高级品，木制</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陶笛</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单管十二孔中音C调（AC）等</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葫芦丝</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中音C调</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吉它</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六弦，民谣</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中虎音锣</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铜制，直径约30cm</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23</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小锣</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铜制，直径约22cm</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5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24</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铙</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铜制，直径27cm～55cm,铙面光、弧度适度、圆度准确、边缘厚度一致，中间的帽形大小和两面的音高要相同，两面为一副</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Chars="100"/>
              <w:jc w:val="righ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3"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钹</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铜制，钹面直径12cm～14cm，碗径5cm～7cm，碗高1.5cm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～2cm，钹面光、弧度适度、圆度准确、边缘厚度一致，中间的帽形大小和两面的音高要相同，两面为一副</w:t>
            </w: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Chars="100"/>
              <w:jc w:val="righ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26</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琵琶</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i w:val="0"/>
                <w:color w:val="auto"/>
                <w:sz w:val="24"/>
                <w:szCs w:val="24"/>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27</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筝</w:t>
            </w:r>
          </w:p>
        </w:tc>
        <w:tc>
          <w:tcPr>
            <w:tcW w:w="5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i w:val="0"/>
                <w:color w:val="auto"/>
                <w:sz w:val="24"/>
                <w:szCs w:val="24"/>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Chars="100"/>
              <w:jc w:val="right"/>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bl>
    <w:p>
      <w:pP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br w:type="page"/>
      </w:r>
    </w:p>
    <w:p>
      <w:pPr>
        <w:jc w:val="cente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美术室</w:t>
      </w:r>
    </w:p>
    <w:tbl>
      <w:tblPr>
        <w:tblStyle w:val="22"/>
        <w:tblW w:w="10598" w:type="dxa"/>
        <w:tblInd w:w="0" w:type="dxa"/>
        <w:shd w:val="clear" w:color="auto" w:fill="auto"/>
        <w:tblLayout w:type="fixed"/>
        <w:tblCellMar>
          <w:top w:w="0" w:type="dxa"/>
          <w:left w:w="0" w:type="dxa"/>
          <w:bottom w:w="0" w:type="dxa"/>
          <w:right w:w="0" w:type="dxa"/>
        </w:tblCellMar>
      </w:tblPr>
      <w:tblGrid>
        <w:gridCol w:w="357"/>
        <w:gridCol w:w="850"/>
        <w:gridCol w:w="6000"/>
        <w:gridCol w:w="750"/>
        <w:gridCol w:w="700"/>
        <w:gridCol w:w="683"/>
        <w:gridCol w:w="1258"/>
      </w:tblGrid>
      <w:tr>
        <w:tblPrEx>
          <w:shd w:val="clear" w:color="auto" w:fill="auto"/>
          <w:tblLayout w:type="fixed"/>
          <w:tblCellMar>
            <w:top w:w="0" w:type="dxa"/>
            <w:left w:w="0" w:type="dxa"/>
            <w:bottom w:w="0" w:type="dxa"/>
            <w:right w:w="0" w:type="dxa"/>
          </w:tblCellMar>
        </w:tblPrEx>
        <w:trPr>
          <w:trHeight w:val="559"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E4DFEC"/>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lang w:val="en-US"/>
              </w:rPr>
            </w:pPr>
            <w:r>
              <w:rPr>
                <w:rFonts w:hint="eastAsia" w:asciiTheme="minorEastAsia" w:hAnsiTheme="minorEastAsia" w:eastAsiaTheme="minorEastAsia" w:cstheme="minorEastAsia"/>
                <w:b/>
                <w:i w:val="0"/>
                <w:color w:val="auto"/>
                <w:kern w:val="0"/>
                <w:sz w:val="24"/>
                <w:szCs w:val="24"/>
                <w:u w:val="none"/>
                <w:lang w:val="en-US" w:eastAsia="zh-CN" w:bidi="ar"/>
              </w:rPr>
              <w:t>美术教室配置清单</w:t>
            </w:r>
          </w:p>
        </w:tc>
      </w:tr>
      <w:tr>
        <w:tblPrEx>
          <w:tblLayout w:type="fixed"/>
          <w:tblCellMar>
            <w:top w:w="0" w:type="dxa"/>
            <w:left w:w="0" w:type="dxa"/>
            <w:bottom w:w="0" w:type="dxa"/>
            <w:right w:w="0" w:type="dxa"/>
          </w:tblCellMar>
        </w:tblPrEx>
        <w:trPr>
          <w:trHeight w:val="60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序号</w:t>
            </w:r>
          </w:p>
        </w:tc>
        <w:tc>
          <w:tcPr>
            <w:tcW w:w="8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名称</w:t>
            </w:r>
          </w:p>
        </w:tc>
        <w:tc>
          <w:tcPr>
            <w:tcW w:w="60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规格尺寸，材质说明</w:t>
            </w:r>
          </w:p>
        </w:tc>
        <w:tc>
          <w:tcPr>
            <w:tcW w:w="75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单位</w:t>
            </w:r>
          </w:p>
        </w:tc>
        <w:tc>
          <w:tcPr>
            <w:tcW w:w="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数量</w:t>
            </w:r>
          </w:p>
        </w:tc>
        <w:tc>
          <w:tcPr>
            <w:tcW w:w="68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备注</w:t>
            </w:r>
          </w:p>
        </w:tc>
        <w:tc>
          <w:tcPr>
            <w:tcW w:w="12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参考图</w:t>
            </w:r>
          </w:p>
        </w:tc>
      </w:tr>
      <w:tr>
        <w:tblPrEx>
          <w:tblLayout w:type="fixed"/>
          <w:tblCellMar>
            <w:top w:w="0" w:type="dxa"/>
            <w:left w:w="0" w:type="dxa"/>
            <w:bottom w:w="0" w:type="dxa"/>
            <w:right w:w="0" w:type="dxa"/>
          </w:tblCellMar>
        </w:tblPrEx>
        <w:trPr>
          <w:trHeight w:val="308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教师台</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Style w:val="97"/>
                <w:rFonts w:hint="eastAsia" w:asciiTheme="minorEastAsia" w:hAnsiTheme="minorEastAsia" w:eastAsiaTheme="minorEastAsia" w:cstheme="minorEastAsia"/>
                <w:color w:val="auto"/>
                <w:sz w:val="24"/>
                <w:szCs w:val="24"/>
                <w:lang w:val="en-US" w:eastAsia="zh-CN" w:bidi="ar"/>
              </w:rPr>
              <w:t>桌子规格：1800*750*750mm</w:t>
            </w:r>
            <w:r>
              <w:rPr>
                <w:rStyle w:val="97"/>
                <w:rFonts w:hint="eastAsia" w:asciiTheme="minorEastAsia" w:hAnsiTheme="minorEastAsia" w:eastAsiaTheme="minorEastAsia" w:cstheme="minorEastAsia"/>
                <w:color w:val="auto"/>
                <w:sz w:val="24"/>
                <w:szCs w:val="24"/>
                <w:lang w:val="en-US" w:eastAsia="zh-CN" w:bidi="ar"/>
              </w:rPr>
              <w:br w:type="textWrapping"/>
            </w:r>
            <w:r>
              <w:rPr>
                <w:rStyle w:val="97"/>
                <w:rFonts w:hint="eastAsia" w:asciiTheme="minorEastAsia" w:hAnsiTheme="minorEastAsia" w:eastAsiaTheme="minorEastAsia" w:cstheme="minorEastAsia"/>
                <w:color w:val="auto"/>
                <w:sz w:val="24"/>
                <w:szCs w:val="24"/>
                <w:lang w:val="en-US" w:eastAsia="zh-CN" w:bidi="ar"/>
              </w:rPr>
              <w:t>材质及特点：</w:t>
            </w:r>
            <w:r>
              <w:rPr>
                <w:rStyle w:val="97"/>
                <w:rFonts w:hint="eastAsia" w:asciiTheme="minorEastAsia" w:hAnsiTheme="minorEastAsia" w:eastAsiaTheme="minorEastAsia" w:cstheme="minorEastAsia"/>
                <w:color w:val="auto"/>
                <w:sz w:val="24"/>
                <w:szCs w:val="24"/>
                <w:lang w:val="en-US" w:eastAsia="zh-CN" w:bidi="ar"/>
              </w:rPr>
              <w:br w:type="textWrapping"/>
            </w:r>
            <w:r>
              <w:rPr>
                <w:rStyle w:val="97"/>
                <w:rFonts w:hint="eastAsia" w:asciiTheme="minorEastAsia" w:hAnsiTheme="minorEastAsia" w:eastAsiaTheme="minorEastAsia" w:cstheme="minorEastAsia"/>
                <w:color w:val="auto"/>
                <w:sz w:val="24"/>
                <w:szCs w:val="24"/>
                <w:lang w:val="en-US" w:eastAsia="zh-CN" w:bidi="ar"/>
              </w:rPr>
              <w:t>台面：采用不薄于40mm优质</w:t>
            </w:r>
            <w:r>
              <w:rPr>
                <w:rStyle w:val="98"/>
                <w:rFonts w:hint="eastAsia" w:asciiTheme="minorEastAsia" w:hAnsiTheme="minorEastAsia" w:eastAsiaTheme="minorEastAsia" w:cstheme="minorEastAsia"/>
                <w:color w:val="auto"/>
                <w:sz w:val="24"/>
                <w:szCs w:val="24"/>
                <w:lang w:val="en-US" w:eastAsia="zh-CN" w:bidi="ar"/>
              </w:rPr>
              <w:t>橡胶指接木</w:t>
            </w:r>
            <w:r>
              <w:rPr>
                <w:rStyle w:val="97"/>
                <w:rFonts w:hint="eastAsia" w:asciiTheme="minorEastAsia" w:hAnsiTheme="minorEastAsia" w:eastAsiaTheme="minorEastAsia" w:cstheme="minorEastAsia"/>
                <w:color w:val="auto"/>
                <w:sz w:val="24"/>
                <w:szCs w:val="24"/>
                <w:lang w:val="en-US" w:eastAsia="zh-CN" w:bidi="ar"/>
              </w:rPr>
              <w:t>，精细加工，表面光滑平整，并经防裂防翘处理,表面采用环保联邦PU全哑清漆烤制</w:t>
            </w:r>
            <w:r>
              <w:rPr>
                <w:rStyle w:val="97"/>
                <w:rFonts w:hint="eastAsia" w:asciiTheme="minorEastAsia" w:hAnsiTheme="minorEastAsia" w:eastAsiaTheme="minorEastAsia" w:cstheme="minorEastAsia"/>
                <w:color w:val="auto"/>
                <w:sz w:val="24"/>
                <w:szCs w:val="24"/>
                <w:lang w:val="en-US" w:eastAsia="zh-CN" w:bidi="ar"/>
              </w:rPr>
              <w:br w:type="textWrapping"/>
            </w:r>
            <w:r>
              <w:rPr>
                <w:rStyle w:val="97"/>
                <w:rFonts w:hint="eastAsia" w:asciiTheme="minorEastAsia" w:hAnsiTheme="minorEastAsia" w:eastAsiaTheme="minorEastAsia" w:cstheme="minorEastAsia"/>
                <w:color w:val="auto"/>
                <w:sz w:val="24"/>
                <w:szCs w:val="24"/>
                <w:lang w:val="en-US" w:eastAsia="zh-CN" w:bidi="ar"/>
              </w:rPr>
              <w:t>桌身：采用30mm*60mm的方钢骨架,模具冲压配已优质的五金件连接,表面经纯环氧树脂塑粉高温固化处理，具防酸碱、防腐蚀、且承重的特点。</w:t>
            </w:r>
            <w:r>
              <w:rPr>
                <w:rStyle w:val="97"/>
                <w:rFonts w:hint="eastAsia" w:asciiTheme="minorEastAsia" w:hAnsiTheme="minorEastAsia" w:eastAsiaTheme="minorEastAsia" w:cstheme="minorEastAsia"/>
                <w:color w:val="auto"/>
                <w:sz w:val="24"/>
                <w:szCs w:val="24"/>
                <w:lang w:val="en-US" w:eastAsia="zh-CN" w:bidi="ar"/>
              </w:rPr>
              <w:br w:type="textWrapping"/>
            </w:r>
            <w:r>
              <w:rPr>
                <w:rStyle w:val="97"/>
                <w:rFonts w:hint="eastAsia" w:asciiTheme="minorEastAsia" w:hAnsiTheme="minorEastAsia" w:eastAsiaTheme="minorEastAsia" w:cstheme="minorEastAsia"/>
                <w:color w:val="auto"/>
                <w:sz w:val="24"/>
                <w:szCs w:val="24"/>
                <w:lang w:val="en-US" w:eastAsia="zh-CN" w:bidi="ar"/>
              </w:rPr>
              <w:t>结构：上下二层结构，第二层配16mm优质三聚氰胺饰面板，可放置常用工具，整体美观大方。</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59690</wp:posOffset>
                  </wp:positionH>
                  <wp:positionV relativeFrom="paragraph">
                    <wp:posOffset>738505</wp:posOffset>
                  </wp:positionV>
                  <wp:extent cx="631825" cy="509270"/>
                  <wp:effectExtent l="0" t="0" r="8255" b="8890"/>
                  <wp:wrapNone/>
                  <wp:docPr id="54" name="图片_12"/>
                  <wp:cNvGraphicFramePr/>
                  <a:graphic xmlns:a="http://schemas.openxmlformats.org/drawingml/2006/main">
                    <a:graphicData uri="http://schemas.openxmlformats.org/drawingml/2006/picture">
                      <pic:pic xmlns:pic="http://schemas.openxmlformats.org/drawingml/2006/picture">
                        <pic:nvPicPr>
                          <pic:cNvPr id="54" name="图片_12"/>
                          <pic:cNvPicPr/>
                        </pic:nvPicPr>
                        <pic:blipFill>
                          <a:blip r:embed="rId31"/>
                          <a:stretch>
                            <a:fillRect/>
                          </a:stretch>
                        </pic:blipFill>
                        <pic:spPr>
                          <a:xfrm>
                            <a:off x="0" y="0"/>
                            <a:ext cx="631825" cy="509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老师太师椅</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南榆实木仿古雕刻制作，轻质木精加工而成，古色古香</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180340</wp:posOffset>
                  </wp:positionH>
                  <wp:positionV relativeFrom="paragraph">
                    <wp:posOffset>173990</wp:posOffset>
                  </wp:positionV>
                  <wp:extent cx="505460" cy="0"/>
                  <wp:effectExtent l="0" t="0" r="0" b="0"/>
                  <wp:wrapNone/>
                  <wp:docPr id="47" name="图片_32"/>
                  <wp:cNvGraphicFramePr/>
                  <a:graphic xmlns:a="http://schemas.openxmlformats.org/drawingml/2006/main">
                    <a:graphicData uri="http://schemas.openxmlformats.org/drawingml/2006/picture">
                      <pic:pic xmlns:pic="http://schemas.openxmlformats.org/drawingml/2006/picture">
                        <pic:nvPicPr>
                          <pic:cNvPr id="47" name="图片_32"/>
                          <pic:cNvPicPr/>
                        </pic:nvPicPr>
                        <pic:blipFill>
                          <a:blip r:embed="rId32"/>
                          <a:stretch>
                            <a:fillRect/>
                          </a:stretch>
                        </pic:blipFill>
                        <pic:spPr>
                          <a:xfrm>
                            <a:off x="0" y="0"/>
                            <a:ext cx="505460" cy="0"/>
                          </a:xfrm>
                          <a:prstGeom prst="rect">
                            <a:avLst/>
                          </a:prstGeom>
                          <a:noFill/>
                          <a:ln>
                            <a:noFill/>
                          </a:ln>
                        </pic:spPr>
                      </pic:pic>
                    </a:graphicData>
                  </a:graphic>
                </wp:anchor>
              </w:drawing>
            </w: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400050</wp:posOffset>
                  </wp:positionH>
                  <wp:positionV relativeFrom="paragraph">
                    <wp:posOffset>173990</wp:posOffset>
                  </wp:positionV>
                  <wp:extent cx="285750" cy="0"/>
                  <wp:effectExtent l="0" t="0" r="0" b="0"/>
                  <wp:wrapNone/>
                  <wp:docPr id="48" name="图片_1"/>
                  <wp:cNvGraphicFramePr/>
                  <a:graphic xmlns:a="http://schemas.openxmlformats.org/drawingml/2006/main">
                    <a:graphicData uri="http://schemas.openxmlformats.org/drawingml/2006/picture">
                      <pic:pic xmlns:pic="http://schemas.openxmlformats.org/drawingml/2006/picture">
                        <pic:nvPicPr>
                          <pic:cNvPr id="48" name="图片_1"/>
                          <pic:cNvPicPr/>
                        </pic:nvPicPr>
                        <pic:blipFill>
                          <a:blip r:embed="rId33"/>
                          <a:stretch>
                            <a:fillRect/>
                          </a:stretch>
                        </pic:blipFill>
                        <pic:spPr>
                          <a:xfrm>
                            <a:off x="0" y="0"/>
                            <a:ext cx="285750" cy="0"/>
                          </a:xfrm>
                          <a:prstGeom prst="rect">
                            <a:avLst/>
                          </a:prstGeom>
                          <a:noFill/>
                          <a:ln>
                            <a:noFill/>
                          </a:ln>
                        </pic:spPr>
                      </pic:pic>
                    </a:graphicData>
                  </a:graphic>
                </wp:anchor>
              </w:drawing>
            </w: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571500</wp:posOffset>
                  </wp:positionH>
                  <wp:positionV relativeFrom="paragraph">
                    <wp:posOffset>173990</wp:posOffset>
                  </wp:positionV>
                  <wp:extent cx="114300" cy="0"/>
                  <wp:effectExtent l="0" t="0" r="0" b="0"/>
                  <wp:wrapNone/>
                  <wp:docPr id="49" name="图片_32_SpCnt_1"/>
                  <wp:cNvGraphicFramePr/>
                  <a:graphic xmlns:a="http://schemas.openxmlformats.org/drawingml/2006/main">
                    <a:graphicData uri="http://schemas.openxmlformats.org/drawingml/2006/picture">
                      <pic:pic xmlns:pic="http://schemas.openxmlformats.org/drawingml/2006/picture">
                        <pic:nvPicPr>
                          <pic:cNvPr id="49" name="图片_32_SpCnt_1"/>
                          <pic:cNvPicPr/>
                        </pic:nvPicPr>
                        <pic:blipFill>
                          <a:blip r:embed="rId34"/>
                          <a:stretch>
                            <a:fillRect/>
                          </a:stretch>
                        </pic:blipFill>
                        <pic:spPr>
                          <a:xfrm>
                            <a:off x="0" y="0"/>
                            <a:ext cx="114300" cy="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2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学生桌</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Style w:val="97"/>
                <w:rFonts w:hint="eastAsia" w:asciiTheme="minorEastAsia" w:hAnsiTheme="minorEastAsia" w:eastAsiaTheme="minorEastAsia" w:cstheme="minorEastAsia"/>
                <w:color w:val="auto"/>
                <w:sz w:val="24"/>
                <w:szCs w:val="24"/>
                <w:lang w:val="en-US" w:eastAsia="zh-CN" w:bidi="ar"/>
              </w:rPr>
              <w:t>桌子规格：2400*1200*750mm</w:t>
            </w:r>
            <w:r>
              <w:rPr>
                <w:rStyle w:val="97"/>
                <w:rFonts w:hint="eastAsia" w:asciiTheme="minorEastAsia" w:hAnsiTheme="minorEastAsia" w:eastAsiaTheme="minorEastAsia" w:cstheme="minorEastAsia"/>
                <w:color w:val="auto"/>
                <w:sz w:val="24"/>
                <w:szCs w:val="24"/>
                <w:lang w:val="en-US" w:eastAsia="zh-CN" w:bidi="ar"/>
              </w:rPr>
              <w:br w:type="textWrapping"/>
            </w:r>
            <w:r>
              <w:rPr>
                <w:rStyle w:val="97"/>
                <w:rFonts w:hint="eastAsia" w:asciiTheme="minorEastAsia" w:hAnsiTheme="minorEastAsia" w:eastAsiaTheme="minorEastAsia" w:cstheme="minorEastAsia"/>
                <w:color w:val="auto"/>
                <w:sz w:val="24"/>
                <w:szCs w:val="24"/>
                <w:lang w:val="en-US" w:eastAsia="zh-CN" w:bidi="ar"/>
              </w:rPr>
              <w:t>材质及特点：</w:t>
            </w:r>
            <w:r>
              <w:rPr>
                <w:rStyle w:val="97"/>
                <w:rFonts w:hint="eastAsia" w:asciiTheme="minorEastAsia" w:hAnsiTheme="minorEastAsia" w:eastAsiaTheme="minorEastAsia" w:cstheme="minorEastAsia"/>
                <w:color w:val="auto"/>
                <w:sz w:val="24"/>
                <w:szCs w:val="24"/>
                <w:lang w:val="en-US" w:eastAsia="zh-CN" w:bidi="ar"/>
              </w:rPr>
              <w:br w:type="textWrapping"/>
            </w:r>
            <w:r>
              <w:rPr>
                <w:rStyle w:val="97"/>
                <w:rFonts w:hint="eastAsia" w:asciiTheme="minorEastAsia" w:hAnsiTheme="minorEastAsia" w:eastAsiaTheme="minorEastAsia" w:cstheme="minorEastAsia"/>
                <w:color w:val="auto"/>
                <w:sz w:val="24"/>
                <w:szCs w:val="24"/>
                <w:lang w:val="en-US" w:eastAsia="zh-CN" w:bidi="ar"/>
              </w:rPr>
              <w:t>台面：采用不薄于40mm优质</w:t>
            </w:r>
            <w:r>
              <w:rPr>
                <w:rStyle w:val="98"/>
                <w:rFonts w:hint="eastAsia" w:asciiTheme="minorEastAsia" w:hAnsiTheme="minorEastAsia" w:eastAsiaTheme="minorEastAsia" w:cstheme="minorEastAsia"/>
                <w:color w:val="auto"/>
                <w:sz w:val="24"/>
                <w:szCs w:val="24"/>
                <w:lang w:val="en-US" w:eastAsia="zh-CN" w:bidi="ar"/>
              </w:rPr>
              <w:t>橡胶指接木</w:t>
            </w:r>
            <w:r>
              <w:rPr>
                <w:rStyle w:val="97"/>
                <w:rFonts w:hint="eastAsia" w:asciiTheme="minorEastAsia" w:hAnsiTheme="minorEastAsia" w:eastAsiaTheme="minorEastAsia" w:cstheme="minorEastAsia"/>
                <w:color w:val="auto"/>
                <w:sz w:val="24"/>
                <w:szCs w:val="24"/>
                <w:lang w:val="en-US" w:eastAsia="zh-CN" w:bidi="ar"/>
              </w:rPr>
              <w:t>，精细加工，表面光滑平整，并经防裂防翘处理,表面采用环保联邦PU全哑清漆烤制</w:t>
            </w:r>
            <w:r>
              <w:rPr>
                <w:rStyle w:val="97"/>
                <w:rFonts w:hint="eastAsia" w:asciiTheme="minorEastAsia" w:hAnsiTheme="minorEastAsia" w:eastAsiaTheme="minorEastAsia" w:cstheme="minorEastAsia"/>
                <w:color w:val="auto"/>
                <w:sz w:val="24"/>
                <w:szCs w:val="24"/>
                <w:lang w:val="en-US" w:eastAsia="zh-CN" w:bidi="ar"/>
              </w:rPr>
              <w:br w:type="textWrapping"/>
            </w:r>
            <w:r>
              <w:rPr>
                <w:rStyle w:val="97"/>
                <w:rFonts w:hint="eastAsia" w:asciiTheme="minorEastAsia" w:hAnsiTheme="minorEastAsia" w:eastAsiaTheme="minorEastAsia" w:cstheme="minorEastAsia"/>
                <w:color w:val="auto"/>
                <w:sz w:val="24"/>
                <w:szCs w:val="24"/>
                <w:lang w:val="en-US" w:eastAsia="zh-CN" w:bidi="ar"/>
              </w:rPr>
              <w:t>桌身：采用30mm*60mm的方钢骨架,模具冲压配已优质的五金件连接,表面经纯环氧树脂塑粉高温固化处理，具防酸碱、防腐蚀、且承重的特点。</w:t>
            </w:r>
            <w:r>
              <w:rPr>
                <w:rStyle w:val="97"/>
                <w:rFonts w:hint="eastAsia" w:asciiTheme="minorEastAsia" w:hAnsiTheme="minorEastAsia" w:eastAsiaTheme="minorEastAsia" w:cstheme="minorEastAsia"/>
                <w:color w:val="auto"/>
                <w:sz w:val="24"/>
                <w:szCs w:val="24"/>
                <w:lang w:val="en-US" w:eastAsia="zh-CN" w:bidi="ar"/>
              </w:rPr>
              <w:br w:type="textWrapping"/>
            </w:r>
            <w:r>
              <w:rPr>
                <w:rStyle w:val="97"/>
                <w:rFonts w:hint="eastAsia" w:asciiTheme="minorEastAsia" w:hAnsiTheme="minorEastAsia" w:eastAsiaTheme="minorEastAsia" w:cstheme="minorEastAsia"/>
                <w:color w:val="auto"/>
                <w:sz w:val="24"/>
                <w:szCs w:val="24"/>
                <w:lang w:val="en-US" w:eastAsia="zh-CN" w:bidi="ar"/>
              </w:rPr>
              <w:t>结构：上下二层结构，第二层配16mm优质三聚氰胺饰面板，可放置常用工具，整体美观大方。</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153670</wp:posOffset>
                  </wp:positionH>
                  <wp:positionV relativeFrom="paragraph">
                    <wp:posOffset>763905</wp:posOffset>
                  </wp:positionV>
                  <wp:extent cx="586105" cy="505460"/>
                  <wp:effectExtent l="0" t="0" r="8255" b="12700"/>
                  <wp:wrapNone/>
                  <wp:docPr id="50" name="图片_13"/>
                  <wp:cNvGraphicFramePr/>
                  <a:graphic xmlns:a="http://schemas.openxmlformats.org/drawingml/2006/main">
                    <a:graphicData uri="http://schemas.openxmlformats.org/drawingml/2006/picture">
                      <pic:pic xmlns:pic="http://schemas.openxmlformats.org/drawingml/2006/picture">
                        <pic:nvPicPr>
                          <pic:cNvPr id="50" name="图片_13"/>
                          <pic:cNvPicPr/>
                        </pic:nvPicPr>
                        <pic:blipFill>
                          <a:blip r:embed="rId35"/>
                          <a:stretch>
                            <a:fillRect/>
                          </a:stretch>
                        </pic:blipFill>
                        <pic:spPr>
                          <a:xfrm>
                            <a:off x="0" y="0"/>
                            <a:ext cx="586105" cy="505460"/>
                          </a:xfrm>
                          <a:prstGeom prst="rect">
                            <a:avLst/>
                          </a:prstGeom>
                          <a:noFill/>
                          <a:ln>
                            <a:noFill/>
                          </a:ln>
                        </pic:spPr>
                      </pic:pic>
                    </a:graphicData>
                  </a:graphic>
                </wp:anchor>
              </w:drawing>
            </w: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133985</wp:posOffset>
                  </wp:positionH>
                  <wp:positionV relativeFrom="paragraph">
                    <wp:posOffset>169545</wp:posOffset>
                  </wp:positionV>
                  <wp:extent cx="551815" cy="0"/>
                  <wp:effectExtent l="0" t="0" r="0" b="0"/>
                  <wp:wrapNone/>
                  <wp:docPr id="51" name="图片_7"/>
                  <wp:cNvGraphicFramePr/>
                  <a:graphic xmlns:a="http://schemas.openxmlformats.org/drawingml/2006/main">
                    <a:graphicData uri="http://schemas.openxmlformats.org/drawingml/2006/picture">
                      <pic:pic xmlns:pic="http://schemas.openxmlformats.org/drawingml/2006/picture">
                        <pic:nvPicPr>
                          <pic:cNvPr id="51" name="图片_7"/>
                          <pic:cNvPicPr/>
                        </pic:nvPicPr>
                        <pic:blipFill>
                          <a:blip r:embed="rId36"/>
                          <a:stretch>
                            <a:fillRect/>
                          </a:stretch>
                        </pic:blipFill>
                        <pic:spPr>
                          <a:xfrm>
                            <a:off x="0" y="0"/>
                            <a:ext cx="551815" cy="0"/>
                          </a:xfrm>
                          <a:prstGeom prst="rect">
                            <a:avLst/>
                          </a:prstGeom>
                          <a:noFill/>
                          <a:ln>
                            <a:noFill/>
                          </a:ln>
                        </pic:spPr>
                      </pic:pic>
                    </a:graphicData>
                  </a:graphic>
                </wp:anchor>
              </w:drawing>
            </w: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294640</wp:posOffset>
                  </wp:positionH>
                  <wp:positionV relativeFrom="paragraph">
                    <wp:posOffset>169545</wp:posOffset>
                  </wp:positionV>
                  <wp:extent cx="391160" cy="0"/>
                  <wp:effectExtent l="0" t="0" r="0" b="0"/>
                  <wp:wrapNone/>
                  <wp:docPr id="52" name="图片_2"/>
                  <wp:cNvGraphicFramePr/>
                  <a:graphic xmlns:a="http://schemas.openxmlformats.org/drawingml/2006/main">
                    <a:graphicData uri="http://schemas.openxmlformats.org/drawingml/2006/picture">
                      <pic:pic xmlns:pic="http://schemas.openxmlformats.org/drawingml/2006/picture">
                        <pic:nvPicPr>
                          <pic:cNvPr id="52" name="图片_2"/>
                          <pic:cNvPicPr/>
                        </pic:nvPicPr>
                        <pic:blipFill>
                          <a:blip r:embed="rId37"/>
                          <a:stretch>
                            <a:fillRect/>
                          </a:stretch>
                        </pic:blipFill>
                        <pic:spPr>
                          <a:xfrm>
                            <a:off x="0" y="0"/>
                            <a:ext cx="391160" cy="0"/>
                          </a:xfrm>
                          <a:prstGeom prst="rect">
                            <a:avLst/>
                          </a:prstGeom>
                          <a:noFill/>
                          <a:ln>
                            <a:noFill/>
                          </a:ln>
                        </pic:spPr>
                      </pic:pic>
                    </a:graphicData>
                  </a:graphic>
                </wp:anchor>
              </w:drawing>
            </w: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466090</wp:posOffset>
                  </wp:positionH>
                  <wp:positionV relativeFrom="paragraph">
                    <wp:posOffset>169545</wp:posOffset>
                  </wp:positionV>
                  <wp:extent cx="219710" cy="0"/>
                  <wp:effectExtent l="0" t="0" r="0" b="0"/>
                  <wp:wrapNone/>
                  <wp:docPr id="53" name="图片_4"/>
                  <wp:cNvGraphicFramePr/>
                  <a:graphic xmlns:a="http://schemas.openxmlformats.org/drawingml/2006/main">
                    <a:graphicData uri="http://schemas.openxmlformats.org/drawingml/2006/picture">
                      <pic:pic xmlns:pic="http://schemas.openxmlformats.org/drawingml/2006/picture">
                        <pic:nvPicPr>
                          <pic:cNvPr id="53" name="图片_4"/>
                          <pic:cNvPicPr/>
                        </pic:nvPicPr>
                        <pic:blipFill>
                          <a:blip r:embed="rId38"/>
                          <a:stretch>
                            <a:fillRect/>
                          </a:stretch>
                        </pic:blipFill>
                        <pic:spPr>
                          <a:xfrm>
                            <a:off x="0" y="0"/>
                            <a:ext cx="219710" cy="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10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学生凳</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1、规格：600×400×400mm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 xml:space="preserve">2、美术凳采用仿明代家具风格，主体材质采用橡胶木材质，桌体两侧桌腿采用4条立柱，立柱经变形工艺制作，流畅的弧度彰显大气，风格独特                        </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3、所有木材表面经两底一面环保型油漆处理，表面光泽度好，甲醛排放不超标</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116205</wp:posOffset>
                  </wp:positionH>
                  <wp:positionV relativeFrom="paragraph">
                    <wp:posOffset>431800</wp:posOffset>
                  </wp:positionV>
                  <wp:extent cx="544830" cy="643255"/>
                  <wp:effectExtent l="0" t="0" r="3810" b="12065"/>
                  <wp:wrapNone/>
                  <wp:docPr id="44" name="图片_15"/>
                  <wp:cNvGraphicFramePr/>
                  <a:graphic xmlns:a="http://schemas.openxmlformats.org/drawingml/2006/main">
                    <a:graphicData uri="http://schemas.openxmlformats.org/drawingml/2006/picture">
                      <pic:pic xmlns:pic="http://schemas.openxmlformats.org/drawingml/2006/picture">
                        <pic:nvPicPr>
                          <pic:cNvPr id="44" name="图片_15"/>
                          <pic:cNvPicPr/>
                        </pic:nvPicPr>
                        <pic:blipFill>
                          <a:blip r:embed="rId39"/>
                          <a:stretch>
                            <a:fillRect/>
                          </a:stretch>
                        </pic:blipFill>
                        <pic:spPr>
                          <a:xfrm>
                            <a:off x="0" y="0"/>
                            <a:ext cx="544830" cy="643255"/>
                          </a:xfrm>
                          <a:prstGeom prst="rect">
                            <a:avLst/>
                          </a:prstGeom>
                          <a:noFill/>
                          <a:ln>
                            <a:noFill/>
                          </a:ln>
                        </pic:spPr>
                      </pic:pic>
                    </a:graphicData>
                  </a:graphic>
                </wp:anchor>
              </w:drawing>
            </w: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685800</wp:posOffset>
                  </wp:positionH>
                  <wp:positionV relativeFrom="paragraph">
                    <wp:posOffset>73025</wp:posOffset>
                  </wp:positionV>
                  <wp:extent cx="0" cy="100965"/>
                  <wp:effectExtent l="0" t="0" r="0" b="0"/>
                  <wp:wrapNone/>
                  <wp:docPr id="45" name="图片_5"/>
                  <wp:cNvGraphicFramePr/>
                  <a:graphic xmlns:a="http://schemas.openxmlformats.org/drawingml/2006/main">
                    <a:graphicData uri="http://schemas.openxmlformats.org/drawingml/2006/picture">
                      <pic:pic xmlns:pic="http://schemas.openxmlformats.org/drawingml/2006/picture">
                        <pic:nvPicPr>
                          <pic:cNvPr id="45" name="图片_5"/>
                          <pic:cNvPicPr/>
                        </pic:nvPicPr>
                        <pic:blipFill>
                          <a:blip r:embed="rId40"/>
                          <a:stretch>
                            <a:fillRect/>
                          </a:stretch>
                        </pic:blipFill>
                        <pic:spPr>
                          <a:xfrm>
                            <a:off x="0" y="0"/>
                            <a:ext cx="0" cy="10096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96"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展示柜</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款式特点：可以放置书籍、作品展示等。</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规格：2000*350*2000mm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材质说明：主体采用同色采用25mmE1级环保板，甲醛释放量（穿孔萃取法 ）应不大于≤8mg/100g。外露截面采用优质PVC封边，并经防裂防翘处理，颜色为原木色；搭配优质的五金件连接,即美观及牢固。</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组</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8890</wp:posOffset>
                  </wp:positionH>
                  <wp:positionV relativeFrom="paragraph">
                    <wp:posOffset>616585</wp:posOffset>
                  </wp:positionV>
                  <wp:extent cx="755650" cy="412750"/>
                  <wp:effectExtent l="0" t="0" r="6350" b="13970"/>
                  <wp:wrapNone/>
                  <wp:docPr id="46" name="Picture_264"/>
                  <wp:cNvGraphicFramePr/>
                  <a:graphic xmlns:a="http://schemas.openxmlformats.org/drawingml/2006/main">
                    <a:graphicData uri="http://schemas.openxmlformats.org/drawingml/2006/picture">
                      <pic:pic xmlns:pic="http://schemas.openxmlformats.org/drawingml/2006/picture">
                        <pic:nvPicPr>
                          <pic:cNvPr id="46" name="Picture_264"/>
                          <pic:cNvPicPr/>
                        </pic:nvPicPr>
                        <pic:blipFill>
                          <a:blip r:embed="rId41"/>
                          <a:stretch>
                            <a:fillRect/>
                          </a:stretch>
                        </pic:blipFill>
                        <pic:spPr>
                          <a:xfrm>
                            <a:off x="0" y="0"/>
                            <a:ext cx="755650" cy="4127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实验室布置文化窗帘</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内容应适合小学生知识水平和理解能力，与学科教学内容相关或科学普及方面。每副挂图的选题适当，主题明确，无科学性错误，以图为主辅以文字。图片清晰美观，文字准确精炼，语句通顺易读，标点使用正确。</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平方</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160" w:hRule="atLeast"/>
        </w:trPr>
        <w:tc>
          <w:tcPr>
            <w:tcW w:w="35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5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仪器柜</w:t>
            </w:r>
          </w:p>
        </w:tc>
        <w:tc>
          <w:tcPr>
            <w:tcW w:w="600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规格：1000*500*1800mm，铝木结构，铝型材规格32*32*1.5mm，柜门上下均为铝合金门框内镶5mm厚玻璃对开门，设有16mm厚白色三聚氰胺面板2块活动层板并配铝合金加强条；以上芯板均为E1级环保芯板，甲醛释放量（穿孔萃取法 ）应不大于≤ 8mg/100g。其他各项技术指标和质量要求应符合：GB/T 10357.4—1989《家具力学性能试验柜类稳定性》、GB/T 10357.5 －2011《家具力学性能试验柜类强度和耐久性》。           </w:t>
            </w:r>
          </w:p>
        </w:tc>
        <w:tc>
          <w:tcPr>
            <w:tcW w:w="75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83"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75"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一类仪器配置</w:t>
            </w: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衬布</w:t>
            </w:r>
          </w:p>
        </w:tc>
        <w:tc>
          <w:tcPr>
            <w:tcW w:w="600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100cm*200cm；棉、麻、丝、绒</w:t>
            </w:r>
          </w:p>
        </w:tc>
        <w:tc>
          <w:tcPr>
            <w:tcW w:w="75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遮光窗帘</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不小于180cm*220cm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写生凳</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高度不低于40cm，可升降</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写生灯</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高度不低于60cm，照射角度可调，可升降</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磁性白黑板</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不小于90cm*70cm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展示画框</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60cm*45cm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展示画框</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60cm*90cm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初中美术教学挂图</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适合小学美术教学要求的绘画、手工、欣赏内容，不少于48幅，对开，应为国家正式出版物</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85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写生画板</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不小于45cm*32cm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人体结构活动模型</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高不低于40cm，木质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泥工工具</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泥塑刀6把、环形刀3把、刮刀2把、切割线1套、刮板1件、拍板1件、型板1块、喷壶1个、海绵1块</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民间美术欣赏及写生样本</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中国结、京剧脸谱、扎染、蜡染、皮影、年画、木板年画、剪纸、面具、泥塑、玩具、风车、纹样、风筝、唐三彩、彩陶器、瓷器等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美术学具</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毛笔、小剪刀、调色盘、笔洗、美工刀、水溶性油墨、黑色胶滚、毛毡、刻纸刀、水粉画笔、调色盒、直尺</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美术课配套材料</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勾线笔、油画棒、固体胶、彩色水笔、彩泥、彩色铅笔、双面胶、陶泥、水粉画颜料、墨汁、中国画颜料、胶滚、胶版（水溶性）、油墨（黑色）</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写生画箱</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箱体：47cm*33cm*8cm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写生教具（1）</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石膏像：阿古力巴（切面），腊空（半面），太阳神（头像），海盗（头像），小大卫（头像）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写生教具（2）</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石膏几何形体：圆球，长方体，正方体，圆柱体，六棱柱，圆锥，方锥</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画架</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高度不低于142cm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画板</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不小于60cm*45cm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绘图工具</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圆规，直尺，三角板，曲线板</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版画工具</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木刻刀5把、笔刀1把、笔刀片3件、电烙铁1把、木蘑托1只、胶滚1套（大中小各1件）、油石1件、刮刀2-3把、6B中华绘图铅笔2支</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绘画工具</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水粉笔1～12#各1支，水彩笔1～12#各1支、大白云毛笔1支、小狼毫1支、勾线笔1支、斗笔1支、扁笔1支、调色盒1个、调色盘1个</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38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23</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制作工具</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color w:val="auto"/>
                <w:sz w:val="24"/>
                <w:szCs w:val="24"/>
              </w:rPr>
              <w:t>5类58件。1、刀剪类：手工剪1把、美工刀1把。2、刻刀类：篆刻刀4把、木刻刀16把。3、雕塑刀类：泥塑刀6把。4、木工工具类：斧头1把、木工凿4支、木锉3支、木钻1支、角尺1支、木工锤1支、手板锯1把。5、小五金工具类：什锦锉6把、螺丝刀3支、钢锯架1个、钢锯条5条、尖嘴钳1把、油滚筒1个、电烙铁1支，木箱包装。</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24</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国画工具</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lang w:val="en-US"/>
              </w:rPr>
            </w:pPr>
            <w:r>
              <w:rPr>
                <w:rFonts w:hint="eastAsia" w:asciiTheme="minorEastAsia" w:hAnsiTheme="minorEastAsia" w:eastAsiaTheme="minorEastAsia" w:cstheme="minorEastAsia"/>
                <w:i w:val="0"/>
                <w:color w:val="auto"/>
                <w:kern w:val="0"/>
                <w:sz w:val="24"/>
                <w:szCs w:val="24"/>
                <w:u w:val="none"/>
                <w:lang w:val="en-US" w:eastAsia="zh-CN" w:bidi="ar"/>
              </w:rPr>
              <w:t>毛笔8支、画毡1块、调色盘1块、砚台1个、笔洗1个、笔架1个、镇尺1付、笔帘1个、墨1块、印盒1个、墨汁1瓶.</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2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电子绘画板</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绘画区域不小于135mm*200mm，压感级别1024级及以上，无线无源压感笔；配备与教材相应的软件</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90" w:hRule="atLeast"/>
        </w:trPr>
        <w:tc>
          <w:tcPr>
            <w:tcW w:w="35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26</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书法工具</w:t>
            </w:r>
          </w:p>
        </w:tc>
        <w:tc>
          <w:tcPr>
            <w:tcW w:w="6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毛笔(斗笔、大白云、中白云、小白云、小狼毫、勾线笔) 、毛毡、镇尺、笔洗、墨汁、调色盘、笔架、名家字帖</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bl>
    <w:p>
      <w:pPr>
        <w:jc w:val="cente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br w:type="page"/>
      </w:r>
      <w:r>
        <w:rPr>
          <w:rFonts w:hint="eastAsia" w:asciiTheme="minorEastAsia" w:hAnsiTheme="minorEastAsia" w:eastAsiaTheme="minorEastAsia" w:cstheme="minorEastAsia"/>
          <w:b/>
          <w:bCs/>
          <w:color w:val="auto"/>
          <w:sz w:val="24"/>
          <w:szCs w:val="24"/>
          <w:lang w:val="en-US" w:eastAsia="zh-CN"/>
        </w:rPr>
        <w:t>塔吊物理实验室</w:t>
      </w:r>
    </w:p>
    <w:tbl>
      <w:tblPr>
        <w:tblStyle w:val="22"/>
        <w:tblW w:w="10598" w:type="dxa"/>
        <w:tblInd w:w="0" w:type="dxa"/>
        <w:shd w:val="clear" w:color="auto" w:fill="auto"/>
        <w:tblLayout w:type="fixed"/>
        <w:tblCellMar>
          <w:top w:w="0" w:type="dxa"/>
          <w:left w:w="0" w:type="dxa"/>
          <w:bottom w:w="0" w:type="dxa"/>
          <w:right w:w="0" w:type="dxa"/>
        </w:tblCellMar>
      </w:tblPr>
      <w:tblGrid>
        <w:gridCol w:w="340"/>
        <w:gridCol w:w="850"/>
        <w:gridCol w:w="6034"/>
        <w:gridCol w:w="750"/>
        <w:gridCol w:w="666"/>
        <w:gridCol w:w="684"/>
        <w:gridCol w:w="1274"/>
      </w:tblGrid>
      <w:tr>
        <w:tblPrEx>
          <w:shd w:val="clear" w:color="auto" w:fill="auto"/>
          <w:tblLayout w:type="fixed"/>
          <w:tblCellMar>
            <w:top w:w="0" w:type="dxa"/>
            <w:left w:w="0" w:type="dxa"/>
            <w:bottom w:w="0" w:type="dxa"/>
            <w:right w:w="0" w:type="dxa"/>
          </w:tblCellMar>
        </w:tblPrEx>
        <w:trPr>
          <w:trHeight w:val="76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b/>
                <w:bCs/>
                <w:i w:val="0"/>
                <w:color w:val="auto"/>
                <w:kern w:val="0"/>
                <w:sz w:val="24"/>
                <w:szCs w:val="24"/>
                <w:u w:val="none"/>
                <w:lang w:val="en-US" w:eastAsia="zh-CN" w:bidi="ar"/>
              </w:rPr>
              <w:t>塔吊物理实验室配置清单</w:t>
            </w:r>
          </w:p>
        </w:tc>
      </w:tr>
      <w:tr>
        <w:tblPrEx>
          <w:tblLayout w:type="fixed"/>
          <w:tblCellMar>
            <w:top w:w="0" w:type="dxa"/>
            <w:left w:w="0" w:type="dxa"/>
            <w:bottom w:w="0" w:type="dxa"/>
            <w:right w:w="0" w:type="dxa"/>
          </w:tblCellMar>
        </w:tblPrEx>
        <w:trPr>
          <w:trHeight w:val="66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名称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规格尺寸，材质说明</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单位</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数量</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备注</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参考图</w:t>
            </w:r>
          </w:p>
        </w:tc>
      </w:tr>
      <w:tr>
        <w:tblPrEx>
          <w:tblLayout w:type="fixed"/>
          <w:tblCellMar>
            <w:top w:w="0" w:type="dxa"/>
            <w:left w:w="0" w:type="dxa"/>
            <w:bottom w:w="0" w:type="dxa"/>
            <w:right w:w="0" w:type="dxa"/>
          </w:tblCellMar>
        </w:tblPrEx>
        <w:trPr>
          <w:trHeight w:val="528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color w:val="auto"/>
                <w:sz w:val="24"/>
                <w:szCs w:val="24"/>
              </w:rPr>
              <w:t>智慧纳米黑板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一</w:t>
            </w:r>
            <w:r>
              <w:rPr>
                <w:rFonts w:hint="eastAsia" w:asciiTheme="minorEastAsia" w:hAnsiTheme="minorEastAsia" w:eastAsiaTheme="minorEastAsia" w:cstheme="minorEastAsia"/>
                <w:b w:val="0"/>
                <w:bCs w:val="0"/>
                <w:color w:val="auto"/>
                <w:sz w:val="24"/>
                <w:szCs w:val="24"/>
                <w:lang w:val="en-US" w:eastAsia="zh-CN"/>
              </w:rPr>
              <w:t>、</w:t>
            </w:r>
            <w:r>
              <w:rPr>
                <w:rFonts w:hint="eastAsia" w:asciiTheme="minorEastAsia" w:hAnsiTheme="minorEastAsia" w:eastAsiaTheme="minorEastAsia" w:cstheme="minorEastAsia"/>
                <w:b w:val="0"/>
                <w:bCs w:val="0"/>
                <w:color w:val="auto"/>
                <w:sz w:val="24"/>
                <w:szCs w:val="24"/>
              </w:rPr>
              <w:t>整机</w:t>
            </w:r>
            <w:r>
              <w:rPr>
                <w:rFonts w:hint="eastAsia" w:asciiTheme="minorEastAsia" w:hAnsiTheme="minorEastAsia" w:eastAsiaTheme="minorEastAsia" w:cstheme="minorEastAsia"/>
                <w:b w:val="0"/>
                <w:bCs w:val="0"/>
                <w:color w:val="auto"/>
                <w:sz w:val="24"/>
                <w:szCs w:val="24"/>
                <w:lang w:val="en-US" w:eastAsia="zh-CN"/>
              </w:rPr>
              <w:t>设计要求</w:t>
            </w:r>
          </w:p>
          <w:p>
            <w:pPr>
              <w:pStyle w:val="2"/>
              <w:keepNext w:val="0"/>
              <w:keepLines w:val="0"/>
              <w:pageBreakBefore w:val="0"/>
              <w:numPr>
                <w:ilvl w:val="0"/>
                <w:numId w:val="3"/>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kern w:val="2"/>
                <w:sz w:val="24"/>
                <w:szCs w:val="24"/>
                <w:lang w:val="en-US" w:eastAsia="zh-CN" w:bidi="ar-SA"/>
              </w:rPr>
              <w:t>整机由一块液晶显示屏以及两块0.35mm厚环保专用黑色磁性金属面板拼接而成的，无推拉式结构。</w:t>
            </w:r>
          </w:p>
          <w:p>
            <w:pPr>
              <w:pStyle w:val="2"/>
              <w:keepNext w:val="0"/>
              <w:keepLines w:val="0"/>
              <w:pageBreakBefore w:val="0"/>
              <w:numPr>
                <w:ilvl w:val="0"/>
                <w:numId w:val="3"/>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kern w:val="2"/>
                <w:sz w:val="24"/>
                <w:szCs w:val="24"/>
                <w:lang w:val="en-US" w:eastAsia="zh-CN" w:bidi="ar-SA"/>
              </w:rPr>
              <w:t>融合黑板、液晶屏、音箱及拔插式电脑等设备，开机时显示屏可进行交互触控显示，关机后整体呈现为同一平面黑板。</w:t>
            </w:r>
          </w:p>
          <w:p>
            <w:pPr>
              <w:pStyle w:val="2"/>
              <w:keepNext w:val="0"/>
              <w:keepLines w:val="0"/>
              <w:pageBreakBefore w:val="0"/>
              <w:numPr>
                <w:ilvl w:val="0"/>
                <w:numId w:val="3"/>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屏体正面前置中文</w:t>
            </w:r>
            <w:r>
              <w:rPr>
                <w:rFonts w:hint="eastAsia" w:asciiTheme="minorEastAsia" w:hAnsiTheme="minorEastAsia" w:eastAsiaTheme="minorEastAsia" w:cstheme="minorEastAsia"/>
                <w:b w:val="0"/>
                <w:bCs w:val="0"/>
                <w:color w:val="auto"/>
                <w:sz w:val="24"/>
                <w:szCs w:val="24"/>
                <w:lang w:val="en-US" w:eastAsia="zh-CN"/>
              </w:rPr>
              <w:t>丝印</w:t>
            </w:r>
            <w:r>
              <w:rPr>
                <w:rFonts w:hint="eastAsia" w:asciiTheme="minorEastAsia" w:hAnsiTheme="minorEastAsia" w:eastAsiaTheme="minorEastAsia" w:cstheme="minorEastAsia"/>
                <w:b w:val="0"/>
                <w:bCs w:val="0"/>
                <w:color w:val="auto"/>
                <w:sz w:val="24"/>
                <w:szCs w:val="24"/>
              </w:rPr>
              <w:t>标识按键，包含音量加减、触控开关、安卓主页、电脑系统还原等</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为了方便老师在授课中的使用，屏体正面带有3路前置USB3.0接口（可同时在Windows及Android系统下读取）及1路HDMI高清接口（非转接方式），并且附带中文丝印标识，方便老师快速识别和使用接口</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为保证信号不遮挡，整机前置2.4G、5G双频wifi和蓝牙模块，增强信号传输。（需提供CMA、CAL、CNAS级别权威机构出具的检测报告）</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屏体正面内置2*15W扬声器和笔槽。</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一键节能，在节能待机状态下可实现节能90%以上</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lang w:val="en-US" w:eastAsia="zh-CN"/>
              </w:rPr>
              <w:t>整机具备自动待机功能，在无操作或无信号输入时,自动进入待机节能状态，可自定义间隔时间。</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智能交互黑板具备智能护眼组合功能，可提供护眼模式、实现智能光控、以及书写时屏显自动变暗</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整机只需连接一根网线，即可实现Windows及Android系统同时联网</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为方便教师应用，后置输入接口具备≥2路HDMI、≥2路USB-A（其中包含一路双通道接口）、≥1路VGA，≥1路Audio 3.5mm，≥1路RS232，≥1路RJ45、≥1路AV、 ≥1路TV RF、≥1路</w:t>
            </w:r>
            <w:r>
              <w:rPr>
                <w:rFonts w:hint="eastAsia" w:asciiTheme="minorEastAsia" w:hAnsiTheme="minorEastAsia" w:eastAsiaTheme="minorEastAsia" w:cstheme="minorEastAsia"/>
                <w:b w:val="0"/>
                <w:bCs w:val="0"/>
                <w:color w:val="auto"/>
                <w:sz w:val="24"/>
                <w:szCs w:val="24"/>
                <w:lang w:val="en-US" w:eastAsia="zh-CN"/>
              </w:rPr>
              <w:t>YPbPr</w:t>
            </w:r>
            <w:r>
              <w:rPr>
                <w:rFonts w:hint="eastAsia" w:asciiTheme="minorEastAsia" w:hAnsiTheme="minorEastAsia" w:eastAsiaTheme="minorEastAsia" w:cstheme="minorEastAsia"/>
                <w:b w:val="0"/>
                <w:bCs w:val="0"/>
                <w:color w:val="auto"/>
                <w:sz w:val="24"/>
                <w:szCs w:val="24"/>
              </w:rPr>
              <w:t>、≥1路Type-C</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后置输出接口具备≥1路Audio 3.5mm</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≥1路USB-B、≥1路 HDMI</w:t>
            </w:r>
            <w:r>
              <w:rPr>
                <w:rFonts w:hint="eastAsia" w:asciiTheme="minorEastAsia" w:hAnsiTheme="minorEastAsia" w:eastAsiaTheme="minorEastAsia" w:cstheme="minorEastAsia"/>
                <w:b w:val="0"/>
                <w:bCs w:val="0"/>
                <w:color w:val="auto"/>
                <w:sz w:val="24"/>
                <w:szCs w:val="24"/>
                <w:lang w:eastAsia="zh-CN"/>
              </w:rPr>
              <w:t>。</w:t>
            </w:r>
          </w:p>
          <w:p>
            <w:pPr>
              <w:pStyle w:val="7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二、</w:t>
            </w:r>
            <w:r>
              <w:rPr>
                <w:rFonts w:hint="eastAsia" w:asciiTheme="minorEastAsia" w:hAnsiTheme="minorEastAsia" w:eastAsiaTheme="minorEastAsia" w:cstheme="minorEastAsia"/>
                <w:b w:val="0"/>
                <w:bCs w:val="0"/>
                <w:color w:val="auto"/>
                <w:sz w:val="24"/>
                <w:szCs w:val="24"/>
              </w:rPr>
              <w:t>显示</w:t>
            </w:r>
            <w:r>
              <w:rPr>
                <w:rFonts w:hint="eastAsia" w:asciiTheme="minorEastAsia" w:hAnsiTheme="minorEastAsia" w:eastAsiaTheme="minorEastAsia" w:cstheme="minorEastAsia"/>
                <w:b w:val="0"/>
                <w:bCs w:val="0"/>
                <w:color w:val="auto"/>
                <w:sz w:val="24"/>
                <w:szCs w:val="24"/>
                <w:lang w:val="en-US" w:eastAsia="zh-CN"/>
              </w:rPr>
              <w:t>屏参数</w:t>
            </w:r>
          </w:p>
          <w:p>
            <w:pPr>
              <w:pStyle w:val="2"/>
              <w:keepNext w:val="0"/>
              <w:keepLines w:val="0"/>
              <w:pageBreakBefore w:val="0"/>
              <w:numPr>
                <w:ilvl w:val="0"/>
                <w:numId w:val="4"/>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整机尺寸不低于4200</w:t>
            </w:r>
            <w:r>
              <w:rPr>
                <w:rFonts w:hint="eastAsia" w:asciiTheme="minorEastAsia" w:hAnsiTheme="minorEastAsia" w:eastAsiaTheme="minorEastAsia" w:cstheme="minorEastAsia"/>
                <w:b w:val="0"/>
                <w:bCs w:val="0"/>
                <w:color w:val="auto"/>
                <w:sz w:val="24"/>
                <w:szCs w:val="24"/>
              </w:rPr>
              <w:t>mm</w:t>
            </w:r>
            <w:r>
              <w:rPr>
                <w:rFonts w:hint="eastAsia" w:asciiTheme="minorEastAsia" w:hAnsiTheme="minorEastAsia" w:eastAsiaTheme="minorEastAsia" w:cstheme="minorEastAsia"/>
                <w:b w:val="0"/>
                <w:bCs w:val="0"/>
                <w:color w:val="auto"/>
                <w:sz w:val="24"/>
                <w:szCs w:val="24"/>
                <w:lang w:val="en-US" w:eastAsia="zh-CN"/>
              </w:rPr>
              <w:t>×1150</w:t>
            </w:r>
            <w:r>
              <w:rPr>
                <w:rFonts w:hint="eastAsia" w:asciiTheme="minorEastAsia" w:hAnsiTheme="minorEastAsia" w:eastAsiaTheme="minorEastAsia" w:cstheme="minorEastAsia"/>
                <w:b w:val="0"/>
                <w:bCs w:val="0"/>
                <w:color w:val="auto"/>
                <w:sz w:val="24"/>
                <w:szCs w:val="24"/>
              </w:rPr>
              <w:t>m</w:t>
            </w:r>
            <w:r>
              <w:rPr>
                <w:rFonts w:hint="eastAsia" w:asciiTheme="minorEastAsia" w:hAnsiTheme="minorEastAsia" w:eastAsiaTheme="minorEastAsia" w:cstheme="minorEastAsia"/>
                <w:b w:val="0"/>
                <w:bCs w:val="0"/>
                <w:color w:val="auto"/>
                <w:sz w:val="24"/>
                <w:szCs w:val="24"/>
                <w:lang w:val="en-US" w:eastAsia="zh-CN"/>
              </w:rPr>
              <w:t>m×</w:t>
            </w:r>
            <w:r>
              <w:rPr>
                <w:rFonts w:hint="eastAsia" w:asciiTheme="minorEastAsia" w:hAnsiTheme="minorEastAsia" w:eastAsiaTheme="minorEastAsia" w:cstheme="minorEastAsia"/>
                <w:b w:val="0"/>
                <w:bCs w:val="0"/>
                <w:color w:val="auto"/>
                <w:sz w:val="24"/>
                <w:szCs w:val="24"/>
              </w:rPr>
              <w:t>1</w:t>
            </w:r>
            <w:r>
              <w:rPr>
                <w:rFonts w:hint="eastAsia" w:asciiTheme="minorEastAsia" w:hAnsiTheme="minorEastAsia" w:eastAsiaTheme="minorEastAsia" w:cstheme="minorEastAsia"/>
                <w:b w:val="0"/>
                <w:bCs w:val="0"/>
                <w:color w:val="auto"/>
                <w:sz w:val="24"/>
                <w:szCs w:val="24"/>
                <w:lang w:val="en-US" w:eastAsia="zh-CN"/>
              </w:rPr>
              <w:t>20</w:t>
            </w:r>
            <w:r>
              <w:rPr>
                <w:rFonts w:hint="eastAsia" w:asciiTheme="minorEastAsia" w:hAnsiTheme="minorEastAsia" w:eastAsiaTheme="minorEastAsia" w:cstheme="minorEastAsia"/>
                <w:b w:val="0"/>
                <w:bCs w:val="0"/>
                <w:color w:val="auto"/>
                <w:sz w:val="24"/>
                <w:szCs w:val="24"/>
              </w:rPr>
              <w:t>mm</w:t>
            </w:r>
            <w:r>
              <w:rPr>
                <w:rFonts w:hint="eastAsia" w:asciiTheme="minorEastAsia" w:hAnsiTheme="minorEastAsia" w:eastAsiaTheme="minorEastAsia" w:cstheme="minorEastAsia"/>
                <w:b w:val="0"/>
                <w:bCs w:val="0"/>
                <w:color w:val="auto"/>
                <w:sz w:val="24"/>
                <w:szCs w:val="24"/>
                <w:lang w:eastAsia="zh-CN"/>
              </w:rPr>
              <w:t>。</w:t>
            </w:r>
          </w:p>
          <w:p>
            <w:pPr>
              <w:pStyle w:val="2"/>
              <w:keepNext w:val="0"/>
              <w:keepLines w:val="0"/>
              <w:pageBreakBefore w:val="0"/>
              <w:numPr>
                <w:ilvl w:val="0"/>
                <w:numId w:val="4"/>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显示</w:t>
            </w:r>
            <w:r>
              <w:rPr>
                <w:rFonts w:hint="eastAsia" w:asciiTheme="minorEastAsia" w:hAnsiTheme="minorEastAsia" w:eastAsiaTheme="minorEastAsia" w:cstheme="minorEastAsia"/>
                <w:b w:val="0"/>
                <w:bCs w:val="0"/>
                <w:color w:val="auto"/>
                <w:sz w:val="24"/>
                <w:szCs w:val="24"/>
                <w:lang w:val="en-US" w:eastAsia="zh-CN"/>
              </w:rPr>
              <w:t>尺寸</w:t>
            </w:r>
            <w:r>
              <w:rPr>
                <w:rFonts w:hint="eastAsia" w:asciiTheme="minorEastAsia" w:hAnsiTheme="minorEastAsia" w:eastAsiaTheme="minorEastAsia" w:cstheme="minorEastAsia"/>
                <w:b w:val="0"/>
                <w:bCs w:val="0"/>
                <w:color w:val="auto"/>
                <w:sz w:val="24"/>
                <w:szCs w:val="24"/>
              </w:rPr>
              <w:t>8</w:t>
            </w:r>
            <w:r>
              <w:rPr>
                <w:rFonts w:hint="eastAsia" w:asciiTheme="minorEastAsia" w:hAnsiTheme="minorEastAsia" w:eastAsiaTheme="minorEastAsia" w:cstheme="minorEastAsia"/>
                <w:b w:val="0"/>
                <w:bCs w:val="0"/>
                <w:color w:val="auto"/>
                <w:sz w:val="24"/>
                <w:szCs w:val="24"/>
                <w:lang w:val="en-US" w:eastAsia="zh-CN"/>
              </w:rPr>
              <w:t>5</w:t>
            </w:r>
            <w:r>
              <w:rPr>
                <w:rFonts w:hint="eastAsia" w:asciiTheme="minorEastAsia" w:hAnsiTheme="minorEastAsia" w:eastAsiaTheme="minorEastAsia" w:cstheme="minorEastAsia"/>
                <w:b w:val="0"/>
                <w:bCs w:val="0"/>
                <w:color w:val="auto"/>
                <w:sz w:val="24"/>
                <w:szCs w:val="24"/>
              </w:rPr>
              <w:t>英寸,采用LED背光</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显示比例16:9，高清4K屏体，分辨率≥3840×2160</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智能交互黑板的显示</w:t>
            </w:r>
            <w:r>
              <w:rPr>
                <w:rFonts w:hint="eastAsia" w:asciiTheme="minorEastAsia" w:hAnsiTheme="minorEastAsia" w:eastAsiaTheme="minorEastAsia" w:cstheme="minorEastAsia"/>
                <w:b w:val="0"/>
                <w:bCs w:val="0"/>
                <w:color w:val="auto"/>
                <w:sz w:val="24"/>
                <w:szCs w:val="24"/>
                <w:lang w:val="en-US" w:eastAsia="zh-CN"/>
              </w:rPr>
              <w:t>屏</w:t>
            </w:r>
            <w:r>
              <w:rPr>
                <w:rFonts w:hint="eastAsia" w:asciiTheme="minorEastAsia" w:hAnsiTheme="minorEastAsia" w:eastAsiaTheme="minorEastAsia" w:cstheme="minorEastAsia"/>
                <w:b w:val="0"/>
                <w:bCs w:val="0"/>
                <w:color w:val="auto"/>
                <w:sz w:val="24"/>
                <w:szCs w:val="24"/>
              </w:rPr>
              <w:t>采用电容触控技术，支持≥10点同时触控，支持≥10同时笔书写,触摸分辨率为3276</w:t>
            </w:r>
            <w:r>
              <w:rPr>
                <w:rFonts w:hint="eastAsia" w:asciiTheme="minorEastAsia" w:hAnsiTheme="minorEastAsia" w:eastAsiaTheme="minorEastAsia" w:cstheme="minorEastAsia"/>
                <w:b w:val="0"/>
                <w:bCs w:val="0"/>
                <w:color w:val="auto"/>
                <w:sz w:val="24"/>
                <w:szCs w:val="24"/>
                <w:lang w:val="en-US" w:eastAsia="zh-CN"/>
              </w:rPr>
              <w:t>8</w:t>
            </w:r>
            <w:r>
              <w:rPr>
                <w:rFonts w:hint="eastAsia" w:asciiTheme="minorEastAsia" w:hAnsiTheme="minorEastAsia" w:eastAsiaTheme="minorEastAsia" w:cstheme="minorEastAsia"/>
                <w:b w:val="0"/>
                <w:bCs w:val="0"/>
                <w:color w:val="auto"/>
                <w:sz w:val="24"/>
                <w:szCs w:val="24"/>
              </w:rPr>
              <w:t>*3276</w:t>
            </w:r>
            <w:r>
              <w:rPr>
                <w:rFonts w:hint="eastAsia" w:asciiTheme="minorEastAsia" w:hAnsiTheme="minorEastAsia" w:eastAsiaTheme="minorEastAsia" w:cstheme="minorEastAsia"/>
                <w:b w:val="0"/>
                <w:bCs w:val="0"/>
                <w:color w:val="auto"/>
                <w:sz w:val="24"/>
                <w:szCs w:val="24"/>
                <w:lang w:val="en-US" w:eastAsia="zh-CN"/>
              </w:rPr>
              <w:t>8</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为提高安全性，</w:t>
            </w:r>
            <w:r>
              <w:rPr>
                <w:rFonts w:hint="eastAsia" w:asciiTheme="minorEastAsia" w:hAnsiTheme="minorEastAsia" w:eastAsiaTheme="minorEastAsia" w:cstheme="minorEastAsia"/>
                <w:b w:val="0"/>
                <w:bCs w:val="0"/>
                <w:color w:val="auto"/>
                <w:sz w:val="24"/>
                <w:szCs w:val="24"/>
                <w:lang w:val="en-US" w:eastAsia="zh-CN"/>
              </w:rPr>
              <w:t>整机显示屏表面采用 3.2mm 厚度的防眩钢化玻璃，表面硬度≥莫氏 8级，透光率≥90%。</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整机</w:t>
            </w:r>
            <w:r>
              <w:rPr>
                <w:rFonts w:hint="eastAsia" w:asciiTheme="minorEastAsia" w:hAnsiTheme="minorEastAsia" w:eastAsiaTheme="minorEastAsia" w:cstheme="minorEastAsia"/>
                <w:b w:val="0"/>
                <w:bCs w:val="0"/>
                <w:color w:val="auto"/>
                <w:sz w:val="24"/>
                <w:szCs w:val="24"/>
              </w:rPr>
              <w:t>的显示</w:t>
            </w:r>
            <w:r>
              <w:rPr>
                <w:rFonts w:hint="eastAsia" w:asciiTheme="minorEastAsia" w:hAnsiTheme="minorEastAsia" w:eastAsiaTheme="minorEastAsia" w:cstheme="minorEastAsia"/>
                <w:b w:val="0"/>
                <w:bCs w:val="0"/>
                <w:color w:val="auto"/>
                <w:sz w:val="24"/>
                <w:szCs w:val="24"/>
                <w:lang w:val="en-US" w:eastAsia="zh-CN"/>
              </w:rPr>
              <w:t>屏</w:t>
            </w:r>
            <w:r>
              <w:rPr>
                <w:rFonts w:hint="eastAsia" w:asciiTheme="minorEastAsia" w:hAnsiTheme="minorEastAsia" w:eastAsiaTheme="minorEastAsia" w:cstheme="minorEastAsia"/>
                <w:b w:val="0"/>
                <w:bCs w:val="0"/>
                <w:color w:val="auto"/>
                <w:sz w:val="24"/>
                <w:szCs w:val="24"/>
              </w:rPr>
              <w:t>采用的纳米电容银线直径≤0.02mm，触控精度≤0.05mm</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整机</w:t>
            </w:r>
            <w:r>
              <w:rPr>
                <w:rFonts w:hint="eastAsia" w:asciiTheme="minorEastAsia" w:hAnsiTheme="minorEastAsia" w:eastAsiaTheme="minorEastAsia" w:cstheme="minorEastAsia"/>
                <w:b w:val="0"/>
                <w:bCs w:val="0"/>
                <w:color w:val="auto"/>
                <w:sz w:val="24"/>
                <w:szCs w:val="24"/>
              </w:rPr>
              <w:t>显示</w:t>
            </w:r>
            <w:r>
              <w:rPr>
                <w:rFonts w:hint="eastAsia" w:asciiTheme="minorEastAsia" w:hAnsiTheme="minorEastAsia" w:eastAsiaTheme="minorEastAsia" w:cstheme="minorEastAsia"/>
                <w:b w:val="0"/>
                <w:bCs w:val="0"/>
                <w:color w:val="auto"/>
                <w:sz w:val="24"/>
                <w:szCs w:val="24"/>
                <w:lang w:val="en-US" w:eastAsia="zh-CN"/>
              </w:rPr>
              <w:t>屏的</w:t>
            </w:r>
            <w:r>
              <w:rPr>
                <w:rFonts w:hint="eastAsia" w:asciiTheme="minorEastAsia" w:hAnsiTheme="minorEastAsia" w:eastAsiaTheme="minorEastAsia" w:cstheme="minorEastAsia"/>
                <w:b w:val="0"/>
                <w:bCs w:val="0"/>
                <w:color w:val="auto"/>
                <w:sz w:val="24"/>
                <w:szCs w:val="24"/>
              </w:rPr>
              <w:t>防眩钢化玻璃与液晶屏之间紧密贴合，</w:t>
            </w:r>
            <w:r>
              <w:rPr>
                <w:rFonts w:hint="eastAsia" w:asciiTheme="minorEastAsia" w:hAnsiTheme="minorEastAsia" w:eastAsiaTheme="minorEastAsia" w:cstheme="minorEastAsia"/>
                <w:b w:val="0"/>
                <w:bCs w:val="0"/>
                <w:color w:val="auto"/>
                <w:sz w:val="24"/>
                <w:szCs w:val="24"/>
                <w:lang w:val="en-US" w:eastAsia="zh-CN"/>
              </w:rPr>
              <w:t>可</w:t>
            </w:r>
            <w:r>
              <w:rPr>
                <w:rFonts w:hint="eastAsia" w:asciiTheme="minorEastAsia" w:hAnsiTheme="minorEastAsia" w:eastAsiaTheme="minorEastAsia" w:cstheme="minorEastAsia"/>
                <w:b w:val="0"/>
                <w:bCs w:val="0"/>
                <w:color w:val="auto"/>
                <w:sz w:val="24"/>
                <w:szCs w:val="24"/>
              </w:rPr>
              <w:t>杜绝水汽/水雾产生</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显示部分任意位置</w:t>
            </w:r>
            <w:r>
              <w:rPr>
                <w:rFonts w:hint="eastAsia" w:asciiTheme="minorEastAsia" w:hAnsiTheme="minorEastAsia" w:eastAsiaTheme="minorEastAsia" w:cstheme="minorEastAsia"/>
                <w:b w:val="0"/>
                <w:bCs w:val="0"/>
                <w:color w:val="auto"/>
                <w:sz w:val="24"/>
                <w:szCs w:val="24"/>
              </w:rPr>
              <w:t>光影折射距离为0mm</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可视角度（水平/垂直）≥178°</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显示</w:t>
            </w:r>
            <w:r>
              <w:rPr>
                <w:rFonts w:hint="eastAsia" w:asciiTheme="minorEastAsia" w:hAnsiTheme="minorEastAsia" w:eastAsiaTheme="minorEastAsia" w:cstheme="minorEastAsia"/>
                <w:b w:val="0"/>
                <w:bCs w:val="0"/>
                <w:color w:val="auto"/>
                <w:sz w:val="24"/>
                <w:szCs w:val="24"/>
                <w:lang w:val="en-US" w:eastAsia="zh-CN"/>
              </w:rPr>
              <w:t>屏</w:t>
            </w:r>
            <w:r>
              <w:rPr>
                <w:rFonts w:hint="eastAsia" w:asciiTheme="minorEastAsia" w:hAnsiTheme="minorEastAsia" w:eastAsiaTheme="minorEastAsia" w:cstheme="minorEastAsia"/>
                <w:b w:val="0"/>
                <w:bCs w:val="0"/>
                <w:color w:val="auto"/>
                <w:sz w:val="24"/>
                <w:szCs w:val="24"/>
              </w:rPr>
              <w:t>具有防光干扰功能，能在</w:t>
            </w:r>
            <w:r>
              <w:rPr>
                <w:rFonts w:hint="eastAsia" w:asciiTheme="minorEastAsia" w:hAnsiTheme="minorEastAsia" w:eastAsiaTheme="minorEastAsia" w:cstheme="minorEastAsia"/>
                <w:b w:val="0"/>
                <w:bCs w:val="0"/>
                <w:color w:val="auto"/>
                <w:sz w:val="24"/>
                <w:szCs w:val="24"/>
                <w:lang w:val="en-US" w:eastAsia="zh-CN"/>
              </w:rPr>
              <w:t>强光</w:t>
            </w:r>
            <w:r>
              <w:rPr>
                <w:rFonts w:hint="eastAsia" w:asciiTheme="minorEastAsia" w:hAnsiTheme="minorEastAsia" w:eastAsiaTheme="minorEastAsia" w:cstheme="minorEastAsia"/>
                <w:b w:val="0"/>
                <w:bCs w:val="0"/>
                <w:color w:val="auto"/>
                <w:sz w:val="24"/>
                <w:szCs w:val="24"/>
              </w:rPr>
              <w:t>环境下正常工作</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智能黑板通屏支持普通粉笔、无尘粉笔、水性笔、油性笔书写</w:t>
            </w:r>
            <w:r>
              <w:rPr>
                <w:rFonts w:hint="eastAsia" w:asciiTheme="minorEastAsia" w:hAnsiTheme="minorEastAsia" w:eastAsiaTheme="minorEastAsia" w:cstheme="minorEastAsia"/>
                <w:b w:val="0"/>
                <w:bCs w:val="0"/>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三、内嵌操作系统</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为方便教学，在Windows和Android双系统下，可通过智能交互黑板的悬浮菜单一键切换信号源通道，并可通过两指长按调用悬浮菜单到指定位置</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悬浮菜单中的应用可根据使用需求进行不少于10种应用更换（非信号源切换</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在任何信号源下均可</w:t>
            </w:r>
            <w:r>
              <w:rPr>
                <w:rFonts w:hint="eastAsia" w:asciiTheme="minorEastAsia" w:hAnsiTheme="minorEastAsia" w:eastAsiaTheme="minorEastAsia" w:cstheme="minorEastAsia"/>
                <w:b w:val="0"/>
                <w:bCs w:val="0"/>
                <w:color w:val="auto"/>
                <w:sz w:val="24"/>
                <w:szCs w:val="24"/>
                <w:lang w:val="en-US" w:eastAsia="zh-CN"/>
              </w:rPr>
              <w:t>通过悬浮菜单</w:t>
            </w:r>
            <w:r>
              <w:rPr>
                <w:rFonts w:hint="eastAsia" w:asciiTheme="minorEastAsia" w:hAnsiTheme="minorEastAsia" w:eastAsiaTheme="minorEastAsia" w:cstheme="minorEastAsia"/>
                <w:b w:val="0"/>
                <w:bCs w:val="0"/>
                <w:color w:val="auto"/>
                <w:sz w:val="24"/>
                <w:szCs w:val="24"/>
              </w:rPr>
              <w:t>实现批注、打开展台等功能</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在Andriod操作系统下，能对文件进行自动分类，可快速分类查找office文档、音视频、图片、白板课件等文件，可直接在界面中进行多种编辑操作及分享</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在日常教学中，为了保护师生的视力健康，应提供多种护眼功能供用户选择</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为方便教学，教师可通过三指按压显示区域，一步操作达到息屏或唤醒屏幕功能，不接受触摸菜单或物理按键的方式</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为防止学生误触，整机需提供不少于3种锁定设备的方式；同时，应提供不少于</w:t>
            </w:r>
            <w:r>
              <w:rPr>
                <w:rFonts w:hint="eastAsia" w:asciiTheme="minorEastAsia" w:hAnsiTheme="minorEastAsia" w:eastAsiaTheme="minorEastAsia" w:cstheme="minorEastAsia"/>
                <w:b w:val="0"/>
                <w:bCs w:val="0"/>
                <w:color w:val="auto"/>
                <w:sz w:val="24"/>
                <w:szCs w:val="24"/>
                <w:lang w:val="en-US" w:eastAsia="zh-CN"/>
              </w:rPr>
              <w:t>2</w:t>
            </w:r>
            <w:r>
              <w:rPr>
                <w:rFonts w:hint="eastAsia" w:asciiTheme="minorEastAsia" w:hAnsiTheme="minorEastAsia" w:eastAsiaTheme="minorEastAsia" w:cstheme="minorEastAsia"/>
                <w:b w:val="0"/>
                <w:bCs w:val="0"/>
                <w:color w:val="auto"/>
                <w:sz w:val="24"/>
                <w:szCs w:val="24"/>
              </w:rPr>
              <w:t>种方式进行解锁</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无需借助PC，整机可一键进行硬件自检，包括对系统硬盘、系统内存、触摸系统、内置电脑、光感系统等模块进行检测，并提供故障提示</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在无操作或无信号输入时,整机自动进入待机节能的功能，待机的时间间隔可自定义，这样既节能环保又能延长机器使用寿命</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可自动识别粗细笔记，既能够方便教师板书及批注重点，又可以保留真实书写感</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kern w:val="0"/>
                <w:sz w:val="24"/>
                <w:szCs w:val="24"/>
              </w:rPr>
              <w:t>（</w:t>
            </w:r>
            <w:r>
              <w:rPr>
                <w:rFonts w:hint="eastAsia" w:asciiTheme="minorEastAsia" w:hAnsiTheme="minorEastAsia" w:eastAsiaTheme="minorEastAsia" w:cstheme="minorEastAsia"/>
                <w:b w:val="0"/>
                <w:bCs w:val="0"/>
                <w:color w:val="auto"/>
                <w:sz w:val="24"/>
                <w:szCs w:val="24"/>
              </w:rPr>
              <w:t>需提供CMA、CAL、CNAS级别权威机构出具的检测报告）</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val="0"/>
                <w:bCs w:val="0"/>
                <w:color w:val="auto"/>
                <w:sz w:val="24"/>
                <w:szCs w:val="24"/>
              </w:rPr>
              <w:t>安卓主页面提供≥4个应用入口，任意应用入口可以根据教学需要自行更换。</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安卓系统下提供硬件系统检测：对系统内存、存储、触控系统、电脑、屏温监控等提供直观的状态、故障提示；安卓下具备文件浏览功能和二维码分享等功能</w:t>
            </w:r>
            <w:r>
              <w:rPr>
                <w:rFonts w:hint="eastAsia" w:asciiTheme="minorEastAsia" w:hAnsiTheme="minorEastAsia" w:eastAsiaTheme="minorEastAsia" w:cstheme="minorEastAsia"/>
                <w:b w:val="0"/>
                <w:bCs w:val="0"/>
                <w:color w:val="auto"/>
                <w:sz w:val="24"/>
                <w:szCs w:val="24"/>
                <w:lang w:eastAsia="zh-CN"/>
              </w:rPr>
              <w:t>。</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heme="minorEastAsia" w:hAnsiTheme="minorEastAsia" w:eastAsiaTheme="minorEastAsia" w:cstheme="minorEastAsia"/>
                <w:b w:val="0"/>
                <w:bCs w:val="0"/>
                <w:color w:val="auto"/>
                <w:sz w:val="24"/>
                <w:szCs w:val="24"/>
              </w:rPr>
            </w:pP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四、传统</w:t>
            </w:r>
            <w:r>
              <w:rPr>
                <w:rFonts w:hint="eastAsia" w:asciiTheme="minorEastAsia" w:hAnsiTheme="minorEastAsia" w:eastAsiaTheme="minorEastAsia" w:cstheme="minorEastAsia"/>
                <w:b w:val="0"/>
                <w:bCs w:val="0"/>
                <w:color w:val="auto"/>
                <w:sz w:val="24"/>
                <w:szCs w:val="24"/>
              </w:rPr>
              <w:t>黑板</w:t>
            </w:r>
            <w:r>
              <w:rPr>
                <w:rFonts w:hint="eastAsia" w:asciiTheme="minorEastAsia" w:hAnsiTheme="minorEastAsia" w:eastAsiaTheme="minorEastAsia" w:cstheme="minorEastAsia"/>
                <w:b w:val="0"/>
                <w:bCs w:val="0"/>
                <w:color w:val="auto"/>
                <w:sz w:val="24"/>
                <w:szCs w:val="24"/>
                <w:lang w:val="en-US" w:eastAsia="zh-CN"/>
              </w:rPr>
              <w:t>板块</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配合显示部分使用，无明显接缝，整体外观干净整洁</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正面书写区域支持水笔、普通粉笔、无尘粉笔等多种笔书写，手感流畅、摩擦力适度，笔记均匀、线条明显</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书写面平整，涂层均匀，无波浪、龟裂、针孔、气泡、斑痕</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表面无任何的残胶、凹印、划伤、折印、脱漆以及脏物</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底部具备通屏笔槽设计，可放置触控笔、粉笔等</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整体采用轻量化设计方案，抗冲击、不破碎、结实耐用</w:t>
            </w:r>
            <w:r>
              <w:rPr>
                <w:rFonts w:hint="eastAsia" w:asciiTheme="minorEastAsia" w:hAnsiTheme="minorEastAsia" w:eastAsiaTheme="minorEastAsia" w:cstheme="minorEastAsia"/>
                <w:b w:val="0"/>
                <w:bCs w:val="0"/>
                <w:color w:val="auto"/>
                <w:sz w:val="24"/>
                <w:szCs w:val="24"/>
                <w:lang w:eastAsia="zh-CN"/>
              </w:rPr>
              <w:t>。</w:t>
            </w:r>
          </w:p>
          <w:p>
            <w:pPr>
              <w:pStyle w:val="66"/>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heme="minorEastAsia" w:hAnsiTheme="minorEastAsia" w:eastAsiaTheme="minorEastAsia" w:cstheme="minorEastAsia"/>
                <w:b w:val="0"/>
                <w:bCs w:val="0"/>
                <w:color w:val="auto"/>
                <w:kern w:val="0"/>
                <w:sz w:val="24"/>
                <w:szCs w:val="24"/>
              </w:rPr>
            </w:pPr>
            <w:r>
              <w:rPr>
                <w:rFonts w:hint="eastAsia" w:asciiTheme="minorEastAsia" w:hAnsiTheme="minorEastAsia" w:eastAsiaTheme="minorEastAsia" w:cstheme="minorEastAsia"/>
                <w:b w:val="0"/>
                <w:bCs w:val="0"/>
                <w:color w:val="auto"/>
                <w:sz w:val="24"/>
                <w:szCs w:val="24"/>
              </w:rPr>
              <w:t>五、内置电脑模块参数</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整机架构:为降低电脑模块维护成本，接口严格遵循Intel®相关规范,针脚数为行业通用≤80Pin ,与大屏无单独接线</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kern w:val="0"/>
                <w:sz w:val="24"/>
                <w:szCs w:val="24"/>
              </w:rPr>
              <w:t>（</w:t>
            </w:r>
            <w:r>
              <w:rPr>
                <w:rFonts w:hint="eastAsia" w:asciiTheme="minorEastAsia" w:hAnsiTheme="minorEastAsia" w:eastAsiaTheme="minorEastAsia" w:cstheme="minorEastAsia"/>
                <w:b w:val="0"/>
                <w:bCs w:val="0"/>
                <w:color w:val="auto"/>
                <w:sz w:val="24"/>
                <w:szCs w:val="24"/>
              </w:rPr>
              <w:t>需提供CMA、CAL、CNAS级别权威机构出具的检测报告）</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kern w:val="0"/>
                <w:sz w:val="24"/>
                <w:szCs w:val="24"/>
                <w:lang w:eastAsia="zh-CN"/>
              </w:rPr>
            </w:pPr>
            <w:r>
              <w:rPr>
                <w:rFonts w:hint="eastAsia" w:asciiTheme="minorEastAsia" w:hAnsiTheme="minorEastAsia" w:eastAsiaTheme="minorEastAsia" w:cstheme="minorEastAsia"/>
                <w:b w:val="0"/>
                <w:bCs w:val="0"/>
                <w:color w:val="auto"/>
                <w:sz w:val="24"/>
                <w:szCs w:val="24"/>
              </w:rPr>
              <w:t>CPU:</w:t>
            </w:r>
            <w:r>
              <w:rPr>
                <w:rFonts w:hint="eastAsia" w:asciiTheme="minorEastAsia" w:hAnsiTheme="minorEastAsia" w:eastAsiaTheme="minorEastAsia" w:cstheme="minorEastAsia"/>
                <w:b w:val="0"/>
                <w:bCs w:val="0"/>
                <w:color w:val="auto"/>
                <w:kern w:val="0"/>
                <w:sz w:val="24"/>
                <w:szCs w:val="24"/>
              </w:rPr>
              <w:t>Intel第8代酷睿，I5处理器</w:t>
            </w:r>
            <w:r>
              <w:rPr>
                <w:rFonts w:hint="eastAsia" w:asciiTheme="minorEastAsia" w:hAnsiTheme="minorEastAsia" w:eastAsiaTheme="minorEastAsia" w:cstheme="minorEastAsia"/>
                <w:b w:val="0"/>
                <w:bCs w:val="0"/>
                <w:color w:val="auto"/>
                <w:kern w:val="0"/>
                <w:sz w:val="24"/>
                <w:szCs w:val="24"/>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内存：8G DDR4；硬盘： 128G SSD；具备USB3.0*3、USB2.0*3，HDMI *1，DP接口*1，RJ45*1满足教学拓展需求</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插拔电脑具有安全使用提醒功能，如电脑未进行安全锁紧机制则电脑无法正常使用</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提供Windows10专业版操作系统和office2016版办公软件</w:t>
            </w:r>
            <w:r>
              <w:rPr>
                <w:rFonts w:hint="eastAsia" w:asciiTheme="minorEastAsia" w:hAnsiTheme="minorEastAsia" w:eastAsiaTheme="minorEastAsia" w:cstheme="minorEastAsia"/>
                <w:b w:val="0"/>
                <w:bCs w:val="0"/>
                <w:color w:val="auto"/>
                <w:sz w:val="24"/>
                <w:szCs w:val="24"/>
                <w:lang w:eastAsia="zh-CN"/>
              </w:rPr>
              <w:t>。</w:t>
            </w:r>
          </w:p>
          <w:p>
            <w:pPr>
              <w:pStyle w:val="66"/>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六、教学应用软件</w:t>
            </w:r>
          </w:p>
          <w:p>
            <w:pPr>
              <w:pStyle w:val="66"/>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一）备授课模式</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kern w:val="0"/>
                <w:sz w:val="24"/>
                <w:szCs w:val="24"/>
              </w:rPr>
              <w:t>具有教学云平台，支持云端备课，教师可直接登陆云平台进行备课及课件下载使用，教师注册即可获得不少于32GB的云盘容量。</w:t>
            </w:r>
            <w:r>
              <w:rPr>
                <w:rFonts w:hint="eastAsia" w:asciiTheme="minorEastAsia" w:hAnsiTheme="minorEastAsia" w:eastAsiaTheme="minorEastAsia" w:cstheme="minorEastAsia"/>
                <w:b w:val="0"/>
                <w:bCs w:val="0"/>
                <w:color w:val="auto"/>
                <w:sz w:val="24"/>
                <w:szCs w:val="24"/>
              </w:rPr>
              <w:t>无需用户通过完成特定任务才能获取，方便老师存储资料</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数学公式编辑器：可插入高级复杂公式，共计125个符号。支持LaTex公式利用代码编辑高级公式等。可快速输入繁分数，支持自动修正数学符号字体</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生物工具：提供显微镜功能，可模拟装片展示，如对洋葱表皮、叶绿体等细胞进行装片，进行粗螺纹、细螺纹进行调试观看细胞。实现显微镜仿真教学，为方便向学生展示，学科工具支持一键全屏播放</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地理工具：地理学科工具提供地球仪功能，模拟实物地球仪可以进行旋转，也可调整地球仪显示类型，如全球气候、国家、地形等；为方便向学生展示，支持一键全屏播放</w:t>
            </w:r>
            <w:r>
              <w:rPr>
                <w:rFonts w:hint="eastAsia" w:asciiTheme="minorEastAsia" w:hAnsiTheme="minorEastAsia" w:eastAsiaTheme="minorEastAsia" w:cstheme="minorEastAsia"/>
                <w:b w:val="0"/>
                <w:bCs w:val="0"/>
                <w:color w:val="auto"/>
                <w:sz w:val="24"/>
                <w:szCs w:val="24"/>
                <w:lang w:eastAsia="zh-CN"/>
              </w:rPr>
              <w:t>。</w:t>
            </w:r>
          </w:p>
          <w:p>
            <w:pPr>
              <w:pStyle w:val="2"/>
              <w:keepNext w:val="0"/>
              <w:keepLines w:val="0"/>
              <w:pageBreakBefore w:val="0"/>
              <w:numPr>
                <w:ilvl w:val="0"/>
                <w:numId w:val="8"/>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rPr>
              <w:t>化学工具：需提供化学器械、化学器皿等多种实验素材，如烧杯、酒精灯、铁架台、玻璃棒、砝码、U型管；提供化学元素周期表工具</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课堂互动游戏：</w:t>
            </w:r>
            <w:r>
              <w:rPr>
                <w:rFonts w:hint="eastAsia" w:asciiTheme="minorEastAsia" w:hAnsiTheme="minorEastAsia" w:eastAsiaTheme="minorEastAsia" w:cstheme="minorEastAsia"/>
                <w:b w:val="0"/>
                <w:bCs w:val="0"/>
                <w:color w:val="auto"/>
                <w:sz w:val="24"/>
                <w:szCs w:val="24"/>
                <w:highlight w:val="none"/>
              </w:rPr>
              <w:t>能够创建知识连线、互动分类、选词填空、趣味竞赛、翻翻卡等不少于5种互动类游戏，并且支持自定义修改，每类互动游戏提供至少12个适用普教K12不同学科、学段风格的模板</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制作互动游戏</w:t>
            </w:r>
            <w:r>
              <w:rPr>
                <w:rFonts w:hint="eastAsia" w:asciiTheme="minorEastAsia" w:hAnsiTheme="minorEastAsia" w:eastAsiaTheme="minorEastAsia" w:cstheme="minorEastAsia"/>
                <w:b w:val="0"/>
                <w:bCs w:val="0"/>
                <w:color w:val="auto"/>
                <w:sz w:val="24"/>
                <w:szCs w:val="24"/>
                <w:highlight w:val="none"/>
              </w:rPr>
              <w:t>可设置提示音效，</w:t>
            </w:r>
            <w:r>
              <w:rPr>
                <w:rFonts w:hint="eastAsia" w:asciiTheme="minorEastAsia" w:hAnsiTheme="minorEastAsia" w:eastAsiaTheme="minorEastAsia" w:cstheme="minorEastAsia"/>
                <w:b w:val="0"/>
                <w:bCs w:val="0"/>
                <w:color w:val="auto"/>
                <w:sz w:val="24"/>
                <w:szCs w:val="24"/>
                <w:highlight w:val="none"/>
                <w:lang w:val="en-US" w:eastAsia="zh-CN"/>
              </w:rPr>
              <w:t>完成游戏后还可复位</w:t>
            </w:r>
            <w:r>
              <w:rPr>
                <w:rFonts w:hint="eastAsia" w:asciiTheme="minorEastAsia" w:hAnsiTheme="minorEastAsia" w:eastAsiaTheme="minorEastAsia" w:cstheme="minorEastAsia"/>
                <w:b w:val="0"/>
                <w:bCs w:val="0"/>
                <w:color w:val="auto"/>
                <w:sz w:val="24"/>
                <w:szCs w:val="24"/>
                <w:highlight w:val="none"/>
              </w:rPr>
              <w:t>重新开始</w:t>
            </w:r>
            <w:r>
              <w:rPr>
                <w:rFonts w:hint="eastAsia" w:asciiTheme="minorEastAsia" w:hAnsiTheme="minorEastAsia" w:eastAsiaTheme="minorEastAsia" w:cstheme="minorEastAsia"/>
                <w:b w:val="0"/>
                <w:bCs w:val="0"/>
                <w:color w:val="auto"/>
                <w:sz w:val="24"/>
                <w:szCs w:val="24"/>
                <w:highlight w:val="none"/>
                <w:lang w:val="en-US" w:eastAsia="zh-CN"/>
              </w:rPr>
              <w:t>游戏。</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知识连线</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支持创建知识连线游戏，提供配对项的编辑功能，将相互配对的项拖动连接可自动识别连线是否正确，并且有相应提示，同时可以开启或关闭游戏计时功能。</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互动分类</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rPr>
              <w:t>支持创建互动分类游戏，</w:t>
            </w:r>
            <w:r>
              <w:rPr>
                <w:rFonts w:hint="eastAsia" w:asciiTheme="minorEastAsia" w:hAnsiTheme="minorEastAsia" w:eastAsiaTheme="minorEastAsia" w:cstheme="minorEastAsia"/>
                <w:b w:val="0"/>
                <w:bCs w:val="0"/>
                <w:color w:val="auto"/>
                <w:sz w:val="24"/>
                <w:szCs w:val="24"/>
                <w:highlight w:val="none"/>
                <w:lang w:val="en-US" w:eastAsia="zh-CN"/>
              </w:rPr>
              <w:t>可对类别或子类别进行编辑，</w:t>
            </w:r>
            <w:r>
              <w:rPr>
                <w:rFonts w:hint="eastAsia" w:asciiTheme="minorEastAsia" w:hAnsiTheme="minorEastAsia" w:eastAsiaTheme="minorEastAsia" w:cstheme="minorEastAsia"/>
                <w:b w:val="0"/>
                <w:bCs w:val="0"/>
                <w:color w:val="auto"/>
                <w:sz w:val="24"/>
                <w:szCs w:val="24"/>
                <w:highlight w:val="none"/>
              </w:rPr>
              <w:t>将不同对象拖拽到对应的类别容器中可自动辨识分类，分类正确或错误均有相应提示</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同时可以开启或关闭游戏计时功能</w:t>
            </w:r>
            <w:r>
              <w:rPr>
                <w:rFonts w:hint="eastAsia" w:asciiTheme="minorEastAsia" w:hAnsiTheme="minorEastAsia" w:eastAsiaTheme="minorEastAsia" w:cstheme="minorEastAsia"/>
                <w:b w:val="0"/>
                <w:bCs w:val="0"/>
                <w:color w:val="auto"/>
                <w:sz w:val="24"/>
                <w:szCs w:val="24"/>
                <w:highlight w:val="none"/>
              </w:rPr>
              <w:t>。</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选词填空</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支持创建选词填空游戏</w:t>
            </w:r>
            <w:r>
              <w:rPr>
                <w:rFonts w:hint="eastAsia" w:asciiTheme="minorEastAsia" w:hAnsiTheme="minorEastAsia" w:eastAsiaTheme="minorEastAsia" w:cstheme="minorEastAsia"/>
                <w:b w:val="0"/>
                <w:bCs w:val="0"/>
                <w:color w:val="auto"/>
                <w:kern w:val="2"/>
                <w:sz w:val="24"/>
                <w:szCs w:val="24"/>
                <w:highlight w:val="none"/>
                <w:lang w:val="en-US" w:eastAsia="zh-CN" w:bidi="ar-SA"/>
              </w:rPr>
              <w:t>，可对题干、正确答案及干扰答案进行编辑，将答案拖至题目空白处，即自动识别答案是否正确，</w:t>
            </w:r>
            <w:r>
              <w:rPr>
                <w:rFonts w:hint="eastAsia" w:asciiTheme="minorEastAsia" w:hAnsiTheme="minorEastAsia" w:eastAsiaTheme="minorEastAsia" w:cstheme="minorEastAsia"/>
                <w:b w:val="0"/>
                <w:bCs w:val="0"/>
                <w:color w:val="auto"/>
                <w:sz w:val="24"/>
                <w:szCs w:val="24"/>
                <w:highlight w:val="none"/>
                <w:lang w:val="en-US" w:eastAsia="zh-CN"/>
              </w:rPr>
              <w:t>并且有相应提示，同时可以开启或关闭游戏计时功能。</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趣味竞赛</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支持创建趣味竞赛，</w:t>
            </w:r>
            <w:r>
              <w:rPr>
                <w:rFonts w:hint="eastAsia" w:asciiTheme="minorEastAsia" w:hAnsiTheme="minorEastAsia" w:eastAsiaTheme="minorEastAsia" w:cstheme="minorEastAsia"/>
                <w:b w:val="0"/>
                <w:bCs w:val="0"/>
                <w:color w:val="auto"/>
                <w:kern w:val="2"/>
                <w:sz w:val="24"/>
                <w:szCs w:val="24"/>
                <w:highlight w:val="none"/>
                <w:lang w:val="en-US" w:eastAsia="zh-CN" w:bidi="ar-SA"/>
              </w:rPr>
              <w:t>可对题目、正确答案、干扰答案及游戏难度进行编辑，且</w:t>
            </w:r>
            <w:r>
              <w:rPr>
                <w:rFonts w:hint="eastAsia" w:asciiTheme="minorEastAsia" w:hAnsiTheme="minorEastAsia" w:eastAsiaTheme="minorEastAsia" w:cstheme="minorEastAsia"/>
                <w:b w:val="0"/>
                <w:bCs w:val="0"/>
                <w:color w:val="auto"/>
                <w:sz w:val="24"/>
                <w:szCs w:val="24"/>
                <w:highlight w:val="none"/>
                <w:lang w:val="en-US" w:eastAsia="zh-CN"/>
              </w:rPr>
              <w:t>可以邀请至少两位同学同时进行答题，将课堂知识以游戏竞赛的形式展现。</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翻翻卡</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支持创建翻翻卡游戏，</w:t>
            </w:r>
            <w:r>
              <w:rPr>
                <w:rFonts w:hint="eastAsia" w:asciiTheme="minorEastAsia" w:hAnsiTheme="minorEastAsia" w:eastAsiaTheme="minorEastAsia" w:cstheme="minorEastAsia"/>
                <w:b w:val="0"/>
                <w:bCs w:val="0"/>
                <w:color w:val="auto"/>
                <w:sz w:val="24"/>
                <w:szCs w:val="24"/>
                <w:highlight w:val="none"/>
              </w:rPr>
              <w:t>可以制作多张卡片，</w:t>
            </w:r>
            <w:r>
              <w:rPr>
                <w:rFonts w:hint="eastAsia" w:asciiTheme="minorEastAsia" w:hAnsiTheme="minorEastAsia" w:eastAsiaTheme="minorEastAsia" w:cstheme="minorEastAsia"/>
                <w:b w:val="0"/>
                <w:bCs w:val="0"/>
                <w:color w:val="auto"/>
                <w:sz w:val="24"/>
                <w:szCs w:val="24"/>
                <w:highlight w:val="none"/>
                <w:lang w:val="en-US" w:eastAsia="zh-CN"/>
              </w:rPr>
              <w:t>并且</w:t>
            </w:r>
            <w:r>
              <w:rPr>
                <w:rFonts w:hint="eastAsia" w:asciiTheme="minorEastAsia" w:hAnsiTheme="minorEastAsia" w:eastAsiaTheme="minorEastAsia" w:cstheme="minorEastAsia"/>
                <w:b w:val="0"/>
                <w:bCs w:val="0"/>
                <w:color w:val="auto"/>
                <w:sz w:val="24"/>
                <w:szCs w:val="24"/>
                <w:highlight w:val="none"/>
              </w:rPr>
              <w:t>编辑卡片</w:t>
            </w:r>
            <w:r>
              <w:rPr>
                <w:rFonts w:hint="eastAsia" w:asciiTheme="minorEastAsia" w:hAnsiTheme="minorEastAsia" w:eastAsiaTheme="minorEastAsia" w:cstheme="minorEastAsia"/>
                <w:b w:val="0"/>
                <w:bCs w:val="0"/>
                <w:color w:val="auto"/>
                <w:sz w:val="24"/>
                <w:szCs w:val="24"/>
                <w:highlight w:val="none"/>
                <w:lang w:val="en-US" w:eastAsia="zh-CN"/>
              </w:rPr>
              <w:t>正反两面的</w:t>
            </w:r>
            <w:r>
              <w:rPr>
                <w:rFonts w:hint="eastAsia" w:asciiTheme="minorEastAsia" w:hAnsiTheme="minorEastAsia" w:eastAsiaTheme="minorEastAsia" w:cstheme="minorEastAsia"/>
                <w:b w:val="0"/>
                <w:bCs w:val="0"/>
                <w:color w:val="auto"/>
                <w:sz w:val="24"/>
                <w:szCs w:val="24"/>
                <w:highlight w:val="none"/>
              </w:rPr>
              <w:t>文字和图片内容</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同时</w:t>
            </w:r>
            <w:r>
              <w:rPr>
                <w:rFonts w:hint="eastAsia" w:asciiTheme="minorEastAsia" w:hAnsiTheme="minorEastAsia" w:eastAsiaTheme="minorEastAsia" w:cstheme="minorEastAsia"/>
                <w:b w:val="0"/>
                <w:bCs w:val="0"/>
                <w:color w:val="auto"/>
                <w:sz w:val="24"/>
                <w:szCs w:val="24"/>
                <w:highlight w:val="none"/>
              </w:rPr>
              <w:t>可设置提示音效</w:t>
            </w:r>
            <w:r>
              <w:rPr>
                <w:rFonts w:hint="eastAsia" w:asciiTheme="minorEastAsia" w:hAnsiTheme="minorEastAsia" w:eastAsiaTheme="minorEastAsia" w:cstheme="minorEastAsia"/>
                <w:b w:val="0"/>
                <w:bCs w:val="0"/>
                <w:color w:val="auto"/>
                <w:sz w:val="24"/>
                <w:szCs w:val="24"/>
                <w:highlight w:val="none"/>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PPT课件批注功能：PPT全屏播放时可自动开启工具菜单，支持工具菜单收起与打开，提供PPT课件的播放控制(如前后翻页)、聚光灯、放大镜、草稿纸、书写批注、黑屏等功能,支持生成二维码，快速分享课件</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方便老师教学，软件需提供快速备课功能，通过简单的勾选章节（支持预览），一键生成带有文字以及动画效果的幻灯片课件，无需教师后续编辑，支持一键全屏播放</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为方便老师应用，提供与所投产品相关的微信公众号学习交流及售后平台，老师可通过关注厂家微信公众号在线自主学习产品使用，也可通过公众号在线提问及产品的报修。</w:t>
            </w:r>
          </w:p>
          <w:p>
            <w:pPr>
              <w:pStyle w:val="77"/>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二）互动教学模式</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支持移动端与PC端通过智能搜索或扫描二维码方式连接。</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可实现影像上传功能：支持对上传的图片内容再次编辑如裁剪、马赛克、批注、旋转等操作，可同时上传多张照片进行同屏对比，双向批注。</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可实现双向投屏功能：移动端的画面可以上传至PC端；PC端电脑画面也可以同步至移动端，可实现移动端实时控制、随时批注PC端电脑桌面。</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可实现手机直播：当手机与PC端连接，可以同步直播手机摄像头画面至PC端，并且支持一键切换前后置摄像头。</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当移动端与PC端连接时，移动端可以模拟鼠标操作PC端；还可以远程操作管理PC端电脑，包括切换电脑软件窗口、启动电脑应用，以及重启、锁定或者关闭电脑等。</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 xml:space="preserve">七、资源 </w:t>
            </w:r>
          </w:p>
          <w:p>
            <w:pPr>
              <w:keepNext w:val="0"/>
              <w:keepLines w:val="0"/>
              <w:pageBreakBefore w:val="0"/>
              <w:numPr>
                <w:ilvl w:val="0"/>
                <w:numId w:val="1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数字教材资源：</w:t>
            </w:r>
            <w:r>
              <w:rPr>
                <w:rFonts w:hint="eastAsia" w:asciiTheme="minorEastAsia" w:hAnsiTheme="minorEastAsia" w:eastAsiaTheme="minorEastAsia" w:cstheme="minorEastAsia"/>
                <w:b w:val="0"/>
                <w:bCs w:val="0"/>
                <w:color w:val="auto"/>
                <w:kern w:val="0"/>
                <w:sz w:val="24"/>
                <w:szCs w:val="24"/>
              </w:rPr>
              <w:t>配置人民教育出版社数字教材，</w:t>
            </w:r>
            <w:r>
              <w:rPr>
                <w:rFonts w:hint="eastAsia" w:asciiTheme="minorEastAsia" w:hAnsiTheme="minorEastAsia" w:eastAsiaTheme="minorEastAsia" w:cstheme="minorEastAsia"/>
                <w:b w:val="0"/>
                <w:bCs w:val="0"/>
                <w:color w:val="auto"/>
                <w:sz w:val="24"/>
                <w:szCs w:val="24"/>
              </w:rPr>
              <w:t>覆盖K-12各个年级各个学科；教材资源内容与课程标准及现行课改教材完全配套相符。</w:t>
            </w:r>
          </w:p>
          <w:p>
            <w:pPr>
              <w:keepNext w:val="0"/>
              <w:keepLines w:val="0"/>
              <w:pageBreakBefore w:val="0"/>
              <w:numPr>
                <w:ilvl w:val="0"/>
                <w:numId w:val="12"/>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val="0"/>
                <w:bCs w:val="0"/>
                <w:color w:val="auto"/>
                <w:kern w:val="0"/>
                <w:sz w:val="24"/>
                <w:szCs w:val="24"/>
              </w:rPr>
              <w:t>方便教学使用，支持教师个人账号登录并支持在线下载。</w:t>
            </w:r>
          </w:p>
          <w:p>
            <w:pPr>
              <w:keepNext w:val="0"/>
              <w:keepLines w:val="0"/>
              <w:pageBreakBefore w:val="0"/>
              <w:numPr>
                <w:ilvl w:val="0"/>
                <w:numId w:val="12"/>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数字教材资源含教材原文、教学素材、教学动画、教学视频、语音点播等；且页面提供点读、笔记、标注等工具。</w:t>
            </w:r>
          </w:p>
          <w:p>
            <w:pPr>
              <w:keepNext w:val="0"/>
              <w:keepLines w:val="0"/>
              <w:pageBreakBefore w:val="0"/>
              <w:numPr>
                <w:ilvl w:val="0"/>
                <w:numId w:val="12"/>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数字教材可在交互教学软件中直接打开，且达到放大200%不失真的功能。</w:t>
            </w:r>
          </w:p>
          <w:p>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ind w:left="454" w:leftChars="0" w:hanging="454"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教学资源库</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涵盖幼教、普教、职教等学段，总量高达1000G、50万条。可按学科、年级、版本、章节、栏目进行查询、下载，备课时可直接拖拽至教学活动中。</w:t>
            </w:r>
          </w:p>
          <w:p>
            <w:pPr>
              <w:keepNext w:val="0"/>
              <w:keepLines w:val="0"/>
              <w:pageBreakBefore w:val="0"/>
              <w:widowControl/>
              <w:numPr>
                <w:ilvl w:val="0"/>
                <w:numId w:val="14"/>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幼教资源库</w:t>
            </w:r>
          </w:p>
          <w:p>
            <w:pPr>
              <w:keepNext w:val="0"/>
              <w:keepLines w:val="0"/>
              <w:pageBreakBefore w:val="0"/>
              <w:widowControl/>
              <w:numPr>
                <w:ilvl w:val="0"/>
                <w:numId w:val="15"/>
              </w:numPr>
              <w:kinsoku/>
              <w:wordWrap/>
              <w:overflowPunct/>
              <w:topLinePunct w:val="0"/>
              <w:autoSpaceDE/>
              <w:autoSpaceDN/>
              <w:bidi w:val="0"/>
              <w:adjustRightInd w:val="0"/>
              <w:snapToGrid w:val="0"/>
              <w:spacing w:line="240" w:lineRule="auto"/>
              <w:ind w:left="850" w:leftChars="0" w:hanging="56"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提供了丰富的幼教资源内容，涵盖语文、数学、英语、科学、艺术、健康、社会等七大主题内容；</w:t>
            </w:r>
          </w:p>
          <w:p>
            <w:pPr>
              <w:keepNext w:val="0"/>
              <w:keepLines w:val="0"/>
              <w:pageBreakBefore w:val="0"/>
              <w:widowControl/>
              <w:numPr>
                <w:ilvl w:val="0"/>
                <w:numId w:val="15"/>
              </w:numPr>
              <w:kinsoku/>
              <w:wordWrap/>
              <w:overflowPunct/>
              <w:topLinePunct w:val="0"/>
              <w:autoSpaceDE/>
              <w:autoSpaceDN/>
              <w:bidi w:val="0"/>
              <w:adjustRightInd w:val="0"/>
              <w:snapToGrid w:val="0"/>
              <w:spacing w:line="240" w:lineRule="auto"/>
              <w:ind w:left="850" w:leftChars="0" w:hanging="56"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包括图片、文本、视频、音频等多种类型资源，可基本满足幼儿园小班、中班、大班的教学需求；</w:t>
            </w:r>
            <w:r>
              <w:rPr>
                <w:rFonts w:hint="eastAsia" w:asciiTheme="minorEastAsia" w:hAnsiTheme="minorEastAsia" w:eastAsiaTheme="minorEastAsia" w:cstheme="minorEastAsia"/>
                <w:b w:val="0"/>
                <w:bCs w:val="0"/>
                <w:color w:val="auto"/>
                <w:sz w:val="24"/>
                <w:szCs w:val="24"/>
              </w:rPr>
              <w:tab/>
            </w:r>
          </w:p>
          <w:p>
            <w:pPr>
              <w:keepNext w:val="0"/>
              <w:keepLines w:val="0"/>
              <w:pageBreakBefore w:val="0"/>
              <w:widowControl/>
              <w:numPr>
                <w:ilvl w:val="0"/>
                <w:numId w:val="16"/>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普教资源库</w:t>
            </w:r>
          </w:p>
          <w:p>
            <w:pPr>
              <w:keepNext w:val="0"/>
              <w:keepLines w:val="0"/>
              <w:pageBreakBefore w:val="0"/>
              <w:widowControl/>
              <w:numPr>
                <w:ilvl w:val="0"/>
                <w:numId w:val="17"/>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覆盖小学一年级到高中三年级多</w:t>
            </w:r>
            <w:r>
              <w:rPr>
                <w:rFonts w:hint="eastAsia" w:asciiTheme="minorEastAsia" w:hAnsiTheme="minorEastAsia" w:eastAsiaTheme="minorEastAsia" w:cstheme="minorEastAsia"/>
                <w:b w:val="0"/>
                <w:bCs w:val="0"/>
                <w:color w:val="auto"/>
                <w:sz w:val="24"/>
                <w:szCs w:val="24"/>
                <w:lang w:val="en-US" w:eastAsia="zh-CN"/>
              </w:rPr>
              <w:t>种</w:t>
            </w:r>
            <w:r>
              <w:rPr>
                <w:rFonts w:hint="eastAsia" w:asciiTheme="minorEastAsia" w:hAnsiTheme="minorEastAsia" w:eastAsiaTheme="minorEastAsia" w:cstheme="minorEastAsia"/>
                <w:b w:val="0"/>
                <w:bCs w:val="0"/>
                <w:color w:val="auto"/>
                <w:sz w:val="24"/>
                <w:szCs w:val="24"/>
              </w:rPr>
              <w:t>教材版本，可最大限度地满足不同年级、不同学科、不同地域教师的需求；</w:t>
            </w:r>
          </w:p>
          <w:p>
            <w:pPr>
              <w:keepNext w:val="0"/>
              <w:keepLines w:val="0"/>
              <w:pageBreakBefore w:val="0"/>
              <w:widowControl/>
              <w:numPr>
                <w:ilvl w:val="0"/>
                <w:numId w:val="17"/>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所有资源均采用与教材同步的目录结构进行组织，每一课/节所包含的主要资源种类</w:t>
            </w:r>
            <w:r>
              <w:rPr>
                <w:rFonts w:hint="eastAsia" w:asciiTheme="minorEastAsia" w:hAnsiTheme="minorEastAsia" w:eastAsiaTheme="minorEastAsia" w:cstheme="minorEastAsia"/>
                <w:b w:val="0"/>
                <w:bCs w:val="0"/>
                <w:color w:val="auto"/>
                <w:sz w:val="24"/>
                <w:szCs w:val="24"/>
                <w:lang w:val="en-US" w:eastAsia="zh-CN"/>
              </w:rPr>
              <w:t>包含：</w:t>
            </w:r>
            <w:r>
              <w:rPr>
                <w:rFonts w:hint="eastAsia" w:asciiTheme="minorEastAsia" w:hAnsiTheme="minorEastAsia" w:eastAsiaTheme="minorEastAsia" w:cstheme="minorEastAsia"/>
                <w:b w:val="0"/>
                <w:bCs w:val="0"/>
                <w:color w:val="auto"/>
                <w:sz w:val="24"/>
                <w:szCs w:val="24"/>
              </w:rPr>
              <w:t>教学建议</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教案示例</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教学课件</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多媒体素材</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试题与试卷</w:t>
            </w:r>
            <w:r>
              <w:rPr>
                <w:rFonts w:hint="eastAsia" w:asciiTheme="minorEastAsia" w:hAnsiTheme="minorEastAsia" w:eastAsiaTheme="minorEastAsia" w:cstheme="minorEastAsia"/>
                <w:b w:val="0"/>
                <w:bCs w:val="0"/>
                <w:color w:val="auto"/>
                <w:sz w:val="24"/>
                <w:szCs w:val="24"/>
                <w:lang w:val="en-US" w:eastAsia="zh-CN"/>
              </w:rPr>
              <w:t>等</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18"/>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职教资源库</w:t>
            </w:r>
          </w:p>
          <w:p>
            <w:pPr>
              <w:keepNext w:val="0"/>
              <w:keepLines w:val="0"/>
              <w:pageBreakBefore w:val="0"/>
              <w:widowControl/>
              <w:numPr>
                <w:ilvl w:val="0"/>
                <w:numId w:val="19"/>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中职资源：覆盖农林牧渔类、资源环境类、能源与新能源类、土木水利类、加工制造类、石油化工类、轻纺食品类、交通运输类、信息技术类、医药卫生类、休闲保健类、财经商贸类、旅游服务类、文化艺术类、体育与健身类、教育类、司法服务类、公共管理与服务类等类别；</w:t>
            </w:r>
          </w:p>
          <w:p>
            <w:pPr>
              <w:keepNext w:val="0"/>
              <w:keepLines w:val="0"/>
              <w:pageBreakBefore w:val="0"/>
              <w:widowControl/>
              <w:numPr>
                <w:ilvl w:val="0"/>
                <w:numId w:val="19"/>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高职资源：覆盖材料与能源、财经、法律、旅游、文化教育、医药卫生、艺术设计传媒等类别。</w:t>
            </w:r>
          </w:p>
          <w:p>
            <w:pPr>
              <w:keepNext w:val="0"/>
              <w:keepLines w:val="0"/>
              <w:pageBreakBefore w:val="0"/>
              <w:widowControl/>
              <w:numPr>
                <w:ilvl w:val="0"/>
                <w:numId w:val="20"/>
              </w:numPr>
              <w:kinsoku/>
              <w:wordWrap/>
              <w:overflowPunct/>
              <w:topLinePunct w:val="0"/>
              <w:autoSpaceDE/>
              <w:autoSpaceDN/>
              <w:bidi w:val="0"/>
              <w:adjustRightInd w:val="0"/>
              <w:snapToGrid w:val="0"/>
              <w:spacing w:line="240" w:lineRule="auto"/>
              <w:ind w:left="454" w:leftChars="0" w:hanging="454"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学科试题库</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highlight w:val="none"/>
              </w:rPr>
              <w:t>提供丰富的学科试题库，</w:t>
            </w:r>
            <w:r>
              <w:rPr>
                <w:rFonts w:hint="eastAsia" w:asciiTheme="minorEastAsia" w:hAnsiTheme="minorEastAsia" w:eastAsiaTheme="minorEastAsia" w:cstheme="minorEastAsia"/>
                <w:b w:val="0"/>
                <w:bCs w:val="0"/>
                <w:color w:val="auto"/>
                <w:sz w:val="24"/>
                <w:szCs w:val="24"/>
                <w:lang w:val="en-US" w:eastAsia="zh-CN"/>
              </w:rPr>
              <w:t>包括</w:t>
            </w:r>
            <w:r>
              <w:rPr>
                <w:rFonts w:hint="eastAsia" w:asciiTheme="minorEastAsia" w:hAnsiTheme="minorEastAsia" w:eastAsiaTheme="minorEastAsia" w:cstheme="minorEastAsia"/>
                <w:b w:val="0"/>
                <w:bCs w:val="0"/>
                <w:color w:val="auto"/>
                <w:sz w:val="24"/>
                <w:szCs w:val="24"/>
              </w:rPr>
              <w:t>同步题库和个人题库，</w:t>
            </w:r>
            <w:r>
              <w:rPr>
                <w:rFonts w:hint="eastAsia" w:asciiTheme="minorEastAsia" w:hAnsiTheme="minorEastAsia" w:eastAsiaTheme="minorEastAsia" w:cstheme="minorEastAsia"/>
                <w:b w:val="0"/>
                <w:bCs w:val="0"/>
                <w:color w:val="auto"/>
                <w:sz w:val="24"/>
                <w:szCs w:val="24"/>
                <w:highlight w:val="none"/>
                <w:lang w:val="en-US" w:eastAsia="zh-CN"/>
              </w:rPr>
              <w:t>教师</w:t>
            </w:r>
            <w:r>
              <w:rPr>
                <w:rFonts w:hint="eastAsia" w:asciiTheme="minorEastAsia" w:hAnsiTheme="minorEastAsia" w:eastAsiaTheme="minorEastAsia" w:cstheme="minorEastAsia"/>
                <w:b w:val="0"/>
                <w:bCs w:val="0"/>
                <w:color w:val="auto"/>
                <w:sz w:val="24"/>
                <w:szCs w:val="24"/>
              </w:rPr>
              <w:t>可根据题型、难度进行选择</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同时</w:t>
            </w:r>
            <w:r>
              <w:rPr>
                <w:rFonts w:hint="eastAsia" w:asciiTheme="minorEastAsia" w:hAnsiTheme="minorEastAsia" w:eastAsiaTheme="minorEastAsia" w:cstheme="minorEastAsia"/>
                <w:b w:val="0"/>
                <w:bCs w:val="0"/>
                <w:color w:val="auto"/>
                <w:sz w:val="24"/>
                <w:szCs w:val="24"/>
                <w:highlight w:val="none"/>
                <w:lang w:val="en-US" w:eastAsia="zh-CN"/>
              </w:rPr>
              <w:t>可</w:t>
            </w:r>
            <w:r>
              <w:rPr>
                <w:rFonts w:hint="eastAsia" w:asciiTheme="minorEastAsia" w:hAnsiTheme="minorEastAsia" w:eastAsiaTheme="minorEastAsia" w:cstheme="minorEastAsia"/>
                <w:b w:val="0"/>
                <w:bCs w:val="0"/>
                <w:color w:val="auto"/>
                <w:sz w:val="24"/>
                <w:szCs w:val="24"/>
                <w:highlight w:val="none"/>
              </w:rPr>
              <w:t>按学科知识点与学科教材目录同步检索</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个人题库</w:t>
            </w:r>
            <w:r>
              <w:rPr>
                <w:rFonts w:hint="eastAsia" w:asciiTheme="minorEastAsia" w:hAnsiTheme="minorEastAsia" w:eastAsiaTheme="minorEastAsia" w:cstheme="minorEastAsia"/>
                <w:b w:val="0"/>
                <w:bCs w:val="0"/>
                <w:color w:val="auto"/>
                <w:sz w:val="24"/>
                <w:szCs w:val="24"/>
                <w:lang w:val="en-US" w:eastAsia="zh-CN"/>
              </w:rPr>
              <w:t>支持</w:t>
            </w:r>
            <w:r>
              <w:rPr>
                <w:rFonts w:hint="eastAsia" w:asciiTheme="minorEastAsia" w:hAnsiTheme="minorEastAsia" w:eastAsiaTheme="minorEastAsia" w:cstheme="minorEastAsia"/>
                <w:b w:val="0"/>
                <w:bCs w:val="0"/>
                <w:color w:val="auto"/>
                <w:sz w:val="24"/>
                <w:szCs w:val="24"/>
                <w:highlight w:val="none"/>
              </w:rPr>
              <w:t>自定义单选、多选、判断、解答等多种类型题目</w:t>
            </w:r>
            <w:r>
              <w:rPr>
                <w:rFonts w:hint="eastAsia" w:asciiTheme="minorEastAsia" w:hAnsiTheme="minorEastAsia" w:eastAsiaTheme="minorEastAsia" w:cstheme="minorEastAsia"/>
                <w:b w:val="0"/>
                <w:bCs w:val="0"/>
                <w:color w:val="auto"/>
                <w:sz w:val="24"/>
                <w:szCs w:val="24"/>
                <w:highlight w:val="none"/>
                <w:lang w:val="en-US" w:eastAsia="zh-CN"/>
              </w:rPr>
              <w:t>添加</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备课时可直接拖拽至教学活动中。</w:t>
            </w:r>
          </w:p>
          <w:p>
            <w:pPr>
              <w:pStyle w:val="2"/>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Theme="minorEastAsia" w:hAnsiTheme="minorEastAsia" w:eastAsiaTheme="minorEastAsia" w:cstheme="minorEastAsia"/>
                <w:b/>
                <w:bCs/>
                <w:color w:val="auto"/>
                <w:sz w:val="24"/>
                <w:szCs w:val="24"/>
                <w:highlight w:val="yellow"/>
                <w:lang w:eastAsia="zh-CN"/>
              </w:rPr>
            </w:pPr>
            <w:r>
              <w:rPr>
                <w:rFonts w:hint="eastAsia" w:asciiTheme="minorEastAsia" w:hAnsiTheme="minorEastAsia" w:eastAsiaTheme="minorEastAsia" w:cstheme="minorEastAsia"/>
                <w:b/>
                <w:bCs/>
                <w:color w:val="auto"/>
                <w:sz w:val="24"/>
                <w:szCs w:val="24"/>
                <w:highlight w:val="none"/>
              </w:rPr>
              <w:t>（为保证兼容性及后期升级，要求</w:t>
            </w:r>
            <w:r>
              <w:rPr>
                <w:rFonts w:hint="eastAsia" w:asciiTheme="minorEastAsia" w:hAnsiTheme="minorEastAsia" w:eastAsiaTheme="minorEastAsia" w:cstheme="minorEastAsia"/>
                <w:b/>
                <w:bCs/>
                <w:color w:val="auto"/>
                <w:sz w:val="24"/>
                <w:szCs w:val="24"/>
                <w:highlight w:val="none"/>
                <w:lang w:val="en-US" w:eastAsia="zh-CN"/>
              </w:rPr>
              <w:t>所有软件</w:t>
            </w:r>
            <w:r>
              <w:rPr>
                <w:rFonts w:hint="eastAsia" w:asciiTheme="minorEastAsia" w:hAnsiTheme="minorEastAsia" w:eastAsiaTheme="minorEastAsia" w:cstheme="minorEastAsia"/>
                <w:b/>
                <w:bCs/>
                <w:color w:val="auto"/>
                <w:sz w:val="24"/>
                <w:szCs w:val="24"/>
                <w:highlight w:val="none"/>
              </w:rPr>
              <w:t>与所投产品硬件为同一制造商，拒绝使用第三方软件）</w:t>
            </w:r>
          </w:p>
          <w:p>
            <w:pPr>
              <w:pStyle w:val="7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b/>
                <w:bCs/>
                <w:color w:val="auto"/>
                <w:sz w:val="24"/>
                <w:szCs w:val="24"/>
                <w:lang w:val="en-US" w:eastAsia="zh-CN"/>
              </w:rPr>
              <w:t>八、资质证书部分</w:t>
            </w:r>
          </w:p>
          <w:p>
            <w:pPr>
              <w:pStyle w:val="77"/>
              <w:keepNext w:val="0"/>
              <w:keepLines w:val="0"/>
              <w:pageBreakBefore w:val="0"/>
              <w:widowControl w:val="0"/>
              <w:numPr>
                <w:ilvl w:val="0"/>
                <w:numId w:val="2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投标产品整机制造商需具备《知识产权管理体系认证证书》，提供证书复印件</w:t>
            </w:r>
            <w:r>
              <w:rPr>
                <w:rFonts w:hint="eastAsia" w:asciiTheme="minorEastAsia" w:hAnsiTheme="minorEastAsia" w:eastAsiaTheme="minorEastAsia" w:cstheme="minorEastAsia"/>
                <w:b/>
                <w:bCs/>
                <w:color w:val="auto"/>
                <w:sz w:val="24"/>
                <w:szCs w:val="24"/>
              </w:rPr>
              <w:t>并加盖厂商公章</w:t>
            </w:r>
            <w:r>
              <w:rPr>
                <w:rFonts w:hint="eastAsia" w:asciiTheme="minorEastAsia" w:hAnsiTheme="minorEastAsia" w:eastAsiaTheme="minorEastAsia" w:cstheme="minorEastAsia"/>
                <w:b/>
                <w:bCs/>
                <w:color w:val="auto"/>
                <w:sz w:val="24"/>
                <w:szCs w:val="24"/>
                <w:lang w:val="en-US" w:eastAsia="zh-CN"/>
              </w:rPr>
              <w:t>。</w:t>
            </w:r>
          </w:p>
          <w:p>
            <w:pPr>
              <w:pStyle w:val="77"/>
              <w:keepNext w:val="0"/>
              <w:keepLines w:val="0"/>
              <w:pageBreakBefore w:val="0"/>
              <w:widowControl w:val="0"/>
              <w:numPr>
                <w:ilvl w:val="0"/>
                <w:numId w:val="2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投标产品整机制造商需具备《售后服务认证证书》提供证书复印件</w:t>
            </w:r>
            <w:r>
              <w:rPr>
                <w:rFonts w:hint="eastAsia" w:asciiTheme="minorEastAsia" w:hAnsiTheme="minorEastAsia" w:eastAsiaTheme="minorEastAsia" w:cstheme="minorEastAsia"/>
                <w:b/>
                <w:bCs/>
                <w:color w:val="auto"/>
                <w:sz w:val="24"/>
                <w:szCs w:val="24"/>
              </w:rPr>
              <w:t>并加盖厂商公章</w:t>
            </w:r>
            <w:r>
              <w:rPr>
                <w:rFonts w:hint="eastAsia" w:asciiTheme="minorEastAsia" w:hAnsiTheme="minorEastAsia" w:eastAsiaTheme="minorEastAsia" w:cstheme="minorEastAsia"/>
                <w:b/>
                <w:bCs/>
                <w:color w:val="auto"/>
                <w:sz w:val="24"/>
                <w:szCs w:val="24"/>
                <w:lang w:val="en-US" w:eastAsia="zh-CN"/>
              </w:rPr>
              <w:t>。</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投标产品</w:t>
            </w:r>
            <w:r>
              <w:rPr>
                <w:rFonts w:hint="eastAsia" w:asciiTheme="minorEastAsia" w:hAnsiTheme="minorEastAsia" w:eastAsiaTheme="minorEastAsia" w:cstheme="minorEastAsia"/>
                <w:b/>
                <w:bCs/>
                <w:color w:val="auto"/>
                <w:sz w:val="24"/>
                <w:szCs w:val="24"/>
                <w:lang w:val="en-US" w:eastAsia="zh-CN"/>
              </w:rPr>
              <w:t>整机</w:t>
            </w:r>
            <w:r>
              <w:rPr>
                <w:rFonts w:hint="eastAsia" w:asciiTheme="minorEastAsia" w:hAnsiTheme="minorEastAsia" w:eastAsiaTheme="minorEastAsia" w:cstheme="minorEastAsia"/>
                <w:b/>
                <w:bCs/>
                <w:color w:val="auto"/>
                <w:sz w:val="24"/>
                <w:szCs w:val="24"/>
              </w:rPr>
              <w:t>制造商应具</w:t>
            </w:r>
            <w:r>
              <w:rPr>
                <w:rFonts w:hint="eastAsia" w:asciiTheme="minorEastAsia" w:hAnsiTheme="minorEastAsia" w:eastAsiaTheme="minorEastAsia" w:cstheme="minorEastAsia"/>
                <w:b/>
                <w:bCs/>
                <w:color w:val="auto"/>
                <w:sz w:val="24"/>
                <w:szCs w:val="24"/>
                <w:lang w:val="en-US" w:eastAsia="zh-CN"/>
              </w:rPr>
              <w:t>备</w:t>
            </w:r>
            <w:r>
              <w:rPr>
                <w:rFonts w:hint="eastAsia" w:asciiTheme="minorEastAsia" w:hAnsiTheme="minorEastAsia" w:eastAsiaTheme="minorEastAsia" w:cstheme="minorEastAsia"/>
                <w:b/>
                <w:bCs/>
                <w:color w:val="auto"/>
                <w:sz w:val="24"/>
                <w:szCs w:val="24"/>
              </w:rPr>
              <w:t>国际电工委员会电子元器件质量评定体系（IECQ）出具的</w:t>
            </w: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lang w:val="en-US" w:eastAsia="zh-CN"/>
              </w:rPr>
              <w:t>满足</w:t>
            </w:r>
            <w:r>
              <w:rPr>
                <w:rFonts w:hint="eastAsia" w:asciiTheme="minorEastAsia" w:hAnsiTheme="minorEastAsia" w:eastAsiaTheme="minorEastAsia" w:cstheme="minorEastAsia"/>
                <w:b/>
                <w:bCs/>
                <w:color w:val="auto"/>
                <w:sz w:val="24"/>
                <w:szCs w:val="24"/>
              </w:rPr>
              <w:t>QC080000危害物质过程管理</w:t>
            </w:r>
            <w:r>
              <w:rPr>
                <w:rFonts w:hint="eastAsia" w:asciiTheme="minorEastAsia" w:hAnsiTheme="minorEastAsia" w:eastAsiaTheme="minorEastAsia" w:cstheme="minorEastAsia"/>
                <w:b/>
                <w:bCs/>
                <w:color w:val="auto"/>
                <w:sz w:val="24"/>
                <w:szCs w:val="24"/>
                <w:lang w:val="en-US" w:eastAsia="zh-CN"/>
              </w:rPr>
              <w:t>系统要求的合格证书</w:t>
            </w:r>
            <w:r>
              <w:rPr>
                <w:rFonts w:hint="eastAsia" w:asciiTheme="minorEastAsia" w:hAnsiTheme="minorEastAsia" w:eastAsiaTheme="minorEastAsia" w:cstheme="minorEastAsia"/>
                <w:b/>
                <w:bCs/>
                <w:color w:val="auto"/>
                <w:sz w:val="24"/>
                <w:szCs w:val="24"/>
              </w:rPr>
              <w:t>。</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投标产品整机制造商必须通过ISO9001质量体系管理认证、ISO14001环境管理体系认证，18001职业健康管理体系认证，提供认证复印件并加盖厂商公章。</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所投产品应具备CMA、CAL、CNAS级别的国家电子计算机质量监督检验中心出具的产品平均无故障时间（MTBF）证书（不低于10万小时）。</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整机测试结果符合 GB21520-2008 的能源效率等级 1 级要求。</w:t>
            </w:r>
            <w:r>
              <w:rPr>
                <w:rFonts w:hint="eastAsia" w:asciiTheme="minorEastAsia" w:hAnsiTheme="minorEastAsia" w:eastAsiaTheme="minorEastAsia" w:cstheme="minorEastAsia"/>
                <w:b/>
                <w:bCs/>
                <w:color w:val="auto"/>
                <w:kern w:val="0"/>
                <w:sz w:val="24"/>
                <w:szCs w:val="24"/>
              </w:rPr>
              <w:t>（</w:t>
            </w:r>
            <w:r>
              <w:rPr>
                <w:rFonts w:hint="eastAsia" w:asciiTheme="minorEastAsia" w:hAnsiTheme="minorEastAsia" w:eastAsiaTheme="minorEastAsia" w:cstheme="minorEastAsia"/>
                <w:b/>
                <w:bCs/>
                <w:color w:val="auto"/>
                <w:sz w:val="24"/>
                <w:szCs w:val="24"/>
              </w:rPr>
              <w:t>需提供CMA、CAL、CNAS级别权威机构出具的检测报告）</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为保证产品质量、供货进度及后续便利维护，最大限度保护用户根本利益，本次投标商所投交互平板产品必须为原厂产品，要求交互平板CCC证书的申请人、制造商、生产厂必须为同一企业，不接受OEM等代工方式产品，投标时须提供3C证书复印件加盖制造厂商公章。</w:t>
            </w:r>
            <w:r>
              <w:rPr>
                <w:rFonts w:hint="eastAsia" w:asciiTheme="minorEastAsia" w:hAnsiTheme="minorEastAsia" w:eastAsiaTheme="minorEastAsia" w:cstheme="minorEastAsia"/>
                <w:b/>
                <w:bCs/>
                <w:color w:val="auto"/>
                <w:sz w:val="24"/>
                <w:szCs w:val="24"/>
                <w:lang w:eastAsia="zh-CN"/>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15240</wp:posOffset>
                  </wp:positionH>
                  <wp:positionV relativeFrom="paragraph">
                    <wp:posOffset>3585845</wp:posOffset>
                  </wp:positionV>
                  <wp:extent cx="781685" cy="614045"/>
                  <wp:effectExtent l="0" t="0" r="10795" b="10795"/>
                  <wp:wrapNone/>
                  <wp:docPr id="69" name="Picture_1"/>
                  <wp:cNvGraphicFramePr/>
                  <a:graphic xmlns:a="http://schemas.openxmlformats.org/drawingml/2006/main">
                    <a:graphicData uri="http://schemas.openxmlformats.org/drawingml/2006/picture">
                      <pic:pic xmlns:pic="http://schemas.openxmlformats.org/drawingml/2006/picture">
                        <pic:nvPicPr>
                          <pic:cNvPr id="69" name="Picture_1"/>
                          <pic:cNvPicPr/>
                        </pic:nvPicPr>
                        <pic:blipFill>
                          <a:blip r:embed="rId42"/>
                          <a:stretch>
                            <a:fillRect/>
                          </a:stretch>
                        </pic:blipFill>
                        <pic:spPr>
                          <a:xfrm>
                            <a:off x="0" y="0"/>
                            <a:ext cx="781685" cy="6140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380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演示台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桌子规格：1200*600*800mm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材质及特点：</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桌面：台面采用25mmE1级环保板芯外贴防火板，甲醛释放量（穿孔萃取法 ）应不大于≤8mg/100g。外露截面采用优质PVC封边，并经防裂防翘处理，颜色可选；搭配钢支架，时尚元素与精致美感的完美结合，看上去即温馨又能给您一种自然与现代的融合享受。</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桌身：采用40mm*40mm的方钢骨架,模具冲压配已优质的五金件连接,表面经纯环氧树脂塑粉高温固化处理，具防酸碱、防腐蚀、且承重的特点。带活动调节轮，方便移动。（颜色可选）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20320</wp:posOffset>
                  </wp:positionH>
                  <wp:positionV relativeFrom="paragraph">
                    <wp:posOffset>889635</wp:posOffset>
                  </wp:positionV>
                  <wp:extent cx="687070" cy="720725"/>
                  <wp:effectExtent l="0" t="0" r="13970" b="10795"/>
                  <wp:wrapNone/>
                  <wp:docPr id="59" name="图片_3"/>
                  <wp:cNvGraphicFramePr/>
                  <a:graphic xmlns:a="http://schemas.openxmlformats.org/drawingml/2006/main">
                    <a:graphicData uri="http://schemas.openxmlformats.org/drawingml/2006/picture">
                      <pic:pic xmlns:pic="http://schemas.openxmlformats.org/drawingml/2006/picture">
                        <pic:nvPicPr>
                          <pic:cNvPr id="59" name="图片_3"/>
                          <pic:cNvPicPr/>
                        </pic:nvPicPr>
                        <pic:blipFill>
                          <a:blip r:embed="rId43"/>
                          <a:stretch>
                            <a:fillRect/>
                          </a:stretch>
                        </pic:blipFill>
                        <pic:spPr>
                          <a:xfrm>
                            <a:off x="0" y="0"/>
                            <a:ext cx="687070" cy="7207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老师椅</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规格：470mm*440mm*790mm椅子的椅脚架为12mm实心钢筋金属，线条优美，受力稳固。各钢筋条连接接驳位电焊处理，材料表面有白色喷涂、电镀两种表现处理工艺，起到很好的保护作用。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128270</wp:posOffset>
                  </wp:positionH>
                  <wp:positionV relativeFrom="paragraph">
                    <wp:posOffset>126365</wp:posOffset>
                  </wp:positionV>
                  <wp:extent cx="504825" cy="598805"/>
                  <wp:effectExtent l="0" t="0" r="13335" b="10795"/>
                  <wp:wrapNone/>
                  <wp:docPr id="61" name="图片_30"/>
                  <wp:cNvGraphicFramePr/>
                  <a:graphic xmlns:a="http://schemas.openxmlformats.org/drawingml/2006/main">
                    <a:graphicData uri="http://schemas.openxmlformats.org/drawingml/2006/picture">
                      <pic:pic xmlns:pic="http://schemas.openxmlformats.org/drawingml/2006/picture">
                        <pic:nvPicPr>
                          <pic:cNvPr id="61" name="图片_30"/>
                          <pic:cNvPicPr/>
                        </pic:nvPicPr>
                        <pic:blipFill>
                          <a:blip r:embed="rId44"/>
                          <a:stretch>
                            <a:fillRect/>
                          </a:stretch>
                        </pic:blipFill>
                        <pic:spPr>
                          <a:xfrm>
                            <a:off x="0" y="0"/>
                            <a:ext cx="504825" cy="5988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16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学生桌</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1尺寸：长1200mmx宽600mmx高780mm（注：高度可根据学校需要定做）</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2.桌面/书写板：桌面规格：长1200mmX600mm，书写板规格：580mmX400mm，桌面采用E1三聚氰胺双贴面刨花板，厚度18.5mm,四周采用食品级塑料注塑包边，牢固美观；</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cstheme="minorEastAsia"/>
                <w:i w:val="0"/>
                <w:color w:val="auto"/>
                <w:kern w:val="0"/>
                <w:sz w:val="24"/>
                <w:szCs w:val="24"/>
                <w:u w:val="none"/>
                <w:lang w:val="en-US" w:eastAsia="zh-CN" w:bidi="ar"/>
              </w:rPr>
              <w:t xml:space="preserve">  </w:t>
            </w:r>
            <w:r>
              <w:rPr>
                <w:rFonts w:hint="eastAsia" w:asciiTheme="minorEastAsia" w:hAnsiTheme="minorEastAsia" w:eastAsiaTheme="minorEastAsia" w:cstheme="minorEastAsia"/>
                <w:i w:val="0"/>
                <w:color w:val="auto"/>
                <w:kern w:val="0"/>
                <w:sz w:val="24"/>
                <w:szCs w:val="24"/>
                <w:u w:val="none"/>
                <w:lang w:val="en-US" w:eastAsia="zh-CN" w:bidi="ar"/>
              </w:rPr>
              <w:t xml:space="preserve"> a、书写板表面可进行擦写，让孩子充满趣味性。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 xml:space="preserve">   b、桌面和桌侧面分别设置书写板专用卡位，学生可根据实际需要自由调整书写板放置位置；</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3.桌钢架：采用Φ32mm椭圆形钢管，厚度1.2mm，经数控弯管成型后焊接，横梁采用30mmX50mmX1.2mm 钢管，与桌腿采用螺丝连接。</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4.桌面左前方设置笔槽，笔槽中间及桌腿侧面分别设置手写板卡槽，方便学生使用时和使用后书写板的纺织，也增加该学生桌的灵动性和多功能使用性；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5脚套：桌腿配置塑料脚套，采用环保PP塑料一次注塑成型，左右桌腿分别设置一个可调节手轮及防滑脚垫，具备防滑、移动过程中产生噪音及刮伤地板功能。</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6.表面涂装：焊接完成之钢管架，焊接部位应牢固，应无脱焊、虚焊、焊穿；焊缝均匀，应无毛棱、锐棱、飞溅、裂纹等缺陷。外表采一级颗粒粉末，经高温粉体烤漆，附着力特强，不脱漆。涂层应无漏喷、锈蚀；涂层应光滑均匀，色泽一致，应无流挂、疙瘩、皱皮、飞漆等缺陷。涂层应平整光滑、清晰，无明显粒子、涨边现象；应无明显加工痕迹、划痕、雾光、白棱、白点、鼓泡、油白、流挂、缩孔、刷毛、积粉和杂渣。</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33020</wp:posOffset>
                  </wp:positionH>
                  <wp:positionV relativeFrom="paragraph">
                    <wp:posOffset>2418715</wp:posOffset>
                  </wp:positionV>
                  <wp:extent cx="761365" cy="666115"/>
                  <wp:effectExtent l="0" t="0" r="635" b="4445"/>
                  <wp:wrapNone/>
                  <wp:docPr id="67" name="图片_12"/>
                  <wp:cNvGraphicFramePr/>
                  <a:graphic xmlns:a="http://schemas.openxmlformats.org/drawingml/2006/main">
                    <a:graphicData uri="http://schemas.openxmlformats.org/drawingml/2006/picture">
                      <pic:pic xmlns:pic="http://schemas.openxmlformats.org/drawingml/2006/picture">
                        <pic:nvPicPr>
                          <pic:cNvPr id="67" name="图片_12"/>
                          <pic:cNvPicPr/>
                        </pic:nvPicPr>
                        <pic:blipFill>
                          <a:blip r:embed="rId45"/>
                          <a:stretch>
                            <a:fillRect/>
                          </a:stretch>
                        </pic:blipFill>
                        <pic:spPr>
                          <a:xfrm>
                            <a:off x="0" y="0"/>
                            <a:ext cx="761365" cy="66611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9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实验椅</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产品名称：一次注塑成型学生椅</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1.尺寸：坐宽450mmx坐深360mmx790mm（坐高440mm）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材质及结构：采用进口环保PP材料，坐靠及椅腿一次注塑成型，经久耐用；座椅靠背正上方设置一个92mmx30mm把手圈，方便学生移动；把手圈独特造型设计，手握感舒适，美观大方；靠背宽度385mm，高度340mm，根据人体工程学设计，坐感舒适；座椅可重叠放置，节省占地空间；且产品质量不受气候温差影响，正常使用八年以上。</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3.表面外观：边缘平整圆滑及座椅用手可触及的隐蔽处，均不得有锐利大的菱角、毛刺毛边等现象。</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382270</wp:posOffset>
                  </wp:positionH>
                  <wp:positionV relativeFrom="paragraph">
                    <wp:posOffset>179705</wp:posOffset>
                  </wp:positionV>
                  <wp:extent cx="303530" cy="0"/>
                  <wp:effectExtent l="0" t="0" r="0" b="0"/>
                  <wp:wrapNone/>
                  <wp:docPr id="58" name="图片_28"/>
                  <wp:cNvGraphicFramePr/>
                  <a:graphic xmlns:a="http://schemas.openxmlformats.org/drawingml/2006/main">
                    <a:graphicData uri="http://schemas.openxmlformats.org/drawingml/2006/picture">
                      <pic:pic xmlns:pic="http://schemas.openxmlformats.org/drawingml/2006/picture">
                        <pic:nvPicPr>
                          <pic:cNvPr id="58" name="图片_28"/>
                          <pic:cNvPicPr/>
                        </pic:nvPicPr>
                        <pic:blipFill>
                          <a:blip r:embed="rId37"/>
                          <a:stretch>
                            <a:fillRect/>
                          </a:stretch>
                        </pic:blipFill>
                        <pic:spPr>
                          <a:xfrm>
                            <a:off x="0" y="0"/>
                            <a:ext cx="303530" cy="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9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实验室装修</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教室吊顶、灯管</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室</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50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塔吊升降电源</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规格：240*240*300/1400mm,高强度精钢撑板基底、整体调节管由太空铝合金立柱，铝型材外框升降导向杆、电源装置是有铝合金和塑料组合而成；升降导向主体:一套升降伸缩推杆都是悬挂在房顶上，采用直流推杆电机，具有同步性好、安装拆卸方便并能承受重载及冲击载荷等优点.经过多次疲劳强度和负载质量测试，非常可靠。推杆控制开关：采用可以遥控控制升降台，触摸按键式开关，自行携带电源变压器，螺旋可伸缩式开关控制线。上下升降内外导向部分：固定杆为115*115mm壁厚4.5mm的铝合金型材，动杆为95*95mm壁厚4.5mm的铝合金型材料一次性成型；表面经防腐氧化处理或纯环氧树脂塑粉高温固化处理，具有较强的耐蚀性及耐磨性，采用专用螺栓连接，整体轻便且外形美观。采用全自动电动电机推杆进行上升和下降，稳定性好。设置多功能220V交流插座四组。柱体表面光洁如镜，有着优秀的高韧性，抗疲劳性，耐磨性，耐力性，每一处截口都经过打磨，光滑细腻不会刮伤皮肤。 </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配备总漏电保护：装置在组合柜内，内装有教师演示电源装置，电源带总开关、漏电保护开关、工作指示灯、220V交流输出多用豪华插座；电源必须符合教育部JY/J0374-2004标准。控制塔吊的升降及电源开关，采用触摸控制器（液晶屏全中文显示，分别控制塔吊塔吊升、塔吊降、塔吊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109855</wp:posOffset>
                  </wp:positionH>
                  <wp:positionV relativeFrom="paragraph">
                    <wp:posOffset>1645285</wp:posOffset>
                  </wp:positionV>
                  <wp:extent cx="533400" cy="864870"/>
                  <wp:effectExtent l="0" t="0" r="0" b="3810"/>
                  <wp:wrapNone/>
                  <wp:docPr id="56" name="图片_14"/>
                  <wp:cNvGraphicFramePr/>
                  <a:graphic xmlns:a="http://schemas.openxmlformats.org/drawingml/2006/main">
                    <a:graphicData uri="http://schemas.openxmlformats.org/drawingml/2006/picture">
                      <pic:pic xmlns:pic="http://schemas.openxmlformats.org/drawingml/2006/picture">
                        <pic:nvPicPr>
                          <pic:cNvPr id="56" name="图片_14"/>
                          <pic:cNvPicPr/>
                        </pic:nvPicPr>
                        <pic:blipFill>
                          <a:blip r:embed="rId46"/>
                          <a:stretch>
                            <a:fillRect/>
                          </a:stretch>
                        </pic:blipFill>
                        <pic:spPr>
                          <a:xfrm>
                            <a:off x="0" y="0"/>
                            <a:ext cx="533400" cy="8648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线路铺设及系统安装辅件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含教学电源国标2.5㎜*3电线与铺设人工费；主要辅件有：槽钢、三角构件、直角座、龙骨架连接件、吊装挂件、安装连接板等。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室</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2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边柜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总尺寸6000*450*850，采用优质三聚氰胺板制作，带活动层板，门上可带锁。</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16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洗涤台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规格1200*600*740，双水槽，台面板材12.7mm厚实芯理化板，面板四边加厚，截面机械打磨；边缘倒圆角半径不小于10mm， 颜色为墨绿色。台身铝木框架结构，立柱为圆管铝合金，截 面直径不小于50mm，外层壁厚不小于1.5㎜。横档1.5mm厚方形 铝合金，ABS连接件，表面环氧树脂粉末喷涂。板材16mm三聚氰 氨板，外露截面用PVC条封边。以上芯板均为E1级环保芯板，甲 醛释放量（穿孔萃取法 ）应不大于≤8mg/100g。配ABS塑料脚垫， 高低可调。</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组</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5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实验室文化窗帘</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用窗帘的形式表现描述与学科教学内容相关或科学普及方面，选题适当，主题明确，无科学性错误，以图为主辅以文字。图片清晰美观，文字准确精炼，语句通顺易读，标点使用正确</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平方</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44" w:hRule="atLeast"/>
        </w:trPr>
        <w:tc>
          <w:tcPr>
            <w:tcW w:w="10598" w:type="dxa"/>
            <w:gridSpan w:val="7"/>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准备室</w:t>
            </w:r>
          </w:p>
        </w:tc>
      </w:tr>
      <w:tr>
        <w:tblPrEx>
          <w:tblLayout w:type="fixed"/>
          <w:tblCellMar>
            <w:top w:w="0" w:type="dxa"/>
            <w:left w:w="0" w:type="dxa"/>
            <w:bottom w:w="0" w:type="dxa"/>
            <w:right w:w="0" w:type="dxa"/>
          </w:tblCellMar>
        </w:tblPrEx>
        <w:trPr>
          <w:trHeight w:val="1962"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仪器柜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规格：1200*500*2000mm，铝木结构，铝型材规格32*32*1.5mm。柜门上部为铝合金门框，5mm厚钢化玻璃对开门，设有16mm厚三聚氰胺面板3块活动层板并配铝合金加强条；下部为16mm厚三聚氰胺面板对开门，设有一块活动层板。以上芯板均为E1级环保芯板，甲醛释放量（穿孔萃取法 ）应不大于≤ 8mg/100g。其他各项技术指标和质量要求应符合：GB/T 10357.4—1989《家具力学性能试验柜类稳定性》、GB/T 10357.5 －2011《家具力学性能试验柜类强度和耐久性》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准备桌</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规格：1200*1200*780㎜。</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1.桌面材料：台面采用12.7mm实心异型理化板，四周贴边加厚至25.4mm，经处理后表面光滑、不变形、平整，整体美观大方、耐用。须符合：</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化学性能：通过国家化学建筑材料测试中心检测，按照GB/T17657-2013进行抽样检测，盐酸（37%）、磷酸（85%）、硝酸（70%）、硝酸（30%）、硝酸（20%）、甲醇、氨水（28%）、氢氧化钠溶液（40%）、氢氧化钠溶液（20%）、氢氧化钠溶液（10%）、片状氢氧化钠、硫酸（96%）、硫酸（77%）、硫酸（33%）、苯酚（90%）、甲醛（37%）、乙酸乙酯、乙酸（98%）、丙酮、铬酸（5%）、丁醇、乙醇、苯、四氯化碳、氯仿、铬酸（60%）、甲酚、二氯乙酸、92#汽油、甲酸（90%）、氢氟酸（48%)、过氧化氢溶液（30%）、碘酒、丁酮、二氯甲烷、一氯化碳、萘、饱和硝酸银、饱和氯化锌、77%硫酸：70%硝酸1：1、甲苯、三氯乙烯、二甲基甲酰胺、二恶烷、乙醚、糠醛、硫化钠饱和液、二甲苯共48种强酸强碱化学试剂分级检验结果为5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物理性能要求：抗拉强度、吸水率、表面耐干热性能、表面耐香烟灼烧、密度、含水率、抗冲击性能（落球高度≥1m）、洛氏硬度、耐沸水性能、防静电性能、表面耐湿热性、表面耐龟裂性、耐光色牢度、光泽度（60°）等14项物理性能符合检测要求。</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（3）.甲醛：台面甲醛释放量检测达到GB18580-2001  E1级的技术指标要求，甲醛释放量（40L干燥器法）检测值≤0.01mg/L。检测结果合格。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（4）.重金属：参照EN71-3：2013+A1：2014采用ICP-OES进行分析 可溶性六价铬、可溶性铝、可溶性锑、可溶性砷、检测结果未检出。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 三聚氰胺的特殊迁移检测方法依据EN13130-1:2004用3%醋酸在60℃浸泡6小时 检测结果合格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★投标厂家需提供符合以上技术参数的检测报告，并加盖生产厂家</w:t>
            </w:r>
            <w:r>
              <w:rPr>
                <w:rFonts w:hint="eastAsia" w:asciiTheme="minorEastAsia" w:hAnsiTheme="minorEastAsia" w:cstheme="minorEastAsia"/>
                <w:i w:val="0"/>
                <w:color w:val="auto"/>
                <w:kern w:val="0"/>
                <w:sz w:val="24"/>
                <w:szCs w:val="24"/>
                <w:u w:val="none"/>
                <w:lang w:val="en-US" w:eastAsia="zh-CN" w:bidi="ar"/>
              </w:rPr>
              <w:t>公章</w:t>
            </w: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投标厂家需提供板材供应商出具的授权证明及售后承诺函加盖</w:t>
            </w:r>
            <w:r>
              <w:rPr>
                <w:rFonts w:hint="eastAsia" w:asciiTheme="minorEastAsia" w:hAnsiTheme="minorEastAsia" w:cstheme="minorEastAsia"/>
                <w:i w:val="0"/>
                <w:color w:val="auto"/>
                <w:kern w:val="0"/>
                <w:sz w:val="24"/>
                <w:szCs w:val="24"/>
                <w:u w:val="none"/>
                <w:lang w:val="en-US" w:eastAsia="zh-CN" w:bidi="ar"/>
              </w:rPr>
              <w:t>公章</w:t>
            </w:r>
            <w:r>
              <w:rPr>
                <w:rFonts w:hint="eastAsia" w:asciiTheme="minorEastAsia" w:hAnsiTheme="minorEastAsia" w:eastAsiaTheme="minorEastAsia" w:cstheme="minorEastAsia"/>
                <w:i w:val="0"/>
                <w:color w:val="auto"/>
                <w:kern w:val="0"/>
                <w:sz w:val="24"/>
                <w:szCs w:val="24"/>
                <w:u w:val="none"/>
                <w:lang w:val="en-US" w:eastAsia="zh-CN" w:bidi="ar"/>
              </w:rPr>
              <w:t>。(手写无效,以打印文本为有效授权)桌身结构：铝合金框架结构，左右工字脚之间通过前、中、后3条铝合金横梁由专用锁扣连接件连接，起到稳固桌子的作用，带钩式压紧锁扣连接件连接设计具有安装方便、连接牢固、表面无螺丝等特点。</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桌身材质及配件：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1、前后横梁：采用60x40mm壁厚2.5mm的优质铝型材材料一次性成型，内设2条不低于2mm厚的加强筋，材料表面经过防腐氧化处理和纯环氧树脂塑粉高温固化处理，具有较强的耐蚀性及承重性。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2、中横梁：采用110x16mm壁厚2mm的优质铝型材材料一次性成型，内设2条不低于2mm厚的加强筋，材料表面经过防腐氧化处理和纯环氧树脂塑粉高温固化处理，具有较强的耐蚀性及承重性。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 、工字脚架：由立柱、上下支脚、桌脚加固件和脚套四部分组成。</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3.1、立柱：采用100x50mm壁厚不低于2.2mm的优质铝材材料，内设4根厚度不低于2mm的加强筋，材料表面经过防腐氧化处理和纯环氧树脂塑粉高温固化处理，具有较强的耐蚀性。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3.2、上下支脚：采用3.5mm厚铝压铸模具一次性成型，压铸脚形状独特，造型美观.压铸脚料内部通过螺丝连接安装成型，牢固耐用，铝压铸脚前后端设计有塑料一次性成型的塑料材质防锈片。</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3.3、桌脚加固件：安装在上下支脚之间，采用PP工程塑料一次性注塑成型，厚度为12mm，高度为：550mm，宽度为：105mm，用于加固工字脚架，搭配工字脚支架，时尚元素与精致美感的完美结合，看上去即温馨又能带给您一种自然与现代的融合享受。</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3.4、脚套：采用PP改性材料，注塑模一次性成型，全部圆弧设计，总体结构既美观又安全，保证了孩子万一撞到桌脚也没有关系，设计安装程序从上往下放入式安装。</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  书包斗：规格470*285*130mm，采用PP工程塑料一次性注塑成型，底部设有排水孔，斗的前端设有笔槽与橡皮擦架子，方便孩子放东西和孩子万一把水倒到抽屉里也能迅速排干水。</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★产品特点：零甲醛、零污染、易擦洗、耐老化、环保、防水、可回收。</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52705</wp:posOffset>
                  </wp:positionH>
                  <wp:positionV relativeFrom="paragraph">
                    <wp:posOffset>3267710</wp:posOffset>
                  </wp:positionV>
                  <wp:extent cx="722630" cy="653415"/>
                  <wp:effectExtent l="0" t="0" r="8890" b="1905"/>
                  <wp:wrapNone/>
                  <wp:docPr id="66" name="图片_29"/>
                  <wp:cNvGraphicFramePr/>
                  <a:graphic xmlns:a="http://schemas.openxmlformats.org/drawingml/2006/main">
                    <a:graphicData uri="http://schemas.openxmlformats.org/drawingml/2006/picture">
                      <pic:pic xmlns:pic="http://schemas.openxmlformats.org/drawingml/2006/picture">
                        <pic:nvPicPr>
                          <pic:cNvPr id="66" name="图片_29"/>
                          <pic:cNvPicPr/>
                        </pic:nvPicPr>
                        <pic:blipFill>
                          <a:blip r:embed="rId47"/>
                          <a:stretch>
                            <a:fillRect/>
                          </a:stretch>
                        </pic:blipFill>
                        <pic:spPr>
                          <a:xfrm>
                            <a:off x="0" y="0"/>
                            <a:ext cx="722630" cy="65341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57"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仪器类</w:t>
            </w:r>
          </w:p>
        </w:tc>
      </w:tr>
      <w:tr>
        <w:tblPrEx>
          <w:tblLayout w:type="fixed"/>
          <w:tblCellMar>
            <w:top w:w="0" w:type="dxa"/>
            <w:left w:w="0" w:type="dxa"/>
            <w:bottom w:w="0" w:type="dxa"/>
            <w:right w:w="0" w:type="dxa"/>
          </w:tblCellMar>
        </w:tblPrEx>
        <w:trPr>
          <w:trHeight w:val="63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打孔器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四件</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8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手摇抽气机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双缸式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1  </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3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直联泵</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单相</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旋片式真空泵</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2XZ－0.5型，单相</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两用气筒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脚踏式或手持式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抽气筒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打气筒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抽气盘</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直径不小于180mm，附罩</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1  </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仪器车</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辆</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水准器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 </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2   </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充磁器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放大镜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手持式,有效通光孔径不小于30mm，5倍</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望远镜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双筒，7×35</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天文望远镜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酒精喷灯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坐式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听诊器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医用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1  </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注射器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透明盛液筒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φ100mm×300mm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66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透明水槽(圆形或方形)</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φ270mm×高140mm或300mm×300mm×高150mm                       </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2         </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碘升华凝华管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密封式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物理支架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方座支架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多功能实验支架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升降台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升降范围不小于150mm，载重量不小于10kg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三脚架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泥三角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旋转架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学生电源</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直流1.5V～9V，1.5A,每1.5V一档</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教学电源</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交流 2V～12V，5A,每2V一档 ；                         直流 1.5V～12V，2A，         分为1.5V、3V、4.5V、6V、9V、12V，共六档； 40A、8s自动关断</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蓄电池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6V，15Ah，封闭免维护式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2   </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调压变压器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2kVA</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充电器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供蓄电池充电</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电池盒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可串并联</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5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感应圈</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电子开关式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演示直尺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木直尺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9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钢直尺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钢卷尺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布卷尺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30m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游标卡尺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125mm，0.05mm或0.02mm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外径千分尺(螺旋测微器)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25mm，0.01mm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物理天平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学生天平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200g，0.02g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托盘天平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200g，0.2g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托盘天平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500g，0.5g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100g，0.001g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单杠杆天平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100g，0.01g，链式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案秤</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10kg，10g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弹簧度盘秤</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8kg，8g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金属钩码</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10g×1，20g×2，50g×2，200g×2</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金属槽码</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10g×1，20g×2，50g×2，200g×1，另附10g金属槽码盘</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机械停表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0.1s</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机械停钟</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0.1s</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电子停表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0.1s</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电子停钟</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0.1s</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节拍器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电子式或机械式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沙漏</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日晷</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温度计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红液，0℃～100℃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温度计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水银，0℃～200℃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演示温度计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 </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热敏温度计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-10℃～＋100℃，线性刻度</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双金属片温度计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体温计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水银，35℃～42℃</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电子体温计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红外线快速体温检测仪</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寒暑表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条形盒测力计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10N</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条形盒测力计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5N</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条形盒测力计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2.5N</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2    </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条形盒测力计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1N，分度值0.02N</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圆筒测力计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5N</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2    </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圆筒测力计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1N，分度值0.02N</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2    </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圆柱体组</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铜，铁，铝</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lang w:val="en-US"/>
              </w:rPr>
            </w:pPr>
            <w:r>
              <w:rPr>
                <w:rFonts w:hint="eastAsia" w:asciiTheme="minorEastAsia" w:hAnsiTheme="minorEastAsia" w:eastAsiaTheme="minorEastAsia" w:cstheme="minorEastAsia"/>
                <w:i w:val="0"/>
                <w:color w:val="auto"/>
                <w:kern w:val="0"/>
                <w:sz w:val="24"/>
                <w:szCs w:val="24"/>
                <w:u w:val="none"/>
                <w:lang w:val="en-US" w:eastAsia="zh-CN" w:bidi="ar"/>
              </w:rPr>
              <w:t>新材料</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纳米材料、超导材料、形状记忆合金、单晶和多晶、光导纤维、隐形材料</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家庭电路器材</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空气开关、漏电保护器、螺丝口灯座、卡口灯座、三孔插座、三孔插头、插入式保险盒、拉线开关、按钮开关、声控开关、光控开关、导线等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彩色透光片</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红、绿、蓝</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颜料的三原色</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品红、黄、蓝</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适量</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甲电池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1号电池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每组2至3个</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组</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30</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电珠(小灯泡)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2.5V或3.8V</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测电笔</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一字螺丝刀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十字螺丝刀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尖咀钳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电工刀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手摇钻</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木锉</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木工锯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木工锤</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铇</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斧</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钢手锯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剥线钳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钢丝钳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手锤</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錾子</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锉刀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三角锉刀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什锦锉</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活扳手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手剪</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直角尺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高度游标卡尺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电烙铁</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60W，20W</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平口钳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台钻</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φ1mm～φ13mm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手电钻</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φ1mm～φ13mm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钻头</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φ1mm～φ13mm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台虎钳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砂轮机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单相，300W，3000vpm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钳工工作台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0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工作服</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护目镜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用于实验教师防强光、眩光、紫外线、激光或是机械性伤害(机加工)</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751"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手套</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双</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6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621"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数字化仪器</w:t>
            </w:r>
          </w:p>
        </w:tc>
      </w:tr>
      <w:tr>
        <w:tblPrEx>
          <w:tblLayout w:type="fixed"/>
          <w:tblCellMar>
            <w:top w:w="0" w:type="dxa"/>
            <w:left w:w="0" w:type="dxa"/>
            <w:bottom w:w="0" w:type="dxa"/>
            <w:right w:w="0" w:type="dxa"/>
          </w:tblCellMar>
        </w:tblPrEx>
        <w:trPr>
          <w:trHeight w:val="230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数字化—法拉第电磁感应实验仪Ⅱ（无线型）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由底座、活动线圈、磁铁组成。通过内置磁感应和电压传感器进行测量数据，实验数据可通过内置液晶屏显示，能直接与计算机USB口通讯；可以完成感生电动势与磁通量变化量或者线圈匝数的关系</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55880</wp:posOffset>
                  </wp:positionH>
                  <wp:positionV relativeFrom="paragraph">
                    <wp:posOffset>2110740</wp:posOffset>
                  </wp:positionV>
                  <wp:extent cx="648335" cy="449580"/>
                  <wp:effectExtent l="0" t="0" r="6985" b="7620"/>
                  <wp:wrapNone/>
                  <wp:docPr id="55" name="图片_27"/>
                  <wp:cNvGraphicFramePr/>
                  <a:graphic xmlns:a="http://schemas.openxmlformats.org/drawingml/2006/main">
                    <a:graphicData uri="http://schemas.openxmlformats.org/drawingml/2006/picture">
                      <pic:pic xmlns:pic="http://schemas.openxmlformats.org/drawingml/2006/picture">
                        <pic:nvPicPr>
                          <pic:cNvPr id="55" name="图片_27"/>
                          <pic:cNvPicPr/>
                        </pic:nvPicPr>
                        <pic:blipFill>
                          <a:blip r:embed="rId48"/>
                          <a:stretch>
                            <a:fillRect/>
                          </a:stretch>
                        </pic:blipFill>
                        <pic:spPr>
                          <a:xfrm>
                            <a:off x="0" y="0"/>
                            <a:ext cx="648335" cy="4495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32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数字化—法拉第电磁感应实验仪Ⅰ（无线型）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由底座、活动线圈、磁铁、光电门传感器组成，通过内置传感器测量数据，直接与计算机USB口通讯；可完成在磁感强度不变的条件下，产生电动势与运动速度的关系实验</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979170</wp:posOffset>
                  </wp:positionH>
                  <wp:positionV relativeFrom="paragraph">
                    <wp:posOffset>0</wp:posOffset>
                  </wp:positionV>
                  <wp:extent cx="1063625" cy="1009650"/>
                  <wp:effectExtent l="0" t="0" r="3175" b="11430"/>
                  <wp:wrapNone/>
                  <wp:docPr id="65" name="图片_249"/>
                  <wp:cNvGraphicFramePr/>
                  <a:graphic xmlns:a="http://schemas.openxmlformats.org/drawingml/2006/main">
                    <a:graphicData uri="http://schemas.openxmlformats.org/drawingml/2006/picture">
                      <pic:pic xmlns:pic="http://schemas.openxmlformats.org/drawingml/2006/picture">
                        <pic:nvPicPr>
                          <pic:cNvPr id="65" name="图片_249"/>
                          <pic:cNvPicPr/>
                        </pic:nvPicPr>
                        <pic:blipFill>
                          <a:blip r:embed="rId49"/>
                          <a:stretch>
                            <a:fillRect/>
                          </a:stretch>
                        </pic:blipFill>
                        <pic:spPr>
                          <a:xfrm>
                            <a:off x="0" y="0"/>
                            <a:ext cx="1063625" cy="10096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62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数字化-智能机械能守恒实验仪（无线型）</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1、该实验器内置8组光电门，光电门采用磁性支架固定，能灵活地增加或减少光电门的数量；</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2、该教具内置LED显示屏，可显示摆锤下落过程中的每个光电门采集的时间，方便学生自行计算速度、动能、机械能；</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3、该教具中内置了2.4G无线模块，能将实验数据传输给平板或电脑，由电脑进行实验数据分析；</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4、该教具内置USB接口，可直接连Windows和安卓系统；</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拥有独立的专用软件，方便教师课堂演示实验使用；通过数据计算可以计算出摆球的动能、势能和机械能，并同时描绘出动能、势能和机械能随摆球下落高度的图线，得到随着摆球下落高度的降低，动能增大，势能减小，机械能不变的实验结论，完成对机械能守恒定律的定量探究。</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77470</wp:posOffset>
                  </wp:positionH>
                  <wp:positionV relativeFrom="paragraph">
                    <wp:posOffset>3183890</wp:posOffset>
                  </wp:positionV>
                  <wp:extent cx="609600" cy="503555"/>
                  <wp:effectExtent l="0" t="0" r="0" b="14605"/>
                  <wp:wrapNone/>
                  <wp:docPr id="62" name="图片_1"/>
                  <wp:cNvGraphicFramePr/>
                  <a:graphic xmlns:a="http://schemas.openxmlformats.org/drawingml/2006/main">
                    <a:graphicData uri="http://schemas.openxmlformats.org/drawingml/2006/picture">
                      <pic:pic xmlns:pic="http://schemas.openxmlformats.org/drawingml/2006/picture">
                        <pic:nvPicPr>
                          <pic:cNvPr id="62" name="图片_1"/>
                          <pic:cNvPicPr/>
                        </pic:nvPicPr>
                        <pic:blipFill>
                          <a:blip r:embed="rId50"/>
                          <a:stretch>
                            <a:fillRect/>
                          </a:stretch>
                        </pic:blipFill>
                        <pic:spPr>
                          <a:xfrm>
                            <a:off x="0" y="0"/>
                            <a:ext cx="609600" cy="5035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56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数字化-液体的凝固实验器（无线型）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1、在实验过程中，学生可直接看到两组水结冰、冰融水的整个过程，可实时进行比较；</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2、通过实验仪自带温度传感器，在实验仪自带的显示屏上显示出温度值；可设置最低温度值；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3、此实验仪可通过无线或USB直接与计算机连接，在软件上显示温度值；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4、配有水槽和金属围挡。观察水的瞬间结冰与冰融化的过程。探究水的瞬间结冰与冰融化的规律及图线。</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22225</wp:posOffset>
                  </wp:positionH>
                  <wp:positionV relativeFrom="paragraph">
                    <wp:posOffset>2122805</wp:posOffset>
                  </wp:positionV>
                  <wp:extent cx="748030" cy="521970"/>
                  <wp:effectExtent l="0" t="0" r="13970" b="11430"/>
                  <wp:wrapNone/>
                  <wp:docPr id="57" name="图片_264"/>
                  <wp:cNvGraphicFramePr/>
                  <a:graphic xmlns:a="http://schemas.openxmlformats.org/drawingml/2006/main">
                    <a:graphicData uri="http://schemas.openxmlformats.org/drawingml/2006/picture">
                      <pic:pic xmlns:pic="http://schemas.openxmlformats.org/drawingml/2006/picture">
                        <pic:nvPicPr>
                          <pic:cNvPr id="57" name="图片_264"/>
                          <pic:cNvPicPr/>
                        </pic:nvPicPr>
                        <pic:blipFill>
                          <a:blip r:embed="rId51"/>
                          <a:stretch>
                            <a:fillRect/>
                          </a:stretch>
                        </pic:blipFill>
                        <pic:spPr>
                          <a:xfrm>
                            <a:off x="0" y="0"/>
                            <a:ext cx="748030" cy="5219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1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数字化-二力平衡实验仪（带屏无线型）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由电机控制匀速运动升降装置、与力传感器、无线带屏转动传感器配合使用，测量物体运动过程中力的变化情况，可扩展为同时测量物体运动速度功能</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965200</wp:posOffset>
                  </wp:positionH>
                  <wp:positionV relativeFrom="paragraph">
                    <wp:posOffset>0</wp:posOffset>
                  </wp:positionV>
                  <wp:extent cx="1400810" cy="1219200"/>
                  <wp:effectExtent l="0" t="0" r="1270" b="0"/>
                  <wp:wrapNone/>
                  <wp:docPr id="63" name="图片_1_SpCnt_1"/>
                  <wp:cNvGraphicFramePr/>
                  <a:graphic xmlns:a="http://schemas.openxmlformats.org/drawingml/2006/main">
                    <a:graphicData uri="http://schemas.openxmlformats.org/drawingml/2006/picture">
                      <pic:pic xmlns:pic="http://schemas.openxmlformats.org/drawingml/2006/picture">
                        <pic:nvPicPr>
                          <pic:cNvPr id="63" name="图片_1_SpCnt_1"/>
                          <pic:cNvPicPr/>
                        </pic:nvPicPr>
                        <pic:blipFill>
                          <a:blip r:embed="rId52"/>
                          <a:stretch>
                            <a:fillRect/>
                          </a:stretch>
                        </pic:blipFill>
                        <pic:spPr>
                          <a:xfrm>
                            <a:off x="0" y="0"/>
                            <a:ext cx="1400810" cy="12192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数字化-静电计（无线型）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测量范围：±100nC，分辨率：1nC。3.2寸彩屏屏（一体化设计，外接屏幕无效），自配锂电池供电，带电量不小于1320mAh,可测量带电物体的电荷量和极性，具有硬件调零的功能。输入端可连接金属小球或法拉第冰桶，以无线方式、USB方式与计算机通讯，断电后数据无丢失。可完成静电感应、电荷守恒、等势体研究、静电屏蔽、光电效应等实验。</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57785</wp:posOffset>
                  </wp:positionH>
                  <wp:positionV relativeFrom="paragraph">
                    <wp:posOffset>564515</wp:posOffset>
                  </wp:positionV>
                  <wp:extent cx="625475" cy="473710"/>
                  <wp:effectExtent l="0" t="0" r="14605" b="13970"/>
                  <wp:wrapNone/>
                  <wp:docPr id="60" name="图片_3_SpCnt_1"/>
                  <wp:cNvGraphicFramePr/>
                  <a:graphic xmlns:a="http://schemas.openxmlformats.org/drawingml/2006/main">
                    <a:graphicData uri="http://schemas.openxmlformats.org/drawingml/2006/picture">
                      <pic:pic xmlns:pic="http://schemas.openxmlformats.org/drawingml/2006/picture">
                        <pic:nvPicPr>
                          <pic:cNvPr id="60" name="图片_3_SpCnt_1"/>
                          <pic:cNvPicPr/>
                        </pic:nvPicPr>
                        <pic:blipFill>
                          <a:blip r:embed="rId53"/>
                          <a:stretch>
                            <a:fillRect/>
                          </a:stretch>
                        </pic:blipFill>
                        <pic:spPr>
                          <a:xfrm>
                            <a:off x="0" y="0"/>
                            <a:ext cx="625475" cy="4737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0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数字化-玻璃导电实验仪（无线型）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通过内置传感器测量数据，内置屏幕显示数据；直接与计算机USB口通讯或通过无线传输数据；通过加热玻璃获得通过玻璃的电流值</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42545</wp:posOffset>
                  </wp:positionH>
                  <wp:positionV relativeFrom="paragraph">
                    <wp:posOffset>541020</wp:posOffset>
                  </wp:positionV>
                  <wp:extent cx="728980" cy="393700"/>
                  <wp:effectExtent l="0" t="0" r="2540" b="2540"/>
                  <wp:wrapNone/>
                  <wp:docPr id="68" name="图片_4"/>
                  <wp:cNvGraphicFramePr/>
                  <a:graphic xmlns:a="http://schemas.openxmlformats.org/drawingml/2006/main">
                    <a:graphicData uri="http://schemas.openxmlformats.org/drawingml/2006/picture">
                      <pic:pic xmlns:pic="http://schemas.openxmlformats.org/drawingml/2006/picture">
                        <pic:nvPicPr>
                          <pic:cNvPr id="68" name="图片_4"/>
                          <pic:cNvPicPr/>
                        </pic:nvPicPr>
                        <pic:blipFill>
                          <a:blip r:embed="rId54"/>
                          <a:stretch>
                            <a:fillRect/>
                          </a:stretch>
                        </pic:blipFill>
                        <pic:spPr>
                          <a:xfrm>
                            <a:off x="0" y="0"/>
                            <a:ext cx="728980" cy="3937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3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数字化-红外热幅射实验仪（无线型）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通过内置传感器测量数据，内置屏幕显示数据；直接与计算机USB口通讯或通过无线传输数据；测量由于温度变化而产生的电流；</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60960</wp:posOffset>
                  </wp:positionH>
                  <wp:positionV relativeFrom="paragraph">
                    <wp:posOffset>521970</wp:posOffset>
                  </wp:positionV>
                  <wp:extent cx="714375" cy="625475"/>
                  <wp:effectExtent l="0" t="0" r="1905" b="14605"/>
                  <wp:wrapNone/>
                  <wp:docPr id="64" name="图片_5"/>
                  <wp:cNvGraphicFramePr/>
                  <a:graphic xmlns:a="http://schemas.openxmlformats.org/drawingml/2006/main">
                    <a:graphicData uri="http://schemas.openxmlformats.org/drawingml/2006/picture">
                      <pic:pic xmlns:pic="http://schemas.openxmlformats.org/drawingml/2006/picture">
                        <pic:nvPicPr>
                          <pic:cNvPr id="64" name="图片_5"/>
                          <pic:cNvPicPr/>
                        </pic:nvPicPr>
                        <pic:blipFill>
                          <a:blip r:embed="rId55"/>
                          <a:stretch>
                            <a:fillRect/>
                          </a:stretch>
                        </pic:blipFill>
                        <pic:spPr>
                          <a:xfrm>
                            <a:off x="0" y="0"/>
                            <a:ext cx="714375" cy="6254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69"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氢燃料电池教具</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采用领先的新能源探索材料与实验设计氢燃料电池教具车是利用光线照射在太阳能电池板上产生电能，然后利用产生的电能作用在电解电池模块上，使水发生电解产生氢气和氧气。氢气和氧气进入到发电模块产生电能，带动小车运行或对小车内部储能模块充电。</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4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太阳能制氢教学装置</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开发清洁的可再生能源，可以解决能源和环境问题，氢能具有高效、清洁、无污染和易于产生的特点，被视为最理想的能源载体。利用可再生能源制氢是未来能源的发展趋势。太阳能制氢是未来制氢的主要途径之一。</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4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盐水能源教学装置（带样品）</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采用领先的新能源探索材料与实验设计, 盐水动力 海水发电 金属空气海水发电装置 新能源电动汽车动力 盐水动力,学生对太阳能，风能、核能、水能等一些常见能源很熟悉，但是对于盐水动力的能源却很不熟悉，此教学装置利用盐水动力制作小车很是吸引学生兴趣，学生对于这种环保新能源小车的制作和原理非常好奇</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24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燃料电池动力装置</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采用领先的新能源探索材料与实验设计，燃料电池是一种新型清洁高效的能源，燃料电池是一种将化学能转化为电能的发电装置，具有高效率，无污染，低噪音等优点，通过燃料电池的基本原理进行燃料电池系统，并采用燃料电池和锂电池并联的混合供电系统做为飞机辅助动力装置，用以代替我国国产辅助动力装置涡轮发电装置。</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bl>
    <w:p>
      <w:pP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br w:type="page"/>
      </w:r>
    </w:p>
    <w:p>
      <w:pPr>
        <w:jc w:val="cente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通风塔吊实验室</w:t>
      </w:r>
    </w:p>
    <w:tbl>
      <w:tblPr>
        <w:tblStyle w:val="22"/>
        <w:tblW w:w="10598" w:type="dxa"/>
        <w:tblInd w:w="0" w:type="dxa"/>
        <w:shd w:val="clear" w:color="auto" w:fill="auto"/>
        <w:tblLayout w:type="fixed"/>
        <w:tblCellMar>
          <w:top w:w="0" w:type="dxa"/>
          <w:left w:w="0" w:type="dxa"/>
          <w:bottom w:w="0" w:type="dxa"/>
          <w:right w:w="0" w:type="dxa"/>
        </w:tblCellMar>
      </w:tblPr>
      <w:tblGrid>
        <w:gridCol w:w="340"/>
        <w:gridCol w:w="850"/>
        <w:gridCol w:w="6034"/>
        <w:gridCol w:w="750"/>
        <w:gridCol w:w="683"/>
        <w:gridCol w:w="650"/>
        <w:gridCol w:w="1291"/>
      </w:tblGrid>
      <w:tr>
        <w:tblPrEx>
          <w:shd w:val="clear" w:color="auto" w:fill="auto"/>
          <w:tblLayout w:type="fixed"/>
          <w:tblCellMar>
            <w:top w:w="0" w:type="dxa"/>
            <w:left w:w="0" w:type="dxa"/>
            <w:bottom w:w="0" w:type="dxa"/>
            <w:right w:w="0" w:type="dxa"/>
          </w:tblCellMar>
        </w:tblPrEx>
        <w:trPr>
          <w:trHeight w:val="72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auto"/>
                <w:sz w:val="22"/>
                <w:szCs w:val="22"/>
                <w:u w:val="none"/>
              </w:rPr>
            </w:pPr>
            <w:r>
              <w:rPr>
                <w:rFonts w:hint="eastAsia" w:ascii="新宋体" w:hAnsi="新宋体" w:eastAsia="新宋体" w:cs="新宋体"/>
                <w:b/>
                <w:i w:val="0"/>
                <w:color w:val="auto"/>
                <w:kern w:val="0"/>
                <w:sz w:val="22"/>
                <w:szCs w:val="22"/>
                <w:u w:val="none"/>
                <w:lang w:val="en-US" w:eastAsia="zh-CN" w:bidi="ar"/>
              </w:rPr>
              <w:t>化学实验室配置清单</w:t>
            </w:r>
          </w:p>
        </w:tc>
      </w:tr>
      <w:tr>
        <w:tblPrEx>
          <w:tblLayout w:type="fixed"/>
          <w:tblCellMar>
            <w:top w:w="0" w:type="dxa"/>
            <w:left w:w="0" w:type="dxa"/>
            <w:bottom w:w="0" w:type="dxa"/>
            <w:right w:w="0" w:type="dxa"/>
          </w:tblCellMar>
        </w:tblPrEx>
        <w:trPr>
          <w:trHeight w:val="720" w:hRule="atLeast"/>
        </w:trPr>
        <w:tc>
          <w:tcPr>
            <w:tcW w:w="340"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auto"/>
                <w:sz w:val="22"/>
                <w:szCs w:val="22"/>
                <w:u w:val="none"/>
              </w:rPr>
            </w:pPr>
            <w:r>
              <w:rPr>
                <w:rFonts w:hint="eastAsia" w:ascii="新宋体" w:hAnsi="新宋体" w:eastAsia="新宋体" w:cs="新宋体"/>
                <w:b/>
                <w:i w:val="0"/>
                <w:color w:val="auto"/>
                <w:kern w:val="0"/>
                <w:sz w:val="22"/>
                <w:szCs w:val="22"/>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auto"/>
                <w:sz w:val="22"/>
                <w:szCs w:val="22"/>
                <w:u w:val="none"/>
              </w:rPr>
            </w:pPr>
            <w:r>
              <w:rPr>
                <w:rFonts w:hint="eastAsia" w:ascii="新宋体" w:hAnsi="新宋体" w:eastAsia="新宋体" w:cs="新宋体"/>
                <w:b/>
                <w:i w:val="0"/>
                <w:color w:val="auto"/>
                <w:kern w:val="0"/>
                <w:sz w:val="22"/>
                <w:szCs w:val="22"/>
                <w:u w:val="none"/>
                <w:lang w:val="en-US" w:eastAsia="zh-CN" w:bidi="ar"/>
              </w:rPr>
              <w:t>设备名称</w:t>
            </w:r>
          </w:p>
        </w:tc>
        <w:tc>
          <w:tcPr>
            <w:tcW w:w="6034"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auto"/>
                <w:sz w:val="22"/>
                <w:szCs w:val="22"/>
                <w:u w:val="none"/>
              </w:rPr>
            </w:pPr>
            <w:r>
              <w:rPr>
                <w:rFonts w:hint="eastAsia" w:ascii="新宋体" w:hAnsi="新宋体" w:eastAsia="新宋体" w:cs="新宋体"/>
                <w:b/>
                <w:i w:val="0"/>
                <w:color w:val="auto"/>
                <w:kern w:val="0"/>
                <w:sz w:val="22"/>
                <w:szCs w:val="22"/>
                <w:u w:val="none"/>
                <w:lang w:val="en-US" w:eastAsia="zh-CN" w:bidi="ar"/>
              </w:rPr>
              <w:t>规格及技术参数</w:t>
            </w:r>
          </w:p>
        </w:tc>
        <w:tc>
          <w:tcPr>
            <w:tcW w:w="750"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auto"/>
                <w:sz w:val="22"/>
                <w:szCs w:val="22"/>
                <w:u w:val="none"/>
              </w:rPr>
            </w:pPr>
            <w:r>
              <w:rPr>
                <w:rFonts w:hint="eastAsia" w:ascii="新宋体" w:hAnsi="新宋体" w:eastAsia="新宋体" w:cs="新宋体"/>
                <w:b/>
                <w:i w:val="0"/>
                <w:color w:val="auto"/>
                <w:kern w:val="0"/>
                <w:sz w:val="22"/>
                <w:szCs w:val="22"/>
                <w:u w:val="none"/>
                <w:lang w:val="en-US" w:eastAsia="zh-CN" w:bidi="ar"/>
              </w:rPr>
              <w:t>单位</w:t>
            </w:r>
          </w:p>
        </w:tc>
        <w:tc>
          <w:tcPr>
            <w:tcW w:w="683"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auto"/>
                <w:sz w:val="22"/>
                <w:szCs w:val="22"/>
                <w:u w:val="none"/>
              </w:rPr>
            </w:pPr>
            <w:r>
              <w:rPr>
                <w:rFonts w:hint="eastAsia" w:ascii="新宋体" w:hAnsi="新宋体" w:eastAsia="新宋体" w:cs="新宋体"/>
                <w:b/>
                <w:i w:val="0"/>
                <w:color w:val="auto"/>
                <w:kern w:val="0"/>
                <w:sz w:val="22"/>
                <w:szCs w:val="22"/>
                <w:u w:val="none"/>
                <w:lang w:val="en-US" w:eastAsia="zh-CN" w:bidi="ar"/>
              </w:rPr>
              <w:t>数量</w:t>
            </w:r>
          </w:p>
        </w:tc>
        <w:tc>
          <w:tcPr>
            <w:tcW w:w="650"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auto"/>
                <w:sz w:val="22"/>
                <w:szCs w:val="22"/>
                <w:u w:val="none"/>
              </w:rPr>
            </w:pPr>
            <w:r>
              <w:rPr>
                <w:rFonts w:hint="eastAsia" w:ascii="新宋体" w:hAnsi="新宋体" w:eastAsia="新宋体" w:cs="新宋体"/>
                <w:b/>
                <w:i w:val="0"/>
                <w:color w:val="auto"/>
                <w:kern w:val="0"/>
                <w:sz w:val="22"/>
                <w:szCs w:val="22"/>
                <w:u w:val="none"/>
                <w:lang w:val="en-US" w:eastAsia="zh-CN" w:bidi="ar"/>
              </w:rPr>
              <w:t>备注</w:t>
            </w:r>
          </w:p>
        </w:tc>
        <w:tc>
          <w:tcPr>
            <w:tcW w:w="1291"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auto"/>
                <w:sz w:val="22"/>
                <w:szCs w:val="22"/>
                <w:u w:val="none"/>
              </w:rPr>
            </w:pPr>
            <w:r>
              <w:rPr>
                <w:rFonts w:hint="eastAsia" w:ascii="新宋体" w:hAnsi="新宋体" w:eastAsia="新宋体" w:cs="新宋体"/>
                <w:b/>
                <w:i w:val="0"/>
                <w:color w:val="auto"/>
                <w:kern w:val="0"/>
                <w:sz w:val="22"/>
                <w:szCs w:val="22"/>
                <w:u w:val="none"/>
                <w:lang w:val="en-US" w:eastAsia="zh-CN" w:bidi="ar"/>
              </w:rPr>
              <w:t>参考图</w:t>
            </w:r>
          </w:p>
        </w:tc>
      </w:tr>
      <w:tr>
        <w:tblPrEx>
          <w:tblLayout w:type="fixed"/>
          <w:tblCellMar>
            <w:top w:w="0" w:type="dxa"/>
            <w:left w:w="0" w:type="dxa"/>
            <w:bottom w:w="0" w:type="dxa"/>
            <w:right w:w="0" w:type="dxa"/>
          </w:tblCellMar>
        </w:tblPrEx>
        <w:trPr>
          <w:trHeight w:val="338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纳米智能触控黑板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jc w:val="left"/>
              <w:textAlignment w:val="auto"/>
              <w:rPr>
                <w:rFonts w:hint="eastAsia" w:ascii="新宋体" w:hAnsi="新宋体" w:eastAsia="新宋体" w:cs="新宋体"/>
                <w:b w:val="0"/>
                <w:bCs w:val="0"/>
                <w:color w:val="auto"/>
                <w:sz w:val="22"/>
                <w:szCs w:val="22"/>
                <w:lang w:val="en-US" w:eastAsia="zh-CN"/>
              </w:rPr>
            </w:pPr>
            <w:r>
              <w:rPr>
                <w:rFonts w:hint="eastAsia" w:ascii="新宋体" w:hAnsi="新宋体" w:eastAsia="新宋体" w:cs="新宋体"/>
                <w:b/>
                <w:bCs/>
                <w:color w:val="auto"/>
                <w:sz w:val="22"/>
                <w:szCs w:val="22"/>
                <w:lang w:val="en-US" w:eastAsia="zh-CN"/>
              </w:rPr>
              <w:t>一</w:t>
            </w:r>
            <w:r>
              <w:rPr>
                <w:rFonts w:hint="eastAsia" w:ascii="新宋体" w:hAnsi="新宋体" w:eastAsia="新宋体" w:cs="新宋体"/>
                <w:b w:val="0"/>
                <w:bCs w:val="0"/>
                <w:color w:val="auto"/>
                <w:sz w:val="22"/>
                <w:szCs w:val="22"/>
                <w:lang w:val="en-US" w:eastAsia="zh-CN"/>
              </w:rPr>
              <w:t>、</w:t>
            </w:r>
            <w:r>
              <w:rPr>
                <w:rFonts w:hint="eastAsia" w:ascii="新宋体" w:hAnsi="新宋体" w:eastAsia="新宋体" w:cs="新宋体"/>
                <w:b w:val="0"/>
                <w:bCs w:val="0"/>
                <w:color w:val="auto"/>
                <w:sz w:val="22"/>
                <w:szCs w:val="22"/>
              </w:rPr>
              <w:t>整机</w:t>
            </w:r>
            <w:r>
              <w:rPr>
                <w:rFonts w:hint="eastAsia" w:ascii="新宋体" w:hAnsi="新宋体" w:eastAsia="新宋体" w:cs="新宋体"/>
                <w:b w:val="0"/>
                <w:bCs w:val="0"/>
                <w:color w:val="auto"/>
                <w:sz w:val="22"/>
                <w:szCs w:val="22"/>
                <w:lang w:val="en-US" w:eastAsia="zh-CN"/>
              </w:rPr>
              <w:t>设计要求</w:t>
            </w:r>
          </w:p>
          <w:p>
            <w:pPr>
              <w:pStyle w:val="2"/>
              <w:keepNext w:val="0"/>
              <w:keepLines w:val="0"/>
              <w:pageBreakBefore w:val="0"/>
              <w:numPr>
                <w:ilvl w:val="0"/>
                <w:numId w:val="3"/>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kern w:val="2"/>
                <w:sz w:val="22"/>
                <w:szCs w:val="22"/>
                <w:lang w:val="en-US" w:eastAsia="zh-CN" w:bidi="ar-SA"/>
              </w:rPr>
              <w:t>整机由一块液晶显示屏以及两块0.35mm厚环保专用黑色磁性金属面板拼接而成的，无推拉式结构。</w:t>
            </w:r>
          </w:p>
          <w:p>
            <w:pPr>
              <w:pStyle w:val="2"/>
              <w:keepNext w:val="0"/>
              <w:keepLines w:val="0"/>
              <w:pageBreakBefore w:val="0"/>
              <w:numPr>
                <w:ilvl w:val="0"/>
                <w:numId w:val="3"/>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kern w:val="2"/>
                <w:sz w:val="22"/>
                <w:szCs w:val="22"/>
                <w:lang w:val="en-US" w:eastAsia="zh-CN" w:bidi="ar-SA"/>
              </w:rPr>
              <w:t>融合黑板、液晶屏、音箱及拔插式电脑等设备，开机时显示屏可进行交互触控显示，关机后整体呈现为同一平面黑板。</w:t>
            </w:r>
          </w:p>
          <w:p>
            <w:pPr>
              <w:pStyle w:val="2"/>
              <w:keepNext w:val="0"/>
              <w:keepLines w:val="0"/>
              <w:pageBreakBefore w:val="0"/>
              <w:numPr>
                <w:ilvl w:val="0"/>
                <w:numId w:val="3"/>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屏体正面前置中文</w:t>
            </w:r>
            <w:r>
              <w:rPr>
                <w:rFonts w:hint="eastAsia" w:ascii="新宋体" w:hAnsi="新宋体" w:eastAsia="新宋体" w:cs="新宋体"/>
                <w:b w:val="0"/>
                <w:bCs w:val="0"/>
                <w:color w:val="auto"/>
                <w:sz w:val="22"/>
                <w:szCs w:val="22"/>
                <w:lang w:val="en-US" w:eastAsia="zh-CN"/>
              </w:rPr>
              <w:t>丝印</w:t>
            </w:r>
            <w:r>
              <w:rPr>
                <w:rFonts w:hint="eastAsia" w:ascii="新宋体" w:hAnsi="新宋体" w:eastAsia="新宋体" w:cs="新宋体"/>
                <w:b w:val="0"/>
                <w:bCs w:val="0"/>
                <w:color w:val="auto"/>
                <w:sz w:val="22"/>
                <w:szCs w:val="22"/>
              </w:rPr>
              <w:t>标识按键，包含音量加减、触控开关、安卓主页、电脑系统还原等</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为了方便老师在授课中的使用，屏体正面带有3路前置USB3.0接口（可同时在Windows及Android系统下读取）及1路HDMI高清接口（非转接方式），并且附带中文丝印标识，方便老师快速识别和使用接口</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为保证信号不遮挡，整机前置2.4G、5G双频wifi和蓝牙模块，增强信号传输。（需提供CMA、CAL、CNAS级别权威机构出具的检测报告）</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屏体正面内置2*15W扬声器和笔槽。</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一键节能，在节能待机状态下可实现节能90%以上</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lang w:val="en-US" w:eastAsia="zh-CN"/>
              </w:rPr>
              <w:t>整机具备自动待机功能，在无操作或无信号输入时,自动进入待机节能状态，可自定义间隔时间。</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智能交互黑板具备智能护眼组合功能，可提供护眼模式、实现智能光控、以及书写时屏显自动变暗</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lang w:val="en-US" w:eastAsia="zh-CN"/>
              </w:rPr>
            </w:pPr>
            <w:r>
              <w:rPr>
                <w:rFonts w:hint="eastAsia" w:ascii="新宋体" w:hAnsi="新宋体" w:eastAsia="新宋体" w:cs="新宋体"/>
                <w:b w:val="0"/>
                <w:bCs w:val="0"/>
                <w:color w:val="auto"/>
                <w:sz w:val="22"/>
                <w:szCs w:val="22"/>
              </w:rPr>
              <w:t>整机只需连接一根网线，即可实现Windows及Android系统同时联网</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lang w:val="en-US" w:eastAsia="zh-CN"/>
              </w:rPr>
            </w:pPr>
            <w:r>
              <w:rPr>
                <w:rFonts w:hint="eastAsia" w:ascii="新宋体" w:hAnsi="新宋体" w:eastAsia="新宋体" w:cs="新宋体"/>
                <w:b w:val="0"/>
                <w:bCs w:val="0"/>
                <w:color w:val="auto"/>
                <w:sz w:val="22"/>
                <w:szCs w:val="22"/>
              </w:rPr>
              <w:t>为方便教师应用，后置输入接口具备≥2路HDMI、≥2路USB-A（其中包含一路双通道接口）、≥1路VGA，≥1路Audio 3.5mm，≥1路RS232，≥1路RJ45、≥1路AV、 ≥1路TV RF、≥1路</w:t>
            </w:r>
            <w:r>
              <w:rPr>
                <w:rFonts w:hint="eastAsia" w:ascii="新宋体" w:hAnsi="新宋体" w:eastAsia="新宋体" w:cs="新宋体"/>
                <w:b w:val="0"/>
                <w:bCs w:val="0"/>
                <w:color w:val="auto"/>
                <w:sz w:val="22"/>
                <w:szCs w:val="22"/>
                <w:lang w:val="en-US" w:eastAsia="zh-CN"/>
              </w:rPr>
              <w:t>YPbPr</w:t>
            </w:r>
            <w:r>
              <w:rPr>
                <w:rFonts w:hint="eastAsia" w:ascii="新宋体" w:hAnsi="新宋体" w:eastAsia="新宋体" w:cs="新宋体"/>
                <w:b w:val="0"/>
                <w:bCs w:val="0"/>
                <w:color w:val="auto"/>
                <w:sz w:val="22"/>
                <w:szCs w:val="22"/>
              </w:rPr>
              <w:t>、≥1路Type-C</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后置输出接口具备≥1路Audio 3.5mm</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≥1路USB-B、≥1路 HDMI</w:t>
            </w:r>
            <w:r>
              <w:rPr>
                <w:rFonts w:hint="eastAsia" w:ascii="新宋体" w:hAnsi="新宋体" w:eastAsia="新宋体" w:cs="新宋体"/>
                <w:b w:val="0"/>
                <w:bCs w:val="0"/>
                <w:color w:val="auto"/>
                <w:sz w:val="22"/>
                <w:szCs w:val="22"/>
                <w:lang w:eastAsia="zh-CN"/>
              </w:rPr>
              <w:t>。</w:t>
            </w:r>
          </w:p>
          <w:p>
            <w:pPr>
              <w:pStyle w:val="7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jc w:val="left"/>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lang w:val="en-US" w:eastAsia="zh-CN"/>
              </w:rPr>
              <w:t>二、</w:t>
            </w:r>
            <w:r>
              <w:rPr>
                <w:rFonts w:hint="eastAsia" w:ascii="新宋体" w:hAnsi="新宋体" w:eastAsia="新宋体" w:cs="新宋体"/>
                <w:b w:val="0"/>
                <w:bCs w:val="0"/>
                <w:color w:val="auto"/>
                <w:sz w:val="22"/>
                <w:szCs w:val="22"/>
              </w:rPr>
              <w:t>显示</w:t>
            </w:r>
            <w:r>
              <w:rPr>
                <w:rFonts w:hint="eastAsia" w:ascii="新宋体" w:hAnsi="新宋体" w:eastAsia="新宋体" w:cs="新宋体"/>
                <w:b w:val="0"/>
                <w:bCs w:val="0"/>
                <w:color w:val="auto"/>
                <w:sz w:val="22"/>
                <w:szCs w:val="22"/>
                <w:lang w:val="en-US" w:eastAsia="zh-CN"/>
              </w:rPr>
              <w:t>屏参数</w:t>
            </w:r>
          </w:p>
          <w:p>
            <w:pPr>
              <w:pStyle w:val="2"/>
              <w:keepNext w:val="0"/>
              <w:keepLines w:val="0"/>
              <w:pageBreakBefore w:val="0"/>
              <w:numPr>
                <w:ilvl w:val="0"/>
                <w:numId w:val="4"/>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lang w:val="en-US" w:eastAsia="zh-CN"/>
              </w:rPr>
              <w:t>整机尺寸不低于4200</w:t>
            </w:r>
            <w:r>
              <w:rPr>
                <w:rFonts w:hint="eastAsia" w:ascii="新宋体" w:hAnsi="新宋体" w:eastAsia="新宋体" w:cs="新宋体"/>
                <w:b w:val="0"/>
                <w:bCs w:val="0"/>
                <w:color w:val="auto"/>
                <w:sz w:val="22"/>
                <w:szCs w:val="22"/>
              </w:rPr>
              <w:t>mm</w:t>
            </w:r>
            <w:r>
              <w:rPr>
                <w:rFonts w:hint="eastAsia" w:ascii="新宋体" w:hAnsi="新宋体" w:eastAsia="新宋体" w:cs="新宋体"/>
                <w:b w:val="0"/>
                <w:bCs w:val="0"/>
                <w:color w:val="auto"/>
                <w:sz w:val="22"/>
                <w:szCs w:val="22"/>
                <w:lang w:val="en-US" w:eastAsia="zh-CN"/>
              </w:rPr>
              <w:t>×1150</w:t>
            </w:r>
            <w:r>
              <w:rPr>
                <w:rFonts w:hint="eastAsia" w:ascii="新宋体" w:hAnsi="新宋体" w:eastAsia="新宋体" w:cs="新宋体"/>
                <w:b w:val="0"/>
                <w:bCs w:val="0"/>
                <w:color w:val="auto"/>
                <w:sz w:val="22"/>
                <w:szCs w:val="22"/>
              </w:rPr>
              <w:t>m</w:t>
            </w:r>
            <w:r>
              <w:rPr>
                <w:rFonts w:hint="eastAsia" w:ascii="新宋体" w:hAnsi="新宋体" w:eastAsia="新宋体" w:cs="新宋体"/>
                <w:b w:val="0"/>
                <w:bCs w:val="0"/>
                <w:color w:val="auto"/>
                <w:sz w:val="22"/>
                <w:szCs w:val="22"/>
                <w:lang w:val="en-US" w:eastAsia="zh-CN"/>
              </w:rPr>
              <w:t>m×</w:t>
            </w:r>
            <w:r>
              <w:rPr>
                <w:rFonts w:hint="eastAsia" w:ascii="新宋体" w:hAnsi="新宋体" w:eastAsia="新宋体" w:cs="新宋体"/>
                <w:b w:val="0"/>
                <w:bCs w:val="0"/>
                <w:color w:val="auto"/>
                <w:sz w:val="22"/>
                <w:szCs w:val="22"/>
              </w:rPr>
              <w:t>1</w:t>
            </w:r>
            <w:r>
              <w:rPr>
                <w:rFonts w:hint="eastAsia" w:ascii="新宋体" w:hAnsi="新宋体" w:eastAsia="新宋体" w:cs="新宋体"/>
                <w:b w:val="0"/>
                <w:bCs w:val="0"/>
                <w:color w:val="auto"/>
                <w:sz w:val="22"/>
                <w:szCs w:val="22"/>
                <w:lang w:val="en-US" w:eastAsia="zh-CN"/>
              </w:rPr>
              <w:t>20</w:t>
            </w:r>
            <w:r>
              <w:rPr>
                <w:rFonts w:hint="eastAsia" w:ascii="新宋体" w:hAnsi="新宋体" w:eastAsia="新宋体" w:cs="新宋体"/>
                <w:b w:val="0"/>
                <w:bCs w:val="0"/>
                <w:color w:val="auto"/>
                <w:sz w:val="22"/>
                <w:szCs w:val="22"/>
              </w:rPr>
              <w:t>mm</w:t>
            </w:r>
            <w:r>
              <w:rPr>
                <w:rFonts w:hint="eastAsia" w:ascii="新宋体" w:hAnsi="新宋体" w:eastAsia="新宋体" w:cs="新宋体"/>
                <w:b w:val="0"/>
                <w:bCs w:val="0"/>
                <w:color w:val="auto"/>
                <w:sz w:val="22"/>
                <w:szCs w:val="22"/>
                <w:lang w:eastAsia="zh-CN"/>
              </w:rPr>
              <w:t>。</w:t>
            </w:r>
          </w:p>
          <w:p>
            <w:pPr>
              <w:pStyle w:val="2"/>
              <w:keepNext w:val="0"/>
              <w:keepLines w:val="0"/>
              <w:pageBreakBefore w:val="0"/>
              <w:numPr>
                <w:ilvl w:val="0"/>
                <w:numId w:val="4"/>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显示</w:t>
            </w:r>
            <w:r>
              <w:rPr>
                <w:rFonts w:hint="eastAsia" w:ascii="新宋体" w:hAnsi="新宋体" w:eastAsia="新宋体" w:cs="新宋体"/>
                <w:b w:val="0"/>
                <w:bCs w:val="0"/>
                <w:color w:val="auto"/>
                <w:sz w:val="22"/>
                <w:szCs w:val="22"/>
                <w:lang w:val="en-US" w:eastAsia="zh-CN"/>
              </w:rPr>
              <w:t>尺寸</w:t>
            </w:r>
            <w:r>
              <w:rPr>
                <w:rFonts w:hint="eastAsia" w:ascii="新宋体" w:hAnsi="新宋体" w:eastAsia="新宋体" w:cs="新宋体"/>
                <w:b w:val="0"/>
                <w:bCs w:val="0"/>
                <w:color w:val="auto"/>
                <w:sz w:val="22"/>
                <w:szCs w:val="22"/>
              </w:rPr>
              <w:t>8</w:t>
            </w:r>
            <w:r>
              <w:rPr>
                <w:rFonts w:hint="eastAsia" w:ascii="新宋体" w:hAnsi="新宋体" w:eastAsia="新宋体" w:cs="新宋体"/>
                <w:b w:val="0"/>
                <w:bCs w:val="0"/>
                <w:color w:val="auto"/>
                <w:sz w:val="22"/>
                <w:szCs w:val="22"/>
                <w:lang w:val="en-US" w:eastAsia="zh-CN"/>
              </w:rPr>
              <w:t>5</w:t>
            </w:r>
            <w:r>
              <w:rPr>
                <w:rFonts w:hint="eastAsia" w:ascii="新宋体" w:hAnsi="新宋体" w:eastAsia="新宋体" w:cs="新宋体"/>
                <w:b w:val="0"/>
                <w:bCs w:val="0"/>
                <w:color w:val="auto"/>
                <w:sz w:val="22"/>
                <w:szCs w:val="22"/>
              </w:rPr>
              <w:t>英寸,采用LED背光</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显示比例16:9，高清4K屏体，分辨率≥3840×2160</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lang w:val="en-US" w:eastAsia="zh-CN"/>
              </w:rPr>
            </w:pPr>
            <w:r>
              <w:rPr>
                <w:rFonts w:hint="eastAsia" w:ascii="新宋体" w:hAnsi="新宋体" w:eastAsia="新宋体" w:cs="新宋体"/>
                <w:b w:val="0"/>
                <w:bCs w:val="0"/>
                <w:color w:val="auto"/>
                <w:sz w:val="22"/>
                <w:szCs w:val="22"/>
              </w:rPr>
              <w:t>智能交互黑板的显示</w:t>
            </w:r>
            <w:r>
              <w:rPr>
                <w:rFonts w:hint="eastAsia" w:ascii="新宋体" w:hAnsi="新宋体" w:eastAsia="新宋体" w:cs="新宋体"/>
                <w:b w:val="0"/>
                <w:bCs w:val="0"/>
                <w:color w:val="auto"/>
                <w:sz w:val="22"/>
                <w:szCs w:val="22"/>
                <w:lang w:val="en-US" w:eastAsia="zh-CN"/>
              </w:rPr>
              <w:t>屏</w:t>
            </w:r>
            <w:r>
              <w:rPr>
                <w:rFonts w:hint="eastAsia" w:ascii="新宋体" w:hAnsi="新宋体" w:eastAsia="新宋体" w:cs="新宋体"/>
                <w:b w:val="0"/>
                <w:bCs w:val="0"/>
                <w:color w:val="auto"/>
                <w:sz w:val="22"/>
                <w:szCs w:val="22"/>
              </w:rPr>
              <w:t>采用电容触控技术，支持≥10点同时触控，支持≥10同时笔书写,触摸分辨率为3276</w:t>
            </w:r>
            <w:r>
              <w:rPr>
                <w:rFonts w:hint="eastAsia" w:ascii="新宋体" w:hAnsi="新宋体" w:eastAsia="新宋体" w:cs="新宋体"/>
                <w:b w:val="0"/>
                <w:bCs w:val="0"/>
                <w:color w:val="auto"/>
                <w:sz w:val="22"/>
                <w:szCs w:val="22"/>
                <w:lang w:val="en-US" w:eastAsia="zh-CN"/>
              </w:rPr>
              <w:t>8</w:t>
            </w:r>
            <w:r>
              <w:rPr>
                <w:rFonts w:hint="eastAsia" w:ascii="新宋体" w:hAnsi="新宋体" w:eastAsia="新宋体" w:cs="新宋体"/>
                <w:b w:val="0"/>
                <w:bCs w:val="0"/>
                <w:color w:val="auto"/>
                <w:sz w:val="22"/>
                <w:szCs w:val="22"/>
              </w:rPr>
              <w:t>*3276</w:t>
            </w:r>
            <w:r>
              <w:rPr>
                <w:rFonts w:hint="eastAsia" w:ascii="新宋体" w:hAnsi="新宋体" w:eastAsia="新宋体" w:cs="新宋体"/>
                <w:b w:val="0"/>
                <w:bCs w:val="0"/>
                <w:color w:val="auto"/>
                <w:sz w:val="22"/>
                <w:szCs w:val="22"/>
                <w:lang w:val="en-US" w:eastAsia="zh-CN"/>
              </w:rPr>
              <w:t>8</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为提高安全性，</w:t>
            </w:r>
            <w:r>
              <w:rPr>
                <w:rFonts w:hint="eastAsia" w:ascii="新宋体" w:hAnsi="新宋体" w:eastAsia="新宋体" w:cs="新宋体"/>
                <w:b w:val="0"/>
                <w:bCs w:val="0"/>
                <w:color w:val="auto"/>
                <w:sz w:val="22"/>
                <w:szCs w:val="22"/>
                <w:lang w:val="en-US" w:eastAsia="zh-CN"/>
              </w:rPr>
              <w:t>整机显示屏表面采用 3.2mm 厚度的防眩钢化玻璃，表面硬度≥莫氏 8级，透光率≥90%。</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lang w:val="en-US" w:eastAsia="zh-CN"/>
              </w:rPr>
              <w:t>整机</w:t>
            </w:r>
            <w:r>
              <w:rPr>
                <w:rFonts w:hint="eastAsia" w:ascii="新宋体" w:hAnsi="新宋体" w:eastAsia="新宋体" w:cs="新宋体"/>
                <w:b w:val="0"/>
                <w:bCs w:val="0"/>
                <w:color w:val="auto"/>
                <w:sz w:val="22"/>
                <w:szCs w:val="22"/>
              </w:rPr>
              <w:t>的显示</w:t>
            </w:r>
            <w:r>
              <w:rPr>
                <w:rFonts w:hint="eastAsia" w:ascii="新宋体" w:hAnsi="新宋体" w:eastAsia="新宋体" w:cs="新宋体"/>
                <w:b w:val="0"/>
                <w:bCs w:val="0"/>
                <w:color w:val="auto"/>
                <w:sz w:val="22"/>
                <w:szCs w:val="22"/>
                <w:lang w:val="en-US" w:eastAsia="zh-CN"/>
              </w:rPr>
              <w:t>屏</w:t>
            </w:r>
            <w:r>
              <w:rPr>
                <w:rFonts w:hint="eastAsia" w:ascii="新宋体" w:hAnsi="新宋体" w:eastAsia="新宋体" w:cs="新宋体"/>
                <w:b w:val="0"/>
                <w:bCs w:val="0"/>
                <w:color w:val="auto"/>
                <w:sz w:val="22"/>
                <w:szCs w:val="22"/>
              </w:rPr>
              <w:t>采用的纳米电容银线直径≤0.02mm，触控精度≤0.05mm</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lang w:val="en-US" w:eastAsia="zh-CN"/>
              </w:rPr>
              <w:t>整机</w:t>
            </w:r>
            <w:r>
              <w:rPr>
                <w:rFonts w:hint="eastAsia" w:ascii="新宋体" w:hAnsi="新宋体" w:eastAsia="新宋体" w:cs="新宋体"/>
                <w:b w:val="0"/>
                <w:bCs w:val="0"/>
                <w:color w:val="auto"/>
                <w:sz w:val="22"/>
                <w:szCs w:val="22"/>
              </w:rPr>
              <w:t>显示</w:t>
            </w:r>
            <w:r>
              <w:rPr>
                <w:rFonts w:hint="eastAsia" w:ascii="新宋体" w:hAnsi="新宋体" w:eastAsia="新宋体" w:cs="新宋体"/>
                <w:b w:val="0"/>
                <w:bCs w:val="0"/>
                <w:color w:val="auto"/>
                <w:sz w:val="22"/>
                <w:szCs w:val="22"/>
                <w:lang w:val="en-US" w:eastAsia="zh-CN"/>
              </w:rPr>
              <w:t>屏的</w:t>
            </w:r>
            <w:r>
              <w:rPr>
                <w:rFonts w:hint="eastAsia" w:ascii="新宋体" w:hAnsi="新宋体" w:eastAsia="新宋体" w:cs="新宋体"/>
                <w:b w:val="0"/>
                <w:bCs w:val="0"/>
                <w:color w:val="auto"/>
                <w:sz w:val="22"/>
                <w:szCs w:val="22"/>
              </w:rPr>
              <w:t>防眩钢化玻璃与液晶屏之间紧密贴合，</w:t>
            </w:r>
            <w:r>
              <w:rPr>
                <w:rFonts w:hint="eastAsia" w:ascii="新宋体" w:hAnsi="新宋体" w:eastAsia="新宋体" w:cs="新宋体"/>
                <w:b w:val="0"/>
                <w:bCs w:val="0"/>
                <w:color w:val="auto"/>
                <w:sz w:val="22"/>
                <w:szCs w:val="22"/>
                <w:lang w:val="en-US" w:eastAsia="zh-CN"/>
              </w:rPr>
              <w:t>可</w:t>
            </w:r>
            <w:r>
              <w:rPr>
                <w:rFonts w:hint="eastAsia" w:ascii="新宋体" w:hAnsi="新宋体" w:eastAsia="新宋体" w:cs="新宋体"/>
                <w:b w:val="0"/>
                <w:bCs w:val="0"/>
                <w:color w:val="auto"/>
                <w:sz w:val="22"/>
                <w:szCs w:val="22"/>
              </w:rPr>
              <w:t>杜绝水汽/水雾产生</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lang w:val="en-US" w:eastAsia="zh-CN"/>
              </w:rPr>
              <w:t>显示部分任意位置</w:t>
            </w:r>
            <w:r>
              <w:rPr>
                <w:rFonts w:hint="eastAsia" w:ascii="新宋体" w:hAnsi="新宋体" w:eastAsia="新宋体" w:cs="新宋体"/>
                <w:b w:val="0"/>
                <w:bCs w:val="0"/>
                <w:color w:val="auto"/>
                <w:sz w:val="22"/>
                <w:szCs w:val="22"/>
              </w:rPr>
              <w:t>光影折射距离为0mm</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可视角度（水平/垂直）≥178°</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显示</w:t>
            </w:r>
            <w:r>
              <w:rPr>
                <w:rFonts w:hint="eastAsia" w:ascii="新宋体" w:hAnsi="新宋体" w:eastAsia="新宋体" w:cs="新宋体"/>
                <w:b w:val="0"/>
                <w:bCs w:val="0"/>
                <w:color w:val="auto"/>
                <w:sz w:val="22"/>
                <w:szCs w:val="22"/>
                <w:lang w:val="en-US" w:eastAsia="zh-CN"/>
              </w:rPr>
              <w:t>屏</w:t>
            </w:r>
            <w:r>
              <w:rPr>
                <w:rFonts w:hint="eastAsia" w:ascii="新宋体" w:hAnsi="新宋体" w:eastAsia="新宋体" w:cs="新宋体"/>
                <w:b w:val="0"/>
                <w:bCs w:val="0"/>
                <w:color w:val="auto"/>
                <w:sz w:val="22"/>
                <w:szCs w:val="22"/>
              </w:rPr>
              <w:t>具有防光干扰功能，能在</w:t>
            </w:r>
            <w:r>
              <w:rPr>
                <w:rFonts w:hint="eastAsia" w:ascii="新宋体" w:hAnsi="新宋体" w:eastAsia="新宋体" w:cs="新宋体"/>
                <w:b w:val="0"/>
                <w:bCs w:val="0"/>
                <w:color w:val="auto"/>
                <w:sz w:val="22"/>
                <w:szCs w:val="22"/>
                <w:lang w:val="en-US" w:eastAsia="zh-CN"/>
              </w:rPr>
              <w:t>强光</w:t>
            </w:r>
            <w:r>
              <w:rPr>
                <w:rFonts w:hint="eastAsia" w:ascii="新宋体" w:hAnsi="新宋体" w:eastAsia="新宋体" w:cs="新宋体"/>
                <w:b w:val="0"/>
                <w:bCs w:val="0"/>
                <w:color w:val="auto"/>
                <w:sz w:val="22"/>
                <w:szCs w:val="22"/>
              </w:rPr>
              <w:t>环境下正常工作</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智能黑板通屏支持普通粉笔、无尘粉笔、水性笔、油性笔书写</w:t>
            </w:r>
            <w:r>
              <w:rPr>
                <w:rFonts w:hint="eastAsia" w:ascii="新宋体" w:hAnsi="新宋体" w:eastAsia="新宋体" w:cs="新宋体"/>
                <w:b w:val="0"/>
                <w:bCs w:val="0"/>
                <w:color w:val="auto"/>
                <w:sz w:val="22"/>
                <w:szCs w:val="22"/>
                <w:lang w:eastAsia="zh-CN"/>
              </w:rPr>
              <w:t>。</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新宋体" w:hAnsi="新宋体" w:eastAsia="新宋体" w:cs="新宋体"/>
                <w:b w:val="0"/>
                <w:bCs w:val="0"/>
                <w:color w:val="auto"/>
                <w:sz w:val="22"/>
                <w:szCs w:val="22"/>
                <w:lang w:val="en-US" w:eastAsia="zh-CN"/>
              </w:rPr>
            </w:pPr>
            <w:r>
              <w:rPr>
                <w:rFonts w:hint="eastAsia" w:ascii="新宋体" w:hAnsi="新宋体" w:eastAsia="新宋体" w:cs="新宋体"/>
                <w:b w:val="0"/>
                <w:bCs w:val="0"/>
                <w:color w:val="auto"/>
                <w:sz w:val="22"/>
                <w:szCs w:val="22"/>
                <w:lang w:val="en-US" w:eastAsia="zh-CN"/>
              </w:rPr>
              <w:t>三、内嵌操作系统</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为方便教学，在Windows和Android双系统下，可通过智能交互黑板的悬浮菜单一键切换信号源通道，并可通过两指长按调用悬浮菜单到指定位置</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悬浮菜单中的应用可根据使用需求进行不少于10种应用更换（非信号源切换</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在任何信号源下均可</w:t>
            </w:r>
            <w:r>
              <w:rPr>
                <w:rFonts w:hint="eastAsia" w:ascii="新宋体" w:hAnsi="新宋体" w:eastAsia="新宋体" w:cs="新宋体"/>
                <w:b w:val="0"/>
                <w:bCs w:val="0"/>
                <w:color w:val="auto"/>
                <w:sz w:val="22"/>
                <w:szCs w:val="22"/>
                <w:lang w:val="en-US" w:eastAsia="zh-CN"/>
              </w:rPr>
              <w:t>通过悬浮菜单</w:t>
            </w:r>
            <w:r>
              <w:rPr>
                <w:rFonts w:hint="eastAsia" w:ascii="新宋体" w:hAnsi="新宋体" w:eastAsia="新宋体" w:cs="新宋体"/>
                <w:b w:val="0"/>
                <w:bCs w:val="0"/>
                <w:color w:val="auto"/>
                <w:sz w:val="22"/>
                <w:szCs w:val="22"/>
              </w:rPr>
              <w:t>实现批注、打开展台等功能</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在Andriod操作系统下，能对文件进行自动分类，可快速分类查找office文档、音视频、图片、白板课件等文件，可直接在界面中进行多种编辑操作及分享</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在日常教学中，为了保护师生的视力健康，应提供多种护眼功能供用户选择</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为方便教学，教师可通过三指按压显示区域，一步操作达到息屏或唤醒屏幕功能，不接受触摸菜单或物理按键的方式</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为防止学生误触，整机需提供不少于3种锁定设备的方式；同时，应提供不少于</w:t>
            </w:r>
            <w:r>
              <w:rPr>
                <w:rFonts w:hint="eastAsia" w:ascii="新宋体" w:hAnsi="新宋体" w:eastAsia="新宋体" w:cs="新宋体"/>
                <w:b w:val="0"/>
                <w:bCs w:val="0"/>
                <w:color w:val="auto"/>
                <w:sz w:val="22"/>
                <w:szCs w:val="22"/>
                <w:lang w:val="en-US" w:eastAsia="zh-CN"/>
              </w:rPr>
              <w:t>2</w:t>
            </w:r>
            <w:r>
              <w:rPr>
                <w:rFonts w:hint="eastAsia" w:ascii="新宋体" w:hAnsi="新宋体" w:eastAsia="新宋体" w:cs="新宋体"/>
                <w:b w:val="0"/>
                <w:bCs w:val="0"/>
                <w:color w:val="auto"/>
                <w:sz w:val="22"/>
                <w:szCs w:val="22"/>
              </w:rPr>
              <w:t>种方式进行解锁</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无需借助PC，整机可一键进行硬件自检，包括对系统硬盘、系统内存、触摸系统、内置电脑、光感系统等模块进行检测，并提供故障提示</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在无操作或无信号输入时,整机自动进入待机节能的功能，待机的时间间隔可自定义，这样既节能环保又能延长机器使用寿命</w:t>
            </w:r>
            <w:r>
              <w:rPr>
                <w:rFonts w:hint="eastAsia" w:ascii="新宋体" w:hAnsi="新宋体" w:eastAsia="新宋体" w:cs="新宋体"/>
                <w:b w:val="0"/>
                <w:bCs w:val="0"/>
                <w:color w:val="auto"/>
                <w:sz w:val="22"/>
                <w:szCs w:val="22"/>
                <w:lang w:eastAsia="zh-CN"/>
              </w:rPr>
              <w:t>。</w:t>
            </w: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可自动识别粗细笔记，既能够方便教师板书及批注重点，又可以保留真实书写感</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kern w:val="0"/>
                <w:sz w:val="22"/>
                <w:szCs w:val="22"/>
              </w:rPr>
              <w:t>（</w:t>
            </w:r>
            <w:r>
              <w:rPr>
                <w:rFonts w:hint="eastAsia" w:ascii="新宋体" w:hAnsi="新宋体" w:eastAsia="新宋体" w:cs="新宋体"/>
                <w:b w:val="0"/>
                <w:bCs w:val="0"/>
                <w:color w:val="auto"/>
                <w:sz w:val="22"/>
                <w:szCs w:val="22"/>
              </w:rPr>
              <w:t>需提供CMA、CAL、CNAS级别权威机构出具的检测报告）</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安卓主页面提供≥4个应用入口，任意应用入口可以根据教学需要自行更换。安卓系统下提供硬件系统检测：对系统内存、存储、触控系统、电脑、屏温监控等提供直观的状态、故障提示；安卓下具备文件浏览功能和二维码分享等功能</w:t>
            </w:r>
            <w:r>
              <w:rPr>
                <w:rFonts w:hint="eastAsia" w:ascii="新宋体" w:hAnsi="新宋体" w:eastAsia="新宋体" w:cs="新宋体"/>
                <w:b w:val="0"/>
                <w:bCs w:val="0"/>
                <w:color w:val="auto"/>
                <w:sz w:val="22"/>
                <w:szCs w:val="22"/>
                <w:lang w:eastAsia="zh-CN"/>
              </w:rPr>
              <w:t>。</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新宋体" w:hAnsi="新宋体" w:eastAsia="新宋体" w:cs="新宋体"/>
                <w:b w:val="0"/>
                <w:bCs w:val="0"/>
                <w:color w:val="auto"/>
                <w:sz w:val="22"/>
                <w:szCs w:val="22"/>
              </w:rPr>
            </w:pP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新宋体" w:hAnsi="新宋体" w:eastAsia="新宋体" w:cs="新宋体"/>
                <w:b w:val="0"/>
                <w:bCs w:val="0"/>
                <w:color w:val="auto"/>
                <w:sz w:val="22"/>
                <w:szCs w:val="22"/>
                <w:lang w:val="en-US" w:eastAsia="zh-CN"/>
              </w:rPr>
            </w:pPr>
            <w:r>
              <w:rPr>
                <w:rFonts w:hint="eastAsia" w:ascii="新宋体" w:hAnsi="新宋体" w:eastAsia="新宋体" w:cs="新宋体"/>
                <w:b w:val="0"/>
                <w:bCs w:val="0"/>
                <w:color w:val="auto"/>
                <w:sz w:val="22"/>
                <w:szCs w:val="22"/>
                <w:lang w:val="en-US" w:eastAsia="zh-CN"/>
              </w:rPr>
              <w:t>四、传统</w:t>
            </w:r>
            <w:r>
              <w:rPr>
                <w:rFonts w:hint="eastAsia" w:ascii="新宋体" w:hAnsi="新宋体" w:eastAsia="新宋体" w:cs="新宋体"/>
                <w:b w:val="0"/>
                <w:bCs w:val="0"/>
                <w:color w:val="auto"/>
                <w:sz w:val="22"/>
                <w:szCs w:val="22"/>
              </w:rPr>
              <w:t>黑板</w:t>
            </w:r>
            <w:r>
              <w:rPr>
                <w:rFonts w:hint="eastAsia" w:ascii="新宋体" w:hAnsi="新宋体" w:eastAsia="新宋体" w:cs="新宋体"/>
                <w:b w:val="0"/>
                <w:bCs w:val="0"/>
                <w:color w:val="auto"/>
                <w:sz w:val="22"/>
                <w:szCs w:val="22"/>
                <w:lang w:val="en-US" w:eastAsia="zh-CN"/>
              </w:rPr>
              <w:t>板块</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配合显示部分使用，无明显接缝，整体外观干净整洁</w:t>
            </w:r>
            <w:r>
              <w:rPr>
                <w:rFonts w:hint="eastAsia" w:ascii="新宋体" w:hAnsi="新宋体" w:eastAsia="新宋体" w:cs="新宋体"/>
                <w:b w:val="0"/>
                <w:bCs w:val="0"/>
                <w:color w:val="auto"/>
                <w:sz w:val="22"/>
                <w:szCs w:val="22"/>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正面书写区域支持水笔、普通粉笔、无尘粉笔等多种笔书写，手感流畅、摩擦力适度，笔记均匀、线条明显</w:t>
            </w:r>
            <w:r>
              <w:rPr>
                <w:rFonts w:hint="eastAsia" w:ascii="新宋体" w:hAnsi="新宋体" w:eastAsia="新宋体" w:cs="新宋体"/>
                <w:b w:val="0"/>
                <w:bCs w:val="0"/>
                <w:color w:val="auto"/>
                <w:sz w:val="22"/>
                <w:szCs w:val="22"/>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书写面平整，涂层均匀，无波浪、龟裂、针孔、气泡、斑痕</w:t>
            </w:r>
            <w:r>
              <w:rPr>
                <w:rFonts w:hint="eastAsia" w:ascii="新宋体" w:hAnsi="新宋体" w:eastAsia="新宋体" w:cs="新宋体"/>
                <w:b w:val="0"/>
                <w:bCs w:val="0"/>
                <w:color w:val="auto"/>
                <w:sz w:val="22"/>
                <w:szCs w:val="22"/>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表面无任何的残胶、凹印、划伤、折印、脱漆以及脏物</w:t>
            </w:r>
            <w:r>
              <w:rPr>
                <w:rFonts w:hint="eastAsia" w:ascii="新宋体" w:hAnsi="新宋体" w:eastAsia="新宋体" w:cs="新宋体"/>
                <w:b w:val="0"/>
                <w:bCs w:val="0"/>
                <w:color w:val="auto"/>
                <w:sz w:val="22"/>
                <w:szCs w:val="22"/>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底部具备通屏笔槽设计，可放置触控笔、粉笔等</w:t>
            </w:r>
            <w:r>
              <w:rPr>
                <w:rFonts w:hint="eastAsia" w:ascii="新宋体" w:hAnsi="新宋体" w:eastAsia="新宋体" w:cs="新宋体"/>
                <w:b w:val="0"/>
                <w:bCs w:val="0"/>
                <w:color w:val="auto"/>
                <w:sz w:val="22"/>
                <w:szCs w:val="22"/>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整体采用轻量化设计方案，抗冲击、不破碎、结实耐用</w:t>
            </w:r>
            <w:r>
              <w:rPr>
                <w:rFonts w:hint="eastAsia" w:ascii="新宋体" w:hAnsi="新宋体" w:eastAsia="新宋体" w:cs="新宋体"/>
                <w:b w:val="0"/>
                <w:bCs w:val="0"/>
                <w:color w:val="auto"/>
                <w:sz w:val="22"/>
                <w:szCs w:val="22"/>
                <w:lang w:eastAsia="zh-CN"/>
              </w:rPr>
              <w:t>。</w:t>
            </w:r>
          </w:p>
          <w:p>
            <w:pPr>
              <w:pStyle w:val="66"/>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新宋体" w:hAnsi="新宋体" w:eastAsia="新宋体" w:cs="新宋体"/>
                <w:b w:val="0"/>
                <w:bCs w:val="0"/>
                <w:color w:val="auto"/>
                <w:kern w:val="0"/>
                <w:sz w:val="22"/>
                <w:szCs w:val="22"/>
              </w:rPr>
            </w:pPr>
            <w:r>
              <w:rPr>
                <w:rFonts w:hint="eastAsia" w:ascii="新宋体" w:hAnsi="新宋体" w:eastAsia="新宋体" w:cs="新宋体"/>
                <w:b w:val="0"/>
                <w:bCs w:val="0"/>
                <w:color w:val="auto"/>
                <w:sz w:val="22"/>
                <w:szCs w:val="22"/>
              </w:rPr>
              <w:t>五、内置电脑模块参数</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整机架构:为降低电脑模块维护成本，接口严格遵循Intel®相关规范,针脚数为行业通用≤80Pin ,与大屏无单独接线</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kern w:val="0"/>
                <w:sz w:val="22"/>
                <w:szCs w:val="22"/>
              </w:rPr>
              <w:t>（</w:t>
            </w:r>
            <w:r>
              <w:rPr>
                <w:rFonts w:hint="eastAsia" w:ascii="新宋体" w:hAnsi="新宋体" w:eastAsia="新宋体" w:cs="新宋体"/>
                <w:b w:val="0"/>
                <w:bCs w:val="0"/>
                <w:color w:val="auto"/>
                <w:sz w:val="22"/>
                <w:szCs w:val="22"/>
              </w:rPr>
              <w:t>需提供CMA、CAL、CNAS级别权威机构出具的检测报告）</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kern w:val="0"/>
                <w:sz w:val="22"/>
                <w:szCs w:val="22"/>
                <w:lang w:eastAsia="zh-CN"/>
              </w:rPr>
            </w:pPr>
            <w:r>
              <w:rPr>
                <w:rFonts w:hint="eastAsia" w:ascii="新宋体" w:hAnsi="新宋体" w:eastAsia="新宋体" w:cs="新宋体"/>
                <w:b w:val="0"/>
                <w:bCs w:val="0"/>
                <w:color w:val="auto"/>
                <w:sz w:val="22"/>
                <w:szCs w:val="22"/>
              </w:rPr>
              <w:t>CPU:</w:t>
            </w:r>
            <w:r>
              <w:rPr>
                <w:rFonts w:hint="eastAsia" w:ascii="新宋体" w:hAnsi="新宋体" w:eastAsia="新宋体" w:cs="新宋体"/>
                <w:b w:val="0"/>
                <w:bCs w:val="0"/>
                <w:color w:val="auto"/>
                <w:kern w:val="0"/>
                <w:sz w:val="22"/>
                <w:szCs w:val="22"/>
              </w:rPr>
              <w:t>Intel第8代酷睿，I5处理器</w:t>
            </w:r>
            <w:r>
              <w:rPr>
                <w:rFonts w:hint="eastAsia" w:ascii="新宋体" w:hAnsi="新宋体" w:eastAsia="新宋体" w:cs="新宋体"/>
                <w:b w:val="0"/>
                <w:bCs w:val="0"/>
                <w:color w:val="auto"/>
                <w:kern w:val="0"/>
                <w:sz w:val="22"/>
                <w:szCs w:val="22"/>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内存：8G DDR4；硬盘： 128G SSD；具备USB3.0*3、USB2.0*3，HDMI *1，DP接口*1，RJ45*1满足教学拓展需求</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插拔电脑具有安全使用提醒功能，如电脑未进行安全锁紧机制则电脑无法正常使用</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提供Windows10专业版操作系统和office2016版办公软件</w:t>
            </w:r>
            <w:r>
              <w:rPr>
                <w:rFonts w:hint="eastAsia" w:ascii="新宋体" w:hAnsi="新宋体" w:eastAsia="新宋体" w:cs="新宋体"/>
                <w:b w:val="0"/>
                <w:bCs w:val="0"/>
                <w:color w:val="auto"/>
                <w:sz w:val="22"/>
                <w:szCs w:val="22"/>
                <w:lang w:eastAsia="zh-CN"/>
              </w:rPr>
              <w:t>。</w:t>
            </w:r>
          </w:p>
          <w:p>
            <w:pPr>
              <w:pStyle w:val="66"/>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六、教学应用软件</w:t>
            </w:r>
          </w:p>
          <w:p>
            <w:pPr>
              <w:pStyle w:val="66"/>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一）备授课模式</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kern w:val="0"/>
                <w:sz w:val="22"/>
                <w:szCs w:val="22"/>
              </w:rPr>
              <w:t>具有教学云平台，支持云端备课，教师可直接登陆云平台进行备课及课件下载使用，教师注册即可获得不少于32GB的云盘容量。</w:t>
            </w:r>
            <w:r>
              <w:rPr>
                <w:rFonts w:hint="eastAsia" w:ascii="新宋体" w:hAnsi="新宋体" w:eastAsia="新宋体" w:cs="新宋体"/>
                <w:b w:val="0"/>
                <w:bCs w:val="0"/>
                <w:color w:val="auto"/>
                <w:sz w:val="22"/>
                <w:szCs w:val="22"/>
              </w:rPr>
              <w:t>无需用户通过完成特定任务才能获取，方便老师存储资料</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数学公式编辑器：可插入高级复杂公式，共计125个符号。支持LaTex公式利用代码编辑高级公式等。可快速输入繁分数，支持自动修正数学符号字体</w:t>
            </w:r>
            <w:r>
              <w:rPr>
                <w:rFonts w:hint="eastAsia" w:ascii="新宋体" w:hAnsi="新宋体" w:eastAsia="新宋体" w:cs="新宋体"/>
                <w:b w:val="0"/>
                <w:bCs w:val="0"/>
                <w:color w:val="auto"/>
                <w:sz w:val="22"/>
                <w:szCs w:val="22"/>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生物工具：提供显微镜功能，可模拟装片展示，如对洋葱表皮、叶绿体等细胞进行装片，进行粗螺纹、细螺纹进行调试观看细胞。实现显微镜仿真教学，为方便向学生展示，学科工具支持一键全屏播放</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地理工具：地理学科工具提供地球仪功能，模拟实物地球仪可以进行旋转，也可调整地球仪显示类型，如全球气候、国家、地形等；为方便向学生展示，支持一键全屏播放</w:t>
            </w:r>
            <w:r>
              <w:rPr>
                <w:rFonts w:hint="eastAsia" w:ascii="新宋体" w:hAnsi="新宋体" w:eastAsia="新宋体" w:cs="新宋体"/>
                <w:b w:val="0"/>
                <w:bCs w:val="0"/>
                <w:color w:val="auto"/>
                <w:sz w:val="22"/>
                <w:szCs w:val="22"/>
                <w:lang w:eastAsia="zh-CN"/>
              </w:rPr>
              <w:t>。</w:t>
            </w:r>
          </w:p>
          <w:p>
            <w:pPr>
              <w:pStyle w:val="2"/>
              <w:keepNext w:val="0"/>
              <w:keepLines w:val="0"/>
              <w:pageBreakBefore w:val="0"/>
              <w:numPr>
                <w:ilvl w:val="0"/>
                <w:numId w:val="8"/>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rPr>
              <w:t>化学工具：需提供化学器械、化学器皿等多种实验素材，如烧杯、酒精灯、铁架台、玻璃棒、砝码、U型管；提供化学元素周期表工具</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highlight w:val="none"/>
                <w:lang w:val="en-US" w:eastAsia="zh-CN"/>
              </w:rPr>
              <w:t>课堂互动游戏：</w:t>
            </w:r>
            <w:r>
              <w:rPr>
                <w:rFonts w:hint="eastAsia" w:ascii="新宋体" w:hAnsi="新宋体" w:eastAsia="新宋体" w:cs="新宋体"/>
                <w:b w:val="0"/>
                <w:bCs w:val="0"/>
                <w:color w:val="auto"/>
                <w:sz w:val="22"/>
                <w:szCs w:val="22"/>
                <w:highlight w:val="none"/>
              </w:rPr>
              <w:t>能够创建知识连线、互动分类、选词填空、趣味竞赛、翻翻卡等不少于5种互动类游戏，并且支持自定义修改，每类互动游戏提供至少12个适用普教K12不同学科、学段风格的模板</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制作互动游戏</w:t>
            </w:r>
            <w:r>
              <w:rPr>
                <w:rFonts w:hint="eastAsia" w:ascii="新宋体" w:hAnsi="新宋体" w:eastAsia="新宋体" w:cs="新宋体"/>
                <w:b w:val="0"/>
                <w:bCs w:val="0"/>
                <w:color w:val="auto"/>
                <w:sz w:val="22"/>
                <w:szCs w:val="22"/>
                <w:highlight w:val="none"/>
              </w:rPr>
              <w:t>可设置提示音效，</w:t>
            </w:r>
            <w:r>
              <w:rPr>
                <w:rFonts w:hint="eastAsia" w:ascii="新宋体" w:hAnsi="新宋体" w:eastAsia="新宋体" w:cs="新宋体"/>
                <w:b w:val="0"/>
                <w:bCs w:val="0"/>
                <w:color w:val="auto"/>
                <w:sz w:val="22"/>
                <w:szCs w:val="22"/>
                <w:highlight w:val="none"/>
                <w:lang w:val="en-US" w:eastAsia="zh-CN"/>
              </w:rPr>
              <w:t>完成游戏后还可复位</w:t>
            </w:r>
            <w:r>
              <w:rPr>
                <w:rFonts w:hint="eastAsia" w:ascii="新宋体" w:hAnsi="新宋体" w:eastAsia="新宋体" w:cs="新宋体"/>
                <w:b w:val="0"/>
                <w:bCs w:val="0"/>
                <w:color w:val="auto"/>
                <w:sz w:val="22"/>
                <w:szCs w:val="22"/>
                <w:highlight w:val="none"/>
              </w:rPr>
              <w:t>重新开始</w:t>
            </w:r>
            <w:r>
              <w:rPr>
                <w:rFonts w:hint="eastAsia" w:ascii="新宋体" w:hAnsi="新宋体" w:eastAsia="新宋体" w:cs="新宋体"/>
                <w:b w:val="0"/>
                <w:bCs w:val="0"/>
                <w:color w:val="auto"/>
                <w:sz w:val="22"/>
                <w:szCs w:val="22"/>
                <w:highlight w:val="none"/>
                <w:lang w:val="en-US" w:eastAsia="zh-CN"/>
              </w:rPr>
              <w:t>游戏。</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知识连线</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支持创建知识连线游戏，提供配对项的编辑功能，将相互配对的项拖动连接可自动识别连线是否正确，并且有相应提示，同时可以开启或关闭游戏计时功能。</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互动分类</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rPr>
              <w:t>支持创建互动分类游戏，</w:t>
            </w:r>
            <w:r>
              <w:rPr>
                <w:rFonts w:hint="eastAsia" w:ascii="新宋体" w:hAnsi="新宋体" w:eastAsia="新宋体" w:cs="新宋体"/>
                <w:b w:val="0"/>
                <w:bCs w:val="0"/>
                <w:color w:val="auto"/>
                <w:sz w:val="22"/>
                <w:szCs w:val="22"/>
                <w:highlight w:val="none"/>
                <w:lang w:val="en-US" w:eastAsia="zh-CN"/>
              </w:rPr>
              <w:t>可对类别或子类别进行编辑，</w:t>
            </w:r>
            <w:r>
              <w:rPr>
                <w:rFonts w:hint="eastAsia" w:ascii="新宋体" w:hAnsi="新宋体" w:eastAsia="新宋体" w:cs="新宋体"/>
                <w:b w:val="0"/>
                <w:bCs w:val="0"/>
                <w:color w:val="auto"/>
                <w:sz w:val="22"/>
                <w:szCs w:val="22"/>
                <w:highlight w:val="none"/>
              </w:rPr>
              <w:t>将不同对象拖拽到对应的类别容器中可自动辨识分类，分类正确或错误均有相应提示</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同时可以开启或关闭游戏计时功能</w:t>
            </w:r>
            <w:r>
              <w:rPr>
                <w:rFonts w:hint="eastAsia" w:ascii="新宋体" w:hAnsi="新宋体" w:eastAsia="新宋体" w:cs="新宋体"/>
                <w:b w:val="0"/>
                <w:bCs w:val="0"/>
                <w:color w:val="auto"/>
                <w:sz w:val="22"/>
                <w:szCs w:val="22"/>
                <w:highlight w:val="none"/>
              </w:rPr>
              <w:t>。</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选词填空</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支持创建选词填空游戏</w:t>
            </w:r>
            <w:r>
              <w:rPr>
                <w:rFonts w:hint="eastAsia" w:ascii="新宋体" w:hAnsi="新宋体" w:eastAsia="新宋体" w:cs="新宋体"/>
                <w:b w:val="0"/>
                <w:bCs w:val="0"/>
                <w:color w:val="auto"/>
                <w:kern w:val="2"/>
                <w:sz w:val="22"/>
                <w:szCs w:val="22"/>
                <w:highlight w:val="none"/>
                <w:lang w:val="en-US" w:eastAsia="zh-CN" w:bidi="ar-SA"/>
              </w:rPr>
              <w:t>，可对题干、正确答案及干扰答案进行编辑，将答案拖至题目空白处，即自动识别答案是否正确，</w:t>
            </w:r>
            <w:r>
              <w:rPr>
                <w:rFonts w:hint="eastAsia" w:ascii="新宋体" w:hAnsi="新宋体" w:eastAsia="新宋体" w:cs="新宋体"/>
                <w:b w:val="0"/>
                <w:bCs w:val="0"/>
                <w:color w:val="auto"/>
                <w:sz w:val="22"/>
                <w:szCs w:val="22"/>
                <w:highlight w:val="none"/>
                <w:lang w:val="en-US" w:eastAsia="zh-CN"/>
              </w:rPr>
              <w:t>并且有相应提示，同时可以开启或关闭游戏计时功能。</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趣味竞赛</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支持创建趣味竞赛，</w:t>
            </w:r>
            <w:r>
              <w:rPr>
                <w:rFonts w:hint="eastAsia" w:ascii="新宋体" w:hAnsi="新宋体" w:eastAsia="新宋体" w:cs="新宋体"/>
                <w:b w:val="0"/>
                <w:bCs w:val="0"/>
                <w:color w:val="auto"/>
                <w:kern w:val="2"/>
                <w:sz w:val="22"/>
                <w:szCs w:val="22"/>
                <w:highlight w:val="none"/>
                <w:lang w:val="en-US" w:eastAsia="zh-CN" w:bidi="ar-SA"/>
              </w:rPr>
              <w:t>可对题目、正确答案、干扰答案及游戏难度进行编辑，且</w:t>
            </w:r>
            <w:r>
              <w:rPr>
                <w:rFonts w:hint="eastAsia" w:ascii="新宋体" w:hAnsi="新宋体" w:eastAsia="新宋体" w:cs="新宋体"/>
                <w:b w:val="0"/>
                <w:bCs w:val="0"/>
                <w:color w:val="auto"/>
                <w:sz w:val="22"/>
                <w:szCs w:val="22"/>
                <w:highlight w:val="none"/>
                <w:lang w:val="en-US" w:eastAsia="zh-CN"/>
              </w:rPr>
              <w:t>可以邀请至少两位同学同时进行答题，将课堂知识以游戏竞赛的形式展现。</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新宋体" w:hAnsi="新宋体" w:eastAsia="新宋体" w:cs="新宋体"/>
                <w:b w:val="0"/>
                <w:bCs w:val="0"/>
                <w:color w:val="auto"/>
                <w:sz w:val="22"/>
                <w:szCs w:val="22"/>
                <w:highlight w:val="none"/>
              </w:rPr>
            </w:pPr>
            <w:r>
              <w:rPr>
                <w:rFonts w:hint="eastAsia" w:ascii="新宋体" w:hAnsi="新宋体" w:eastAsia="新宋体" w:cs="新宋体"/>
                <w:b w:val="0"/>
                <w:bCs w:val="0"/>
                <w:color w:val="auto"/>
                <w:sz w:val="22"/>
                <w:szCs w:val="22"/>
                <w:highlight w:val="none"/>
              </w:rPr>
              <w:t>翻翻卡</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支持创建翻翻卡游戏，</w:t>
            </w:r>
            <w:r>
              <w:rPr>
                <w:rFonts w:hint="eastAsia" w:ascii="新宋体" w:hAnsi="新宋体" w:eastAsia="新宋体" w:cs="新宋体"/>
                <w:b w:val="0"/>
                <w:bCs w:val="0"/>
                <w:color w:val="auto"/>
                <w:sz w:val="22"/>
                <w:szCs w:val="22"/>
                <w:highlight w:val="none"/>
              </w:rPr>
              <w:t>可以制作多张卡片，</w:t>
            </w:r>
            <w:r>
              <w:rPr>
                <w:rFonts w:hint="eastAsia" w:ascii="新宋体" w:hAnsi="新宋体" w:eastAsia="新宋体" w:cs="新宋体"/>
                <w:b w:val="0"/>
                <w:bCs w:val="0"/>
                <w:color w:val="auto"/>
                <w:sz w:val="22"/>
                <w:szCs w:val="22"/>
                <w:highlight w:val="none"/>
                <w:lang w:val="en-US" w:eastAsia="zh-CN"/>
              </w:rPr>
              <w:t>并且</w:t>
            </w:r>
            <w:r>
              <w:rPr>
                <w:rFonts w:hint="eastAsia" w:ascii="新宋体" w:hAnsi="新宋体" w:eastAsia="新宋体" w:cs="新宋体"/>
                <w:b w:val="0"/>
                <w:bCs w:val="0"/>
                <w:color w:val="auto"/>
                <w:sz w:val="22"/>
                <w:szCs w:val="22"/>
                <w:highlight w:val="none"/>
              </w:rPr>
              <w:t>编辑卡片</w:t>
            </w:r>
            <w:r>
              <w:rPr>
                <w:rFonts w:hint="eastAsia" w:ascii="新宋体" w:hAnsi="新宋体" w:eastAsia="新宋体" w:cs="新宋体"/>
                <w:b w:val="0"/>
                <w:bCs w:val="0"/>
                <w:color w:val="auto"/>
                <w:sz w:val="22"/>
                <w:szCs w:val="22"/>
                <w:highlight w:val="none"/>
                <w:lang w:val="en-US" w:eastAsia="zh-CN"/>
              </w:rPr>
              <w:t>正反两面的</w:t>
            </w:r>
            <w:r>
              <w:rPr>
                <w:rFonts w:hint="eastAsia" w:ascii="新宋体" w:hAnsi="新宋体" w:eastAsia="新宋体" w:cs="新宋体"/>
                <w:b w:val="0"/>
                <w:bCs w:val="0"/>
                <w:color w:val="auto"/>
                <w:sz w:val="22"/>
                <w:szCs w:val="22"/>
                <w:highlight w:val="none"/>
              </w:rPr>
              <w:t>文字和图片内容</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同时</w:t>
            </w:r>
            <w:r>
              <w:rPr>
                <w:rFonts w:hint="eastAsia" w:ascii="新宋体" w:hAnsi="新宋体" w:eastAsia="新宋体" w:cs="新宋体"/>
                <w:b w:val="0"/>
                <w:bCs w:val="0"/>
                <w:color w:val="auto"/>
                <w:sz w:val="22"/>
                <w:szCs w:val="22"/>
                <w:highlight w:val="none"/>
              </w:rPr>
              <w:t>可设置提示音效</w:t>
            </w:r>
            <w:r>
              <w:rPr>
                <w:rFonts w:hint="eastAsia" w:ascii="新宋体" w:hAnsi="新宋体" w:eastAsia="新宋体" w:cs="新宋体"/>
                <w:b w:val="0"/>
                <w:bCs w:val="0"/>
                <w:color w:val="auto"/>
                <w:sz w:val="22"/>
                <w:szCs w:val="22"/>
                <w:highlight w:val="none"/>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PPT课件批注功能：PPT全屏播放时可自动开启工具菜单，支持工具菜单收起与打开，提供PPT课件的播放控制(如前后翻页)、聚光灯、放大镜、草稿纸、书写批注、黑屏等功能,支持生成二维码，快速分享课件</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方便老师教学，软件需提供快速备课功能，通过简单的勾选章节（支持预览），一键生成带有文字以及动画效果的幻灯片课件，无需教师后续编辑，支持一键全屏播放</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为方便老师应用，提供与所投产品相关的微信公众号学习交流及售后平台，老师可通过关注厂家微信公众号在线自主学习产品使用，也可通过公众号在线提问及产品的报修。</w:t>
            </w:r>
          </w:p>
          <w:p>
            <w:pPr>
              <w:pStyle w:val="77"/>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二）互动教学模式</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支持移动端与PC端通过智能搜索或扫描二维码方式连接。</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可实现影像上传功能：支持对上传的图片内容再次编辑如裁剪、马赛克、批注、旋转等操作，可同时上传多张照片进行同屏对比，双向批注。</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可实现双向投屏功能：移动端的画面可以上传至PC端；PC端电脑画面也可以同步至移动端，可实现移动端实时控制、随时批注PC端电脑桌面。</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可实现手机直播：当手机与PC端连接，可以同步直播手机摄像头画面至PC端，并且支持一键切换前后置摄像头。</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当移动端与PC端连接时，移动端可以模拟鼠标操作PC端；还可以远程操作管理PC端电脑，包括切换电脑软件窗口、启动电脑应用，以及重启、锁定或者关闭电脑等。</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 xml:space="preserve">七、资源 </w:t>
            </w:r>
          </w:p>
          <w:p>
            <w:pPr>
              <w:keepNext w:val="0"/>
              <w:keepLines w:val="0"/>
              <w:pageBreakBefore w:val="0"/>
              <w:numPr>
                <w:ilvl w:val="0"/>
                <w:numId w:val="1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lang w:val="en-US" w:eastAsia="zh-CN"/>
              </w:rPr>
              <w:t>数字教材资源：</w:t>
            </w:r>
            <w:r>
              <w:rPr>
                <w:rFonts w:hint="eastAsia" w:ascii="新宋体" w:hAnsi="新宋体" w:eastAsia="新宋体" w:cs="新宋体"/>
                <w:b w:val="0"/>
                <w:bCs w:val="0"/>
                <w:color w:val="auto"/>
                <w:kern w:val="0"/>
                <w:sz w:val="22"/>
                <w:szCs w:val="22"/>
              </w:rPr>
              <w:t>配置人民教育出版社数字教材，</w:t>
            </w:r>
            <w:r>
              <w:rPr>
                <w:rFonts w:hint="eastAsia" w:ascii="新宋体" w:hAnsi="新宋体" w:eastAsia="新宋体" w:cs="新宋体"/>
                <w:b w:val="0"/>
                <w:bCs w:val="0"/>
                <w:color w:val="auto"/>
                <w:sz w:val="22"/>
                <w:szCs w:val="22"/>
              </w:rPr>
              <w:t>覆盖K-12各个年级各个学科；教材资源内容与课程标准及现行课改教材完全配套相符。</w:t>
            </w:r>
          </w:p>
          <w:p>
            <w:pPr>
              <w:keepNext w:val="0"/>
              <w:keepLines w:val="0"/>
              <w:pageBreakBefore w:val="0"/>
              <w:numPr>
                <w:ilvl w:val="0"/>
                <w:numId w:val="12"/>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kern w:val="0"/>
                <w:sz w:val="22"/>
                <w:szCs w:val="22"/>
              </w:rPr>
              <w:t>方便教学使用，支持教师个人账号登录并支持在线下载。</w:t>
            </w:r>
            <w:r>
              <w:rPr>
                <w:rFonts w:hint="eastAsia" w:ascii="新宋体" w:hAnsi="新宋体" w:eastAsia="新宋体" w:cs="新宋体"/>
                <w:b w:val="0"/>
                <w:bCs w:val="0"/>
                <w:color w:val="auto"/>
                <w:sz w:val="22"/>
                <w:szCs w:val="22"/>
              </w:rPr>
              <w:t>数字教材资源含教材原文、教学素材、教学动画、教学视频、语音点播等；且页面提供点读、笔记、标注等工具。</w:t>
            </w:r>
          </w:p>
          <w:p>
            <w:pPr>
              <w:keepNext w:val="0"/>
              <w:keepLines w:val="0"/>
              <w:pageBreakBefore w:val="0"/>
              <w:numPr>
                <w:ilvl w:val="0"/>
                <w:numId w:val="12"/>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数字教材可在交互教学软件中直接打开，且达到放大200%不失真的功能。</w:t>
            </w:r>
          </w:p>
          <w:p>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ind w:left="454" w:leftChars="0" w:hanging="454"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教学资源库</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涵盖幼教、普教、职教等学段，总量高达1000G、50万条。可按学科、年级、版本、章节、栏目进行查询、下载，备课时可直接拖拽至教学活动中。</w:t>
            </w:r>
          </w:p>
          <w:p>
            <w:pPr>
              <w:keepNext w:val="0"/>
              <w:keepLines w:val="0"/>
              <w:pageBreakBefore w:val="0"/>
              <w:widowControl/>
              <w:numPr>
                <w:ilvl w:val="0"/>
                <w:numId w:val="14"/>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幼教资源库</w:t>
            </w:r>
          </w:p>
          <w:p>
            <w:pPr>
              <w:keepNext w:val="0"/>
              <w:keepLines w:val="0"/>
              <w:pageBreakBefore w:val="0"/>
              <w:widowControl/>
              <w:numPr>
                <w:ilvl w:val="0"/>
                <w:numId w:val="15"/>
              </w:numPr>
              <w:kinsoku/>
              <w:wordWrap/>
              <w:overflowPunct/>
              <w:topLinePunct w:val="0"/>
              <w:autoSpaceDE/>
              <w:autoSpaceDN/>
              <w:bidi w:val="0"/>
              <w:adjustRightInd w:val="0"/>
              <w:snapToGrid w:val="0"/>
              <w:spacing w:line="240" w:lineRule="auto"/>
              <w:ind w:left="850" w:leftChars="0" w:hanging="56"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提供了丰富的幼教资源内容，涵盖语文、数学、英语、科学、艺术、健康、社会等七大主题内容；</w:t>
            </w:r>
          </w:p>
          <w:p>
            <w:pPr>
              <w:keepNext w:val="0"/>
              <w:keepLines w:val="0"/>
              <w:pageBreakBefore w:val="0"/>
              <w:widowControl/>
              <w:numPr>
                <w:ilvl w:val="0"/>
                <w:numId w:val="15"/>
              </w:numPr>
              <w:kinsoku/>
              <w:wordWrap/>
              <w:overflowPunct/>
              <w:topLinePunct w:val="0"/>
              <w:autoSpaceDE/>
              <w:autoSpaceDN/>
              <w:bidi w:val="0"/>
              <w:adjustRightInd w:val="0"/>
              <w:snapToGrid w:val="0"/>
              <w:spacing w:line="240" w:lineRule="auto"/>
              <w:ind w:left="850" w:leftChars="0" w:hanging="56"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包括图片、文本、视频、音频等多种类型资源，可基本满足幼儿园小班、中班、大班的教学需求；</w:t>
            </w:r>
            <w:r>
              <w:rPr>
                <w:rFonts w:hint="eastAsia" w:ascii="新宋体" w:hAnsi="新宋体" w:eastAsia="新宋体" w:cs="新宋体"/>
                <w:b w:val="0"/>
                <w:bCs w:val="0"/>
                <w:color w:val="auto"/>
                <w:sz w:val="22"/>
                <w:szCs w:val="22"/>
              </w:rPr>
              <w:tab/>
            </w:r>
          </w:p>
          <w:p>
            <w:pPr>
              <w:keepNext w:val="0"/>
              <w:keepLines w:val="0"/>
              <w:pageBreakBefore w:val="0"/>
              <w:widowControl/>
              <w:numPr>
                <w:ilvl w:val="0"/>
                <w:numId w:val="16"/>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普教资源库</w:t>
            </w:r>
          </w:p>
          <w:p>
            <w:pPr>
              <w:keepNext w:val="0"/>
              <w:keepLines w:val="0"/>
              <w:pageBreakBefore w:val="0"/>
              <w:widowControl/>
              <w:numPr>
                <w:ilvl w:val="0"/>
                <w:numId w:val="17"/>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覆盖小学一年级到高中三年级多</w:t>
            </w:r>
            <w:r>
              <w:rPr>
                <w:rFonts w:hint="eastAsia" w:ascii="新宋体" w:hAnsi="新宋体" w:eastAsia="新宋体" w:cs="新宋体"/>
                <w:b w:val="0"/>
                <w:bCs w:val="0"/>
                <w:color w:val="auto"/>
                <w:sz w:val="22"/>
                <w:szCs w:val="22"/>
                <w:lang w:val="en-US" w:eastAsia="zh-CN"/>
              </w:rPr>
              <w:t>种</w:t>
            </w:r>
            <w:r>
              <w:rPr>
                <w:rFonts w:hint="eastAsia" w:ascii="新宋体" w:hAnsi="新宋体" w:eastAsia="新宋体" w:cs="新宋体"/>
                <w:b w:val="0"/>
                <w:bCs w:val="0"/>
                <w:color w:val="auto"/>
                <w:sz w:val="22"/>
                <w:szCs w:val="22"/>
              </w:rPr>
              <w:t>教材版本，可最大限度地满足不同年级、不同学科、不同地域教师的需求；</w:t>
            </w:r>
          </w:p>
          <w:p>
            <w:pPr>
              <w:keepNext w:val="0"/>
              <w:keepLines w:val="0"/>
              <w:pageBreakBefore w:val="0"/>
              <w:widowControl/>
              <w:numPr>
                <w:ilvl w:val="0"/>
                <w:numId w:val="17"/>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所有资源均采用与教材同步的目录结构进行组织，每一课/节所包含的主要资源种类</w:t>
            </w:r>
            <w:r>
              <w:rPr>
                <w:rFonts w:hint="eastAsia" w:ascii="新宋体" w:hAnsi="新宋体" w:eastAsia="新宋体" w:cs="新宋体"/>
                <w:b w:val="0"/>
                <w:bCs w:val="0"/>
                <w:color w:val="auto"/>
                <w:sz w:val="22"/>
                <w:szCs w:val="22"/>
                <w:lang w:val="en-US" w:eastAsia="zh-CN"/>
              </w:rPr>
              <w:t>包含：</w:t>
            </w:r>
            <w:r>
              <w:rPr>
                <w:rFonts w:hint="eastAsia" w:ascii="新宋体" w:hAnsi="新宋体" w:eastAsia="新宋体" w:cs="新宋体"/>
                <w:b w:val="0"/>
                <w:bCs w:val="0"/>
                <w:color w:val="auto"/>
                <w:sz w:val="22"/>
                <w:szCs w:val="22"/>
              </w:rPr>
              <w:t>教学建议</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教案示例</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教学课件</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多媒体素材</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试题与试卷</w:t>
            </w:r>
            <w:r>
              <w:rPr>
                <w:rFonts w:hint="eastAsia" w:ascii="新宋体" w:hAnsi="新宋体" w:eastAsia="新宋体" w:cs="新宋体"/>
                <w:b w:val="0"/>
                <w:bCs w:val="0"/>
                <w:color w:val="auto"/>
                <w:sz w:val="22"/>
                <w:szCs w:val="22"/>
                <w:lang w:val="en-US" w:eastAsia="zh-CN"/>
              </w:rPr>
              <w:t>等</w:t>
            </w:r>
            <w:r>
              <w:rPr>
                <w:rFonts w:hint="eastAsia" w:ascii="新宋体" w:hAnsi="新宋体" w:eastAsia="新宋体" w:cs="新宋体"/>
                <w:b w:val="0"/>
                <w:bCs w:val="0"/>
                <w:color w:val="auto"/>
                <w:sz w:val="22"/>
                <w:szCs w:val="22"/>
                <w:lang w:eastAsia="zh-CN"/>
              </w:rPr>
              <w:t>。</w:t>
            </w:r>
          </w:p>
          <w:p>
            <w:pPr>
              <w:keepNext w:val="0"/>
              <w:keepLines w:val="0"/>
              <w:pageBreakBefore w:val="0"/>
              <w:widowControl/>
              <w:numPr>
                <w:ilvl w:val="0"/>
                <w:numId w:val="18"/>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新宋体" w:hAnsi="新宋体" w:eastAsia="新宋体" w:cs="新宋体"/>
                <w:b w:val="0"/>
                <w:bCs w:val="0"/>
                <w:color w:val="auto"/>
                <w:sz w:val="22"/>
                <w:szCs w:val="22"/>
                <w:lang w:eastAsia="zh-CN"/>
              </w:rPr>
            </w:pPr>
            <w:r>
              <w:rPr>
                <w:rFonts w:hint="eastAsia" w:ascii="新宋体" w:hAnsi="新宋体" w:eastAsia="新宋体" w:cs="新宋体"/>
                <w:b w:val="0"/>
                <w:bCs w:val="0"/>
                <w:color w:val="auto"/>
                <w:sz w:val="22"/>
                <w:szCs w:val="22"/>
              </w:rPr>
              <w:t>职教资源库</w:t>
            </w:r>
          </w:p>
          <w:p>
            <w:pPr>
              <w:keepNext w:val="0"/>
              <w:keepLines w:val="0"/>
              <w:pageBreakBefore w:val="0"/>
              <w:widowControl/>
              <w:numPr>
                <w:ilvl w:val="0"/>
                <w:numId w:val="19"/>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中职资源：覆盖农林牧渔类、资源环境类、能源与新能源类、土木水利类、加工制造类、石油化工类、轻纺食品类、交通运输类、信息技术类、医药卫生类、休闲保健类、财经商贸类、旅游服务类、文化艺术类、体育与健身类、教育类、司法服务类、公共管理与服务类等类别；</w:t>
            </w:r>
          </w:p>
          <w:p>
            <w:pPr>
              <w:keepNext w:val="0"/>
              <w:keepLines w:val="0"/>
              <w:pageBreakBefore w:val="0"/>
              <w:widowControl/>
              <w:numPr>
                <w:ilvl w:val="0"/>
                <w:numId w:val="19"/>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高职资源：覆盖材料与能源、财经、法律、旅游、文化教育、医药卫生、艺术设计传媒等类别。</w:t>
            </w:r>
          </w:p>
          <w:p>
            <w:pPr>
              <w:keepNext w:val="0"/>
              <w:keepLines w:val="0"/>
              <w:pageBreakBefore w:val="0"/>
              <w:widowControl/>
              <w:numPr>
                <w:ilvl w:val="0"/>
                <w:numId w:val="20"/>
              </w:numPr>
              <w:kinsoku/>
              <w:wordWrap/>
              <w:overflowPunct/>
              <w:topLinePunct w:val="0"/>
              <w:autoSpaceDE/>
              <w:autoSpaceDN/>
              <w:bidi w:val="0"/>
              <w:adjustRightInd w:val="0"/>
              <w:snapToGrid w:val="0"/>
              <w:spacing w:line="240" w:lineRule="auto"/>
              <w:ind w:left="454" w:leftChars="0" w:hanging="454"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学科试题库</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highlight w:val="none"/>
              </w:rPr>
              <w:t>提供丰富的学科试题库，</w:t>
            </w:r>
            <w:r>
              <w:rPr>
                <w:rFonts w:hint="eastAsia" w:ascii="新宋体" w:hAnsi="新宋体" w:eastAsia="新宋体" w:cs="新宋体"/>
                <w:b w:val="0"/>
                <w:bCs w:val="0"/>
                <w:color w:val="auto"/>
                <w:sz w:val="22"/>
                <w:szCs w:val="22"/>
                <w:lang w:val="en-US" w:eastAsia="zh-CN"/>
              </w:rPr>
              <w:t>包括</w:t>
            </w:r>
            <w:r>
              <w:rPr>
                <w:rFonts w:hint="eastAsia" w:ascii="新宋体" w:hAnsi="新宋体" w:eastAsia="新宋体" w:cs="新宋体"/>
                <w:b w:val="0"/>
                <w:bCs w:val="0"/>
                <w:color w:val="auto"/>
                <w:sz w:val="22"/>
                <w:szCs w:val="22"/>
              </w:rPr>
              <w:t>同步题库和个人题库，</w:t>
            </w:r>
            <w:r>
              <w:rPr>
                <w:rFonts w:hint="eastAsia" w:ascii="新宋体" w:hAnsi="新宋体" w:eastAsia="新宋体" w:cs="新宋体"/>
                <w:b w:val="0"/>
                <w:bCs w:val="0"/>
                <w:color w:val="auto"/>
                <w:sz w:val="22"/>
                <w:szCs w:val="22"/>
                <w:highlight w:val="none"/>
                <w:lang w:val="en-US" w:eastAsia="zh-CN"/>
              </w:rPr>
              <w:t>教师</w:t>
            </w:r>
            <w:r>
              <w:rPr>
                <w:rFonts w:hint="eastAsia" w:ascii="新宋体" w:hAnsi="新宋体" w:eastAsia="新宋体" w:cs="新宋体"/>
                <w:b w:val="0"/>
                <w:bCs w:val="0"/>
                <w:color w:val="auto"/>
                <w:sz w:val="22"/>
                <w:szCs w:val="22"/>
              </w:rPr>
              <w:t>可根据题型、难度进行选择</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lang w:val="en-US" w:eastAsia="zh-CN"/>
              </w:rPr>
              <w:t>同时</w:t>
            </w:r>
            <w:r>
              <w:rPr>
                <w:rFonts w:hint="eastAsia" w:ascii="新宋体" w:hAnsi="新宋体" w:eastAsia="新宋体" w:cs="新宋体"/>
                <w:b w:val="0"/>
                <w:bCs w:val="0"/>
                <w:color w:val="auto"/>
                <w:sz w:val="22"/>
                <w:szCs w:val="22"/>
                <w:highlight w:val="none"/>
                <w:lang w:val="en-US" w:eastAsia="zh-CN"/>
              </w:rPr>
              <w:t>可</w:t>
            </w:r>
            <w:r>
              <w:rPr>
                <w:rFonts w:hint="eastAsia" w:ascii="新宋体" w:hAnsi="新宋体" w:eastAsia="新宋体" w:cs="新宋体"/>
                <w:b w:val="0"/>
                <w:bCs w:val="0"/>
                <w:color w:val="auto"/>
                <w:sz w:val="22"/>
                <w:szCs w:val="22"/>
                <w:highlight w:val="none"/>
              </w:rPr>
              <w:t>按学科知识点与学科教材目录同步检索</w:t>
            </w:r>
            <w:r>
              <w:rPr>
                <w:rFonts w:hint="eastAsia" w:ascii="新宋体" w:hAnsi="新宋体" w:eastAsia="新宋体" w:cs="新宋体"/>
                <w:b w:val="0"/>
                <w:bCs w:val="0"/>
                <w:color w:val="auto"/>
                <w:sz w:val="22"/>
                <w:szCs w:val="22"/>
                <w:highlight w:val="none"/>
                <w:lang w:eastAsia="zh-CN"/>
              </w:rPr>
              <w:t>；</w:t>
            </w:r>
            <w:r>
              <w:rPr>
                <w:rFonts w:hint="eastAsia" w:ascii="新宋体" w:hAnsi="新宋体" w:eastAsia="新宋体" w:cs="新宋体"/>
                <w:b w:val="0"/>
                <w:bCs w:val="0"/>
                <w:color w:val="auto"/>
                <w:sz w:val="22"/>
                <w:szCs w:val="22"/>
                <w:highlight w:val="none"/>
                <w:lang w:val="en-US" w:eastAsia="zh-CN"/>
              </w:rPr>
              <w:t>个人题库</w:t>
            </w:r>
            <w:r>
              <w:rPr>
                <w:rFonts w:hint="eastAsia" w:ascii="新宋体" w:hAnsi="新宋体" w:eastAsia="新宋体" w:cs="新宋体"/>
                <w:b w:val="0"/>
                <w:bCs w:val="0"/>
                <w:color w:val="auto"/>
                <w:sz w:val="22"/>
                <w:szCs w:val="22"/>
                <w:lang w:val="en-US" w:eastAsia="zh-CN"/>
              </w:rPr>
              <w:t>支持</w:t>
            </w:r>
            <w:r>
              <w:rPr>
                <w:rFonts w:hint="eastAsia" w:ascii="新宋体" w:hAnsi="新宋体" w:eastAsia="新宋体" w:cs="新宋体"/>
                <w:b w:val="0"/>
                <w:bCs w:val="0"/>
                <w:color w:val="auto"/>
                <w:sz w:val="22"/>
                <w:szCs w:val="22"/>
                <w:highlight w:val="none"/>
              </w:rPr>
              <w:t>自定义单选、多选、判断、解答等多种类型题目</w:t>
            </w:r>
            <w:r>
              <w:rPr>
                <w:rFonts w:hint="eastAsia" w:ascii="新宋体" w:hAnsi="新宋体" w:eastAsia="新宋体" w:cs="新宋体"/>
                <w:b w:val="0"/>
                <w:bCs w:val="0"/>
                <w:color w:val="auto"/>
                <w:sz w:val="22"/>
                <w:szCs w:val="22"/>
                <w:highlight w:val="none"/>
                <w:lang w:val="en-US" w:eastAsia="zh-CN"/>
              </w:rPr>
              <w:t>添加</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备课时可直接拖拽至教学活动中。</w:t>
            </w:r>
          </w:p>
          <w:p>
            <w:pPr>
              <w:pStyle w:val="2"/>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新宋体" w:hAnsi="新宋体" w:eastAsia="新宋体" w:cs="新宋体"/>
                <w:b/>
                <w:bCs/>
                <w:color w:val="auto"/>
                <w:sz w:val="22"/>
                <w:szCs w:val="22"/>
                <w:highlight w:val="yellow"/>
                <w:lang w:eastAsia="zh-CN"/>
              </w:rPr>
            </w:pPr>
            <w:r>
              <w:rPr>
                <w:rFonts w:hint="eastAsia" w:ascii="新宋体" w:hAnsi="新宋体" w:eastAsia="新宋体" w:cs="新宋体"/>
                <w:b/>
                <w:bCs/>
                <w:color w:val="auto"/>
                <w:sz w:val="22"/>
                <w:szCs w:val="22"/>
                <w:highlight w:val="none"/>
              </w:rPr>
              <w:t>（为保证兼容性及后期升级，要求</w:t>
            </w:r>
            <w:r>
              <w:rPr>
                <w:rFonts w:hint="eastAsia" w:ascii="新宋体" w:hAnsi="新宋体" w:eastAsia="新宋体" w:cs="新宋体"/>
                <w:b/>
                <w:bCs/>
                <w:color w:val="auto"/>
                <w:sz w:val="22"/>
                <w:szCs w:val="22"/>
                <w:highlight w:val="none"/>
                <w:lang w:val="en-US" w:eastAsia="zh-CN"/>
              </w:rPr>
              <w:t>所有软件</w:t>
            </w:r>
            <w:r>
              <w:rPr>
                <w:rFonts w:hint="eastAsia" w:ascii="新宋体" w:hAnsi="新宋体" w:eastAsia="新宋体" w:cs="新宋体"/>
                <w:b/>
                <w:bCs/>
                <w:color w:val="auto"/>
                <w:sz w:val="22"/>
                <w:szCs w:val="22"/>
                <w:highlight w:val="none"/>
              </w:rPr>
              <w:t>与所投产品硬件为同一制造商，拒绝使用第三方软件）</w:t>
            </w:r>
          </w:p>
          <w:p>
            <w:pPr>
              <w:pStyle w:val="7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新宋体" w:hAnsi="新宋体" w:eastAsia="新宋体" w:cs="新宋体"/>
                <w:b w:val="0"/>
                <w:bCs w:val="0"/>
                <w:color w:val="auto"/>
                <w:sz w:val="22"/>
                <w:szCs w:val="22"/>
                <w:lang w:val="en-US" w:eastAsia="zh-CN"/>
              </w:rPr>
            </w:pPr>
            <w:r>
              <w:rPr>
                <w:rFonts w:hint="eastAsia" w:ascii="新宋体" w:hAnsi="新宋体" w:eastAsia="新宋体" w:cs="新宋体"/>
                <w:i w:val="0"/>
                <w:color w:val="auto"/>
                <w:kern w:val="0"/>
                <w:sz w:val="22"/>
                <w:szCs w:val="22"/>
                <w:u w:val="none"/>
                <w:lang w:val="en-US" w:eastAsia="zh-CN" w:bidi="ar"/>
              </w:rPr>
              <w:t>★</w:t>
            </w:r>
            <w:r>
              <w:rPr>
                <w:rFonts w:hint="eastAsia" w:ascii="新宋体" w:hAnsi="新宋体" w:eastAsia="新宋体" w:cs="新宋体"/>
                <w:b w:val="0"/>
                <w:bCs w:val="0"/>
                <w:color w:val="auto"/>
                <w:sz w:val="22"/>
                <w:szCs w:val="22"/>
                <w:lang w:val="en-US" w:eastAsia="zh-CN"/>
              </w:rPr>
              <w:t>八、资质证书部分</w:t>
            </w:r>
          </w:p>
          <w:p>
            <w:pPr>
              <w:pStyle w:val="77"/>
              <w:keepNext w:val="0"/>
              <w:keepLines w:val="0"/>
              <w:pageBreakBefore w:val="0"/>
              <w:widowControl w:val="0"/>
              <w:numPr>
                <w:ilvl w:val="0"/>
                <w:numId w:val="2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ascii="新宋体" w:hAnsi="新宋体" w:eastAsia="新宋体" w:cs="新宋体"/>
                <w:b w:val="0"/>
                <w:bCs w:val="0"/>
                <w:color w:val="auto"/>
                <w:sz w:val="22"/>
                <w:szCs w:val="22"/>
                <w:lang w:val="en-US" w:eastAsia="zh-CN"/>
              </w:rPr>
            </w:pPr>
            <w:r>
              <w:rPr>
                <w:rFonts w:hint="eastAsia" w:ascii="新宋体" w:hAnsi="新宋体" w:eastAsia="新宋体" w:cs="新宋体"/>
                <w:b w:val="0"/>
                <w:bCs w:val="0"/>
                <w:color w:val="auto"/>
                <w:sz w:val="22"/>
                <w:szCs w:val="22"/>
                <w:lang w:val="en-US" w:eastAsia="zh-CN"/>
              </w:rPr>
              <w:t>投标产品整机制造商需具备《知识产权管理体系认证证书》，提供证书复印件</w:t>
            </w:r>
            <w:r>
              <w:rPr>
                <w:rFonts w:hint="eastAsia" w:ascii="新宋体" w:hAnsi="新宋体" w:eastAsia="新宋体" w:cs="新宋体"/>
                <w:b w:val="0"/>
                <w:bCs w:val="0"/>
                <w:color w:val="auto"/>
                <w:sz w:val="22"/>
                <w:szCs w:val="22"/>
              </w:rPr>
              <w:t>并加盖厂商公章</w:t>
            </w:r>
            <w:r>
              <w:rPr>
                <w:rFonts w:hint="eastAsia" w:ascii="新宋体" w:hAnsi="新宋体" w:eastAsia="新宋体" w:cs="新宋体"/>
                <w:b w:val="0"/>
                <w:bCs w:val="0"/>
                <w:color w:val="auto"/>
                <w:sz w:val="22"/>
                <w:szCs w:val="22"/>
                <w:lang w:val="en-US" w:eastAsia="zh-CN"/>
              </w:rPr>
              <w:t>。</w:t>
            </w:r>
          </w:p>
          <w:p>
            <w:pPr>
              <w:pStyle w:val="77"/>
              <w:keepNext w:val="0"/>
              <w:keepLines w:val="0"/>
              <w:pageBreakBefore w:val="0"/>
              <w:widowControl w:val="0"/>
              <w:numPr>
                <w:ilvl w:val="0"/>
                <w:numId w:val="2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ascii="新宋体" w:hAnsi="新宋体" w:eastAsia="新宋体" w:cs="新宋体"/>
                <w:b w:val="0"/>
                <w:bCs w:val="0"/>
                <w:color w:val="auto"/>
                <w:sz w:val="22"/>
                <w:szCs w:val="22"/>
                <w:lang w:val="en-US" w:eastAsia="zh-CN"/>
              </w:rPr>
            </w:pPr>
            <w:r>
              <w:rPr>
                <w:rFonts w:hint="eastAsia" w:ascii="新宋体" w:hAnsi="新宋体" w:eastAsia="新宋体" w:cs="新宋体"/>
                <w:b w:val="0"/>
                <w:bCs w:val="0"/>
                <w:color w:val="auto"/>
                <w:sz w:val="22"/>
                <w:szCs w:val="22"/>
                <w:lang w:val="en-US" w:eastAsia="zh-CN"/>
              </w:rPr>
              <w:t>投标产品整机制造商需具备《售后服务认证证书》提供证书复印件</w:t>
            </w:r>
            <w:r>
              <w:rPr>
                <w:rFonts w:hint="eastAsia" w:ascii="新宋体" w:hAnsi="新宋体" w:eastAsia="新宋体" w:cs="新宋体"/>
                <w:b w:val="0"/>
                <w:bCs w:val="0"/>
                <w:color w:val="auto"/>
                <w:sz w:val="22"/>
                <w:szCs w:val="22"/>
              </w:rPr>
              <w:t>并加盖厂商公章</w:t>
            </w:r>
            <w:r>
              <w:rPr>
                <w:rFonts w:hint="eastAsia" w:ascii="新宋体" w:hAnsi="新宋体" w:eastAsia="新宋体" w:cs="新宋体"/>
                <w:b w:val="0"/>
                <w:bCs w:val="0"/>
                <w:color w:val="auto"/>
                <w:sz w:val="22"/>
                <w:szCs w:val="22"/>
                <w:lang w:val="en-US" w:eastAsia="zh-CN"/>
              </w:rPr>
              <w:t>。</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投标产品</w:t>
            </w:r>
            <w:r>
              <w:rPr>
                <w:rFonts w:hint="eastAsia" w:ascii="新宋体" w:hAnsi="新宋体" w:eastAsia="新宋体" w:cs="新宋体"/>
                <w:b w:val="0"/>
                <w:bCs w:val="0"/>
                <w:color w:val="auto"/>
                <w:sz w:val="22"/>
                <w:szCs w:val="22"/>
                <w:lang w:val="en-US" w:eastAsia="zh-CN"/>
              </w:rPr>
              <w:t>整机</w:t>
            </w:r>
            <w:r>
              <w:rPr>
                <w:rFonts w:hint="eastAsia" w:ascii="新宋体" w:hAnsi="新宋体" w:eastAsia="新宋体" w:cs="新宋体"/>
                <w:b w:val="0"/>
                <w:bCs w:val="0"/>
                <w:color w:val="auto"/>
                <w:sz w:val="22"/>
                <w:szCs w:val="22"/>
              </w:rPr>
              <w:t>制造商应具</w:t>
            </w:r>
            <w:r>
              <w:rPr>
                <w:rFonts w:hint="eastAsia" w:ascii="新宋体" w:hAnsi="新宋体" w:eastAsia="新宋体" w:cs="新宋体"/>
                <w:b w:val="0"/>
                <w:bCs w:val="0"/>
                <w:color w:val="auto"/>
                <w:sz w:val="22"/>
                <w:szCs w:val="22"/>
                <w:lang w:val="en-US" w:eastAsia="zh-CN"/>
              </w:rPr>
              <w:t>备</w:t>
            </w:r>
            <w:r>
              <w:rPr>
                <w:rFonts w:hint="eastAsia" w:ascii="新宋体" w:hAnsi="新宋体" w:eastAsia="新宋体" w:cs="新宋体"/>
                <w:b w:val="0"/>
                <w:bCs w:val="0"/>
                <w:color w:val="auto"/>
                <w:sz w:val="22"/>
                <w:szCs w:val="22"/>
              </w:rPr>
              <w:t>国际电工委员会电子元器件质量评定体系（IECQ）出具的</w:t>
            </w: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lang w:val="en-US" w:eastAsia="zh-CN"/>
              </w:rPr>
              <w:t>满足</w:t>
            </w:r>
            <w:r>
              <w:rPr>
                <w:rFonts w:hint="eastAsia" w:ascii="新宋体" w:hAnsi="新宋体" w:eastAsia="新宋体" w:cs="新宋体"/>
                <w:b w:val="0"/>
                <w:bCs w:val="0"/>
                <w:color w:val="auto"/>
                <w:sz w:val="22"/>
                <w:szCs w:val="22"/>
              </w:rPr>
              <w:t>QC080000危害物质过程管理</w:t>
            </w:r>
            <w:r>
              <w:rPr>
                <w:rFonts w:hint="eastAsia" w:ascii="新宋体" w:hAnsi="新宋体" w:eastAsia="新宋体" w:cs="新宋体"/>
                <w:b w:val="0"/>
                <w:bCs w:val="0"/>
                <w:color w:val="auto"/>
                <w:sz w:val="22"/>
                <w:szCs w:val="22"/>
                <w:lang w:val="en-US" w:eastAsia="zh-CN"/>
              </w:rPr>
              <w:t>系统要求的合格证书</w:t>
            </w:r>
            <w:r>
              <w:rPr>
                <w:rFonts w:hint="eastAsia" w:ascii="新宋体" w:hAnsi="新宋体" w:eastAsia="新宋体" w:cs="新宋体"/>
                <w:b w:val="0"/>
                <w:bCs w:val="0"/>
                <w:color w:val="auto"/>
                <w:sz w:val="22"/>
                <w:szCs w:val="22"/>
              </w:rPr>
              <w:t>。</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投标产品整机制造商必须通过ISO9001质量体系管理认证、ISO14001环境管理体系认证，18001职业健康管理体系认证，提供认证复印件并加盖厂商公章。</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所投产品应具备CMA、CAL、CNAS级别的国家电子计算机质量监督检验中心出具的产品平均无故障时间（MTBF）证书（不低于10万小时）。</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新宋体" w:hAnsi="新宋体" w:eastAsia="新宋体" w:cs="新宋体"/>
                <w:b w:val="0"/>
                <w:bCs w:val="0"/>
                <w:color w:val="auto"/>
                <w:sz w:val="22"/>
                <w:szCs w:val="22"/>
              </w:rPr>
            </w:pPr>
            <w:r>
              <w:rPr>
                <w:rFonts w:hint="eastAsia" w:ascii="新宋体" w:hAnsi="新宋体" w:eastAsia="新宋体" w:cs="新宋体"/>
                <w:b w:val="0"/>
                <w:bCs w:val="0"/>
                <w:color w:val="auto"/>
                <w:sz w:val="22"/>
                <w:szCs w:val="22"/>
              </w:rPr>
              <w:t>整机测试结果符合 GB21520-2008 的能源效率等级 1 级要求。</w:t>
            </w:r>
            <w:r>
              <w:rPr>
                <w:rFonts w:hint="eastAsia" w:ascii="新宋体" w:hAnsi="新宋体" w:eastAsia="新宋体" w:cs="新宋体"/>
                <w:b w:val="0"/>
                <w:bCs w:val="0"/>
                <w:color w:val="auto"/>
                <w:kern w:val="0"/>
                <w:sz w:val="22"/>
                <w:szCs w:val="22"/>
              </w:rPr>
              <w:t>（</w:t>
            </w:r>
            <w:r>
              <w:rPr>
                <w:rFonts w:hint="eastAsia" w:ascii="新宋体" w:hAnsi="新宋体" w:eastAsia="新宋体" w:cs="新宋体"/>
                <w:b w:val="0"/>
                <w:bCs w:val="0"/>
                <w:color w:val="auto"/>
                <w:sz w:val="22"/>
                <w:szCs w:val="22"/>
              </w:rPr>
              <w:t>需提供CMA、CAL、CNAS级别权威机构出具的检测报告）</w:t>
            </w:r>
          </w:p>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b w:val="0"/>
                <w:bCs w:val="0"/>
                <w:color w:val="auto"/>
                <w:sz w:val="22"/>
                <w:szCs w:val="22"/>
                <w:lang w:eastAsia="zh-CN"/>
              </w:rPr>
              <w:t>（</w:t>
            </w:r>
            <w:r>
              <w:rPr>
                <w:rFonts w:hint="eastAsia" w:ascii="新宋体" w:hAnsi="新宋体" w:eastAsia="新宋体" w:cs="新宋体"/>
                <w:b w:val="0"/>
                <w:bCs w:val="0"/>
                <w:color w:val="auto"/>
                <w:sz w:val="22"/>
                <w:szCs w:val="22"/>
              </w:rPr>
              <w:t>为保证产品质量、供货进度及后续便利维护，最大限度保护用户根本利益，本次投标商所投交互平板产品必须为原厂产品，要求交互平板CCC证书的申请人、制造商、生产厂必须为同一企业，不接受OEM等代工方式产品，投标时须提供3C证书复印件加盖制造厂商公章。</w:t>
            </w:r>
            <w:r>
              <w:rPr>
                <w:rFonts w:hint="eastAsia" w:ascii="新宋体" w:hAnsi="新宋体" w:eastAsia="新宋体" w:cs="新宋体"/>
                <w:b w:val="0"/>
                <w:bCs w:val="0"/>
                <w:color w:val="auto"/>
                <w:sz w:val="22"/>
                <w:szCs w:val="22"/>
                <w:lang w:eastAsia="zh-CN"/>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40005</wp:posOffset>
                  </wp:positionH>
                  <wp:positionV relativeFrom="paragraph">
                    <wp:posOffset>3253740</wp:posOffset>
                  </wp:positionV>
                  <wp:extent cx="695960" cy="645160"/>
                  <wp:effectExtent l="0" t="0" r="5080" b="10160"/>
                  <wp:wrapNone/>
                  <wp:docPr id="8" name="Picture_1"/>
                  <wp:cNvGraphicFramePr/>
                  <a:graphic xmlns:a="http://schemas.openxmlformats.org/drawingml/2006/main">
                    <a:graphicData uri="http://schemas.openxmlformats.org/drawingml/2006/picture">
                      <pic:pic xmlns:pic="http://schemas.openxmlformats.org/drawingml/2006/picture">
                        <pic:nvPicPr>
                          <pic:cNvPr id="8" name="Picture_1"/>
                          <pic:cNvPicPr/>
                        </pic:nvPicPr>
                        <pic:blipFill>
                          <a:blip r:embed="rId56"/>
                          <a:stretch>
                            <a:fillRect/>
                          </a:stretch>
                        </pic:blipFill>
                        <pic:spPr>
                          <a:xfrm>
                            <a:off x="0" y="0"/>
                            <a:ext cx="695960" cy="6451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7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讲台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kern w:val="0"/>
                <w:sz w:val="22"/>
                <w:szCs w:val="22"/>
                <w:u w:val="none"/>
                <w:lang w:val="en-US" w:eastAsia="zh-CN" w:bidi="ar"/>
              </w:rPr>
            </w:pPr>
            <w:r>
              <w:rPr>
                <w:rFonts w:hint="eastAsia" w:ascii="新宋体" w:hAnsi="新宋体" w:eastAsia="新宋体" w:cs="新宋体"/>
                <w:i w:val="0"/>
                <w:color w:val="auto"/>
                <w:kern w:val="0"/>
                <w:sz w:val="22"/>
                <w:szCs w:val="22"/>
                <w:u w:val="none"/>
                <w:lang w:val="en-US" w:eastAsia="zh-CN" w:bidi="ar"/>
              </w:rPr>
              <w:t>1 规格尺寸：2300*700*850㎜；</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1.桌面材料：台面采用12.7mm实心异型理化板，四周贴边加厚至25.4mm，经处理后表面光滑、不变形、平整，整体美观大方、耐用。须符合：</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1.化学性能：通过国家化学建筑材料测试中心检测，按照GB/T17657-2013进行抽样检测，盐酸（37%）、磷酸（85%）、硝酸（70%）、硝酸（30%）、硝酸（20%）、甲醇、氨水（28%）、氢氧化钠溶液（40%）、氢氧化钠溶液（20%）、氢氧化钠溶液（10%）、片状氢氧化钠、硫酸（96%）、硫酸（77%）、硫酸（33%）、苯酚（90%）、甲醛（37%）、乙酸乙酯、乙酸（98%）、丙酮、铬酸（5%）、丁醇、乙醇、苯、四氯化碳、氯仿、铬酸（60%）、甲酚、二氯乙酸、92#汽油、甲酸（90%）、氢氟酸（48%)、过氧化氢溶液（30%）、碘酒、丁酮、二氯甲烷、一氯化碳、萘、饱和硝酸银、饱和氯化锌、77%硫酸：70%硝酸1：1、甲苯、三氯乙烯、二甲基甲酰胺、二恶烷、乙醚、糠醛、硫化钠饱和液、二甲苯共48种强酸强碱化学试剂分级检验结果为5级。</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2.物理性能要求：抗拉强度、吸水率、表面耐干热性能、表面耐香烟灼烧、密度、含水率、抗冲击性能（落球高度≥1m）、洛氏硬度、耐沸水性能、防静电性能、表面耐湿热性、表面耐龟裂性、耐光色牢度、光泽度（60°）等14项物理性能符合检测要求。</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3.甲醛：台面甲醛释放量检测达到GB18580-2001  E1级的技术指标要求，甲醛释放量（40L干燥器法）检测值≤0.01mg/L。检测结果合格。</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4.重金属：参照EN71-3：2013+A1：2014采用ICP-OES进行分析 可溶性六价铬、可溶性铝、可溶性锑、可溶性砷、检测结果未检出。</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5. 三聚氰胺的特殊迁移检测方法依据EN13130-1:2004用3%醋酸在60℃浸泡6小时 检测结果合格</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★投标厂家需提供符合以上技术参数的检测报告，并加盖生产厂家公章。</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投标厂家需提供板材供应商出具的授权证明及售后承诺函加盖公章。(手写无效,以打印文本为有效授权)</w:t>
            </w:r>
          </w:p>
          <w:p>
            <w:pP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桌身结构：铝合金框架结构，左右工字脚之间通过前、中、后3条铝合金横梁由专用锁扣连接件连接，起到稳固桌子的作用，带钩式压紧锁扣连接件连接设计具有安装方便、连接牢固、表面无螺丝等特点。</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 柜身材质：采用PP工程塑料一次性注塑成型结合，柜门：PP材质，注塑一次性成型，无铰链设计，静音，270度打开，前后门工艺一致，永不生锈。抽屉全部采用PP工程塑料。</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4 门框及箱体：前后门框均采用PP工程塑料一次性注塑成型，箱体内衬宝钢数控型材支撑架，配以专用连接件进行组装连接.箱体为精钢配件与注塑组合件联合,柜身中间吊板采用1.0mm宝钢冷轧板数控工艺折弯成型。</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5 拉伸模具冲压标准化连接件,表面经纯环氧树脂塑粉高温固化处理，具防酸碱、防腐蚀的特点、且承重。</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6 框架：采用1.2mm厚优质冷轧钢板折弯成型为60*40 mm，表面粉末静电喷涂。纯环氧树脂塑粉高温固化处理，耐酸耐腐蚀。</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7 箱体：采用1mm激光切割下料，数控冲压成型，表面喷涂纯环氧树脂；塑粉高温固化处理，耐酸耐腐蚀。</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8 工艺:专用连接件连接组合紧固。中台面为准备台面（放置实验仪器）和演示台面：中间为教师电源，左侧为水槽，右侧为柜体。</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9 产品零甲醛，无污染，可回收，表面看不见一个螺丝。</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127635</wp:posOffset>
                  </wp:positionH>
                  <wp:positionV relativeFrom="paragraph">
                    <wp:posOffset>1591310</wp:posOffset>
                  </wp:positionV>
                  <wp:extent cx="629920" cy="597535"/>
                  <wp:effectExtent l="0" t="0" r="10160" b="12065"/>
                  <wp:wrapNone/>
                  <wp:docPr id="10" name="图片_19"/>
                  <wp:cNvGraphicFramePr/>
                  <a:graphic xmlns:a="http://schemas.openxmlformats.org/drawingml/2006/main">
                    <a:graphicData uri="http://schemas.openxmlformats.org/drawingml/2006/picture">
                      <pic:pic xmlns:pic="http://schemas.openxmlformats.org/drawingml/2006/picture">
                        <pic:nvPicPr>
                          <pic:cNvPr id="10" name="图片_19"/>
                          <pic:cNvPicPr/>
                        </pic:nvPicPr>
                        <pic:blipFill>
                          <a:blip r:embed="rId57"/>
                          <a:stretch>
                            <a:fillRect/>
                          </a:stretch>
                        </pic:blipFill>
                        <pic:spPr>
                          <a:xfrm>
                            <a:off x="0" y="0"/>
                            <a:ext cx="629920" cy="5975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实验桌（带样品）</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color w:val="auto"/>
                <w:sz w:val="22"/>
                <w:szCs w:val="22"/>
                <w:lang w:val="en-US" w:eastAsia="zh-CN"/>
              </w:rPr>
            </w:pPr>
            <w:r>
              <w:rPr>
                <w:rFonts w:hint="eastAsia" w:ascii="新宋体" w:hAnsi="新宋体" w:eastAsia="新宋体" w:cs="新宋体"/>
                <w:color w:val="auto"/>
                <w:sz w:val="22"/>
                <w:szCs w:val="22"/>
                <w:lang w:val="en-US" w:eastAsia="zh-CN"/>
              </w:rPr>
              <w:t>规格：1200*600*780㎜。</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桌面材质：采用12.7mm实心异型理化板，四周贴边加厚至25.4mm，经处理后表面光滑、不变形、平整，整体美观大方、耐用。规格：1200*600*780㎜ 。</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台面：采用12.7mm实心异型理化板，四周贴边加厚至25.4mm，经处理后表面光滑、不变形、平整，整体美观大方、耐用。</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须符合：</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1.化学性能：通过国家化学建筑材料测试中心检测，按照GB/T17657-2013进行抽样检测，盐酸（37%）、磷酸（85%）、硝酸（70%）、硝酸（30%）、硝酸（20%）、甲醇、氨水（28%）、氢氧化钠溶液（40%）、氢氧化钠溶液（20%）、氢氧化钠溶液（10%）、片状氢氧化钠、硫酸（96%）、硫酸（77%）、硫酸（33%）、苯酚（90%）、甲醛（37%）、乙酸乙酯、乙酸（98%）、丙酮、铬酸（5%）、丁醇、乙醇、苯、四氯化碳、氯仿、铬酸（60%）、甲酚、二氯乙酸、92#汽油、甲酸（90%）、氢氟酸（48%)、过氧化氢溶液（30%）、碘酒、丁酮、二氯甲烷、一氯化碳、萘、饱和硝酸银、饱和氯化锌、77%硫酸：70%硝酸1：1、甲苯、三氯乙烯、二甲基甲酰胺、二恶烷、乙醚、糠醛、硫化钠饱和液、二甲苯共48种强酸强碱化学试剂分级检验结果为5级。</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2.物理性能要求：抗拉强度、吸水率、表面耐干热性能、表面耐香烟灼烧、密度、含水率、抗冲击性能（落球高度≥1m）、洛氏硬度、耐沸水性能、防静电性能、表面耐湿热性、表面耐龟裂性、耐光色牢度、光泽度（60°）等14项物理性能符合检测要求。</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3.甲醛：台面甲醛释放量检测达到GB18580-2001  E1级的技术指标要求，甲醛释放量（40L干燥器法）检测值≤0.01mg/L。检测结果合格。</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4.重金属：参照EN71-3：2013+A1：2014采用ICP-OES进行分析 可溶性六价铬、可溶性铝、可溶性锑、可溶性砷、检测结果未检出。</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5. 三聚氰胺的特殊迁移检测方法依据EN13130-1:2004用3%醋酸在60℃浸泡6小时 检测结果合格</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★投标厂家需提供符合以上技术参数的检测报告，并加盖生产厂家公章。</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投标厂家需提供板材供应商出具的授权证明及售后承诺函加盖公章。(手写无效,以打印文本为有效授权)</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台面前端人性化设计，按人体工程学，安全无棱角，呈半圆倒鸭嘴形状，圆润下滑，曲面优美，无棱角工艺，使做实验验学生碰到无疼感(颜色可选)。</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桌身材质及配件：</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1、前后横梁：采用60x40mm壁厚2.5mm的优质铝型材材料一次性成型，内设2条不低于2mm厚的加强筋，材料表面经过防腐氧化处理和纯环氧树脂塑粉高温固化处理，具有较强的耐蚀性及承重性。</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2、中横梁：采用110x16mm壁厚2mm的优质铝型材材料一次性成型，内设2条不低于2mm厚的加强筋，材料表面经过防腐氧化处理和纯环氧树脂塑粉高温固化处理，具有较强的耐蚀性及承重性。</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3 、铝合金压铸工字脚架：由立柱、上下支脚、桌脚加固件和脚套四部分组成。3.1、铝合金压铸立柱：采用100x50mm壁厚不低于2.2mm的优质铝材材料，内设4根厚度不低于2mm的加强筋，材料表面经过防腐氧化处理和纯环氧树脂塑粉高温固化处理，具有较强的耐蚀性。</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3.2、铝合金压铸上下支脚：采用3.5mm厚铝压铸模具一次性成型，压铸脚形状独特，造型美观.压铸脚料内部通过螺丝连接安装成型，牢固耐用，铝压铸脚前后端设计有塑料一次性成型的塑料材质防锈片。</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3.3、桌脚加固件：安装在上下支脚之间，采用PP工程塑料一次性注塑成型，厚度为12mm，高度为：550mm，宽度为：105mm，用于加固工字脚架，搭配工字脚支架，时尚元素与精致美感的完美结合，看上去即温馨又能带给您一种自然与现代的融合享受。</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3.4、脚套：采用PP改性材料，注塑模一次性成型，全部圆弧设计，总体结构既美观又安全，保证了孩子万一撞到桌脚也没有关系，设计安装程序从上往下放入式安装。</w:t>
            </w:r>
            <w:r>
              <w:rPr>
                <w:rFonts w:hint="eastAsia" w:ascii="新宋体" w:hAnsi="新宋体" w:eastAsia="新宋体" w:cs="新宋体"/>
                <w:color w:val="auto"/>
                <w:sz w:val="22"/>
                <w:szCs w:val="22"/>
                <w:lang w:val="en-US" w:eastAsia="zh-CN"/>
              </w:rPr>
              <w:br w:type="textWrapping"/>
            </w:r>
            <w:r>
              <w:rPr>
                <w:rFonts w:hint="eastAsia" w:ascii="新宋体" w:hAnsi="新宋体" w:eastAsia="新宋体" w:cs="新宋体"/>
                <w:color w:val="auto"/>
                <w:sz w:val="22"/>
                <w:szCs w:val="22"/>
                <w:lang w:val="en-US" w:eastAsia="zh-CN"/>
              </w:rPr>
              <w:t>4、书包斗：规格470*285*130mm，采用PP工程塑料一次性注塑成型，底部设有排水孔，斗的前端设有笔槽与橡皮擦架子，方便学生放东西和孩子万一把水倒到抽屉里也能迅速排干水。</w:t>
            </w:r>
          </w:p>
          <w:p>
            <w:pPr>
              <w:pStyle w:val="2"/>
              <w:ind w:left="0" w:leftChars="0" w:firstLine="0" w:firstLineChars="0"/>
              <w:rPr>
                <w:rFonts w:hint="eastAsia" w:ascii="新宋体" w:hAnsi="新宋体" w:eastAsia="新宋体" w:cs="新宋体"/>
                <w:color w:val="auto"/>
                <w:sz w:val="22"/>
                <w:szCs w:val="22"/>
              </w:rPr>
            </w:pPr>
            <w:r>
              <w:rPr>
                <w:rFonts w:hint="eastAsia" w:ascii="新宋体" w:hAnsi="新宋体" w:eastAsia="新宋体" w:cs="新宋体"/>
                <w:i w:val="0"/>
                <w:color w:val="auto"/>
                <w:kern w:val="0"/>
                <w:sz w:val="22"/>
                <w:szCs w:val="22"/>
                <w:u w:val="none"/>
                <w:lang w:val="en-US" w:eastAsia="zh-CN" w:bidi="ar"/>
              </w:rPr>
              <w:t>★投标厂家需提供铝合金压铸脚检测报告，并加盖生产厂家公章。</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81915</wp:posOffset>
                  </wp:positionH>
                  <wp:positionV relativeFrom="paragraph">
                    <wp:posOffset>1127125</wp:posOffset>
                  </wp:positionV>
                  <wp:extent cx="688975" cy="626110"/>
                  <wp:effectExtent l="0" t="0" r="12065" b="13970"/>
                  <wp:wrapNone/>
                  <wp:docPr id="11" name="图片_30_SpCnt_1"/>
                  <wp:cNvGraphicFramePr/>
                  <a:graphic xmlns:a="http://schemas.openxmlformats.org/drawingml/2006/main">
                    <a:graphicData uri="http://schemas.openxmlformats.org/drawingml/2006/picture">
                      <pic:pic xmlns:pic="http://schemas.openxmlformats.org/drawingml/2006/picture">
                        <pic:nvPicPr>
                          <pic:cNvPr id="11" name="图片_30_SpCnt_1"/>
                          <pic:cNvPicPr/>
                        </pic:nvPicPr>
                        <pic:blipFill>
                          <a:blip r:embed="rId58"/>
                          <a:stretch>
                            <a:fillRect/>
                          </a:stretch>
                        </pic:blipFill>
                        <pic:spPr>
                          <a:xfrm>
                            <a:off x="0" y="0"/>
                            <a:ext cx="688975" cy="626110"/>
                          </a:xfrm>
                          <a:prstGeom prst="rect">
                            <a:avLst/>
                          </a:prstGeom>
                          <a:noFill/>
                          <a:ln>
                            <a:noFill/>
                          </a:ln>
                        </pic:spPr>
                      </pic:pic>
                    </a:graphicData>
                  </a:graphic>
                </wp:anchor>
              </w:drawing>
            </w: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 cy="0"/>
                  <wp:effectExtent l="0" t="0" r="0" b="0"/>
                  <wp:wrapNone/>
                  <wp:docPr id="25" name="图片_1"/>
                  <wp:cNvGraphicFramePr/>
                  <a:graphic xmlns:a="http://schemas.openxmlformats.org/drawingml/2006/main">
                    <a:graphicData uri="http://schemas.openxmlformats.org/drawingml/2006/picture">
                      <pic:pic xmlns:pic="http://schemas.openxmlformats.org/drawingml/2006/picture">
                        <pic:nvPicPr>
                          <pic:cNvPr id="25" name="图片_1"/>
                          <pic:cNvPicPr/>
                        </pic:nvPicPr>
                        <pic:blipFill>
                          <a:blip r:embed="rId33"/>
                          <a:stretch>
                            <a:fillRect/>
                          </a:stretch>
                        </pic:blipFill>
                        <pic:spPr>
                          <a:xfrm>
                            <a:off x="0" y="0"/>
                            <a:ext cx="635" cy="0"/>
                          </a:xfrm>
                          <a:prstGeom prst="rect">
                            <a:avLst/>
                          </a:prstGeom>
                          <a:noFill/>
                          <a:ln>
                            <a:noFill/>
                          </a:ln>
                        </pic:spPr>
                      </pic:pic>
                    </a:graphicData>
                  </a:graphic>
                </wp:anchor>
              </w:drawing>
            </w: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306070</wp:posOffset>
                  </wp:positionH>
                  <wp:positionV relativeFrom="paragraph">
                    <wp:posOffset>182880</wp:posOffset>
                  </wp:positionV>
                  <wp:extent cx="381635" cy="0"/>
                  <wp:effectExtent l="0" t="0" r="0" b="0"/>
                  <wp:wrapNone/>
                  <wp:docPr id="5" name="图片_30"/>
                  <wp:cNvGraphicFramePr/>
                  <a:graphic xmlns:a="http://schemas.openxmlformats.org/drawingml/2006/main">
                    <a:graphicData uri="http://schemas.openxmlformats.org/drawingml/2006/picture">
                      <pic:pic xmlns:pic="http://schemas.openxmlformats.org/drawingml/2006/picture">
                        <pic:nvPicPr>
                          <pic:cNvPr id="5" name="图片_30"/>
                          <pic:cNvPicPr/>
                        </pic:nvPicPr>
                        <pic:blipFill>
                          <a:blip r:embed="rId59"/>
                          <a:stretch>
                            <a:fillRect/>
                          </a:stretch>
                        </pic:blipFill>
                        <pic:spPr>
                          <a:xfrm>
                            <a:off x="0" y="0"/>
                            <a:ext cx="381635" cy="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33"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电源筒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规格：410*230*760，装在桌子的中间，外壳带圆形装饰板，下面带说明标牌字体规格40*260mm.</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产品特点：零甲醛、零污染、易擦洗、耐老化、环保、防水、可回收。</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125730</wp:posOffset>
                  </wp:positionH>
                  <wp:positionV relativeFrom="paragraph">
                    <wp:posOffset>213995</wp:posOffset>
                  </wp:positionV>
                  <wp:extent cx="617855" cy="747395"/>
                  <wp:effectExtent l="0" t="0" r="6985" b="14605"/>
                  <wp:wrapNone/>
                  <wp:docPr id="27" name="图片_2"/>
                  <wp:cNvGraphicFramePr/>
                  <a:graphic xmlns:a="http://schemas.openxmlformats.org/drawingml/2006/main">
                    <a:graphicData uri="http://schemas.openxmlformats.org/drawingml/2006/picture">
                      <pic:pic xmlns:pic="http://schemas.openxmlformats.org/drawingml/2006/picture">
                        <pic:nvPicPr>
                          <pic:cNvPr id="27" name="图片_2"/>
                          <pic:cNvPicPr/>
                        </pic:nvPicPr>
                        <pic:blipFill>
                          <a:blip r:embed="rId60"/>
                          <a:stretch>
                            <a:fillRect/>
                          </a:stretch>
                        </pic:blipFill>
                        <pic:spPr>
                          <a:xfrm>
                            <a:off x="0" y="0"/>
                            <a:ext cx="617855" cy="7473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水槽</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 规格尺寸：左右500*前后600*高度780㎜。</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2 水槽内部尺寸：400mm*300mm*220mm。</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 水槽台面：采用PP工程塑料一次性注塑成型结合，黑色，水槽面部下沉式构造，使废水无法沿着桌面侵蚀柜体，后挡水边采用注塑一体化成型，带内部安装固件，前后边所有梯形片材与柜体连接，台盆面设安装水龙头与紧急洗眼器的安装孔，水槽前端设有凹形设计，方便操作者使用。</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4 水槽具有防止溢水功能，水槽内部设有一个水满到一定位置的时候，把水排到PP下水器进行排出，防止废水外溢。</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5 废水防臭器：构建组合成型的防臭防倒流装置，注塑模具一次性成型组合件，防止废气与废水倒灌。</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6 PP注塑成型自由转弯软管：采用PP材料注塑已形成形，吸塑PP软管节节可伸缩功能，规格1000任意伸缩长度，直径50mm。</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7 水槽柜底盖：PP材质，注塑模具一次成型，防锈、耐酸碱、防水、防潮、底部设有可调整高度的螺旋脚。</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8 柜门：PP材质，注塑一次性成型，无铰链设计，静音，270度打开，前后门工艺一致，永不生锈。</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9 门框及箱体：前后门框均采用PP工程塑料一次性注塑成型，箱体内衬宝钢数控型材支撑架，配以专用连接件进行组装连接.箱体为精钢配件与注塑组合件联合。</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201930</wp:posOffset>
                  </wp:positionH>
                  <wp:positionV relativeFrom="paragraph">
                    <wp:posOffset>1693545</wp:posOffset>
                  </wp:positionV>
                  <wp:extent cx="505460" cy="749935"/>
                  <wp:effectExtent l="0" t="0" r="12700" b="12065"/>
                  <wp:wrapNone/>
                  <wp:docPr id="28" name="图片_14_SpCnt_1"/>
                  <wp:cNvGraphicFramePr/>
                  <a:graphic xmlns:a="http://schemas.openxmlformats.org/drawingml/2006/main">
                    <a:graphicData uri="http://schemas.openxmlformats.org/drawingml/2006/picture">
                      <pic:pic xmlns:pic="http://schemas.openxmlformats.org/drawingml/2006/picture">
                        <pic:nvPicPr>
                          <pic:cNvPr id="28" name="图片_14_SpCnt_1"/>
                          <pic:cNvPicPr/>
                        </pic:nvPicPr>
                        <pic:blipFill>
                          <a:blip r:embed="rId61"/>
                          <a:stretch>
                            <a:fillRect/>
                          </a:stretch>
                        </pic:blipFill>
                        <pic:spPr>
                          <a:xfrm>
                            <a:off x="0" y="0"/>
                            <a:ext cx="505460" cy="749935"/>
                          </a:xfrm>
                          <a:prstGeom prst="rect">
                            <a:avLst/>
                          </a:prstGeom>
                          <a:noFill/>
                          <a:ln>
                            <a:noFill/>
                          </a:ln>
                        </pic:spPr>
                      </pic:pic>
                    </a:graphicData>
                  </a:graphic>
                </wp:anchor>
              </w:drawing>
            </w: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448310</wp:posOffset>
                  </wp:positionH>
                  <wp:positionV relativeFrom="paragraph">
                    <wp:posOffset>186055</wp:posOffset>
                  </wp:positionV>
                  <wp:extent cx="237490" cy="0"/>
                  <wp:effectExtent l="0" t="0" r="0" b="0"/>
                  <wp:wrapNone/>
                  <wp:docPr id="26" name="图片_14"/>
                  <wp:cNvGraphicFramePr/>
                  <a:graphic xmlns:a="http://schemas.openxmlformats.org/drawingml/2006/main">
                    <a:graphicData uri="http://schemas.openxmlformats.org/drawingml/2006/picture">
                      <pic:pic xmlns:pic="http://schemas.openxmlformats.org/drawingml/2006/picture">
                        <pic:nvPicPr>
                          <pic:cNvPr id="26" name="图片_14"/>
                          <pic:cNvPicPr/>
                        </pic:nvPicPr>
                        <pic:blipFill>
                          <a:blip r:embed="rId62"/>
                          <a:stretch>
                            <a:fillRect/>
                          </a:stretch>
                        </pic:blipFill>
                        <pic:spPr>
                          <a:xfrm>
                            <a:off x="0" y="0"/>
                            <a:ext cx="237490" cy="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0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三联水嘴</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三口专用实验龙头：全铜质结构，铜管无痕迹弯制成型，陶瓷阀芯，鹅颈造型，节节出水口。</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148590</wp:posOffset>
                  </wp:positionH>
                  <wp:positionV relativeFrom="paragraph">
                    <wp:posOffset>294005</wp:posOffset>
                  </wp:positionV>
                  <wp:extent cx="521970" cy="488950"/>
                  <wp:effectExtent l="0" t="0" r="11430" b="13970"/>
                  <wp:wrapNone/>
                  <wp:docPr id="2" name="图片_12"/>
                  <wp:cNvGraphicFramePr/>
                  <a:graphic xmlns:a="http://schemas.openxmlformats.org/drawingml/2006/main">
                    <a:graphicData uri="http://schemas.openxmlformats.org/drawingml/2006/picture">
                      <pic:pic xmlns:pic="http://schemas.openxmlformats.org/drawingml/2006/picture">
                        <pic:nvPicPr>
                          <pic:cNvPr id="2" name="图片_12"/>
                          <pic:cNvPicPr/>
                        </pic:nvPicPr>
                        <pic:blipFill>
                          <a:blip r:embed="rId63"/>
                          <a:stretch>
                            <a:fillRect/>
                          </a:stretch>
                        </pic:blipFill>
                        <pic:spPr>
                          <a:xfrm>
                            <a:off x="0" y="0"/>
                            <a:ext cx="521970" cy="4889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0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实验圆凳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Φ300*450mm。1、凳脚材质：4个凳脚采用15×30×1.5mm 椭圆钢管模具一次成型。满焊接完成，结构牢固，经高温粉体烤漆处理，长时间使用也不会产生表面烤漆剥落现象 固定式凳面直径不小于300mm  2、凳面材质：采用聚丙烯共聚级注塑,厚6mm。表面细纹咬花，防滑不发光 。凳面底部镶嵌4枚铜质螺纹，采用不锈钢螺丝与圆型托盘固定。3、脚垫材质：采用PP加耐磨纤维质塑料，实心倒勾式一体射出成型。凳面颜色蓝色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104140</wp:posOffset>
                  </wp:positionH>
                  <wp:positionV relativeFrom="paragraph">
                    <wp:posOffset>550545</wp:posOffset>
                  </wp:positionV>
                  <wp:extent cx="537210" cy="490220"/>
                  <wp:effectExtent l="0" t="0" r="11430" b="12700"/>
                  <wp:wrapNone/>
                  <wp:docPr id="30" name="图片_8"/>
                  <wp:cNvGraphicFramePr/>
                  <a:graphic xmlns:a="http://schemas.openxmlformats.org/drawingml/2006/main">
                    <a:graphicData uri="http://schemas.openxmlformats.org/drawingml/2006/picture">
                      <pic:pic xmlns:pic="http://schemas.openxmlformats.org/drawingml/2006/picture">
                        <pic:nvPicPr>
                          <pic:cNvPr id="30" name="图片_8"/>
                          <pic:cNvPicPr/>
                        </pic:nvPicPr>
                        <pic:blipFill>
                          <a:blip r:embed="rId64"/>
                          <a:stretch>
                            <a:fillRect/>
                          </a:stretch>
                        </pic:blipFill>
                        <pic:spPr>
                          <a:xfrm>
                            <a:off x="0" y="0"/>
                            <a:ext cx="537210" cy="4902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4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实验室装修</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教室吊顶、灯管</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室</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364"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实验室文化窗帘</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用窗帘的形式表现描述与学科教学内容相关或科学普及方面，选题适当，主题明确，无科学性错误，以图为主辅以文字。图片清晰美观，文字准确精炼，语句通顺易读，标点使用正确。</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平方</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629"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准备室</w:t>
            </w:r>
          </w:p>
        </w:tc>
      </w:tr>
      <w:tr>
        <w:tblPrEx>
          <w:tblLayout w:type="fixed"/>
          <w:tblCellMar>
            <w:top w:w="0" w:type="dxa"/>
            <w:left w:w="0" w:type="dxa"/>
            <w:bottom w:w="0" w:type="dxa"/>
            <w:right w:w="0" w:type="dxa"/>
          </w:tblCellMar>
        </w:tblPrEx>
        <w:trPr>
          <w:trHeight w:val="16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仪器柜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 xml:space="preserve">规格：1000*500*2000mm，铝木结构，铝型材规格32*32*1.5mm。柜门上部为铝合金门框，5mm厚钢化玻璃对开门，设有16mm厚三聚氰胺面板3块活动层板并配铝合金加强条；下部为16mm厚三聚氰胺面板对开门，设有一块活动层板。以上芯板均为E1级环保芯板，甲醛释放量（穿孔萃取法 ）应不大于≤ 8mg/100g。其他各项技术指标和质量要求应符合：GB/T 10357.4—1989《家具力学性能试验柜类稳定性》、GB/T 10357.5 －2011《家具力学性能试验柜类强度和耐久性》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3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PP药品柜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1000*500*2000PP结构，防腐蚀。</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722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准备桌</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kern w:val="0"/>
                <w:sz w:val="22"/>
                <w:szCs w:val="22"/>
                <w:u w:val="none"/>
                <w:lang w:val="en-US" w:eastAsia="zh-CN" w:bidi="ar"/>
              </w:rPr>
            </w:pPr>
            <w:r>
              <w:rPr>
                <w:rFonts w:hint="eastAsia" w:ascii="新宋体" w:hAnsi="新宋体" w:eastAsia="新宋体" w:cs="新宋体"/>
                <w:i w:val="0"/>
                <w:color w:val="auto"/>
                <w:kern w:val="0"/>
                <w:sz w:val="22"/>
                <w:szCs w:val="22"/>
                <w:u w:val="none"/>
                <w:lang w:val="en-US" w:eastAsia="zh-CN" w:bidi="ar"/>
              </w:rPr>
              <w:t>规格：1200*1200*780㎜。</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1.桌面材料：台面采用12.7mm实心异型理化板，四周贴边加厚至25.4mm，经处理后表面光滑、不变形、平整，整体美观大方、耐用。须符合：</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1）.化学性能：通过国家化学建筑材料测试中心检测，按照GB/T17657-2013进行抽样检测，盐酸（37%）、磷酸（85%）、硝酸（70%）、硝酸（30%）、硝酸（20%）、甲醇、氨水（28%）、氢氧化钠溶液（40%）、氢氧化钠溶液（20%）、氢氧化钠溶液（10%）、片状氢氧化钠、硫酸（96%）、硫酸（77%）、硫酸（33%）、苯酚（90%）、甲醛（37%）、乙酸乙酯、乙酸（98%）、丙酮、铬酸（5%）、丁醇、乙醇、苯、四氯化碳、氯仿、铬酸（60%）、甲酚、二氯乙酸、92#汽油、甲酸（90%）、氢氟酸（48%)、过氧化氢溶液（30%）、碘酒、丁酮、二氯甲烷、一氯化碳、萘、饱和硝酸银、饱和氯化锌、77%硫酸：70%硝酸1：1、甲苯、三氯乙烯、二甲基甲酰胺、二恶烷、乙醚、糠醛、硫化钠饱和液、二甲苯共48种强酸强碱化学试剂分级检验结果为5级。</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2）.物理性能要求：抗拉强度、吸水率、表面耐干热性能、表面耐香烟灼烧、密度、含水率、抗冲击性能（落球高度≥1m）、洛氏硬度、耐沸水性能、防静电性能、表面耐湿热性、表面耐龟裂性、耐光色牢度、光泽度（60°）等14项物理性能符合检测要求。</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（3）.甲醛：台面甲醛释放量检测达到GB18580-2001  E1级的技术指标要求，甲醛释放量（40L干燥器法）检测值≤0.01mg/L。检测结果合格。</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（4）.重金属：参照EN71-3：2013+A1：2014采用ICP-OES进行分析 可溶性六价铬、可溶性铝、可溶性锑、可溶性砷、检测结果未检出。</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（5）. 三聚氰胺的特殊迁移检测方法依据EN13130-1:2004用3%醋酸在60℃浸泡6小时 检测结果合格</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★投标厂家需提供符合以上技术参数的检测报告，并加盖生产厂家公章。</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投标厂家需提供板材供应商出具的授权证明及售后承诺函加盖公章。(手写无效,以打印文本为有效授权)</w:t>
            </w:r>
          </w:p>
          <w:p>
            <w:pP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桌身结构：铝合金框架结构，左右工字脚之间通过前、中、后3条铝合金横梁由专用锁扣连接件连接，起到稳固桌子的作用，带钩式压紧锁扣连接件连接设计具有安装方便、连接牢固、表面无螺丝等特点。</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桌身材质及配件：</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1、前后横梁：采用60x40mm壁厚2.5mm的优质铝型材材料一次性成型，内设2条不低于2mm厚的加强筋，材料表面经过防腐氧化处理和纯环氧树脂塑粉高温固化处理，具有较强的耐蚀性及承重性。</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2、中横梁：采用110x16mm壁厚2mm的优质铝型材材料一次性成型，内设2条不低于2mm厚的加强筋，材料表面经过防腐氧化处理和纯环氧树脂塑粉高温固化处理，具有较强的耐蚀性及承重性。</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 、工字脚架：由立柱、上下支脚、桌脚加固件和脚套四部分组成。</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3.1、立柱：采用100x50mm壁厚不低于2.2mm的优质铝材材料，内设4根厚度不低于2mm的加强筋，材料表面经过防腐氧化处理和纯环氧树脂塑粉高温固化处理，具有较强的耐蚀性。</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3.2、上下支脚：采用3.5mm厚铝压铸模具一次性成型，压铸脚形状独特，造型美观.压铸脚料内部通过螺丝连接安装成型，牢固耐用，铝压铸脚前后端设计有塑料一次性成型的塑料材质防锈片。</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3.3、桌脚加固件：安装在上下支脚之间，采用PP工程塑料一次性注塑成型，厚度为12mm，高度为：550mm，宽度为：105mm，用于加固工字脚架，搭配工字脚支架，时尚元素与精致美感的完美结合，看上去即温馨又能带给您一种自然与现代的融合享受。</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3.4、脚套：采用PP改性材料，注塑模一次性成型，全部圆弧设计，总体结构既美观又安全，保证了孩子万一撞到桌脚也没有关系，设计安装程序从上往下放入式安装。</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4  书包斗：规格470*285*130mm，采用PP工程塑料一次性注塑成型，底部设有排水孔，斗的前端设有笔槽与橡皮擦架子，方便孩子放东西和孩子万一把水倒到抽屉里也能迅速排干水。</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产品特点：零甲醛、零污染、易擦洗、耐老化、环保、防水、可回收。</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106680</wp:posOffset>
                  </wp:positionH>
                  <wp:positionV relativeFrom="paragraph">
                    <wp:posOffset>2736850</wp:posOffset>
                  </wp:positionV>
                  <wp:extent cx="586105" cy="497205"/>
                  <wp:effectExtent l="0" t="0" r="8255" b="5715"/>
                  <wp:wrapNone/>
                  <wp:docPr id="7" name="图片_21"/>
                  <wp:cNvGraphicFramePr/>
                  <a:graphic xmlns:a="http://schemas.openxmlformats.org/drawingml/2006/main">
                    <a:graphicData uri="http://schemas.openxmlformats.org/drawingml/2006/picture">
                      <pic:pic xmlns:pic="http://schemas.openxmlformats.org/drawingml/2006/picture">
                        <pic:nvPicPr>
                          <pic:cNvPr id="7" name="图片_21"/>
                          <pic:cNvPicPr/>
                        </pic:nvPicPr>
                        <pic:blipFill>
                          <a:blip r:embed="rId65"/>
                          <a:stretch>
                            <a:fillRect/>
                          </a:stretch>
                        </pic:blipFill>
                        <pic:spPr>
                          <a:xfrm>
                            <a:off x="0" y="0"/>
                            <a:ext cx="586105" cy="4972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7149"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水槽</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 规格尺寸：左右500*前后600*高度780㎜。</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2 水槽内部尺寸：400mm*300mm*220mm。</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 水槽台面：采用PP工程塑料一次性注塑成型结合，黑色，水槽面部下沉式构造，使废水无法沿着桌面侵蚀柜体，后挡水边采用注塑一体化成型，带内部安装固件，前后边所有梯形片材与柜体连接，台盆面设安装水龙头与紧急洗眼器的安装孔，水槽前端设有凹形设计，方便操作者使用。</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4 水槽具有防止溢水功能，水槽内部设有一个水满到一定位置的时候，把水排到PP下水器进行排出，防止废水外溢。</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5 废水防臭器：构建组合成型的防臭防倒流装置，注塑模具一次性成型组合件，防止废气与废水倒灌。</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6 PP注塑成型自由转弯软管：采用PP材料注塑已形成形，吸塑PP软管节节可伸缩功能，规格1000任意伸缩长度，直径50mm。</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7 水槽柜底盖：PP材质，注塑模具一次成型，防锈、耐酸碱、防水、防潮、底部设有可调整高度的螺旋脚。</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8 柜门：PP材质，注塑一次性成型，无铰链设计，静音，270度打开，前后门工艺一致，永不生锈。</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9 门框及箱体：前后门框均采用PP工程塑料一次性注塑成型，箱体内衬宝钢数控型材支撑架，配以专用连接件进行组装连接.箱体为精钢配件与注塑组合件联合。</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69850</wp:posOffset>
                  </wp:positionH>
                  <wp:positionV relativeFrom="paragraph">
                    <wp:posOffset>1531620</wp:posOffset>
                  </wp:positionV>
                  <wp:extent cx="713105" cy="1092200"/>
                  <wp:effectExtent l="0" t="0" r="3175" b="5080"/>
                  <wp:wrapNone/>
                  <wp:docPr id="6" name="图片_14_SpCnt_2"/>
                  <wp:cNvGraphicFramePr/>
                  <a:graphic xmlns:a="http://schemas.openxmlformats.org/drawingml/2006/main">
                    <a:graphicData uri="http://schemas.openxmlformats.org/drawingml/2006/picture">
                      <pic:pic xmlns:pic="http://schemas.openxmlformats.org/drawingml/2006/picture">
                        <pic:nvPicPr>
                          <pic:cNvPr id="6" name="图片_14_SpCnt_2"/>
                          <pic:cNvPicPr/>
                        </pic:nvPicPr>
                        <pic:blipFill>
                          <a:blip r:embed="rId66"/>
                          <a:stretch>
                            <a:fillRect/>
                          </a:stretch>
                        </pic:blipFill>
                        <pic:spPr>
                          <a:xfrm>
                            <a:off x="0" y="0"/>
                            <a:ext cx="713105" cy="10922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21"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三联水嘴</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三口专用实验龙头：全铜质结构，铜管无痕迹弯制成型，陶瓷阀芯，鹅颈造型，节节出水口。</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张</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62865</wp:posOffset>
                  </wp:positionH>
                  <wp:positionV relativeFrom="paragraph">
                    <wp:posOffset>424815</wp:posOffset>
                  </wp:positionV>
                  <wp:extent cx="556260" cy="496570"/>
                  <wp:effectExtent l="0" t="0" r="7620" b="6350"/>
                  <wp:wrapNone/>
                  <wp:docPr id="1" name="图片_12_SpCnt_1"/>
                  <wp:cNvGraphicFramePr/>
                  <a:graphic xmlns:a="http://schemas.openxmlformats.org/drawingml/2006/main">
                    <a:graphicData uri="http://schemas.openxmlformats.org/drawingml/2006/picture">
                      <pic:pic xmlns:pic="http://schemas.openxmlformats.org/drawingml/2006/picture">
                        <pic:nvPicPr>
                          <pic:cNvPr id="1" name="图片_12_SpCnt_1"/>
                          <pic:cNvPicPr/>
                        </pic:nvPicPr>
                        <pic:blipFill>
                          <a:blip r:embed="rId67"/>
                          <a:stretch>
                            <a:fillRect/>
                          </a:stretch>
                        </pic:blipFill>
                        <pic:spPr>
                          <a:xfrm>
                            <a:off x="0" y="0"/>
                            <a:ext cx="556260" cy="4965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95"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控制系统</w:t>
            </w:r>
          </w:p>
        </w:tc>
      </w:tr>
      <w:tr>
        <w:tblPrEx>
          <w:tblLayout w:type="fixed"/>
          <w:tblCellMar>
            <w:top w:w="0" w:type="dxa"/>
            <w:left w:w="0" w:type="dxa"/>
            <w:bottom w:w="0" w:type="dxa"/>
            <w:right w:w="0" w:type="dxa"/>
          </w:tblCellMar>
        </w:tblPrEx>
        <w:trPr>
          <w:trHeight w:val="698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智能系统控制柜</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Style w:val="99"/>
                <w:rFonts w:hint="eastAsia" w:ascii="新宋体" w:hAnsi="新宋体" w:eastAsia="新宋体" w:cs="新宋体"/>
                <w:color w:val="auto"/>
                <w:sz w:val="22"/>
                <w:szCs w:val="22"/>
                <w:lang w:val="en-US" w:eastAsia="zh-CN" w:bidi="ar"/>
              </w:rPr>
              <w:t>规格：450*200*1100mm；</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风机控制系统1套。</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（1）电源控制系统：可以对220V进行控制，可以单独进行控制，进行单选、全选、反选，分组进行控制；</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（2）照明控制系统可以对照明进行控制，可以单独进行控制，进行单选、全选、反选，分组进行控制；</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(4)、智能摇臂控制系统：可以对摇臂进行控制，可以单独进行控制，进行单选、全选、反选，分组进行控制；</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5）通风控制系统：采用风机矢量控制变频器：应用空间电压矢量控制原理，采用模块化设计、双CPU控制，是集数字技术、计算机技术、现代自控技术于一体的高科技产品，具有精度高、噪音低、转矩大、性能可靠等特点。主要参数指标为：1.频率指示、异常指示、转速指示、状态指示等均由LED显示；2.输入额定电压：三相380V，±15%；3.输入额定频率：50/60 HZ；4.控制方式：空间电压矢量控制；5.输出频率：1.00~400.0 HZ；6.过载能力：150% 额定电流；7.保护功能：输入缺相、输入欠压、直流过压、过载等。</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控制系统：采用自主研发控制系统；</w:t>
            </w:r>
            <w:r>
              <w:rPr>
                <w:rStyle w:val="99"/>
                <w:rFonts w:hint="eastAsia" w:ascii="新宋体" w:hAnsi="新宋体" w:eastAsia="新宋体" w:cs="新宋体"/>
                <w:color w:val="auto"/>
                <w:sz w:val="22"/>
                <w:szCs w:val="22"/>
                <w:lang w:val="en-US" w:eastAsia="zh-CN" w:bidi="ar"/>
              </w:rPr>
              <w:br w:type="textWrapping"/>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79375</wp:posOffset>
                  </wp:positionH>
                  <wp:positionV relativeFrom="paragraph">
                    <wp:posOffset>3241040</wp:posOffset>
                  </wp:positionV>
                  <wp:extent cx="631825" cy="812165"/>
                  <wp:effectExtent l="0" t="0" r="8255" b="10795"/>
                  <wp:wrapNone/>
                  <wp:docPr id="4" name="Picture_1_SpCnt_1"/>
                  <wp:cNvGraphicFramePr/>
                  <a:graphic xmlns:a="http://schemas.openxmlformats.org/drawingml/2006/main">
                    <a:graphicData uri="http://schemas.openxmlformats.org/drawingml/2006/picture">
                      <pic:pic xmlns:pic="http://schemas.openxmlformats.org/drawingml/2006/picture">
                        <pic:nvPicPr>
                          <pic:cNvPr id="4" name="Picture_1_SpCnt_1"/>
                          <pic:cNvPicPr/>
                        </pic:nvPicPr>
                        <pic:blipFill>
                          <a:blip r:embed="rId68"/>
                          <a:stretch>
                            <a:fillRect/>
                          </a:stretch>
                        </pic:blipFill>
                        <pic:spPr>
                          <a:xfrm>
                            <a:off x="0" y="0"/>
                            <a:ext cx="631825" cy="81216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3038"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智能控制面板</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Style w:val="99"/>
                <w:rFonts w:hint="eastAsia" w:ascii="新宋体" w:hAnsi="新宋体" w:eastAsia="新宋体" w:cs="新宋体"/>
                <w:color w:val="auto"/>
                <w:sz w:val="22"/>
                <w:szCs w:val="22"/>
                <w:lang w:val="en-US" w:eastAsia="zh-CN" w:bidi="ar"/>
              </w:rPr>
              <w:t>规格：10寸一体电脑。（带两个开关，一个启动开关，一个紧急开关）</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▲集中控制系统。可执行各分项分页控制；</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（1）通风控制：触摸数字无极变频控制，具有频率数字显示功能，可精确控制通风风量；</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（2）供水控制：集中控制整室给排水；</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（3）照明控制：分组控制整室照明；</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 xml:space="preserve">（4）电源控制：控制学生AC220V电源； </w:t>
            </w:r>
            <w:r>
              <w:rPr>
                <w:rStyle w:val="99"/>
                <w:rFonts w:hint="eastAsia" w:ascii="新宋体" w:hAnsi="新宋体" w:eastAsia="新宋体" w:cs="新宋体"/>
                <w:color w:val="auto"/>
                <w:sz w:val="22"/>
                <w:szCs w:val="22"/>
                <w:lang w:val="en-US" w:eastAsia="zh-CN" w:bidi="ar"/>
              </w:rPr>
              <w:br w:type="textWrapping"/>
            </w:r>
            <w:r>
              <w:rPr>
                <w:rStyle w:val="99"/>
                <w:rFonts w:hint="eastAsia" w:ascii="新宋体" w:hAnsi="新宋体" w:eastAsia="新宋体" w:cs="新宋体"/>
                <w:color w:val="auto"/>
                <w:sz w:val="22"/>
                <w:szCs w:val="22"/>
                <w:lang w:val="en-US" w:eastAsia="zh-CN" w:bidi="ar"/>
              </w:rPr>
              <w:t>（5）摇臂控制：可以实现单个控制，可以集中控制，可以任意组合控制。</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509"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远程控制系统</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A、APP登入有网络注册功能，注册后登入系统操作，使用者忘记密码方便找回，同时方便升级系统，带来新的体验。</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B、 能使用APP能控制总电源关闭；</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C、 APP能显示当前温度、相对湿度及当前时间；</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D、 使用APP能控制学生低压电源的交流电压，且电压值为实测值。如APP给学生交流3V，学生电源电压实测电压为3V；</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E、 使用APP同时控制水电风光源开启与关闭，同时可以扩展功能（监控布防、空调控制等等）</w:t>
            </w:r>
            <w:r>
              <w:rPr>
                <w:rFonts w:hint="eastAsia" w:ascii="新宋体" w:hAnsi="新宋体" w:eastAsia="新宋体" w:cs="新宋体"/>
                <w:i w:val="0"/>
                <w:color w:val="auto"/>
                <w:kern w:val="0"/>
                <w:sz w:val="22"/>
                <w:szCs w:val="22"/>
                <w:u w:val="none"/>
                <w:lang w:val="en-US" w:eastAsia="zh-CN" w:bidi="ar"/>
              </w:rPr>
              <w:br w:type="textWrapping"/>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项</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9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温湿度监视系统</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内置精密温湿度传感装置，实时监控房间内的温度和湿度，保障室内舒适的环境舒适性，在触摸屏中实时显示当前环境的温度和湿度</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项</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732"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顶部集成系统</w:t>
            </w: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顶装主体框架</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规格：1520*575*290mm。整体采用3.0mm冷轧钢板，经激光雕刻机精细雕刻，数控折弯成型，表面经环氧树脂粉末喷涂高温固化处理。要做到承重性能强和耐酸碱、耐腐蚀。</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258445</wp:posOffset>
                  </wp:positionH>
                  <wp:positionV relativeFrom="paragraph">
                    <wp:posOffset>1728470</wp:posOffset>
                  </wp:positionV>
                  <wp:extent cx="337185" cy="998855"/>
                  <wp:effectExtent l="0" t="0" r="13335" b="6985"/>
                  <wp:wrapNone/>
                  <wp:docPr id="12" name="图片_9"/>
                  <wp:cNvGraphicFramePr/>
                  <a:graphic xmlns:a="http://schemas.openxmlformats.org/drawingml/2006/main">
                    <a:graphicData uri="http://schemas.openxmlformats.org/drawingml/2006/picture">
                      <pic:pic xmlns:pic="http://schemas.openxmlformats.org/drawingml/2006/picture">
                        <pic:nvPicPr>
                          <pic:cNvPr id="12" name="图片_9"/>
                          <pic:cNvPicPr/>
                        </pic:nvPicPr>
                        <pic:blipFill>
                          <a:blip r:embed="rId69"/>
                          <a:stretch>
                            <a:fillRect/>
                          </a:stretch>
                        </pic:blipFill>
                        <pic:spPr>
                          <a:xfrm>
                            <a:off x="0" y="0"/>
                            <a:ext cx="337185" cy="998855"/>
                          </a:xfrm>
                          <a:prstGeom prst="rect">
                            <a:avLst/>
                          </a:prstGeom>
                          <a:noFill/>
                          <a:ln>
                            <a:noFill/>
                          </a:ln>
                        </pic:spPr>
                      </pic:pic>
                    </a:graphicData>
                  </a:graphic>
                </wp:anchor>
              </w:drawing>
            </w: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60325</wp:posOffset>
                  </wp:positionH>
                  <wp:positionV relativeFrom="paragraph">
                    <wp:posOffset>358775</wp:posOffset>
                  </wp:positionV>
                  <wp:extent cx="708660" cy="794385"/>
                  <wp:effectExtent l="0" t="0" r="7620" b="13335"/>
                  <wp:wrapNone/>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70"/>
                          <a:stretch>
                            <a:fillRect/>
                          </a:stretch>
                        </pic:blipFill>
                        <pic:spPr>
                          <a:xfrm>
                            <a:off x="0" y="0"/>
                            <a:ext cx="708660" cy="7943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主体防尘保护罩</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规格：1400*430*150mm。整体采用PP材质，保护主体构架内的供应系统的安全，防止灰尘进入罩体内。</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摇臂智能升降系统</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Style w:val="99"/>
                <w:rFonts w:hint="eastAsia" w:ascii="新宋体" w:hAnsi="新宋体" w:eastAsia="新宋体" w:cs="新宋体"/>
                <w:color w:val="auto"/>
                <w:sz w:val="22"/>
                <w:szCs w:val="22"/>
                <w:lang w:val="en-US" w:eastAsia="zh-CN" w:bidi="ar"/>
              </w:rPr>
              <w:t>规格：1520*575*290mm。▲接收智能控制系统信号实现远程遥控，动力为直流24V低压电机推送杆，固定于3mm厚专用铝合金模具一体成型，外部保护罩为铝合金模具一次成型，摇臂上装电源、选配网络及上下水模块。</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上下水智能安装面板</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规格：215*240*88mm。接收智能化控制系统控制，主体采用铝合金材质，内部铝质框架，外壳采用ABS注塑成型，预留多个供应系统安装位置，水电分离设计，模块设计防水功能。</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多功能电源</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规格：65*65*8mm（2个/组）接收智能化控制系统控制，内含新国标多功能插座2个。</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急停装置</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铝合金材质，在水电系统出现故障时紧急制动，确保实验时安全。</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供电线路</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模块化设计，每组模块间采用活接式连接，方便安装、检修。采用2.5mm²电线进行系统布线（国标免检产品）。</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项</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智能照明</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接收智能化控制系统控制，功能面板采用1200*85mm，配置LED日光灯1根，每根15W，灯罩采用ABS一次成型，设计安装磨砂透明均光板，不仅能使光线扩散均匀更能起到安全防护作用。</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432435</wp:posOffset>
                  </wp:positionH>
                  <wp:positionV relativeFrom="paragraph">
                    <wp:posOffset>146685</wp:posOffset>
                  </wp:positionV>
                  <wp:extent cx="708660" cy="1616710"/>
                  <wp:effectExtent l="0" t="0" r="7620" b="13970"/>
                  <wp:wrapNone/>
                  <wp:docPr id="3" name="图片_10"/>
                  <wp:cNvGraphicFramePr/>
                  <a:graphic xmlns:a="http://schemas.openxmlformats.org/drawingml/2006/main">
                    <a:graphicData uri="http://schemas.openxmlformats.org/drawingml/2006/picture">
                      <pic:pic xmlns:pic="http://schemas.openxmlformats.org/drawingml/2006/picture">
                        <pic:nvPicPr>
                          <pic:cNvPr id="3" name="图片_10"/>
                          <pic:cNvPicPr/>
                        </pic:nvPicPr>
                        <pic:blipFill>
                          <a:blip r:embed="rId71"/>
                          <a:stretch>
                            <a:fillRect/>
                          </a:stretch>
                        </pic:blipFill>
                        <pic:spPr>
                          <a:xfrm>
                            <a:off x="0" y="0"/>
                            <a:ext cx="708660" cy="1616710"/>
                          </a:xfrm>
                          <a:prstGeom prst="rect">
                            <a:avLst/>
                          </a:prstGeom>
                          <a:noFill/>
                          <a:ln>
                            <a:noFill/>
                          </a:ln>
                        </pic:spPr>
                      </pic:pic>
                    </a:graphicData>
                  </a:graphic>
                </wp:anchor>
              </w:drawing>
            </w: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自动给排水系统</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自动排水模块1组、水模拟量控制器1组、电源控制器1套、自动保护系统1组。</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所有排水由智能化控制系统集中控制，三联高低位龙头处设置排水接口，接口与学生水槽柜采用优质硅胶软管（具有防酸、防碱、耐腐蚀功能）连接，接口均采用自动锁紧插拔式连接方式（拔掉时没有污水流出），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自动给排水接口</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接收智能化控制系统控制，功能面板采用钢制面板，每组功能板上预留不锈钢快速给排水接口1对。并配置配套给排水软管2根。快速给水接口5mm厚304不锈钢材质，带自动止水功能，表面抛光拉丝处理。快速排水接口采用PP材质专用接口。</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973"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万向抽气罩</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 xml:space="preserve">关节：高密度PP材质，可360度旋转调节方向，以固定架为中心最大活动半径可达1630mm。 </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关节密封圈：高密度橡胶不易老化，安装在两关节内，起易旋转及密封作用。</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固定架：高密度PP材质，用M8膨胀螺钉固定于实验室屋顶易拆卸、重组及清洗。</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全室通风管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主风管直径300，支风管直径200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风机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防腐蚀的离心式变频调速风机，4KW，6号风机。机壳及叶片材质均采用耐酸碱腐蚀、抗高压的UPVC材料加工制作，噪音不高于60分贝，换气每小时20次以上。</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风机控制系统</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采用高级电子集成电路，无级变频调速，随意控制风机风速和风量大小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给水布管</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给水主管选用φ20-32mmPP-R给水管，模块化设计，每组模块间采用活接式连接，方便安装、检修。</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项</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排水布管</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排水管选用加厚φ50-75mmPVC-U国标管（具有防酸、防碱、耐腐蚀功能），模块化设计，每组模块间采用活接式连接，方便安装、检修。</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项</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学生端分组控制系统</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每组模块单独设置独立控制装置，包含独立摇臂、独立上水、独立排水、独立电源，每个装置的每个小组可以单独开启、关闭，安全性高、实用性强。</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项</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04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安装调试</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1、吊顶式安装系统采用模块化结构设计，采用吊装安装方式；</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2、系统结构安装调试；</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3、系统控制安装调试；</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4、给排水安装调试；</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5、供电系统安装调试；</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6、照明系统安装调试。</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24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系统安装辅件</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采用双槽钢横梁吊装方式，减少楼板承重，防止左右晃动，可进行上下、左右的平衡调节，实验功能板离地2m左右。主要辅件有：槽钢、三角构件、直角座、龙骨架连接件、吊装挂件、安装连接板等。</w:t>
            </w:r>
          </w:p>
        </w:tc>
        <w:tc>
          <w:tcPr>
            <w:tcW w:w="7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项</w:t>
            </w:r>
          </w:p>
        </w:tc>
        <w:tc>
          <w:tcPr>
            <w:tcW w:w="6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613"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仪器类</w:t>
            </w: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打孔器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四件</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打孔夹板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打孔器刮刀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手摇钻孔器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电动钻孔器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仪器车</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辆</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电动离心机</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 xml:space="preserve"> </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离心沉淀器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手摇式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磁力加热搅拌器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酒精喷灯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坐式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电加热器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密封式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蒸馏水器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 xml:space="preserve"> </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列管式烘干器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烘干箱</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注射器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10mL，塑料</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塑料洗瓶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试剂瓶托盘</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实验用品提篮</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塑料水槽</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250mm×180mm×100mm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碘升华凝华管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密封式</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方座支架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万能夹</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三脚架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泥三角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试管架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漏斗架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滴定台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滴定夹</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多用滴管架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学生电源</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Style w:val="99"/>
                <w:rFonts w:hint="eastAsia" w:ascii="新宋体" w:hAnsi="新宋体" w:eastAsia="新宋体" w:cs="新宋体"/>
                <w:color w:val="auto"/>
                <w:sz w:val="22"/>
                <w:szCs w:val="22"/>
                <w:lang w:val="en-US" w:eastAsia="zh-CN" w:bidi="ar"/>
              </w:rPr>
              <w:t>直流</w:t>
            </w:r>
            <w:r>
              <w:rPr>
                <w:rStyle w:val="100"/>
                <w:rFonts w:hint="eastAsia" w:ascii="新宋体" w:hAnsi="新宋体" w:eastAsia="新宋体" w:cs="新宋体"/>
                <w:color w:val="auto"/>
                <w:sz w:val="22"/>
                <w:szCs w:val="22"/>
                <w:lang w:val="en-US" w:eastAsia="zh-CN" w:bidi="ar"/>
              </w:rPr>
              <w:t xml:space="preserve"> </w:t>
            </w:r>
            <w:r>
              <w:rPr>
                <w:rStyle w:val="99"/>
                <w:rFonts w:hint="eastAsia" w:ascii="新宋体" w:hAnsi="新宋体" w:eastAsia="新宋体" w:cs="新宋体"/>
                <w:color w:val="auto"/>
                <w:sz w:val="22"/>
                <w:szCs w:val="22"/>
                <w:lang w:val="en-US" w:eastAsia="zh-CN" w:bidi="ar"/>
              </w:rPr>
              <w:t>1.5V～9V，1.5A，每1.5V一档</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教学电源</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交流 2V～12V，5A，每2V一档；                      直流 1.5V～12V，2A，分为1.5V、3V、4.5V、6V、9V、12V，共六档</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托盘天平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100g，0.1g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托盘天平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500g，0.5g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电子天平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100g，0.001g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电子天平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400g，0.1g</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温度计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红液，0℃～100℃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温度计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水银，0℃～200℃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数字测温计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-30℃～+200℃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多用电表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不低于模拟式电表的交流5级，直流2.5级</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密度计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密度＞1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密度计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密度＜1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酸度计(pH计)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笔式，测量范围pH0.0～14.0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水电解演示器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 xml:space="preserve">30mL，铂电极 </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水电解实验器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原电池实验器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分子间隔实验器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件</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溶液导电演示器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金刚石结构模型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演示用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石墨结构模型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演示用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碳-60结构模型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演示用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氯化钠晶体结构模型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演示用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碳的同素异形体结构模型</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包括金刚石、石墨、碳-60三种结构模型；小型，球管式，可拆卸</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金属矿物、金属及合金标本</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各类不少于5种</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原油常见馏分标本</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不少于8种</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合成有机高分子材料标本</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不少于10种</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新型无机非金属材料标本</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氧化铝陶瓷、氮化硅陶瓷、光导纤维等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走进化学实验室</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身边的化学物质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物质构成的奥秘</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化学与社会发展</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量筒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量筒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量筒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量筒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量杯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容量瓶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容量瓶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滴定管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酸式，25mL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滴定管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碱式，25mL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φ12mm×70mm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φ15mm×150mm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φ18mm×180mm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φ20mm×200mm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φ32mm×200mm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具支试管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φ20mm×200mm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硬质玻璃管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φ15mm×150mm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硬质玻璃管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φ20mm×250mm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圆、长，250mL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平、长，250mL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锥形瓶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锥形瓶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蒸馏烧瓶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酒精灯</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抽滤瓶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抽气管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干燥器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气体发生器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冷凝器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直固，300mm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牛角管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弯形，φ18mm×150mm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漏斗</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漏斗</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安全漏斗</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直形</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安全漏斗</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双球</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分液漏斗</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锥形，100mL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分液漏斗</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梨形，50mL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布氏漏斗</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瓷，80mm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T形管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Y形管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滴管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离心管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干燥管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单球，150mm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干燥管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U型，φ15mm×150mm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活塞</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直形</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圆水槽</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φ200mm×100mm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圆水槽</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φ270mm×140mm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玻璃钟罩</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φ150mm×280mm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集气瓶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125mL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集气瓶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液封除毒气集气瓶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广口瓶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广口瓶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125mL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广口瓶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广口瓶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广口瓶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茶，60mL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广口瓶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茶，125mL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广口瓶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127"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125mL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9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9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茶，60mL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茶，125mL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茶，250mL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茶，500mL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细口瓶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茶，1000mL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滴瓶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滴瓶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滴瓶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茶，30mL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滴瓶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茶，60mL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坩埚</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瓷，30mL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坩埚钳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烧杯夹</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镊子</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试管夹</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43"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水止皮管夹</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螺旋皮管夹</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石棉网</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燃烧匙</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药匙</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玻璃管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φ5mm～φ6mm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千克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玻璃管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φ7mm～φ8mm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千克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玻璃棒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φ3mm～φ4mm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千克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玻璃棒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φ5mm～φ6mm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千克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软胶塞</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千克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橡胶管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千克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乳胶管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试管刷</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烧瓶刷</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结晶皿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表面皿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表面皿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研钵</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瓷，60mm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研钵</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瓷，90mm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蒸发皿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瓷，60mm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蒸发皿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瓷，100mm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反应板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至少6穴</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井穴板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9孔，0.7mL×9</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井穴板</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6孔，5mL×6，附带双导气管的井穴塞</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塑料多用滴管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4mL</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铝片</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169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铝箔</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铝丝</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锌粒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还原铁粉</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铁丝</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锡粒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铅粒</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紫铜片</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铜丝</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碘</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179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活性炭</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二氧化锰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三氧化二铁</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氧化铜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氯化钾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氯化钠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氯化钠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氯化钙</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无水氯化钙</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氯化镁</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189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三氯化铁</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氯化铵</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碘化钾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硫酸钾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硫酸铝</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硫酸铜(蓝矾、胆矾)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硫酸铵</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硫酸铝钾(明矾)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无水硫酸铜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碳酸钾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199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碳酸钠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碳酸氢钠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大理石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碳酸氢铵</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碱式碳酸铜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硝酸银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乙酸铅</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氢氧化钡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氨水</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氧化钙(生石灰)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氢氧化钙(熟石灰)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碱石灰</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无水乙酸钠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柠檬酸钠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葡萄糖</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蔗糖</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酒精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千克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煤油</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石蕊</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指示剂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酚酞</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指示剂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219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品红</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染料</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pH广范围试纸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1～14</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本</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蓝石蕊试纸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本</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红石蕊试纸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本</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定性滤纸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盒</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汽油</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丙酮</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红(赤)磷</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硫粉</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镁条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229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铝粉</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黄(白)磷</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过氧化氢</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试剂，30%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氯酸钾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高锰酸钾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硝酸铵</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硝酸钾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硝酸钠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硝酸汞</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硝酸钡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239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草酸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氯化钡</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硝酸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硫酸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硫酸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盐酸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盐酸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甲酸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乙酸</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毫升</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氢氧化钾</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249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氢氧化钠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试剂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氢氧化钠</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工业</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克</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2000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初中化学实验材料</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Style w:val="99"/>
                <w:rFonts w:hint="eastAsia" w:ascii="新宋体" w:hAnsi="新宋体" w:eastAsia="新宋体" w:cs="新宋体"/>
                <w:color w:val="auto"/>
                <w:sz w:val="22"/>
                <w:szCs w:val="22"/>
                <w:lang w:val="en-US" w:eastAsia="zh-CN" w:bidi="ar"/>
              </w:rPr>
              <w:t>黄铜片、</w:t>
            </w:r>
            <w:r>
              <w:rPr>
                <w:rStyle w:val="100"/>
                <w:rFonts w:hint="eastAsia" w:ascii="新宋体" w:hAnsi="新宋体" w:eastAsia="新宋体" w:cs="新宋体"/>
                <w:color w:val="auto"/>
                <w:sz w:val="22"/>
                <w:szCs w:val="22"/>
                <w:lang w:val="en-US" w:eastAsia="zh-CN" w:bidi="ar"/>
              </w:rPr>
              <w:t xml:space="preserve"> </w:t>
            </w:r>
            <w:r>
              <w:rPr>
                <w:rStyle w:val="99"/>
                <w:rFonts w:hint="eastAsia" w:ascii="新宋体" w:hAnsi="新宋体" w:eastAsia="新宋体" w:cs="新宋体"/>
                <w:color w:val="auto"/>
                <w:sz w:val="22"/>
                <w:szCs w:val="22"/>
                <w:lang w:val="en-US" w:eastAsia="zh-CN" w:bidi="ar"/>
              </w:rPr>
              <w:t>火柴、</w:t>
            </w:r>
            <w:r>
              <w:rPr>
                <w:rStyle w:val="100"/>
                <w:rFonts w:hint="eastAsia" w:ascii="新宋体" w:hAnsi="新宋体" w:eastAsia="新宋体" w:cs="新宋体"/>
                <w:color w:val="auto"/>
                <w:sz w:val="22"/>
                <w:szCs w:val="22"/>
                <w:lang w:val="en-US" w:eastAsia="zh-CN" w:bidi="ar"/>
              </w:rPr>
              <w:t xml:space="preserve"> </w:t>
            </w:r>
            <w:r>
              <w:rPr>
                <w:rStyle w:val="99"/>
                <w:rFonts w:hint="eastAsia" w:ascii="新宋体" w:hAnsi="新宋体" w:eastAsia="新宋体" w:cs="新宋体"/>
                <w:color w:val="auto"/>
                <w:sz w:val="22"/>
                <w:szCs w:val="22"/>
                <w:lang w:val="en-US" w:eastAsia="zh-CN" w:bidi="ar"/>
              </w:rPr>
              <w:t>蜡烛、</w:t>
            </w:r>
            <w:r>
              <w:rPr>
                <w:rStyle w:val="100"/>
                <w:rFonts w:hint="eastAsia" w:ascii="新宋体" w:hAnsi="新宋体" w:eastAsia="新宋体" w:cs="新宋体"/>
                <w:color w:val="auto"/>
                <w:sz w:val="22"/>
                <w:szCs w:val="22"/>
                <w:lang w:val="en-US" w:eastAsia="zh-CN" w:bidi="ar"/>
              </w:rPr>
              <w:t xml:space="preserve"> </w:t>
            </w:r>
            <w:r>
              <w:rPr>
                <w:rStyle w:val="99"/>
                <w:rFonts w:hint="eastAsia" w:ascii="新宋体" w:hAnsi="新宋体" w:eastAsia="新宋体" w:cs="新宋体"/>
                <w:color w:val="auto"/>
                <w:sz w:val="22"/>
                <w:szCs w:val="22"/>
                <w:lang w:val="en-US" w:eastAsia="zh-CN" w:bidi="ar"/>
              </w:rPr>
              <w:t>剪刀、</w:t>
            </w:r>
            <w:r>
              <w:rPr>
                <w:rStyle w:val="100"/>
                <w:rFonts w:hint="eastAsia" w:ascii="新宋体" w:hAnsi="新宋体" w:eastAsia="新宋体" w:cs="新宋体"/>
                <w:color w:val="auto"/>
                <w:sz w:val="22"/>
                <w:szCs w:val="22"/>
                <w:lang w:val="en-US" w:eastAsia="zh-CN" w:bidi="ar"/>
              </w:rPr>
              <w:t xml:space="preserve"> </w:t>
            </w:r>
            <w:r>
              <w:rPr>
                <w:rStyle w:val="99"/>
                <w:rFonts w:hint="eastAsia" w:ascii="新宋体" w:hAnsi="新宋体" w:eastAsia="新宋体" w:cs="新宋体"/>
                <w:color w:val="auto"/>
                <w:sz w:val="22"/>
                <w:szCs w:val="22"/>
                <w:lang w:val="en-US" w:eastAsia="zh-CN" w:bidi="ar"/>
              </w:rPr>
              <w:t>焊锡、炭棒、导线、电灯泡、木板、电池、电珠、砂纸等</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份</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一字螺丝刀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十字螺丝刀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支</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钢丝钳</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手锤</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锉刀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剪刀</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把</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玻璃瓶盖开启器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259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玻璃管切割器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工作服</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防酸碱</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件</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护目镜</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侧面完全遮挡</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52</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防护面罩</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防毒口罩</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耐酸手套</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双</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洗眼器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简易急救箱</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件</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实验防护屏</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件</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86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268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气体爆炸装置（带样品）</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在氢氧爆燃实验仪中注入一定量的H2和O2，充分混合后，利用压电点火器进行放电，将观察到爆炸的效果，同时使H2和O2以2:1比例化合为2个气态H2O。</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特点</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 xml:space="preserve"> *能够演示H2、O2混合气体放电爆炸。有轨活塞结构，爆炸可控，使用安全。</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*能够用实验证明H2和O2以2:1的比例化合生成水H2O。</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*能够根据Gay-Lussac定律研究爆炸时的温度（近似）。</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*通过反复多次实验，可以用肉眼观察到2种气体化合产生的水。</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*能够将H、O化合生成的H2O，通过绝热膨胀变成雾。</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构成</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氢氧爆燃实验仪，注射器(20mL,1个)，润滑油（10mL）</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规格：130mm×680mm×110mm</w:t>
            </w:r>
            <w:r>
              <w:rPr>
                <w:rFonts w:hint="eastAsia" w:ascii="新宋体" w:hAnsi="新宋体" w:eastAsia="新宋体" w:cs="新宋体"/>
                <w:i w:val="0"/>
                <w:color w:val="auto"/>
                <w:kern w:val="0"/>
                <w:sz w:val="22"/>
                <w:szCs w:val="22"/>
                <w:u w:val="none"/>
                <w:lang w:val="en-US" w:eastAsia="zh-CN" w:bidi="ar"/>
              </w:rPr>
              <w:br w:type="textWrapping"/>
            </w:r>
            <w:r>
              <w:rPr>
                <w:rFonts w:hint="eastAsia" w:ascii="新宋体" w:hAnsi="新宋体" w:eastAsia="新宋体" w:cs="新宋体"/>
                <w:i w:val="0"/>
                <w:color w:val="auto"/>
                <w:kern w:val="0"/>
                <w:sz w:val="22"/>
                <w:szCs w:val="22"/>
                <w:u w:val="none"/>
                <w:lang w:val="en-US" w:eastAsia="zh-CN" w:bidi="ar"/>
              </w:rPr>
              <w:t>*配合新型启普发生器可更好地收集气体，进行H2、O2混合气体放电爆炸实验。</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72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数字采集端</w:t>
            </w: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便携式数据采集器（含配套软件）</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Style w:val="101"/>
                <w:rFonts w:hint="eastAsia" w:ascii="新宋体" w:hAnsi="新宋体" w:eastAsia="新宋体" w:cs="新宋体"/>
                <w:color w:val="auto"/>
                <w:sz w:val="22"/>
                <w:szCs w:val="22"/>
                <w:lang w:val="en-US" w:eastAsia="zh-CN" w:bidi="ar"/>
              </w:rPr>
              <w:t>android安卓操作系统；电容触摸屏，支持多点触控；平板式真彩屏，分辨率不得低于</w:t>
            </w:r>
            <w:r>
              <w:rPr>
                <w:rStyle w:val="102"/>
                <w:rFonts w:hint="eastAsia" w:ascii="新宋体" w:hAnsi="新宋体" w:eastAsia="新宋体" w:cs="新宋体"/>
                <w:color w:val="auto"/>
                <w:sz w:val="22"/>
                <w:szCs w:val="22"/>
                <w:lang w:val="en-US" w:eastAsia="zh-CN" w:bidi="ar"/>
              </w:rPr>
              <w:t>1024*600</w:t>
            </w:r>
            <w:r>
              <w:rPr>
                <w:rStyle w:val="101"/>
                <w:rFonts w:hint="eastAsia" w:ascii="新宋体" w:hAnsi="新宋体" w:eastAsia="新宋体" w:cs="新宋体"/>
                <w:color w:val="auto"/>
                <w:sz w:val="22"/>
                <w:szCs w:val="22"/>
                <w:lang w:val="en-US" w:eastAsia="zh-CN" w:bidi="ar"/>
              </w:rPr>
              <w:t>；，</w:t>
            </w:r>
            <w:r>
              <w:rPr>
                <w:rStyle w:val="102"/>
                <w:rFonts w:hint="eastAsia" w:ascii="新宋体" w:hAnsi="新宋体" w:eastAsia="新宋体" w:cs="新宋体"/>
                <w:color w:val="auto"/>
                <w:sz w:val="22"/>
                <w:szCs w:val="22"/>
                <w:lang w:val="en-US" w:eastAsia="zh-CN" w:bidi="ar"/>
              </w:rPr>
              <w:t>1G</w:t>
            </w:r>
            <w:r>
              <w:rPr>
                <w:rStyle w:val="101"/>
                <w:rFonts w:hint="eastAsia" w:ascii="新宋体" w:hAnsi="新宋体" w:eastAsia="新宋体" w:cs="新宋体"/>
                <w:color w:val="auto"/>
                <w:sz w:val="22"/>
                <w:szCs w:val="22"/>
                <w:lang w:val="en-US" w:eastAsia="zh-CN" w:bidi="ar"/>
              </w:rPr>
              <w:t>内存，大容量硬盘；内置无线蓝牙模块、无线网卡；内置素高清摄像头； 含耳机插孔；支持网络视频聊天、无线上网、蓝牙无线传输、纯屏触摸、手写板输入；支持与传感器无线传输，</w:t>
            </w:r>
            <w:r>
              <w:rPr>
                <w:rStyle w:val="99"/>
                <w:rFonts w:hint="eastAsia" w:ascii="新宋体" w:hAnsi="新宋体" w:eastAsia="新宋体" w:cs="新宋体"/>
                <w:color w:val="auto"/>
                <w:sz w:val="22"/>
                <w:szCs w:val="22"/>
                <w:lang w:val="en-US" w:eastAsia="zh-CN" w:bidi="ar"/>
              </w:rPr>
              <w:t>传感器自动识别</w:t>
            </w:r>
            <w:r>
              <w:rPr>
                <w:rStyle w:val="101"/>
                <w:rFonts w:hint="eastAsia" w:ascii="新宋体" w:hAnsi="新宋体" w:eastAsia="新宋体" w:cs="新宋体"/>
                <w:color w:val="auto"/>
                <w:sz w:val="22"/>
                <w:szCs w:val="22"/>
                <w:lang w:val="en-US" w:eastAsia="zh-CN" w:bidi="ar"/>
              </w:rPr>
              <w:t>；含高容量锂电池；</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台</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数据采集器</w:t>
            </w:r>
          </w:p>
        </w:tc>
        <w:tc>
          <w:tcPr>
            <w:tcW w:w="60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不带屏,在连接计算机的状态下进行实验，传感器自动识别，即插即用，7个传感器接口，可同时采集不同的数据，支持USB接口，可通过USB方式直接供电，可自动升级以支持新开发的传感器或新增加的功能。</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92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数字化传感器</w:t>
            </w:r>
          </w:p>
        </w:tc>
      </w:tr>
      <w:tr>
        <w:tblPrEx>
          <w:tblLayout w:type="fixed"/>
          <w:tblCellMar>
            <w:top w:w="0" w:type="dxa"/>
            <w:left w:w="0" w:type="dxa"/>
            <w:bottom w:w="0" w:type="dxa"/>
            <w:right w:w="0" w:type="dxa"/>
          </w:tblCellMar>
        </w:tblPrEx>
        <w:trPr>
          <w:trHeight w:val="398"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无线带屏电压传感器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Style w:val="101"/>
                <w:rFonts w:hint="eastAsia" w:ascii="新宋体" w:hAnsi="新宋体" w:eastAsia="新宋体" w:cs="新宋体"/>
                <w:color w:val="auto"/>
                <w:sz w:val="22"/>
                <w:szCs w:val="22"/>
                <w:lang w:val="en-US" w:eastAsia="zh-CN" w:bidi="ar"/>
              </w:rPr>
              <w:t>分辨率：</w:t>
            </w:r>
            <w:r>
              <w:rPr>
                <w:rStyle w:val="102"/>
                <w:rFonts w:hint="eastAsia" w:ascii="新宋体" w:hAnsi="新宋体" w:eastAsia="新宋体" w:cs="新宋体"/>
                <w:color w:val="auto"/>
                <w:sz w:val="22"/>
                <w:szCs w:val="22"/>
                <w:lang w:val="en-US" w:eastAsia="zh-CN" w:bidi="ar"/>
              </w:rPr>
              <w:t>0.01V</w:t>
            </w:r>
            <w:r>
              <w:rPr>
                <w:rStyle w:val="101"/>
                <w:rFonts w:hint="eastAsia" w:ascii="新宋体" w:hAnsi="新宋体" w:eastAsia="新宋体" w:cs="新宋体"/>
                <w:color w:val="auto"/>
                <w:sz w:val="22"/>
                <w:szCs w:val="22"/>
                <w:lang w:val="en-US" w:eastAsia="zh-CN" w:bidi="ar"/>
              </w:rPr>
              <w:t>量  程：±</w:t>
            </w:r>
            <w:r>
              <w:rPr>
                <w:rStyle w:val="102"/>
                <w:rFonts w:hint="eastAsia" w:ascii="新宋体" w:hAnsi="新宋体" w:eastAsia="新宋体" w:cs="新宋体"/>
                <w:color w:val="auto"/>
                <w:sz w:val="22"/>
                <w:szCs w:val="22"/>
                <w:lang w:val="en-US" w:eastAsia="zh-CN" w:bidi="ar"/>
              </w:rPr>
              <w:t xml:space="preserve">10V  </w:t>
            </w:r>
            <w:r>
              <w:rPr>
                <w:rStyle w:val="101"/>
                <w:rFonts w:hint="eastAsia" w:ascii="新宋体" w:hAnsi="新宋体" w:eastAsia="新宋体" w:cs="新宋体"/>
                <w:color w:val="auto"/>
                <w:sz w:val="22"/>
                <w:szCs w:val="22"/>
                <w:lang w:val="en-US" w:eastAsia="zh-CN" w:bidi="ar"/>
              </w:rPr>
              <w:t>传感器为一体化设计；内置</w:t>
            </w:r>
            <w:r>
              <w:rPr>
                <w:rStyle w:val="102"/>
                <w:rFonts w:hint="eastAsia" w:ascii="新宋体" w:hAnsi="新宋体" w:eastAsia="新宋体" w:cs="新宋体"/>
                <w:color w:val="auto"/>
                <w:sz w:val="22"/>
                <w:szCs w:val="22"/>
                <w:lang w:val="en-US" w:eastAsia="zh-CN" w:bidi="ar"/>
              </w:rPr>
              <w:t>LED</w:t>
            </w:r>
            <w:r>
              <w:rPr>
                <w:rStyle w:val="101"/>
                <w:rFonts w:hint="eastAsia" w:ascii="新宋体" w:hAnsi="新宋体" w:eastAsia="新宋体" w:cs="新宋体"/>
                <w:color w:val="auto"/>
                <w:sz w:val="22"/>
                <w:szCs w:val="22"/>
                <w:lang w:val="en-US" w:eastAsia="zh-CN" w:bidi="ar"/>
              </w:rPr>
              <w:t>显示屏；</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接口，能与普通电脑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口直接连接采集实验数据；传感器内置无线模块，通过</w:t>
            </w:r>
            <w:r>
              <w:rPr>
                <w:rStyle w:val="102"/>
                <w:rFonts w:hint="eastAsia" w:ascii="新宋体" w:hAnsi="新宋体" w:eastAsia="新宋体" w:cs="新宋体"/>
                <w:color w:val="auto"/>
                <w:sz w:val="22"/>
                <w:szCs w:val="22"/>
                <w:lang w:val="en-US" w:eastAsia="zh-CN" w:bidi="ar"/>
              </w:rPr>
              <w:t>2.4G</w:t>
            </w:r>
            <w:r>
              <w:rPr>
                <w:rStyle w:val="101"/>
                <w:rFonts w:hint="eastAsia" w:ascii="新宋体" w:hAnsi="新宋体" w:eastAsia="新宋体" w:cs="新宋体"/>
                <w:color w:val="auto"/>
                <w:sz w:val="22"/>
                <w:szCs w:val="22"/>
                <w:lang w:val="en-US" w:eastAsia="zh-CN" w:bidi="ar"/>
              </w:rPr>
              <w:t>无线传输实验数据；自带充电锂电池；使用</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线可直接通过电脑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无线带屏电流传感器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Style w:val="101"/>
                <w:rFonts w:hint="eastAsia" w:ascii="新宋体" w:hAnsi="新宋体" w:eastAsia="新宋体" w:cs="新宋体"/>
                <w:color w:val="auto"/>
                <w:sz w:val="22"/>
                <w:szCs w:val="22"/>
                <w:lang w:val="en-US" w:eastAsia="zh-CN" w:bidi="ar"/>
              </w:rPr>
              <w:t>分辨率：</w:t>
            </w:r>
            <w:r>
              <w:rPr>
                <w:rStyle w:val="102"/>
                <w:rFonts w:hint="eastAsia" w:ascii="新宋体" w:hAnsi="新宋体" w:eastAsia="新宋体" w:cs="新宋体"/>
                <w:color w:val="auto"/>
                <w:sz w:val="22"/>
                <w:szCs w:val="22"/>
                <w:lang w:val="en-US" w:eastAsia="zh-CN" w:bidi="ar"/>
              </w:rPr>
              <w:t>0.01A</w:t>
            </w:r>
            <w:r>
              <w:rPr>
                <w:rStyle w:val="101"/>
                <w:rFonts w:hint="eastAsia" w:ascii="新宋体" w:hAnsi="新宋体" w:eastAsia="新宋体" w:cs="新宋体"/>
                <w:color w:val="auto"/>
                <w:sz w:val="22"/>
                <w:szCs w:val="22"/>
                <w:lang w:val="en-US" w:eastAsia="zh-CN" w:bidi="ar"/>
              </w:rPr>
              <w:t>量  程：±</w:t>
            </w:r>
            <w:r>
              <w:rPr>
                <w:rStyle w:val="102"/>
                <w:rFonts w:hint="eastAsia" w:ascii="新宋体" w:hAnsi="新宋体" w:eastAsia="新宋体" w:cs="新宋体"/>
                <w:color w:val="auto"/>
                <w:sz w:val="22"/>
                <w:szCs w:val="22"/>
                <w:lang w:val="en-US" w:eastAsia="zh-CN" w:bidi="ar"/>
              </w:rPr>
              <w:t xml:space="preserve">1A    </w:t>
            </w:r>
            <w:r>
              <w:rPr>
                <w:rStyle w:val="101"/>
                <w:rFonts w:hint="eastAsia" w:ascii="新宋体" w:hAnsi="新宋体" w:eastAsia="新宋体" w:cs="新宋体"/>
                <w:color w:val="auto"/>
                <w:sz w:val="22"/>
                <w:szCs w:val="22"/>
                <w:lang w:val="en-US" w:eastAsia="zh-CN" w:bidi="ar"/>
              </w:rPr>
              <w:t>传感器为一体化设计；内置</w:t>
            </w:r>
            <w:r>
              <w:rPr>
                <w:rStyle w:val="102"/>
                <w:rFonts w:hint="eastAsia" w:ascii="新宋体" w:hAnsi="新宋体" w:eastAsia="新宋体" w:cs="新宋体"/>
                <w:color w:val="auto"/>
                <w:sz w:val="22"/>
                <w:szCs w:val="22"/>
                <w:lang w:val="en-US" w:eastAsia="zh-CN" w:bidi="ar"/>
              </w:rPr>
              <w:t>LED</w:t>
            </w:r>
            <w:r>
              <w:rPr>
                <w:rStyle w:val="101"/>
                <w:rFonts w:hint="eastAsia" w:ascii="新宋体" w:hAnsi="新宋体" w:eastAsia="新宋体" w:cs="新宋体"/>
                <w:color w:val="auto"/>
                <w:sz w:val="22"/>
                <w:szCs w:val="22"/>
                <w:lang w:val="en-US" w:eastAsia="zh-CN" w:bidi="ar"/>
              </w:rPr>
              <w:t>显示屏；</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接口，能与普通电脑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口直接连接采集实验数据；传感器内置无线模块，通过</w:t>
            </w:r>
            <w:r>
              <w:rPr>
                <w:rStyle w:val="102"/>
                <w:rFonts w:hint="eastAsia" w:ascii="新宋体" w:hAnsi="新宋体" w:eastAsia="新宋体" w:cs="新宋体"/>
                <w:color w:val="auto"/>
                <w:sz w:val="22"/>
                <w:szCs w:val="22"/>
                <w:lang w:val="en-US" w:eastAsia="zh-CN" w:bidi="ar"/>
              </w:rPr>
              <w:t>2.4G</w:t>
            </w:r>
            <w:r>
              <w:rPr>
                <w:rStyle w:val="101"/>
                <w:rFonts w:hint="eastAsia" w:ascii="新宋体" w:hAnsi="新宋体" w:eastAsia="新宋体" w:cs="新宋体"/>
                <w:color w:val="auto"/>
                <w:sz w:val="22"/>
                <w:szCs w:val="22"/>
                <w:lang w:val="en-US" w:eastAsia="zh-CN" w:bidi="ar"/>
              </w:rPr>
              <w:t>无线传输实验数据；自带充电锂电池；使用</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线可直接通过电脑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无线带屏温度传感器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Style w:val="101"/>
                <w:rFonts w:hint="eastAsia" w:ascii="新宋体" w:hAnsi="新宋体" w:eastAsia="新宋体" w:cs="新宋体"/>
                <w:color w:val="auto"/>
                <w:sz w:val="22"/>
                <w:szCs w:val="22"/>
                <w:lang w:val="en-US" w:eastAsia="zh-CN" w:bidi="ar"/>
              </w:rPr>
              <w:t>分辨率：</w:t>
            </w:r>
            <w:r>
              <w:rPr>
                <w:rStyle w:val="102"/>
                <w:rFonts w:hint="eastAsia" w:ascii="新宋体" w:hAnsi="新宋体" w:eastAsia="新宋体" w:cs="新宋体"/>
                <w:color w:val="auto"/>
                <w:sz w:val="22"/>
                <w:szCs w:val="22"/>
                <w:lang w:val="en-US" w:eastAsia="zh-CN" w:bidi="ar"/>
              </w:rPr>
              <w:t>0.05</w:t>
            </w:r>
            <w:r>
              <w:rPr>
                <w:rStyle w:val="101"/>
                <w:rFonts w:hint="eastAsia" w:ascii="新宋体" w:hAnsi="新宋体" w:eastAsia="新宋体" w:cs="新宋体"/>
                <w:color w:val="auto"/>
                <w:sz w:val="22"/>
                <w:szCs w:val="22"/>
                <w:lang w:val="en-US" w:eastAsia="zh-CN" w:bidi="ar"/>
              </w:rPr>
              <w:t>℃量  程：－</w:t>
            </w:r>
            <w:r>
              <w:rPr>
                <w:rStyle w:val="102"/>
                <w:rFonts w:hint="eastAsia" w:ascii="新宋体" w:hAnsi="新宋体" w:eastAsia="新宋体" w:cs="新宋体"/>
                <w:color w:val="auto"/>
                <w:sz w:val="22"/>
                <w:szCs w:val="22"/>
                <w:lang w:val="en-US" w:eastAsia="zh-CN" w:bidi="ar"/>
              </w:rPr>
              <w:t>10</w:t>
            </w:r>
            <w:r>
              <w:rPr>
                <w:rStyle w:val="101"/>
                <w:rFonts w:hint="eastAsia" w:ascii="新宋体" w:hAnsi="新宋体" w:eastAsia="新宋体" w:cs="新宋体"/>
                <w:color w:val="auto"/>
                <w:sz w:val="22"/>
                <w:szCs w:val="22"/>
                <w:lang w:val="en-US" w:eastAsia="zh-CN" w:bidi="ar"/>
              </w:rPr>
              <w:t>～</w:t>
            </w:r>
            <w:r>
              <w:rPr>
                <w:rStyle w:val="102"/>
                <w:rFonts w:hint="eastAsia" w:ascii="新宋体" w:hAnsi="新宋体" w:eastAsia="新宋体" w:cs="新宋体"/>
                <w:color w:val="auto"/>
                <w:sz w:val="22"/>
                <w:szCs w:val="22"/>
                <w:lang w:val="en-US" w:eastAsia="zh-CN" w:bidi="ar"/>
              </w:rPr>
              <w:t>110</w:t>
            </w:r>
            <w:r>
              <w:rPr>
                <w:rStyle w:val="101"/>
                <w:rFonts w:hint="eastAsia" w:ascii="新宋体" w:hAnsi="新宋体" w:eastAsia="新宋体" w:cs="新宋体"/>
                <w:color w:val="auto"/>
                <w:sz w:val="22"/>
                <w:szCs w:val="22"/>
                <w:lang w:val="en-US" w:eastAsia="zh-CN" w:bidi="ar"/>
              </w:rPr>
              <w:t>℃   不锈钢温度探针传感器为一体化设计；内置</w:t>
            </w:r>
            <w:r>
              <w:rPr>
                <w:rStyle w:val="102"/>
                <w:rFonts w:hint="eastAsia" w:ascii="新宋体" w:hAnsi="新宋体" w:eastAsia="新宋体" w:cs="新宋体"/>
                <w:color w:val="auto"/>
                <w:sz w:val="22"/>
                <w:szCs w:val="22"/>
                <w:lang w:val="en-US" w:eastAsia="zh-CN" w:bidi="ar"/>
              </w:rPr>
              <w:t>LED</w:t>
            </w:r>
            <w:r>
              <w:rPr>
                <w:rStyle w:val="101"/>
                <w:rFonts w:hint="eastAsia" w:ascii="新宋体" w:hAnsi="新宋体" w:eastAsia="新宋体" w:cs="新宋体"/>
                <w:color w:val="auto"/>
                <w:sz w:val="22"/>
                <w:szCs w:val="22"/>
                <w:lang w:val="en-US" w:eastAsia="zh-CN" w:bidi="ar"/>
              </w:rPr>
              <w:t>显示屏；</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接口，能与普通电脑USB口直接连接采集实验数据；传感器内置无线模块，通过</w:t>
            </w:r>
            <w:r>
              <w:rPr>
                <w:rStyle w:val="102"/>
                <w:rFonts w:hint="eastAsia" w:ascii="新宋体" w:hAnsi="新宋体" w:eastAsia="新宋体" w:cs="新宋体"/>
                <w:color w:val="auto"/>
                <w:sz w:val="22"/>
                <w:szCs w:val="22"/>
                <w:lang w:val="en-US" w:eastAsia="zh-CN" w:bidi="ar"/>
              </w:rPr>
              <w:t>2.4G</w:t>
            </w:r>
            <w:r>
              <w:rPr>
                <w:rStyle w:val="101"/>
                <w:rFonts w:hint="eastAsia" w:ascii="新宋体" w:hAnsi="新宋体" w:eastAsia="新宋体" w:cs="新宋体"/>
                <w:color w:val="auto"/>
                <w:sz w:val="22"/>
                <w:szCs w:val="22"/>
                <w:lang w:val="en-US" w:eastAsia="zh-CN" w:bidi="ar"/>
              </w:rPr>
              <w:t>无线传输实验数据；自带充电锂电池；使用</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线可直接通过电脑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无线带屏光电门传感器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Style w:val="101"/>
                <w:rFonts w:hint="eastAsia" w:ascii="新宋体" w:hAnsi="新宋体" w:eastAsia="新宋体" w:cs="新宋体"/>
                <w:color w:val="auto"/>
                <w:sz w:val="22"/>
                <w:szCs w:val="22"/>
                <w:lang w:val="en-US" w:eastAsia="zh-CN" w:bidi="ar"/>
              </w:rPr>
              <w:t>分辨率：</w:t>
            </w:r>
            <w:r>
              <w:rPr>
                <w:rStyle w:val="102"/>
                <w:rFonts w:hint="eastAsia" w:ascii="新宋体" w:hAnsi="新宋体" w:eastAsia="新宋体" w:cs="新宋体"/>
                <w:color w:val="auto"/>
                <w:sz w:val="22"/>
                <w:szCs w:val="22"/>
                <w:lang w:val="en-US" w:eastAsia="zh-CN" w:bidi="ar"/>
              </w:rPr>
              <w:t>0.1mS</w:t>
            </w:r>
            <w:r>
              <w:rPr>
                <w:rStyle w:val="101"/>
                <w:rFonts w:hint="eastAsia" w:ascii="新宋体" w:hAnsi="新宋体" w:eastAsia="新宋体" w:cs="新宋体"/>
                <w:color w:val="auto"/>
                <w:sz w:val="22"/>
                <w:szCs w:val="22"/>
                <w:lang w:val="en-US" w:eastAsia="zh-CN" w:bidi="ar"/>
              </w:rPr>
              <w:t>量  程：</w:t>
            </w:r>
            <w:r>
              <w:rPr>
                <w:rStyle w:val="102"/>
                <w:rFonts w:hint="eastAsia" w:ascii="新宋体" w:hAnsi="新宋体" w:eastAsia="新宋体" w:cs="新宋体"/>
                <w:color w:val="auto"/>
                <w:sz w:val="22"/>
                <w:szCs w:val="22"/>
                <w:lang w:val="en-US" w:eastAsia="zh-CN" w:bidi="ar"/>
              </w:rPr>
              <w:t xml:space="preserve">0-1000S  </w:t>
            </w:r>
            <w:r>
              <w:rPr>
                <w:rStyle w:val="101"/>
                <w:rFonts w:hint="eastAsia" w:ascii="新宋体" w:hAnsi="新宋体" w:eastAsia="新宋体" w:cs="新宋体"/>
                <w:color w:val="auto"/>
                <w:sz w:val="22"/>
                <w:szCs w:val="22"/>
                <w:lang w:val="en-US" w:eastAsia="zh-CN" w:bidi="ar"/>
              </w:rPr>
              <w:t>一个光电门传感器可多串接多个光电门传感器为一体化设计；内置</w:t>
            </w:r>
            <w:r>
              <w:rPr>
                <w:rStyle w:val="102"/>
                <w:rFonts w:hint="eastAsia" w:ascii="新宋体" w:hAnsi="新宋体" w:eastAsia="新宋体" w:cs="新宋体"/>
                <w:color w:val="auto"/>
                <w:sz w:val="22"/>
                <w:szCs w:val="22"/>
                <w:lang w:val="en-US" w:eastAsia="zh-CN" w:bidi="ar"/>
              </w:rPr>
              <w:t>LED</w:t>
            </w:r>
            <w:r>
              <w:rPr>
                <w:rStyle w:val="101"/>
                <w:rFonts w:hint="eastAsia" w:ascii="新宋体" w:hAnsi="新宋体" w:eastAsia="新宋体" w:cs="新宋体"/>
                <w:color w:val="auto"/>
                <w:sz w:val="22"/>
                <w:szCs w:val="22"/>
                <w:lang w:val="en-US" w:eastAsia="zh-CN" w:bidi="ar"/>
              </w:rPr>
              <w:t>显示屏；</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接口，能与普通电脑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口直接连接采集实验数据；传感器内置无线模块，通过</w:t>
            </w:r>
            <w:r>
              <w:rPr>
                <w:rStyle w:val="102"/>
                <w:rFonts w:hint="eastAsia" w:ascii="新宋体" w:hAnsi="新宋体" w:eastAsia="新宋体" w:cs="新宋体"/>
                <w:color w:val="auto"/>
                <w:sz w:val="22"/>
                <w:szCs w:val="22"/>
                <w:lang w:val="en-US" w:eastAsia="zh-CN" w:bidi="ar"/>
              </w:rPr>
              <w:t>2.4G</w:t>
            </w:r>
            <w:r>
              <w:rPr>
                <w:rStyle w:val="101"/>
                <w:rFonts w:hint="eastAsia" w:ascii="新宋体" w:hAnsi="新宋体" w:eastAsia="新宋体" w:cs="新宋体"/>
                <w:color w:val="auto"/>
                <w:sz w:val="22"/>
                <w:szCs w:val="22"/>
                <w:lang w:val="en-US" w:eastAsia="zh-CN" w:bidi="ar"/>
              </w:rPr>
              <w:t>无线传输实验数据；自带充电锂电池；使用</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线可直接通过电脑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口对传感器充电；传感器上自带电源开关；传感器支持windows和安卓系统。</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无线带屏相对气压传感器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Style w:val="101"/>
                <w:rFonts w:hint="eastAsia" w:ascii="新宋体" w:hAnsi="新宋体" w:eastAsia="新宋体" w:cs="新宋体"/>
                <w:color w:val="auto"/>
                <w:sz w:val="22"/>
                <w:szCs w:val="22"/>
                <w:lang w:val="en-US" w:eastAsia="zh-CN" w:bidi="ar"/>
              </w:rPr>
              <w:t>量   程：</w:t>
            </w:r>
            <w:r>
              <w:rPr>
                <w:rStyle w:val="102"/>
                <w:rFonts w:hint="eastAsia" w:ascii="新宋体" w:hAnsi="新宋体" w:eastAsia="新宋体" w:cs="新宋体"/>
                <w:color w:val="auto"/>
                <w:sz w:val="22"/>
                <w:szCs w:val="22"/>
                <w:lang w:val="en-US" w:eastAsia="zh-CN" w:bidi="ar"/>
              </w:rPr>
              <w:t>0</w:t>
            </w:r>
            <w:r>
              <w:rPr>
                <w:rStyle w:val="101"/>
                <w:rFonts w:hint="eastAsia" w:ascii="新宋体" w:hAnsi="新宋体" w:eastAsia="新宋体" w:cs="新宋体"/>
                <w:color w:val="auto"/>
                <w:sz w:val="22"/>
                <w:szCs w:val="22"/>
                <w:lang w:val="en-US" w:eastAsia="zh-CN" w:bidi="ar"/>
              </w:rPr>
              <w:t>—</w:t>
            </w:r>
            <w:r>
              <w:rPr>
                <w:rStyle w:val="102"/>
                <w:rFonts w:hint="eastAsia" w:ascii="新宋体" w:hAnsi="新宋体" w:eastAsia="新宋体" w:cs="新宋体"/>
                <w:color w:val="auto"/>
                <w:sz w:val="22"/>
                <w:szCs w:val="22"/>
                <w:lang w:val="en-US" w:eastAsia="zh-CN" w:bidi="ar"/>
              </w:rPr>
              <w:t>10kpa</w:t>
            </w:r>
            <w:r>
              <w:rPr>
                <w:rStyle w:val="101"/>
                <w:rFonts w:hint="eastAsia" w:ascii="新宋体" w:hAnsi="新宋体" w:eastAsia="新宋体" w:cs="新宋体"/>
                <w:color w:val="auto"/>
                <w:sz w:val="22"/>
                <w:szCs w:val="22"/>
                <w:lang w:val="en-US" w:eastAsia="zh-CN" w:bidi="ar"/>
              </w:rPr>
              <w:t>传感器为一体化设计；内置</w:t>
            </w:r>
            <w:r>
              <w:rPr>
                <w:rStyle w:val="102"/>
                <w:rFonts w:hint="eastAsia" w:ascii="新宋体" w:hAnsi="新宋体" w:eastAsia="新宋体" w:cs="新宋体"/>
                <w:color w:val="auto"/>
                <w:sz w:val="22"/>
                <w:szCs w:val="22"/>
                <w:lang w:val="en-US" w:eastAsia="zh-CN" w:bidi="ar"/>
              </w:rPr>
              <w:t>LED</w:t>
            </w:r>
            <w:r>
              <w:rPr>
                <w:rStyle w:val="101"/>
                <w:rFonts w:hint="eastAsia" w:ascii="新宋体" w:hAnsi="新宋体" w:eastAsia="新宋体" w:cs="新宋体"/>
                <w:color w:val="auto"/>
                <w:sz w:val="22"/>
                <w:szCs w:val="22"/>
                <w:lang w:val="en-US" w:eastAsia="zh-CN" w:bidi="ar"/>
              </w:rPr>
              <w:t>显示屏；</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接口，能与普通电脑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口直接连接采集实验数据；传感器内置无线模块，通过</w:t>
            </w:r>
            <w:r>
              <w:rPr>
                <w:rStyle w:val="102"/>
                <w:rFonts w:hint="eastAsia" w:ascii="新宋体" w:hAnsi="新宋体" w:eastAsia="新宋体" w:cs="新宋体"/>
                <w:color w:val="auto"/>
                <w:sz w:val="22"/>
                <w:szCs w:val="22"/>
                <w:lang w:val="en-US" w:eastAsia="zh-CN" w:bidi="ar"/>
              </w:rPr>
              <w:t>2.4G</w:t>
            </w:r>
            <w:r>
              <w:rPr>
                <w:rStyle w:val="101"/>
                <w:rFonts w:hint="eastAsia" w:ascii="新宋体" w:hAnsi="新宋体" w:eastAsia="新宋体" w:cs="新宋体"/>
                <w:color w:val="auto"/>
                <w:sz w:val="22"/>
                <w:szCs w:val="22"/>
                <w:lang w:val="en-US" w:eastAsia="zh-CN" w:bidi="ar"/>
              </w:rPr>
              <w:t>无线传输实验数据；自带充电锂电池；使用</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线可直接通过电脑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无线带屏热敏温度传感器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Style w:val="101"/>
                <w:rFonts w:hint="eastAsia" w:ascii="新宋体" w:hAnsi="新宋体" w:eastAsia="新宋体" w:cs="新宋体"/>
                <w:color w:val="auto"/>
                <w:sz w:val="22"/>
                <w:szCs w:val="22"/>
                <w:lang w:val="en-US" w:eastAsia="zh-CN" w:bidi="ar"/>
              </w:rPr>
              <w:t xml:space="preserve">分辨率： </w:t>
            </w:r>
            <w:r>
              <w:rPr>
                <w:rStyle w:val="102"/>
                <w:rFonts w:hint="eastAsia" w:ascii="新宋体" w:hAnsi="新宋体" w:eastAsia="新宋体" w:cs="新宋体"/>
                <w:color w:val="auto"/>
                <w:sz w:val="22"/>
                <w:szCs w:val="22"/>
                <w:lang w:val="en-US" w:eastAsia="zh-CN" w:bidi="ar"/>
              </w:rPr>
              <w:t>0.1</w:t>
            </w:r>
            <w:r>
              <w:rPr>
                <w:rStyle w:val="101"/>
                <w:rFonts w:hint="eastAsia" w:ascii="新宋体" w:hAnsi="新宋体" w:eastAsia="新宋体" w:cs="新宋体"/>
                <w:color w:val="auto"/>
                <w:sz w:val="22"/>
                <w:szCs w:val="22"/>
                <w:lang w:val="en-US" w:eastAsia="zh-CN" w:bidi="ar"/>
              </w:rPr>
              <w:t>℃量  程： 0℃～70℃传感器为一体化设计；内置LED显示屏；USB接口，能与普通电脑USB口直接连接采集实验数据；传感器内置无线模块，通过2.4G无线传输实验数据；自带充电锂电池；使用USB线可直接通过电脑USB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无线带屏PH值传感器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Style w:val="101"/>
                <w:rFonts w:hint="eastAsia" w:ascii="新宋体" w:hAnsi="新宋体" w:eastAsia="新宋体" w:cs="新宋体"/>
                <w:color w:val="auto"/>
                <w:sz w:val="22"/>
                <w:szCs w:val="22"/>
                <w:lang w:val="en-US" w:eastAsia="zh-CN" w:bidi="ar"/>
              </w:rPr>
              <w:t>量  程：</w:t>
            </w:r>
            <w:r>
              <w:rPr>
                <w:rStyle w:val="102"/>
                <w:rFonts w:hint="eastAsia" w:ascii="新宋体" w:hAnsi="新宋体" w:eastAsia="新宋体" w:cs="新宋体"/>
                <w:color w:val="auto"/>
                <w:sz w:val="22"/>
                <w:szCs w:val="22"/>
                <w:lang w:val="en-US" w:eastAsia="zh-CN" w:bidi="ar"/>
              </w:rPr>
              <w:t xml:space="preserve">0-14   </w:t>
            </w:r>
            <w:r>
              <w:rPr>
                <w:rStyle w:val="101"/>
                <w:rFonts w:hint="eastAsia" w:ascii="新宋体" w:hAnsi="新宋体" w:eastAsia="新宋体" w:cs="新宋体"/>
                <w:color w:val="auto"/>
                <w:sz w:val="22"/>
                <w:szCs w:val="22"/>
                <w:lang w:val="en-US" w:eastAsia="zh-CN" w:bidi="ar"/>
              </w:rPr>
              <w:t>传感器为一体化设计；内置</w:t>
            </w:r>
            <w:r>
              <w:rPr>
                <w:rStyle w:val="102"/>
                <w:rFonts w:hint="eastAsia" w:ascii="新宋体" w:hAnsi="新宋体" w:eastAsia="新宋体" w:cs="新宋体"/>
                <w:color w:val="auto"/>
                <w:sz w:val="22"/>
                <w:szCs w:val="22"/>
                <w:lang w:val="en-US" w:eastAsia="zh-CN" w:bidi="ar"/>
              </w:rPr>
              <w:t>LED</w:t>
            </w:r>
            <w:r>
              <w:rPr>
                <w:rStyle w:val="101"/>
                <w:rFonts w:hint="eastAsia" w:ascii="新宋体" w:hAnsi="新宋体" w:eastAsia="新宋体" w:cs="新宋体"/>
                <w:color w:val="auto"/>
                <w:sz w:val="22"/>
                <w:szCs w:val="22"/>
                <w:lang w:val="en-US" w:eastAsia="zh-CN" w:bidi="ar"/>
              </w:rPr>
              <w:t>显示屏；</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接口，能与普通电脑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口直接连接采集实验数据；传感器内置无线模块，通过</w:t>
            </w:r>
            <w:r>
              <w:rPr>
                <w:rStyle w:val="102"/>
                <w:rFonts w:hint="eastAsia" w:ascii="新宋体" w:hAnsi="新宋体" w:eastAsia="新宋体" w:cs="新宋体"/>
                <w:color w:val="auto"/>
                <w:sz w:val="22"/>
                <w:szCs w:val="22"/>
                <w:lang w:val="en-US" w:eastAsia="zh-CN" w:bidi="ar"/>
              </w:rPr>
              <w:t>2.4G</w:t>
            </w:r>
            <w:r>
              <w:rPr>
                <w:rStyle w:val="101"/>
                <w:rFonts w:hint="eastAsia" w:ascii="新宋体" w:hAnsi="新宋体" w:eastAsia="新宋体" w:cs="新宋体"/>
                <w:color w:val="auto"/>
                <w:sz w:val="22"/>
                <w:szCs w:val="22"/>
                <w:lang w:val="en-US" w:eastAsia="zh-CN" w:bidi="ar"/>
              </w:rPr>
              <w:t>无线传输实验数据；自带充电锂电池；使用</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线可直接通过电脑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无线带屏电导率传感器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Style w:val="101"/>
                <w:rFonts w:hint="eastAsia" w:ascii="新宋体" w:hAnsi="新宋体" w:eastAsia="新宋体" w:cs="新宋体"/>
                <w:color w:val="auto"/>
                <w:sz w:val="22"/>
                <w:szCs w:val="22"/>
                <w:lang w:val="en-US" w:eastAsia="zh-CN" w:bidi="ar"/>
              </w:rPr>
              <w:t>量  程：</w:t>
            </w:r>
            <w:r>
              <w:rPr>
                <w:rStyle w:val="102"/>
                <w:rFonts w:hint="eastAsia" w:ascii="新宋体" w:hAnsi="新宋体" w:eastAsia="新宋体" w:cs="新宋体"/>
                <w:color w:val="auto"/>
                <w:sz w:val="22"/>
                <w:szCs w:val="22"/>
                <w:lang w:val="en-US" w:eastAsia="zh-CN" w:bidi="ar"/>
              </w:rPr>
              <w:t>0-20000</w:t>
            </w:r>
            <w:r>
              <w:rPr>
                <w:rStyle w:val="101"/>
                <w:rFonts w:hint="eastAsia" w:ascii="新宋体" w:hAnsi="新宋体" w:eastAsia="新宋体" w:cs="新宋体"/>
                <w:color w:val="auto"/>
                <w:sz w:val="22"/>
                <w:szCs w:val="22"/>
                <w:lang w:val="en-US" w:eastAsia="zh-CN" w:bidi="ar"/>
              </w:rPr>
              <w:t>μ</w:t>
            </w:r>
            <w:r>
              <w:rPr>
                <w:rStyle w:val="102"/>
                <w:rFonts w:hint="eastAsia" w:ascii="新宋体" w:hAnsi="新宋体" w:eastAsia="新宋体" w:cs="新宋体"/>
                <w:color w:val="auto"/>
                <w:sz w:val="22"/>
                <w:szCs w:val="22"/>
                <w:lang w:val="en-US" w:eastAsia="zh-CN" w:bidi="ar"/>
              </w:rPr>
              <w:t xml:space="preserve">s/cm  </w:t>
            </w:r>
            <w:r>
              <w:rPr>
                <w:rStyle w:val="101"/>
                <w:rFonts w:hint="eastAsia" w:ascii="新宋体" w:hAnsi="新宋体" w:eastAsia="新宋体" w:cs="新宋体"/>
                <w:color w:val="auto"/>
                <w:sz w:val="22"/>
                <w:szCs w:val="22"/>
                <w:lang w:val="en-US" w:eastAsia="zh-CN" w:bidi="ar"/>
              </w:rPr>
              <w:t>传感器为一体化设计；内置</w:t>
            </w:r>
            <w:r>
              <w:rPr>
                <w:rStyle w:val="102"/>
                <w:rFonts w:hint="eastAsia" w:ascii="新宋体" w:hAnsi="新宋体" w:eastAsia="新宋体" w:cs="新宋体"/>
                <w:color w:val="auto"/>
                <w:sz w:val="22"/>
                <w:szCs w:val="22"/>
                <w:lang w:val="en-US" w:eastAsia="zh-CN" w:bidi="ar"/>
              </w:rPr>
              <w:t>LED</w:t>
            </w:r>
            <w:r>
              <w:rPr>
                <w:rStyle w:val="101"/>
                <w:rFonts w:hint="eastAsia" w:ascii="新宋体" w:hAnsi="新宋体" w:eastAsia="新宋体" w:cs="新宋体"/>
                <w:color w:val="auto"/>
                <w:sz w:val="22"/>
                <w:szCs w:val="22"/>
                <w:lang w:val="en-US" w:eastAsia="zh-CN" w:bidi="ar"/>
              </w:rPr>
              <w:t>显示屏；</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接口，能与普通电脑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口直接连接采集实验数据；传感器内置无线模块，通过</w:t>
            </w:r>
            <w:r>
              <w:rPr>
                <w:rStyle w:val="102"/>
                <w:rFonts w:hint="eastAsia" w:ascii="新宋体" w:hAnsi="新宋体" w:eastAsia="新宋体" w:cs="新宋体"/>
                <w:color w:val="auto"/>
                <w:sz w:val="22"/>
                <w:szCs w:val="22"/>
                <w:lang w:val="en-US" w:eastAsia="zh-CN" w:bidi="ar"/>
              </w:rPr>
              <w:t>2.4G</w:t>
            </w:r>
            <w:r>
              <w:rPr>
                <w:rStyle w:val="101"/>
                <w:rFonts w:hint="eastAsia" w:ascii="新宋体" w:hAnsi="新宋体" w:eastAsia="新宋体" w:cs="新宋体"/>
                <w:color w:val="auto"/>
                <w:sz w:val="22"/>
                <w:szCs w:val="22"/>
                <w:lang w:val="en-US" w:eastAsia="zh-CN" w:bidi="ar"/>
              </w:rPr>
              <w:t>无线传输实验数据；自带充电锂电池；使用</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线可直接通过电脑</w:t>
            </w:r>
            <w:r>
              <w:rPr>
                <w:rStyle w:val="102"/>
                <w:rFonts w:hint="eastAsia" w:ascii="新宋体" w:hAnsi="新宋体" w:eastAsia="新宋体" w:cs="新宋体"/>
                <w:color w:val="auto"/>
                <w:sz w:val="22"/>
                <w:szCs w:val="22"/>
                <w:lang w:val="en-US" w:eastAsia="zh-CN" w:bidi="ar"/>
              </w:rPr>
              <w:t>USB</w:t>
            </w:r>
            <w:r>
              <w:rPr>
                <w:rStyle w:val="101"/>
                <w:rFonts w:hint="eastAsia" w:ascii="新宋体" w:hAnsi="新宋体" w:eastAsia="新宋体" w:cs="新宋体"/>
                <w:color w:val="auto"/>
                <w:sz w:val="22"/>
                <w:szCs w:val="22"/>
                <w:lang w:val="en-US" w:eastAsia="zh-CN" w:bidi="ar"/>
              </w:rPr>
              <w:t>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无线带屏心率传感器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量程传感器为一体化设计；USB接口，能与普通电脑USB口直接连接采集实验数据；传感器内置无线模块，通过2.4G无线传输实验数据；自带充电锂电池；使用USB线可直接通过电脑USB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无线带屏PM2.5传感器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量  程：最小粒子检出值：0.8微米,分辨率：0.1mg/m3 传感器为一体化设计；USB接口，能与普通电脑USB口直接连接采集实验数据；传感器内置无线模块，通过2.4G无线传输实验数据；自带充电锂电池；使用USB线可直接通过电脑USB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无线带屏二氧化硫传感器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量程：0 ppm～20ppm，分辨率≤0.01 ppm 传感器为一体化设计；USB接口，能与普通电脑USB口直接连接采集实验数据；传感器内置无线模块，通过2.4G无线传输实验数据；自带充电锂电池；使用USB线可直接通过电脑USB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810"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无线带屏酒精传感器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量程：不小于0mg/L～2mg/L；用于测量气态酒精含量  传感器为一体化设计；USB接口，能与普通电脑USB口直接连接采集实验数据；传感器内置无线模块，通过2.4G无线传输实验数据；自带充电锂电池；使用USB线可直接通过电脑USB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121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无线带屏溶解二氧化碳传感器</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量程：4.4 ppm ～1800ppm，分辨率≤0.1 ppm 传感器为一体化设计；内置LED显示屏；USB接口，能与普通电脑USB口直接连接采集实验数据；传感器内置无线模块，通过2.4G无线传输实验数据；自带充电锂电池；使用USB线可直接通过电脑USB口对传感器充电；传感器上自带电源开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铝箱</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包装整理箱：铝合金框架，高强度PVC面板，硬海绵内胆，方便整理，机械锁。</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个</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r>
        <w:tblPrEx>
          <w:tblLayout w:type="fixed"/>
          <w:tblCellMar>
            <w:top w:w="0" w:type="dxa"/>
            <w:left w:w="0" w:type="dxa"/>
            <w:bottom w:w="0" w:type="dxa"/>
            <w:right w:w="0" w:type="dxa"/>
          </w:tblCellMar>
        </w:tblPrEx>
        <w:trPr>
          <w:trHeight w:val="405" w:hRule="atLeast"/>
        </w:trPr>
        <w:tc>
          <w:tcPr>
            <w:tcW w:w="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附件</w:t>
            </w:r>
          </w:p>
        </w:tc>
        <w:tc>
          <w:tcPr>
            <w:tcW w:w="6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含光盘、USB传感器线、技术资料正规印刷手册，有详细数字化实验案例指导，数量不少于150个</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auto"/>
                <w:sz w:val="22"/>
                <w:szCs w:val="22"/>
                <w:u w:val="none"/>
              </w:rPr>
            </w:pPr>
            <w:r>
              <w:rPr>
                <w:rFonts w:hint="eastAsia" w:ascii="新宋体" w:hAnsi="新宋体" w:eastAsia="新宋体" w:cs="新宋体"/>
                <w:i w:val="0"/>
                <w:color w:val="auto"/>
                <w:kern w:val="0"/>
                <w:sz w:val="22"/>
                <w:szCs w:val="22"/>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auto"/>
                <w:sz w:val="22"/>
                <w:szCs w:val="22"/>
                <w:u w:val="none"/>
              </w:rPr>
            </w:pPr>
          </w:p>
        </w:tc>
        <w:tc>
          <w:tcPr>
            <w:tcW w:w="12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新宋体" w:hAnsi="新宋体" w:eastAsia="新宋体" w:cs="新宋体"/>
                <w:i w:val="0"/>
                <w:color w:val="auto"/>
                <w:sz w:val="22"/>
                <w:szCs w:val="22"/>
                <w:u w:val="none"/>
              </w:rPr>
            </w:pPr>
          </w:p>
        </w:tc>
      </w:tr>
    </w:tbl>
    <w:p>
      <w:pP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br w:type="page"/>
      </w:r>
    </w:p>
    <w:p>
      <w:pPr>
        <w:jc w:val="cente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塔吊生物实验室</w:t>
      </w:r>
    </w:p>
    <w:tbl>
      <w:tblPr>
        <w:tblStyle w:val="22"/>
        <w:tblW w:w="10598" w:type="dxa"/>
        <w:tblInd w:w="0" w:type="dxa"/>
        <w:shd w:val="clear" w:color="auto" w:fill="auto"/>
        <w:tblLayout w:type="fixed"/>
        <w:tblCellMar>
          <w:top w:w="0" w:type="dxa"/>
          <w:left w:w="0" w:type="dxa"/>
          <w:bottom w:w="0" w:type="dxa"/>
          <w:right w:w="0" w:type="dxa"/>
        </w:tblCellMar>
      </w:tblPr>
      <w:tblGrid>
        <w:gridCol w:w="357"/>
        <w:gridCol w:w="850"/>
        <w:gridCol w:w="6017"/>
        <w:gridCol w:w="766"/>
        <w:gridCol w:w="667"/>
        <w:gridCol w:w="618"/>
        <w:gridCol w:w="1323"/>
      </w:tblGrid>
      <w:tr>
        <w:tblPrEx>
          <w:shd w:val="clear" w:color="auto" w:fill="auto"/>
          <w:tblLayout w:type="fixed"/>
          <w:tblCellMar>
            <w:top w:w="0" w:type="dxa"/>
            <w:left w:w="0" w:type="dxa"/>
            <w:bottom w:w="0" w:type="dxa"/>
            <w:right w:w="0" w:type="dxa"/>
          </w:tblCellMar>
        </w:tblPrEx>
        <w:trPr>
          <w:trHeight w:val="72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生物实验室配置清单</w:t>
            </w:r>
          </w:p>
        </w:tc>
      </w:tr>
      <w:tr>
        <w:tblPrEx>
          <w:shd w:val="clear" w:color="auto" w:fill="auto"/>
          <w:tblLayout w:type="fixed"/>
          <w:tblCellMar>
            <w:top w:w="0" w:type="dxa"/>
            <w:left w:w="0" w:type="dxa"/>
            <w:bottom w:w="0" w:type="dxa"/>
            <w:right w:w="0" w:type="dxa"/>
          </w:tblCellMar>
        </w:tblPrEx>
        <w:trPr>
          <w:trHeight w:val="720" w:hRule="atLeast"/>
        </w:trPr>
        <w:tc>
          <w:tcPr>
            <w:tcW w:w="357"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设备名称</w:t>
            </w:r>
          </w:p>
        </w:tc>
        <w:tc>
          <w:tcPr>
            <w:tcW w:w="6017"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规格及技术参数</w:t>
            </w:r>
          </w:p>
        </w:tc>
        <w:tc>
          <w:tcPr>
            <w:tcW w:w="766"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单位</w:t>
            </w:r>
          </w:p>
        </w:tc>
        <w:tc>
          <w:tcPr>
            <w:tcW w:w="667"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数量</w:t>
            </w:r>
          </w:p>
        </w:tc>
        <w:tc>
          <w:tcPr>
            <w:tcW w:w="618"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备注</w:t>
            </w:r>
          </w:p>
        </w:tc>
        <w:tc>
          <w:tcPr>
            <w:tcW w:w="1323" w:type="dxa"/>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参考图</w:t>
            </w:r>
          </w:p>
        </w:tc>
      </w:tr>
      <w:tr>
        <w:tblPrEx>
          <w:shd w:val="clear" w:color="auto" w:fill="auto"/>
          <w:tblLayout w:type="fixed"/>
          <w:tblCellMar>
            <w:top w:w="0" w:type="dxa"/>
            <w:left w:w="0" w:type="dxa"/>
            <w:bottom w:w="0" w:type="dxa"/>
            <w:right w:w="0" w:type="dxa"/>
          </w:tblCellMar>
        </w:tblPrEx>
        <w:trPr>
          <w:trHeight w:val="3102"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智慧纳米黑板</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一</w:t>
            </w:r>
            <w:r>
              <w:rPr>
                <w:rFonts w:hint="eastAsia" w:asciiTheme="minorEastAsia" w:hAnsiTheme="minorEastAsia" w:eastAsiaTheme="minorEastAsia" w:cstheme="minorEastAsia"/>
                <w:b w:val="0"/>
                <w:bCs w:val="0"/>
                <w:color w:val="auto"/>
                <w:sz w:val="24"/>
                <w:szCs w:val="24"/>
                <w:lang w:val="en-US" w:eastAsia="zh-CN"/>
              </w:rPr>
              <w:t>、</w:t>
            </w:r>
            <w:r>
              <w:rPr>
                <w:rFonts w:hint="eastAsia" w:asciiTheme="minorEastAsia" w:hAnsiTheme="minorEastAsia" w:eastAsiaTheme="minorEastAsia" w:cstheme="minorEastAsia"/>
                <w:b w:val="0"/>
                <w:bCs w:val="0"/>
                <w:color w:val="auto"/>
                <w:sz w:val="24"/>
                <w:szCs w:val="24"/>
              </w:rPr>
              <w:t>整机</w:t>
            </w:r>
            <w:r>
              <w:rPr>
                <w:rFonts w:hint="eastAsia" w:asciiTheme="minorEastAsia" w:hAnsiTheme="minorEastAsia" w:eastAsiaTheme="minorEastAsia" w:cstheme="minorEastAsia"/>
                <w:b w:val="0"/>
                <w:bCs w:val="0"/>
                <w:color w:val="auto"/>
                <w:sz w:val="24"/>
                <w:szCs w:val="24"/>
                <w:lang w:val="en-US" w:eastAsia="zh-CN"/>
              </w:rPr>
              <w:t>设计要求</w:t>
            </w:r>
          </w:p>
          <w:p>
            <w:pPr>
              <w:pStyle w:val="2"/>
              <w:keepNext w:val="0"/>
              <w:keepLines w:val="0"/>
              <w:pageBreakBefore w:val="0"/>
              <w:numPr>
                <w:ilvl w:val="0"/>
                <w:numId w:val="3"/>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kern w:val="2"/>
                <w:sz w:val="24"/>
                <w:szCs w:val="24"/>
                <w:lang w:val="en-US" w:eastAsia="zh-CN" w:bidi="ar-SA"/>
              </w:rPr>
              <w:t>整机由一块液晶显示屏以及两块0.35mm厚环保专用黑色磁性金属面板拼接而成的，无推拉式结构。</w:t>
            </w:r>
          </w:p>
          <w:p>
            <w:pPr>
              <w:pStyle w:val="2"/>
              <w:keepNext w:val="0"/>
              <w:keepLines w:val="0"/>
              <w:pageBreakBefore w:val="0"/>
              <w:numPr>
                <w:ilvl w:val="0"/>
                <w:numId w:val="3"/>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kern w:val="2"/>
                <w:sz w:val="24"/>
                <w:szCs w:val="24"/>
                <w:lang w:val="en-US" w:eastAsia="zh-CN" w:bidi="ar-SA"/>
              </w:rPr>
              <w:t>融合黑板、液晶屏、音箱及拔插式电脑等设备，开机时显示屏可进行交互触控显示，关机后整体呈现为同一平面黑板。</w:t>
            </w:r>
          </w:p>
          <w:p>
            <w:pPr>
              <w:pStyle w:val="2"/>
              <w:keepNext w:val="0"/>
              <w:keepLines w:val="0"/>
              <w:pageBreakBefore w:val="0"/>
              <w:numPr>
                <w:ilvl w:val="0"/>
                <w:numId w:val="3"/>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屏体正面前置中文</w:t>
            </w:r>
            <w:r>
              <w:rPr>
                <w:rFonts w:hint="eastAsia" w:asciiTheme="minorEastAsia" w:hAnsiTheme="minorEastAsia" w:eastAsiaTheme="minorEastAsia" w:cstheme="minorEastAsia"/>
                <w:b w:val="0"/>
                <w:bCs w:val="0"/>
                <w:color w:val="auto"/>
                <w:sz w:val="24"/>
                <w:szCs w:val="24"/>
                <w:lang w:val="en-US" w:eastAsia="zh-CN"/>
              </w:rPr>
              <w:t>丝印</w:t>
            </w:r>
            <w:r>
              <w:rPr>
                <w:rFonts w:hint="eastAsia" w:asciiTheme="minorEastAsia" w:hAnsiTheme="minorEastAsia" w:eastAsiaTheme="minorEastAsia" w:cstheme="minorEastAsia"/>
                <w:b w:val="0"/>
                <w:bCs w:val="0"/>
                <w:color w:val="auto"/>
                <w:sz w:val="24"/>
                <w:szCs w:val="24"/>
              </w:rPr>
              <w:t>标识按键，包含音量加减、触控开关、安卓主页、电脑系统还原等</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为了方便老师在授课中的使用，屏体正面带有3路前置USB3.0接口（可同时在Windows及Android系统下读取）及1路HDMI高清接口（非转接方式），并且附带中文丝印标识，方便老师快速识别和使用接口</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为保证信号不遮挡，整机前置2.4G、5G双频wifi和蓝牙模块，增强信号传输。（需提供CMA、CAL、CNAS级别权威机构出具的检测报告）</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屏体正面内置2*15W扬声器和笔槽。</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一键节能，在节能待机状态下可实现节能90%以上</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lang w:val="en-US" w:eastAsia="zh-CN"/>
              </w:rPr>
              <w:t>整机具备自动待机功能，在无操作或无信号输入时,自动进入待机节能状态，可自定义间隔时间。</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智能交互黑板具备智能护眼组合功能，可提供护眼模式、实现智能光控、以及书写时屏显自动变暗</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整机只需连接一根网线，即可实现Windows及Android系统同时联网</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3"/>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为方便教师应用，后置输入接口具备≥2路HDMI、≥2路USB-A（其中包含一路双通道接口）、≥1路VGA，≥1路Audio 3.5mm，≥1路RS232，≥1路RJ45、≥1路AV、 ≥1路TV RF、≥1路</w:t>
            </w:r>
            <w:r>
              <w:rPr>
                <w:rFonts w:hint="eastAsia" w:asciiTheme="minorEastAsia" w:hAnsiTheme="minorEastAsia" w:eastAsiaTheme="minorEastAsia" w:cstheme="minorEastAsia"/>
                <w:b w:val="0"/>
                <w:bCs w:val="0"/>
                <w:color w:val="auto"/>
                <w:sz w:val="24"/>
                <w:szCs w:val="24"/>
                <w:lang w:val="en-US" w:eastAsia="zh-CN"/>
              </w:rPr>
              <w:t>YPbPr</w:t>
            </w:r>
            <w:r>
              <w:rPr>
                <w:rFonts w:hint="eastAsia" w:asciiTheme="minorEastAsia" w:hAnsiTheme="minorEastAsia" w:eastAsiaTheme="minorEastAsia" w:cstheme="minorEastAsia"/>
                <w:b w:val="0"/>
                <w:bCs w:val="0"/>
                <w:color w:val="auto"/>
                <w:sz w:val="24"/>
                <w:szCs w:val="24"/>
              </w:rPr>
              <w:t>、≥1路Type-C</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后置输出接口具备≥1路Audio 3.5mm</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≥1路USB-B、≥1路 HDMI</w:t>
            </w:r>
            <w:r>
              <w:rPr>
                <w:rFonts w:hint="eastAsia" w:asciiTheme="minorEastAsia" w:hAnsiTheme="minorEastAsia" w:eastAsiaTheme="minorEastAsia" w:cstheme="minorEastAsia"/>
                <w:b w:val="0"/>
                <w:bCs w:val="0"/>
                <w:color w:val="auto"/>
                <w:sz w:val="24"/>
                <w:szCs w:val="24"/>
                <w:lang w:eastAsia="zh-CN"/>
              </w:rPr>
              <w:t>。</w:t>
            </w:r>
          </w:p>
          <w:p>
            <w:pPr>
              <w:pStyle w:val="7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二、</w:t>
            </w:r>
            <w:r>
              <w:rPr>
                <w:rFonts w:hint="eastAsia" w:asciiTheme="minorEastAsia" w:hAnsiTheme="minorEastAsia" w:eastAsiaTheme="minorEastAsia" w:cstheme="minorEastAsia"/>
                <w:b w:val="0"/>
                <w:bCs w:val="0"/>
                <w:color w:val="auto"/>
                <w:sz w:val="24"/>
                <w:szCs w:val="24"/>
              </w:rPr>
              <w:t>显示</w:t>
            </w:r>
            <w:r>
              <w:rPr>
                <w:rFonts w:hint="eastAsia" w:asciiTheme="minorEastAsia" w:hAnsiTheme="minorEastAsia" w:eastAsiaTheme="minorEastAsia" w:cstheme="minorEastAsia"/>
                <w:b w:val="0"/>
                <w:bCs w:val="0"/>
                <w:color w:val="auto"/>
                <w:sz w:val="24"/>
                <w:szCs w:val="24"/>
                <w:lang w:val="en-US" w:eastAsia="zh-CN"/>
              </w:rPr>
              <w:t>屏参数</w:t>
            </w:r>
          </w:p>
          <w:p>
            <w:pPr>
              <w:pStyle w:val="2"/>
              <w:keepNext w:val="0"/>
              <w:keepLines w:val="0"/>
              <w:pageBreakBefore w:val="0"/>
              <w:numPr>
                <w:ilvl w:val="0"/>
                <w:numId w:val="4"/>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整机尺寸不低于4200</w:t>
            </w:r>
            <w:r>
              <w:rPr>
                <w:rFonts w:hint="eastAsia" w:asciiTheme="minorEastAsia" w:hAnsiTheme="minorEastAsia" w:eastAsiaTheme="minorEastAsia" w:cstheme="minorEastAsia"/>
                <w:b w:val="0"/>
                <w:bCs w:val="0"/>
                <w:color w:val="auto"/>
                <w:sz w:val="24"/>
                <w:szCs w:val="24"/>
              </w:rPr>
              <w:t>mm</w:t>
            </w:r>
            <w:r>
              <w:rPr>
                <w:rFonts w:hint="eastAsia" w:asciiTheme="minorEastAsia" w:hAnsiTheme="minorEastAsia" w:eastAsiaTheme="minorEastAsia" w:cstheme="minorEastAsia"/>
                <w:b w:val="0"/>
                <w:bCs w:val="0"/>
                <w:color w:val="auto"/>
                <w:sz w:val="24"/>
                <w:szCs w:val="24"/>
                <w:lang w:val="en-US" w:eastAsia="zh-CN"/>
              </w:rPr>
              <w:t>×1150</w:t>
            </w:r>
            <w:r>
              <w:rPr>
                <w:rFonts w:hint="eastAsia" w:asciiTheme="minorEastAsia" w:hAnsiTheme="minorEastAsia" w:eastAsiaTheme="minorEastAsia" w:cstheme="minorEastAsia"/>
                <w:b w:val="0"/>
                <w:bCs w:val="0"/>
                <w:color w:val="auto"/>
                <w:sz w:val="24"/>
                <w:szCs w:val="24"/>
              </w:rPr>
              <w:t>m</w:t>
            </w:r>
            <w:r>
              <w:rPr>
                <w:rFonts w:hint="eastAsia" w:asciiTheme="minorEastAsia" w:hAnsiTheme="minorEastAsia" w:eastAsiaTheme="minorEastAsia" w:cstheme="minorEastAsia"/>
                <w:b w:val="0"/>
                <w:bCs w:val="0"/>
                <w:color w:val="auto"/>
                <w:sz w:val="24"/>
                <w:szCs w:val="24"/>
                <w:lang w:val="en-US" w:eastAsia="zh-CN"/>
              </w:rPr>
              <w:t>m×</w:t>
            </w:r>
            <w:r>
              <w:rPr>
                <w:rFonts w:hint="eastAsia" w:asciiTheme="minorEastAsia" w:hAnsiTheme="minorEastAsia" w:eastAsiaTheme="minorEastAsia" w:cstheme="minorEastAsia"/>
                <w:b w:val="0"/>
                <w:bCs w:val="0"/>
                <w:color w:val="auto"/>
                <w:sz w:val="24"/>
                <w:szCs w:val="24"/>
              </w:rPr>
              <w:t>1</w:t>
            </w:r>
            <w:r>
              <w:rPr>
                <w:rFonts w:hint="eastAsia" w:asciiTheme="minorEastAsia" w:hAnsiTheme="minorEastAsia" w:eastAsiaTheme="minorEastAsia" w:cstheme="minorEastAsia"/>
                <w:b w:val="0"/>
                <w:bCs w:val="0"/>
                <w:color w:val="auto"/>
                <w:sz w:val="24"/>
                <w:szCs w:val="24"/>
                <w:lang w:val="en-US" w:eastAsia="zh-CN"/>
              </w:rPr>
              <w:t>20</w:t>
            </w:r>
            <w:r>
              <w:rPr>
                <w:rFonts w:hint="eastAsia" w:asciiTheme="minorEastAsia" w:hAnsiTheme="minorEastAsia" w:eastAsiaTheme="minorEastAsia" w:cstheme="minorEastAsia"/>
                <w:b w:val="0"/>
                <w:bCs w:val="0"/>
                <w:color w:val="auto"/>
                <w:sz w:val="24"/>
                <w:szCs w:val="24"/>
              </w:rPr>
              <w:t>mm</w:t>
            </w:r>
            <w:r>
              <w:rPr>
                <w:rFonts w:hint="eastAsia" w:asciiTheme="minorEastAsia" w:hAnsiTheme="minorEastAsia" w:eastAsiaTheme="minorEastAsia" w:cstheme="minorEastAsia"/>
                <w:b w:val="0"/>
                <w:bCs w:val="0"/>
                <w:color w:val="auto"/>
                <w:sz w:val="24"/>
                <w:szCs w:val="24"/>
                <w:lang w:eastAsia="zh-CN"/>
              </w:rPr>
              <w:t>。</w:t>
            </w:r>
          </w:p>
          <w:p>
            <w:pPr>
              <w:pStyle w:val="2"/>
              <w:keepNext w:val="0"/>
              <w:keepLines w:val="0"/>
              <w:pageBreakBefore w:val="0"/>
              <w:numPr>
                <w:ilvl w:val="0"/>
                <w:numId w:val="4"/>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显示</w:t>
            </w:r>
            <w:r>
              <w:rPr>
                <w:rFonts w:hint="eastAsia" w:asciiTheme="minorEastAsia" w:hAnsiTheme="minorEastAsia" w:eastAsiaTheme="minorEastAsia" w:cstheme="minorEastAsia"/>
                <w:b w:val="0"/>
                <w:bCs w:val="0"/>
                <w:color w:val="auto"/>
                <w:sz w:val="24"/>
                <w:szCs w:val="24"/>
                <w:lang w:val="en-US" w:eastAsia="zh-CN"/>
              </w:rPr>
              <w:t>尺寸</w:t>
            </w:r>
            <w:r>
              <w:rPr>
                <w:rFonts w:hint="eastAsia" w:asciiTheme="minorEastAsia" w:hAnsiTheme="minorEastAsia" w:eastAsiaTheme="minorEastAsia" w:cstheme="minorEastAsia"/>
                <w:b w:val="0"/>
                <w:bCs w:val="0"/>
                <w:color w:val="auto"/>
                <w:sz w:val="24"/>
                <w:szCs w:val="24"/>
              </w:rPr>
              <w:t>8</w:t>
            </w:r>
            <w:r>
              <w:rPr>
                <w:rFonts w:hint="eastAsia" w:asciiTheme="minorEastAsia" w:hAnsiTheme="minorEastAsia" w:eastAsiaTheme="minorEastAsia" w:cstheme="minorEastAsia"/>
                <w:b w:val="0"/>
                <w:bCs w:val="0"/>
                <w:color w:val="auto"/>
                <w:sz w:val="24"/>
                <w:szCs w:val="24"/>
                <w:lang w:val="en-US" w:eastAsia="zh-CN"/>
              </w:rPr>
              <w:t>5</w:t>
            </w:r>
            <w:r>
              <w:rPr>
                <w:rFonts w:hint="eastAsia" w:asciiTheme="minorEastAsia" w:hAnsiTheme="minorEastAsia" w:eastAsiaTheme="minorEastAsia" w:cstheme="minorEastAsia"/>
                <w:b w:val="0"/>
                <w:bCs w:val="0"/>
                <w:color w:val="auto"/>
                <w:sz w:val="24"/>
                <w:szCs w:val="24"/>
              </w:rPr>
              <w:t>英寸,采用LED背光</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显示比例16:9，高清4K屏体，分辨率≥3840×2160</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智能交互黑板的显示</w:t>
            </w:r>
            <w:r>
              <w:rPr>
                <w:rFonts w:hint="eastAsia" w:asciiTheme="minorEastAsia" w:hAnsiTheme="minorEastAsia" w:eastAsiaTheme="minorEastAsia" w:cstheme="minorEastAsia"/>
                <w:b w:val="0"/>
                <w:bCs w:val="0"/>
                <w:color w:val="auto"/>
                <w:sz w:val="24"/>
                <w:szCs w:val="24"/>
                <w:lang w:val="en-US" w:eastAsia="zh-CN"/>
              </w:rPr>
              <w:t>屏</w:t>
            </w:r>
            <w:r>
              <w:rPr>
                <w:rFonts w:hint="eastAsia" w:asciiTheme="minorEastAsia" w:hAnsiTheme="minorEastAsia" w:eastAsiaTheme="minorEastAsia" w:cstheme="minorEastAsia"/>
                <w:b w:val="0"/>
                <w:bCs w:val="0"/>
                <w:color w:val="auto"/>
                <w:sz w:val="24"/>
                <w:szCs w:val="24"/>
              </w:rPr>
              <w:t>采用电容触控技术，支持≥10点同时触控，支持≥10同时笔书写,触摸分辨率为3276</w:t>
            </w:r>
            <w:r>
              <w:rPr>
                <w:rFonts w:hint="eastAsia" w:asciiTheme="minorEastAsia" w:hAnsiTheme="minorEastAsia" w:eastAsiaTheme="minorEastAsia" w:cstheme="minorEastAsia"/>
                <w:b w:val="0"/>
                <w:bCs w:val="0"/>
                <w:color w:val="auto"/>
                <w:sz w:val="24"/>
                <w:szCs w:val="24"/>
                <w:lang w:val="en-US" w:eastAsia="zh-CN"/>
              </w:rPr>
              <w:t>8</w:t>
            </w:r>
            <w:r>
              <w:rPr>
                <w:rFonts w:hint="eastAsia" w:asciiTheme="minorEastAsia" w:hAnsiTheme="minorEastAsia" w:eastAsiaTheme="minorEastAsia" w:cstheme="minorEastAsia"/>
                <w:b w:val="0"/>
                <w:bCs w:val="0"/>
                <w:color w:val="auto"/>
                <w:sz w:val="24"/>
                <w:szCs w:val="24"/>
              </w:rPr>
              <w:t>*3276</w:t>
            </w:r>
            <w:r>
              <w:rPr>
                <w:rFonts w:hint="eastAsia" w:asciiTheme="minorEastAsia" w:hAnsiTheme="minorEastAsia" w:eastAsiaTheme="minorEastAsia" w:cstheme="minorEastAsia"/>
                <w:b w:val="0"/>
                <w:bCs w:val="0"/>
                <w:color w:val="auto"/>
                <w:sz w:val="24"/>
                <w:szCs w:val="24"/>
                <w:lang w:val="en-US" w:eastAsia="zh-CN"/>
              </w:rPr>
              <w:t>8</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为提高安全性，</w:t>
            </w:r>
            <w:r>
              <w:rPr>
                <w:rFonts w:hint="eastAsia" w:asciiTheme="minorEastAsia" w:hAnsiTheme="minorEastAsia" w:eastAsiaTheme="minorEastAsia" w:cstheme="minorEastAsia"/>
                <w:b w:val="0"/>
                <w:bCs w:val="0"/>
                <w:color w:val="auto"/>
                <w:sz w:val="24"/>
                <w:szCs w:val="24"/>
                <w:lang w:val="en-US" w:eastAsia="zh-CN"/>
              </w:rPr>
              <w:t>整机显示屏表面采用 3.2mm 厚度的防眩钢化玻璃，表面硬度≥莫氏 8级，透光率≥90%。</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整机</w:t>
            </w:r>
            <w:r>
              <w:rPr>
                <w:rFonts w:hint="eastAsia" w:asciiTheme="minorEastAsia" w:hAnsiTheme="minorEastAsia" w:eastAsiaTheme="minorEastAsia" w:cstheme="minorEastAsia"/>
                <w:b w:val="0"/>
                <w:bCs w:val="0"/>
                <w:color w:val="auto"/>
                <w:sz w:val="24"/>
                <w:szCs w:val="24"/>
              </w:rPr>
              <w:t>的显示</w:t>
            </w:r>
            <w:r>
              <w:rPr>
                <w:rFonts w:hint="eastAsia" w:asciiTheme="minorEastAsia" w:hAnsiTheme="minorEastAsia" w:eastAsiaTheme="minorEastAsia" w:cstheme="minorEastAsia"/>
                <w:b w:val="0"/>
                <w:bCs w:val="0"/>
                <w:color w:val="auto"/>
                <w:sz w:val="24"/>
                <w:szCs w:val="24"/>
                <w:lang w:val="en-US" w:eastAsia="zh-CN"/>
              </w:rPr>
              <w:t>屏</w:t>
            </w:r>
            <w:r>
              <w:rPr>
                <w:rFonts w:hint="eastAsia" w:asciiTheme="minorEastAsia" w:hAnsiTheme="minorEastAsia" w:eastAsiaTheme="minorEastAsia" w:cstheme="minorEastAsia"/>
                <w:b w:val="0"/>
                <w:bCs w:val="0"/>
                <w:color w:val="auto"/>
                <w:sz w:val="24"/>
                <w:szCs w:val="24"/>
              </w:rPr>
              <w:t>采用的纳米电容银线直径≤0.02mm，触控精度≤0.05mm</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整机</w:t>
            </w:r>
            <w:r>
              <w:rPr>
                <w:rFonts w:hint="eastAsia" w:asciiTheme="minorEastAsia" w:hAnsiTheme="minorEastAsia" w:eastAsiaTheme="minorEastAsia" w:cstheme="minorEastAsia"/>
                <w:b w:val="0"/>
                <w:bCs w:val="0"/>
                <w:color w:val="auto"/>
                <w:sz w:val="24"/>
                <w:szCs w:val="24"/>
              </w:rPr>
              <w:t>显示</w:t>
            </w:r>
            <w:r>
              <w:rPr>
                <w:rFonts w:hint="eastAsia" w:asciiTheme="minorEastAsia" w:hAnsiTheme="minorEastAsia" w:eastAsiaTheme="minorEastAsia" w:cstheme="minorEastAsia"/>
                <w:b w:val="0"/>
                <w:bCs w:val="0"/>
                <w:color w:val="auto"/>
                <w:sz w:val="24"/>
                <w:szCs w:val="24"/>
                <w:lang w:val="en-US" w:eastAsia="zh-CN"/>
              </w:rPr>
              <w:t>屏的</w:t>
            </w:r>
            <w:r>
              <w:rPr>
                <w:rFonts w:hint="eastAsia" w:asciiTheme="minorEastAsia" w:hAnsiTheme="minorEastAsia" w:eastAsiaTheme="minorEastAsia" w:cstheme="minorEastAsia"/>
                <w:b w:val="0"/>
                <w:bCs w:val="0"/>
                <w:color w:val="auto"/>
                <w:sz w:val="24"/>
                <w:szCs w:val="24"/>
              </w:rPr>
              <w:t>防眩钢化玻璃与液晶屏之间紧密贴合，</w:t>
            </w:r>
            <w:r>
              <w:rPr>
                <w:rFonts w:hint="eastAsia" w:asciiTheme="minorEastAsia" w:hAnsiTheme="minorEastAsia" w:eastAsiaTheme="minorEastAsia" w:cstheme="minorEastAsia"/>
                <w:b w:val="0"/>
                <w:bCs w:val="0"/>
                <w:color w:val="auto"/>
                <w:sz w:val="24"/>
                <w:szCs w:val="24"/>
                <w:lang w:val="en-US" w:eastAsia="zh-CN"/>
              </w:rPr>
              <w:t>可</w:t>
            </w:r>
            <w:r>
              <w:rPr>
                <w:rFonts w:hint="eastAsia" w:asciiTheme="minorEastAsia" w:hAnsiTheme="minorEastAsia" w:eastAsiaTheme="minorEastAsia" w:cstheme="minorEastAsia"/>
                <w:b w:val="0"/>
                <w:bCs w:val="0"/>
                <w:color w:val="auto"/>
                <w:sz w:val="24"/>
                <w:szCs w:val="24"/>
              </w:rPr>
              <w:t>杜绝水汽/水雾产生</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显示部分任意位置</w:t>
            </w:r>
            <w:r>
              <w:rPr>
                <w:rFonts w:hint="eastAsia" w:asciiTheme="minorEastAsia" w:hAnsiTheme="minorEastAsia" w:eastAsiaTheme="minorEastAsia" w:cstheme="minorEastAsia"/>
                <w:b w:val="0"/>
                <w:bCs w:val="0"/>
                <w:color w:val="auto"/>
                <w:sz w:val="24"/>
                <w:szCs w:val="24"/>
              </w:rPr>
              <w:t>光影折射距离为0mm</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可视角度（水平/垂直）≥178°</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显示</w:t>
            </w:r>
            <w:r>
              <w:rPr>
                <w:rFonts w:hint="eastAsia" w:asciiTheme="minorEastAsia" w:hAnsiTheme="minorEastAsia" w:eastAsiaTheme="minorEastAsia" w:cstheme="minorEastAsia"/>
                <w:b w:val="0"/>
                <w:bCs w:val="0"/>
                <w:color w:val="auto"/>
                <w:sz w:val="24"/>
                <w:szCs w:val="24"/>
                <w:lang w:val="en-US" w:eastAsia="zh-CN"/>
              </w:rPr>
              <w:t>屏</w:t>
            </w:r>
            <w:r>
              <w:rPr>
                <w:rFonts w:hint="eastAsia" w:asciiTheme="minorEastAsia" w:hAnsiTheme="minorEastAsia" w:eastAsiaTheme="minorEastAsia" w:cstheme="minorEastAsia"/>
                <w:b w:val="0"/>
                <w:bCs w:val="0"/>
                <w:color w:val="auto"/>
                <w:sz w:val="24"/>
                <w:szCs w:val="24"/>
              </w:rPr>
              <w:t>具有防光干扰功能，能在</w:t>
            </w:r>
            <w:r>
              <w:rPr>
                <w:rFonts w:hint="eastAsia" w:asciiTheme="minorEastAsia" w:hAnsiTheme="minorEastAsia" w:eastAsiaTheme="minorEastAsia" w:cstheme="minorEastAsia"/>
                <w:b w:val="0"/>
                <w:bCs w:val="0"/>
                <w:color w:val="auto"/>
                <w:sz w:val="24"/>
                <w:szCs w:val="24"/>
                <w:lang w:val="en-US" w:eastAsia="zh-CN"/>
              </w:rPr>
              <w:t>强光</w:t>
            </w:r>
            <w:r>
              <w:rPr>
                <w:rFonts w:hint="eastAsia" w:asciiTheme="minorEastAsia" w:hAnsiTheme="minorEastAsia" w:eastAsiaTheme="minorEastAsia" w:cstheme="minorEastAsia"/>
                <w:b w:val="0"/>
                <w:bCs w:val="0"/>
                <w:color w:val="auto"/>
                <w:sz w:val="24"/>
                <w:szCs w:val="24"/>
              </w:rPr>
              <w:t>环境下正常工作</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智能黑板通屏支持普通粉笔、无尘粉笔、水性笔、油性笔书写</w:t>
            </w:r>
            <w:r>
              <w:rPr>
                <w:rFonts w:hint="eastAsia" w:asciiTheme="minorEastAsia" w:hAnsiTheme="minorEastAsia" w:eastAsiaTheme="minorEastAsia" w:cstheme="minorEastAsia"/>
                <w:b w:val="0"/>
                <w:bCs w:val="0"/>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三、内嵌操作系统</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为方便教学，在Windows和Android双系统下，可通过智能交互黑板的悬浮菜单一键切换信号源通道，并可通过两指长按调用悬浮菜单到指定位置</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悬浮菜单中的应用可根据使用需求进行不少于10种应用更换（非信号源切换</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在任何信号源下均可</w:t>
            </w:r>
            <w:r>
              <w:rPr>
                <w:rFonts w:hint="eastAsia" w:asciiTheme="minorEastAsia" w:hAnsiTheme="minorEastAsia" w:eastAsiaTheme="minorEastAsia" w:cstheme="minorEastAsia"/>
                <w:b w:val="0"/>
                <w:bCs w:val="0"/>
                <w:color w:val="auto"/>
                <w:sz w:val="24"/>
                <w:szCs w:val="24"/>
                <w:lang w:val="en-US" w:eastAsia="zh-CN"/>
              </w:rPr>
              <w:t>通过悬浮菜单</w:t>
            </w:r>
            <w:r>
              <w:rPr>
                <w:rFonts w:hint="eastAsia" w:asciiTheme="minorEastAsia" w:hAnsiTheme="minorEastAsia" w:eastAsiaTheme="minorEastAsia" w:cstheme="minorEastAsia"/>
                <w:b w:val="0"/>
                <w:bCs w:val="0"/>
                <w:color w:val="auto"/>
                <w:sz w:val="24"/>
                <w:szCs w:val="24"/>
              </w:rPr>
              <w:t>实现批注、打开展台等功能</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在Andriod操作系统下，能对文件进行自动分类，可快速分类查找office文档、音视频、图片、白板课件等文件，可直接在界面中进行多种编辑操作及分享</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在日常教学中，为了保护师生的视力健康，应提供多种护眼功能供用户选择</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为方便教学，教师可通过三指按压显示区域，一步操作达到息屏或唤醒屏幕功能，不接受触摸菜单或物理按键的方式</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为防止学生误触，整机需提供不少于3种锁定设备的方式；同时，应提供不少于</w:t>
            </w:r>
            <w:r>
              <w:rPr>
                <w:rFonts w:hint="eastAsia" w:asciiTheme="minorEastAsia" w:hAnsiTheme="minorEastAsia" w:eastAsiaTheme="minorEastAsia" w:cstheme="minorEastAsia"/>
                <w:b w:val="0"/>
                <w:bCs w:val="0"/>
                <w:color w:val="auto"/>
                <w:sz w:val="24"/>
                <w:szCs w:val="24"/>
                <w:lang w:val="en-US" w:eastAsia="zh-CN"/>
              </w:rPr>
              <w:t>2</w:t>
            </w:r>
            <w:r>
              <w:rPr>
                <w:rFonts w:hint="eastAsia" w:asciiTheme="minorEastAsia" w:hAnsiTheme="minorEastAsia" w:eastAsiaTheme="minorEastAsia" w:cstheme="minorEastAsia"/>
                <w:b w:val="0"/>
                <w:bCs w:val="0"/>
                <w:color w:val="auto"/>
                <w:sz w:val="24"/>
                <w:szCs w:val="24"/>
              </w:rPr>
              <w:t>种方式进行解锁</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无需借助PC，整机可一键进行硬件自检，包括对系统硬盘、系统内存、触摸系统、内置电脑、光感系统等模块进行检测，并提供故障提示</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在无操作或无信号输入时,整机自动进入待机节能的功能，待机的时间间隔可自定义，这样既节能环保又能延长机器使用寿命</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可自动识别粗细笔记，既能够方便教师板书及批注重点，又可以保留真实书写感</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kern w:val="0"/>
                <w:sz w:val="24"/>
                <w:szCs w:val="24"/>
              </w:rPr>
              <w:t>（</w:t>
            </w:r>
            <w:r>
              <w:rPr>
                <w:rFonts w:hint="eastAsia" w:asciiTheme="minorEastAsia" w:hAnsiTheme="minorEastAsia" w:eastAsiaTheme="minorEastAsia" w:cstheme="minorEastAsia"/>
                <w:b w:val="0"/>
                <w:bCs w:val="0"/>
                <w:color w:val="auto"/>
                <w:sz w:val="24"/>
                <w:szCs w:val="24"/>
              </w:rPr>
              <w:t>需提供CMA、CAL、CNAS级别权威机构出具的检测报告）</w:t>
            </w:r>
          </w:p>
          <w:p>
            <w:pPr>
              <w:keepNext w:val="0"/>
              <w:keepLines w:val="0"/>
              <w:pageBreakBefore w:val="0"/>
              <w:numPr>
                <w:ilvl w:val="0"/>
                <w:numId w:val="5"/>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安卓主页面提供≥4个应用入口，任意应用入口可以根据教学需要自行更换。安卓系统下提供硬件系统检测：对系统内存、存储、触控系统、电脑、屏温监控等提供直观的状态、故障提示；安卓下具备文件浏览功能和二维码分享等功能</w:t>
            </w:r>
            <w:r>
              <w:rPr>
                <w:rFonts w:hint="eastAsia" w:asciiTheme="minorEastAsia" w:hAnsiTheme="minorEastAsia" w:eastAsiaTheme="minorEastAsia" w:cstheme="minorEastAsia"/>
                <w:b w:val="0"/>
                <w:bCs w:val="0"/>
                <w:color w:val="auto"/>
                <w:sz w:val="24"/>
                <w:szCs w:val="24"/>
                <w:lang w:eastAsia="zh-CN"/>
              </w:rPr>
              <w:t>。</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heme="minorEastAsia" w:hAnsiTheme="minorEastAsia" w:eastAsiaTheme="minorEastAsia" w:cstheme="minorEastAsia"/>
                <w:b w:val="0"/>
                <w:bCs w:val="0"/>
                <w:color w:val="auto"/>
                <w:sz w:val="24"/>
                <w:szCs w:val="24"/>
              </w:rPr>
            </w:pP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四、传统</w:t>
            </w:r>
            <w:r>
              <w:rPr>
                <w:rFonts w:hint="eastAsia" w:asciiTheme="minorEastAsia" w:hAnsiTheme="minorEastAsia" w:eastAsiaTheme="minorEastAsia" w:cstheme="minorEastAsia"/>
                <w:b w:val="0"/>
                <w:bCs w:val="0"/>
                <w:color w:val="auto"/>
                <w:sz w:val="24"/>
                <w:szCs w:val="24"/>
              </w:rPr>
              <w:t>黑板</w:t>
            </w:r>
            <w:r>
              <w:rPr>
                <w:rFonts w:hint="eastAsia" w:asciiTheme="minorEastAsia" w:hAnsiTheme="minorEastAsia" w:eastAsiaTheme="minorEastAsia" w:cstheme="minorEastAsia"/>
                <w:b w:val="0"/>
                <w:bCs w:val="0"/>
                <w:color w:val="auto"/>
                <w:sz w:val="24"/>
                <w:szCs w:val="24"/>
                <w:lang w:val="en-US" w:eastAsia="zh-CN"/>
              </w:rPr>
              <w:t>板块</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配合显示部分使用，无明显接缝，整体外观干净整洁</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正面书写区域支持水笔、普通粉笔、无尘粉笔等多种笔书写，手感流畅、摩擦力适度，笔记均匀、线条明显</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书写面平整，涂层均匀，无波浪、龟裂、针孔、气泡、斑痕</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表面无任何的残胶、凹印、划伤、折印、脱漆以及脏物</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底部具备通屏笔槽设计，可放置触控笔、粉笔等</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425" w:leftChars="0" w:hanging="425" w:firstLineChars="0"/>
              <w:jc w:val="left"/>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整体采用轻量化设计方案，抗冲击、不破碎、结实耐用</w:t>
            </w:r>
            <w:r>
              <w:rPr>
                <w:rFonts w:hint="eastAsia" w:asciiTheme="minorEastAsia" w:hAnsiTheme="minorEastAsia" w:eastAsiaTheme="minorEastAsia" w:cstheme="minorEastAsia"/>
                <w:b w:val="0"/>
                <w:bCs w:val="0"/>
                <w:color w:val="auto"/>
                <w:sz w:val="24"/>
                <w:szCs w:val="24"/>
                <w:lang w:eastAsia="zh-CN"/>
              </w:rPr>
              <w:t>。</w:t>
            </w:r>
          </w:p>
          <w:p>
            <w:pPr>
              <w:pStyle w:val="66"/>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heme="minorEastAsia" w:hAnsiTheme="minorEastAsia" w:eastAsiaTheme="minorEastAsia" w:cstheme="minorEastAsia"/>
                <w:b w:val="0"/>
                <w:bCs w:val="0"/>
                <w:color w:val="auto"/>
                <w:kern w:val="0"/>
                <w:sz w:val="24"/>
                <w:szCs w:val="24"/>
              </w:rPr>
            </w:pPr>
            <w:r>
              <w:rPr>
                <w:rFonts w:hint="eastAsia" w:asciiTheme="minorEastAsia" w:hAnsiTheme="minorEastAsia" w:eastAsiaTheme="minorEastAsia" w:cstheme="minorEastAsia"/>
                <w:b w:val="0"/>
                <w:bCs w:val="0"/>
                <w:color w:val="auto"/>
                <w:sz w:val="24"/>
                <w:szCs w:val="24"/>
              </w:rPr>
              <w:t>五、内置电脑模块参数</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整机架构:为降低电脑模块维护成本，接口严格遵循Intel®相关规范,针脚数为行业通用≤80Pin ,与大屏无单独接线</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kern w:val="0"/>
                <w:sz w:val="24"/>
                <w:szCs w:val="24"/>
              </w:rPr>
              <w:t>（</w:t>
            </w:r>
            <w:r>
              <w:rPr>
                <w:rFonts w:hint="eastAsia" w:asciiTheme="minorEastAsia" w:hAnsiTheme="minorEastAsia" w:eastAsiaTheme="minorEastAsia" w:cstheme="minorEastAsia"/>
                <w:b w:val="0"/>
                <w:bCs w:val="0"/>
                <w:color w:val="auto"/>
                <w:sz w:val="24"/>
                <w:szCs w:val="24"/>
              </w:rPr>
              <w:t>需提供CMA、CAL、CNAS级别权威机构出具的检测报告）</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kern w:val="0"/>
                <w:sz w:val="24"/>
                <w:szCs w:val="24"/>
                <w:lang w:eastAsia="zh-CN"/>
              </w:rPr>
            </w:pPr>
            <w:r>
              <w:rPr>
                <w:rFonts w:hint="eastAsia" w:asciiTheme="minorEastAsia" w:hAnsiTheme="minorEastAsia" w:eastAsiaTheme="minorEastAsia" w:cstheme="minorEastAsia"/>
                <w:b w:val="0"/>
                <w:bCs w:val="0"/>
                <w:color w:val="auto"/>
                <w:sz w:val="24"/>
                <w:szCs w:val="24"/>
              </w:rPr>
              <w:t>CPU:</w:t>
            </w:r>
            <w:r>
              <w:rPr>
                <w:rFonts w:hint="eastAsia" w:asciiTheme="minorEastAsia" w:hAnsiTheme="minorEastAsia" w:eastAsiaTheme="minorEastAsia" w:cstheme="minorEastAsia"/>
                <w:b w:val="0"/>
                <w:bCs w:val="0"/>
                <w:color w:val="auto"/>
                <w:kern w:val="0"/>
                <w:sz w:val="24"/>
                <w:szCs w:val="24"/>
              </w:rPr>
              <w:t>Intel第8代酷睿，I5处理器</w:t>
            </w:r>
            <w:r>
              <w:rPr>
                <w:rFonts w:hint="eastAsia" w:asciiTheme="minorEastAsia" w:hAnsiTheme="minorEastAsia" w:eastAsiaTheme="minorEastAsia" w:cstheme="minorEastAsia"/>
                <w:b w:val="0"/>
                <w:bCs w:val="0"/>
                <w:color w:val="auto"/>
                <w:kern w:val="0"/>
                <w:sz w:val="24"/>
                <w:szCs w:val="24"/>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内存：8G DDR4；硬盘： 128G SSD；具备USB3.0*3、USB2.0*3，HDMI *1，DP接口*1，RJ45*1满足教学拓展需求</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插拔电脑具有安全使用提醒功能，如电脑未进行安全锁紧机制则电脑无法正常使用</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提供Windows10专业版操作系统和office2016版办公软件</w:t>
            </w:r>
            <w:r>
              <w:rPr>
                <w:rFonts w:hint="eastAsia" w:asciiTheme="minorEastAsia" w:hAnsiTheme="minorEastAsia" w:eastAsiaTheme="minorEastAsia" w:cstheme="minorEastAsia"/>
                <w:b w:val="0"/>
                <w:bCs w:val="0"/>
                <w:color w:val="auto"/>
                <w:sz w:val="24"/>
                <w:szCs w:val="24"/>
                <w:lang w:eastAsia="zh-CN"/>
              </w:rPr>
              <w:t>。</w:t>
            </w:r>
          </w:p>
          <w:p>
            <w:pPr>
              <w:pStyle w:val="66"/>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六、教学应用软件</w:t>
            </w:r>
          </w:p>
          <w:p>
            <w:pPr>
              <w:pStyle w:val="66"/>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一）备授课模式</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kern w:val="0"/>
                <w:sz w:val="24"/>
                <w:szCs w:val="24"/>
              </w:rPr>
              <w:t>具有教学云平台，支持云端备课，教师可直接登陆云平台进行备课及课件下载使用，教师注册即可获得不少于32GB的云盘容量。</w:t>
            </w:r>
            <w:r>
              <w:rPr>
                <w:rFonts w:hint="eastAsia" w:asciiTheme="minorEastAsia" w:hAnsiTheme="minorEastAsia" w:eastAsiaTheme="minorEastAsia" w:cstheme="minorEastAsia"/>
                <w:b w:val="0"/>
                <w:bCs w:val="0"/>
                <w:color w:val="auto"/>
                <w:sz w:val="24"/>
                <w:szCs w:val="24"/>
              </w:rPr>
              <w:t>无需用户通过完成特定任务才能获取，方便老师存储资料</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数学公式编辑器：可插入高级复杂公式，共计125个符号。支持LaTex公式利用代码编辑高级公式等。可快速输入繁分数，支持自动修正数学符号字体</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生物工具：提供显微镜功能，可模拟装片展示，如对洋葱表皮、叶绿体等细胞进行装片，进行粗螺纹、细螺纹进行调试观看细胞。实现显微镜仿真教学，为方便向学生展示，学科工具支持一键全屏播放</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地理工具：地理学科工具提供地球仪功能，模拟实物地球仪可以进行旋转，也可调整地球仪显示类型，如全球气候、国家、地形等；为方便向学生展示，支持一键全屏播放</w:t>
            </w:r>
            <w:r>
              <w:rPr>
                <w:rFonts w:hint="eastAsia" w:asciiTheme="minorEastAsia" w:hAnsiTheme="minorEastAsia" w:eastAsiaTheme="minorEastAsia" w:cstheme="minorEastAsia"/>
                <w:b w:val="0"/>
                <w:bCs w:val="0"/>
                <w:color w:val="auto"/>
                <w:sz w:val="24"/>
                <w:szCs w:val="24"/>
                <w:lang w:eastAsia="zh-CN"/>
              </w:rPr>
              <w:t>。</w:t>
            </w:r>
          </w:p>
          <w:p>
            <w:pPr>
              <w:pStyle w:val="2"/>
              <w:keepNext w:val="0"/>
              <w:keepLines w:val="0"/>
              <w:pageBreakBefore w:val="0"/>
              <w:numPr>
                <w:ilvl w:val="0"/>
                <w:numId w:val="8"/>
              </w:numPr>
              <w:kinsoku/>
              <w:wordWrap/>
              <w:overflowPunct/>
              <w:topLinePunct w:val="0"/>
              <w:autoSpaceDE/>
              <w:autoSpaceDN/>
              <w:bidi w:val="0"/>
              <w:adjustRightInd w:val="0"/>
              <w:snapToGrid w:val="0"/>
              <w:spacing w:after="0"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rPr>
              <w:t>化学工具：需提供化学器械、化学器皿等多种实验素材，如烧杯、酒精灯、铁架台、玻璃棒、砝码、U型管；提供化学元素周期表工具</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课堂互动游戏：</w:t>
            </w:r>
            <w:r>
              <w:rPr>
                <w:rFonts w:hint="eastAsia" w:asciiTheme="minorEastAsia" w:hAnsiTheme="minorEastAsia" w:eastAsiaTheme="minorEastAsia" w:cstheme="minorEastAsia"/>
                <w:b w:val="0"/>
                <w:bCs w:val="0"/>
                <w:color w:val="auto"/>
                <w:sz w:val="24"/>
                <w:szCs w:val="24"/>
                <w:highlight w:val="none"/>
              </w:rPr>
              <w:t>能够创建知识连线、互动分类、选词填空、趣味竞赛、翻翻卡等不少于5种互动类游戏，并且支持自定义修改，每类互动游戏提供至少12个适用普教K12不同学科、学段风格的模板</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制作互动游戏</w:t>
            </w:r>
            <w:r>
              <w:rPr>
                <w:rFonts w:hint="eastAsia" w:asciiTheme="minorEastAsia" w:hAnsiTheme="minorEastAsia" w:eastAsiaTheme="minorEastAsia" w:cstheme="minorEastAsia"/>
                <w:b w:val="0"/>
                <w:bCs w:val="0"/>
                <w:color w:val="auto"/>
                <w:sz w:val="24"/>
                <w:szCs w:val="24"/>
                <w:highlight w:val="none"/>
              </w:rPr>
              <w:t>可设置提示音效，</w:t>
            </w:r>
            <w:r>
              <w:rPr>
                <w:rFonts w:hint="eastAsia" w:asciiTheme="minorEastAsia" w:hAnsiTheme="minorEastAsia" w:eastAsiaTheme="minorEastAsia" w:cstheme="minorEastAsia"/>
                <w:b w:val="0"/>
                <w:bCs w:val="0"/>
                <w:color w:val="auto"/>
                <w:sz w:val="24"/>
                <w:szCs w:val="24"/>
                <w:highlight w:val="none"/>
                <w:lang w:val="en-US" w:eastAsia="zh-CN"/>
              </w:rPr>
              <w:t>完成游戏后还可复位</w:t>
            </w:r>
            <w:r>
              <w:rPr>
                <w:rFonts w:hint="eastAsia" w:asciiTheme="minorEastAsia" w:hAnsiTheme="minorEastAsia" w:eastAsiaTheme="minorEastAsia" w:cstheme="minorEastAsia"/>
                <w:b w:val="0"/>
                <w:bCs w:val="0"/>
                <w:color w:val="auto"/>
                <w:sz w:val="24"/>
                <w:szCs w:val="24"/>
                <w:highlight w:val="none"/>
              </w:rPr>
              <w:t>重新开始</w:t>
            </w:r>
            <w:r>
              <w:rPr>
                <w:rFonts w:hint="eastAsia" w:asciiTheme="minorEastAsia" w:hAnsiTheme="minorEastAsia" w:eastAsiaTheme="minorEastAsia" w:cstheme="minorEastAsia"/>
                <w:b w:val="0"/>
                <w:bCs w:val="0"/>
                <w:color w:val="auto"/>
                <w:sz w:val="24"/>
                <w:szCs w:val="24"/>
                <w:highlight w:val="none"/>
                <w:lang w:val="en-US" w:eastAsia="zh-CN"/>
              </w:rPr>
              <w:t>游戏。</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知识连线</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支持创建知识连线游戏，提供配对项的编辑功能，将相互配对的项拖动连接可自动识别连线是否正确，并且有相应提示，同时可以开启或关闭游戏计时功能。</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互动分类</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rPr>
              <w:t>支持创建互动分类游戏，</w:t>
            </w:r>
            <w:r>
              <w:rPr>
                <w:rFonts w:hint="eastAsia" w:asciiTheme="minorEastAsia" w:hAnsiTheme="minorEastAsia" w:eastAsiaTheme="minorEastAsia" w:cstheme="minorEastAsia"/>
                <w:b w:val="0"/>
                <w:bCs w:val="0"/>
                <w:color w:val="auto"/>
                <w:sz w:val="24"/>
                <w:szCs w:val="24"/>
                <w:highlight w:val="none"/>
                <w:lang w:val="en-US" w:eastAsia="zh-CN"/>
              </w:rPr>
              <w:t>可对类别或子类别进行编辑，</w:t>
            </w:r>
            <w:r>
              <w:rPr>
                <w:rFonts w:hint="eastAsia" w:asciiTheme="minorEastAsia" w:hAnsiTheme="minorEastAsia" w:eastAsiaTheme="minorEastAsia" w:cstheme="minorEastAsia"/>
                <w:b w:val="0"/>
                <w:bCs w:val="0"/>
                <w:color w:val="auto"/>
                <w:sz w:val="24"/>
                <w:szCs w:val="24"/>
                <w:highlight w:val="none"/>
              </w:rPr>
              <w:t>将不同对象拖拽到对应的类别容器中可自动辨识分类，分类正确或错误均有相应提示</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同时可以开启或关闭游戏计时功能</w:t>
            </w:r>
            <w:r>
              <w:rPr>
                <w:rFonts w:hint="eastAsia" w:asciiTheme="minorEastAsia" w:hAnsiTheme="minorEastAsia" w:eastAsiaTheme="minorEastAsia" w:cstheme="minorEastAsia"/>
                <w:b w:val="0"/>
                <w:bCs w:val="0"/>
                <w:color w:val="auto"/>
                <w:sz w:val="24"/>
                <w:szCs w:val="24"/>
                <w:highlight w:val="none"/>
              </w:rPr>
              <w:t>。</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选词填空</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支持创建选词填空游戏</w:t>
            </w:r>
            <w:r>
              <w:rPr>
                <w:rFonts w:hint="eastAsia" w:asciiTheme="minorEastAsia" w:hAnsiTheme="minorEastAsia" w:eastAsiaTheme="minorEastAsia" w:cstheme="minorEastAsia"/>
                <w:b w:val="0"/>
                <w:bCs w:val="0"/>
                <w:color w:val="auto"/>
                <w:kern w:val="2"/>
                <w:sz w:val="24"/>
                <w:szCs w:val="24"/>
                <w:highlight w:val="none"/>
                <w:lang w:val="en-US" w:eastAsia="zh-CN" w:bidi="ar-SA"/>
              </w:rPr>
              <w:t>，可对题干、正确答案及干扰答案进行编辑，将答案拖至题目空白处，即自动识别答案是否正确，</w:t>
            </w:r>
            <w:r>
              <w:rPr>
                <w:rFonts w:hint="eastAsia" w:asciiTheme="minorEastAsia" w:hAnsiTheme="minorEastAsia" w:eastAsiaTheme="minorEastAsia" w:cstheme="minorEastAsia"/>
                <w:b w:val="0"/>
                <w:bCs w:val="0"/>
                <w:color w:val="auto"/>
                <w:sz w:val="24"/>
                <w:szCs w:val="24"/>
                <w:highlight w:val="none"/>
                <w:lang w:val="en-US" w:eastAsia="zh-CN"/>
              </w:rPr>
              <w:t>并且有相应提示，同时可以开启或关闭游戏计时功能。</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趣味竞赛</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支持创建趣味竞赛，</w:t>
            </w:r>
            <w:r>
              <w:rPr>
                <w:rFonts w:hint="eastAsia" w:asciiTheme="minorEastAsia" w:hAnsiTheme="minorEastAsia" w:eastAsiaTheme="minorEastAsia" w:cstheme="minorEastAsia"/>
                <w:b w:val="0"/>
                <w:bCs w:val="0"/>
                <w:color w:val="auto"/>
                <w:kern w:val="2"/>
                <w:sz w:val="24"/>
                <w:szCs w:val="24"/>
                <w:highlight w:val="none"/>
                <w:lang w:val="en-US" w:eastAsia="zh-CN" w:bidi="ar-SA"/>
              </w:rPr>
              <w:t>可对题目、正确答案、干扰答案及游戏难度进行编辑，且</w:t>
            </w:r>
            <w:r>
              <w:rPr>
                <w:rFonts w:hint="eastAsia" w:asciiTheme="minorEastAsia" w:hAnsiTheme="minorEastAsia" w:eastAsiaTheme="minorEastAsia" w:cstheme="minorEastAsia"/>
                <w:b w:val="0"/>
                <w:bCs w:val="0"/>
                <w:color w:val="auto"/>
                <w:sz w:val="24"/>
                <w:szCs w:val="24"/>
                <w:highlight w:val="none"/>
                <w:lang w:val="en-US" w:eastAsia="zh-CN"/>
              </w:rPr>
              <w:t>可以邀请至少两位同学同时进行答题，将课堂知识以游戏竞赛的形式展现。</w:t>
            </w:r>
          </w:p>
          <w:p>
            <w:pPr>
              <w:pStyle w:val="2"/>
              <w:keepNext w:val="0"/>
              <w:keepLines w:val="0"/>
              <w:pageBreakBefore w:val="0"/>
              <w:numPr>
                <w:ilvl w:val="0"/>
                <w:numId w:val="9"/>
              </w:numPr>
              <w:kinsoku/>
              <w:wordWrap/>
              <w:overflowPunct/>
              <w:topLinePunct w:val="0"/>
              <w:autoSpaceDE/>
              <w:autoSpaceDN/>
              <w:bidi w:val="0"/>
              <w:adjustRightInd w:val="0"/>
              <w:snapToGrid w:val="0"/>
              <w:spacing w:after="0"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翻翻卡</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支持创建翻翻卡游戏，</w:t>
            </w:r>
            <w:r>
              <w:rPr>
                <w:rFonts w:hint="eastAsia" w:asciiTheme="minorEastAsia" w:hAnsiTheme="minorEastAsia" w:eastAsiaTheme="minorEastAsia" w:cstheme="minorEastAsia"/>
                <w:b w:val="0"/>
                <w:bCs w:val="0"/>
                <w:color w:val="auto"/>
                <w:sz w:val="24"/>
                <w:szCs w:val="24"/>
                <w:highlight w:val="none"/>
              </w:rPr>
              <w:t>可以制作多张卡片，</w:t>
            </w:r>
            <w:r>
              <w:rPr>
                <w:rFonts w:hint="eastAsia" w:asciiTheme="minorEastAsia" w:hAnsiTheme="minorEastAsia" w:eastAsiaTheme="minorEastAsia" w:cstheme="minorEastAsia"/>
                <w:b w:val="0"/>
                <w:bCs w:val="0"/>
                <w:color w:val="auto"/>
                <w:sz w:val="24"/>
                <w:szCs w:val="24"/>
                <w:highlight w:val="none"/>
                <w:lang w:val="en-US" w:eastAsia="zh-CN"/>
              </w:rPr>
              <w:t>并且</w:t>
            </w:r>
            <w:r>
              <w:rPr>
                <w:rFonts w:hint="eastAsia" w:asciiTheme="minorEastAsia" w:hAnsiTheme="minorEastAsia" w:eastAsiaTheme="minorEastAsia" w:cstheme="minorEastAsia"/>
                <w:b w:val="0"/>
                <w:bCs w:val="0"/>
                <w:color w:val="auto"/>
                <w:sz w:val="24"/>
                <w:szCs w:val="24"/>
                <w:highlight w:val="none"/>
              </w:rPr>
              <w:t>编辑卡片</w:t>
            </w:r>
            <w:r>
              <w:rPr>
                <w:rFonts w:hint="eastAsia" w:asciiTheme="minorEastAsia" w:hAnsiTheme="minorEastAsia" w:eastAsiaTheme="minorEastAsia" w:cstheme="minorEastAsia"/>
                <w:b w:val="0"/>
                <w:bCs w:val="0"/>
                <w:color w:val="auto"/>
                <w:sz w:val="24"/>
                <w:szCs w:val="24"/>
                <w:highlight w:val="none"/>
                <w:lang w:val="en-US" w:eastAsia="zh-CN"/>
              </w:rPr>
              <w:t>正反两面的</w:t>
            </w:r>
            <w:r>
              <w:rPr>
                <w:rFonts w:hint="eastAsia" w:asciiTheme="minorEastAsia" w:hAnsiTheme="minorEastAsia" w:eastAsiaTheme="minorEastAsia" w:cstheme="minorEastAsia"/>
                <w:b w:val="0"/>
                <w:bCs w:val="0"/>
                <w:color w:val="auto"/>
                <w:sz w:val="24"/>
                <w:szCs w:val="24"/>
                <w:highlight w:val="none"/>
              </w:rPr>
              <w:t>文字和图片内容</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同时</w:t>
            </w:r>
            <w:r>
              <w:rPr>
                <w:rFonts w:hint="eastAsia" w:asciiTheme="minorEastAsia" w:hAnsiTheme="minorEastAsia" w:eastAsiaTheme="minorEastAsia" w:cstheme="minorEastAsia"/>
                <w:b w:val="0"/>
                <w:bCs w:val="0"/>
                <w:color w:val="auto"/>
                <w:sz w:val="24"/>
                <w:szCs w:val="24"/>
                <w:highlight w:val="none"/>
              </w:rPr>
              <w:t>可设置提示音效</w:t>
            </w:r>
            <w:r>
              <w:rPr>
                <w:rFonts w:hint="eastAsia" w:asciiTheme="minorEastAsia" w:hAnsiTheme="minorEastAsia" w:eastAsiaTheme="minorEastAsia" w:cstheme="minorEastAsia"/>
                <w:b w:val="0"/>
                <w:bCs w:val="0"/>
                <w:color w:val="auto"/>
                <w:sz w:val="24"/>
                <w:szCs w:val="24"/>
                <w:highlight w:val="none"/>
                <w:lang w:eastAsia="zh-CN"/>
              </w:rPr>
              <w:t>。</w:t>
            </w:r>
          </w:p>
          <w:p>
            <w:pPr>
              <w:keepNext w:val="0"/>
              <w:keepLines w:val="0"/>
              <w:pageBreakBefore w:val="0"/>
              <w:numPr>
                <w:ilvl w:val="0"/>
                <w:numId w:val="8"/>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PPT课件批注功能：PPT全屏播放时可自动开启工具菜单，支持工具菜单收起与打开，提供PPT课件的播放控制(如前后翻页)、聚光灯、放大镜、草稿纸、书写批注、黑屏等功能,支持生成二维码，快速分享课件</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方便老师教学，软件需提供快速备课功能，通过简单的勾选章节（支持预览），一键生成带有文字以及动画效果的幻灯片课件，无需教师后续编辑，支持一键全屏播放</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为方便老师应用，提供与所投产品相关的微信公众号学习交流及售后平台，老师可通过关注厂家微信公众号在线自主学习产品使用，也可通过公众号在线提问及产品的报修。</w:t>
            </w:r>
          </w:p>
          <w:p>
            <w:pPr>
              <w:pStyle w:val="77"/>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二）互动教学模式</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支持移动端与PC端通过智能搜索或扫描二维码方式连接。</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可实现影像上传功能：支持对上传的图片内容再次编辑如裁剪、马赛克、批注、旋转等操作，可同时上传多张照片进行同屏对比，双向批注。</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可实现双向投屏功能：移动端的画面可以上传至PC端；PC端电脑画面也可以同步至移动端，可实现移动端实时控制、随时批注PC端电脑桌面。</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可实现手机直播：当手机与PC端连接，可以同步直播手机摄像头画面至PC端，并且支持一键切换前后置摄像头。</w:t>
            </w:r>
          </w:p>
          <w:p>
            <w:pPr>
              <w:keepNext w:val="0"/>
              <w:keepLines w:val="0"/>
              <w:pageBreakBefore w:val="0"/>
              <w:numPr>
                <w:ilvl w:val="0"/>
                <w:numId w:val="10"/>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当移动端与PC端连接时，移动端可以模拟鼠标操作PC端；还可以远程操作管理PC端电脑，包括切换电脑软件窗口、启动电脑应用，以及重启、锁定或者关闭电脑等。</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 xml:space="preserve">七、资源 </w:t>
            </w:r>
          </w:p>
          <w:p>
            <w:pPr>
              <w:keepNext w:val="0"/>
              <w:keepLines w:val="0"/>
              <w:pageBreakBefore w:val="0"/>
              <w:numPr>
                <w:ilvl w:val="0"/>
                <w:numId w:val="1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CN"/>
              </w:rPr>
              <w:t>数字教材资源：</w:t>
            </w:r>
            <w:r>
              <w:rPr>
                <w:rFonts w:hint="eastAsia" w:asciiTheme="minorEastAsia" w:hAnsiTheme="minorEastAsia" w:eastAsiaTheme="minorEastAsia" w:cstheme="minorEastAsia"/>
                <w:b w:val="0"/>
                <w:bCs w:val="0"/>
                <w:color w:val="auto"/>
                <w:kern w:val="0"/>
                <w:sz w:val="24"/>
                <w:szCs w:val="24"/>
              </w:rPr>
              <w:t>配置人民教育出版社数字教材，</w:t>
            </w:r>
            <w:r>
              <w:rPr>
                <w:rFonts w:hint="eastAsia" w:asciiTheme="minorEastAsia" w:hAnsiTheme="minorEastAsia" w:eastAsiaTheme="minorEastAsia" w:cstheme="minorEastAsia"/>
                <w:b w:val="0"/>
                <w:bCs w:val="0"/>
                <w:color w:val="auto"/>
                <w:sz w:val="24"/>
                <w:szCs w:val="24"/>
              </w:rPr>
              <w:t>覆盖K-12各个年级各个学科；教材资源内容与课程标准及现行课改教材完全配套相符。</w:t>
            </w:r>
          </w:p>
          <w:p>
            <w:pPr>
              <w:keepNext w:val="0"/>
              <w:keepLines w:val="0"/>
              <w:pageBreakBefore w:val="0"/>
              <w:numPr>
                <w:ilvl w:val="0"/>
                <w:numId w:val="12"/>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kern w:val="0"/>
                <w:sz w:val="24"/>
                <w:szCs w:val="24"/>
              </w:rPr>
              <w:t>方便教学使用，支持教师个人账号登录并支持在线下载。</w:t>
            </w:r>
            <w:r>
              <w:rPr>
                <w:rFonts w:hint="eastAsia" w:asciiTheme="minorEastAsia" w:hAnsiTheme="minorEastAsia" w:eastAsiaTheme="minorEastAsia" w:cstheme="minorEastAsia"/>
                <w:b w:val="0"/>
                <w:bCs w:val="0"/>
                <w:color w:val="auto"/>
                <w:sz w:val="24"/>
                <w:szCs w:val="24"/>
              </w:rPr>
              <w:t>数字教材资源含教材原文、教学素材、教学动画、教学视频、语音点播等；且页面提供点读、笔记、标注等工具。</w:t>
            </w:r>
          </w:p>
          <w:p>
            <w:pPr>
              <w:keepNext w:val="0"/>
              <w:keepLines w:val="0"/>
              <w:pageBreakBefore w:val="0"/>
              <w:numPr>
                <w:ilvl w:val="0"/>
                <w:numId w:val="12"/>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数字教材可在交互教学软件中直接打开，且达到放大200%不失真的功能。</w:t>
            </w:r>
          </w:p>
          <w:p>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ind w:left="454" w:leftChars="0" w:hanging="454"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教学资源库</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涵盖幼教、普教、职教等学段，总量高达1000G、50万条。可按学科、年级、版本、章节、栏目进行查询、下载，备课时可直接拖拽至教学活动中。</w:t>
            </w:r>
          </w:p>
          <w:p>
            <w:pPr>
              <w:keepNext w:val="0"/>
              <w:keepLines w:val="0"/>
              <w:pageBreakBefore w:val="0"/>
              <w:widowControl/>
              <w:numPr>
                <w:ilvl w:val="0"/>
                <w:numId w:val="14"/>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幼教资源库</w:t>
            </w:r>
          </w:p>
          <w:p>
            <w:pPr>
              <w:keepNext w:val="0"/>
              <w:keepLines w:val="0"/>
              <w:pageBreakBefore w:val="0"/>
              <w:widowControl/>
              <w:numPr>
                <w:ilvl w:val="0"/>
                <w:numId w:val="15"/>
              </w:numPr>
              <w:kinsoku/>
              <w:wordWrap/>
              <w:overflowPunct/>
              <w:topLinePunct w:val="0"/>
              <w:autoSpaceDE/>
              <w:autoSpaceDN/>
              <w:bidi w:val="0"/>
              <w:adjustRightInd w:val="0"/>
              <w:snapToGrid w:val="0"/>
              <w:spacing w:line="240" w:lineRule="auto"/>
              <w:ind w:left="850" w:leftChars="0" w:hanging="56"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提供了丰富的幼教资源内容，涵盖语文、数学、英语、科学、艺术、健康、社会等七大主题内容；</w:t>
            </w:r>
          </w:p>
          <w:p>
            <w:pPr>
              <w:keepNext w:val="0"/>
              <w:keepLines w:val="0"/>
              <w:pageBreakBefore w:val="0"/>
              <w:widowControl/>
              <w:numPr>
                <w:ilvl w:val="0"/>
                <w:numId w:val="15"/>
              </w:numPr>
              <w:kinsoku/>
              <w:wordWrap/>
              <w:overflowPunct/>
              <w:topLinePunct w:val="0"/>
              <w:autoSpaceDE/>
              <w:autoSpaceDN/>
              <w:bidi w:val="0"/>
              <w:adjustRightInd w:val="0"/>
              <w:snapToGrid w:val="0"/>
              <w:spacing w:line="240" w:lineRule="auto"/>
              <w:ind w:left="850" w:leftChars="0" w:hanging="56"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包括图片、文本、视频、音频等多种类型资源，可基本满足幼儿园小班、中班、大班的教学需求；</w:t>
            </w:r>
            <w:r>
              <w:rPr>
                <w:rFonts w:hint="eastAsia" w:asciiTheme="minorEastAsia" w:hAnsiTheme="minorEastAsia" w:eastAsiaTheme="minorEastAsia" w:cstheme="minorEastAsia"/>
                <w:b w:val="0"/>
                <w:bCs w:val="0"/>
                <w:color w:val="auto"/>
                <w:sz w:val="24"/>
                <w:szCs w:val="24"/>
              </w:rPr>
              <w:tab/>
            </w:r>
          </w:p>
          <w:p>
            <w:pPr>
              <w:keepNext w:val="0"/>
              <w:keepLines w:val="0"/>
              <w:pageBreakBefore w:val="0"/>
              <w:widowControl/>
              <w:numPr>
                <w:ilvl w:val="0"/>
                <w:numId w:val="16"/>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普教资源库</w:t>
            </w:r>
          </w:p>
          <w:p>
            <w:pPr>
              <w:keepNext w:val="0"/>
              <w:keepLines w:val="0"/>
              <w:pageBreakBefore w:val="0"/>
              <w:widowControl/>
              <w:numPr>
                <w:ilvl w:val="0"/>
                <w:numId w:val="17"/>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覆盖小学一年级到高中三年级多</w:t>
            </w:r>
            <w:r>
              <w:rPr>
                <w:rFonts w:hint="eastAsia" w:asciiTheme="minorEastAsia" w:hAnsiTheme="minorEastAsia" w:eastAsiaTheme="minorEastAsia" w:cstheme="minorEastAsia"/>
                <w:b w:val="0"/>
                <w:bCs w:val="0"/>
                <w:color w:val="auto"/>
                <w:sz w:val="24"/>
                <w:szCs w:val="24"/>
                <w:lang w:val="en-US" w:eastAsia="zh-CN"/>
              </w:rPr>
              <w:t>种</w:t>
            </w:r>
            <w:r>
              <w:rPr>
                <w:rFonts w:hint="eastAsia" w:asciiTheme="minorEastAsia" w:hAnsiTheme="minorEastAsia" w:eastAsiaTheme="minorEastAsia" w:cstheme="minorEastAsia"/>
                <w:b w:val="0"/>
                <w:bCs w:val="0"/>
                <w:color w:val="auto"/>
                <w:sz w:val="24"/>
                <w:szCs w:val="24"/>
              </w:rPr>
              <w:t>教材版本，可最大限度地满足不同年级、不同学科、不同地域教师的需求；</w:t>
            </w:r>
          </w:p>
          <w:p>
            <w:pPr>
              <w:keepNext w:val="0"/>
              <w:keepLines w:val="0"/>
              <w:pageBreakBefore w:val="0"/>
              <w:widowControl/>
              <w:numPr>
                <w:ilvl w:val="0"/>
                <w:numId w:val="17"/>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所有资源均采用与教材同步的目录结构进行组织，每一课/节所包含的主要资源种类</w:t>
            </w:r>
            <w:r>
              <w:rPr>
                <w:rFonts w:hint="eastAsia" w:asciiTheme="minorEastAsia" w:hAnsiTheme="minorEastAsia" w:eastAsiaTheme="minorEastAsia" w:cstheme="minorEastAsia"/>
                <w:b w:val="0"/>
                <w:bCs w:val="0"/>
                <w:color w:val="auto"/>
                <w:sz w:val="24"/>
                <w:szCs w:val="24"/>
                <w:lang w:val="en-US" w:eastAsia="zh-CN"/>
              </w:rPr>
              <w:t>包含：</w:t>
            </w:r>
            <w:r>
              <w:rPr>
                <w:rFonts w:hint="eastAsia" w:asciiTheme="minorEastAsia" w:hAnsiTheme="minorEastAsia" w:eastAsiaTheme="minorEastAsia" w:cstheme="minorEastAsia"/>
                <w:b w:val="0"/>
                <w:bCs w:val="0"/>
                <w:color w:val="auto"/>
                <w:sz w:val="24"/>
                <w:szCs w:val="24"/>
              </w:rPr>
              <w:t>教学建议</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教案示例</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教学课件</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多媒体素材</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试题与试卷</w:t>
            </w:r>
            <w:r>
              <w:rPr>
                <w:rFonts w:hint="eastAsia" w:asciiTheme="minorEastAsia" w:hAnsiTheme="minorEastAsia" w:eastAsiaTheme="minorEastAsia" w:cstheme="minorEastAsia"/>
                <w:b w:val="0"/>
                <w:bCs w:val="0"/>
                <w:color w:val="auto"/>
                <w:sz w:val="24"/>
                <w:szCs w:val="24"/>
                <w:lang w:val="en-US" w:eastAsia="zh-CN"/>
              </w:rPr>
              <w:t>等</w:t>
            </w:r>
            <w:r>
              <w:rPr>
                <w:rFonts w:hint="eastAsia" w:asciiTheme="minorEastAsia" w:hAnsiTheme="minorEastAsia" w:eastAsiaTheme="minorEastAsia" w:cstheme="minorEastAsia"/>
                <w:b w:val="0"/>
                <w:bCs w:val="0"/>
                <w:color w:val="auto"/>
                <w:sz w:val="24"/>
                <w:szCs w:val="24"/>
                <w:lang w:eastAsia="zh-CN"/>
              </w:rPr>
              <w:t>。</w:t>
            </w:r>
          </w:p>
          <w:p>
            <w:pPr>
              <w:keepNext w:val="0"/>
              <w:keepLines w:val="0"/>
              <w:pageBreakBefore w:val="0"/>
              <w:widowControl/>
              <w:numPr>
                <w:ilvl w:val="0"/>
                <w:numId w:val="18"/>
              </w:numPr>
              <w:kinsoku/>
              <w:wordWrap/>
              <w:overflowPunct/>
              <w:topLinePunct w:val="0"/>
              <w:autoSpaceDE/>
              <w:autoSpaceDN/>
              <w:bidi w:val="0"/>
              <w:adjustRightInd w:val="0"/>
              <w:snapToGrid w:val="0"/>
              <w:spacing w:line="240" w:lineRule="auto"/>
              <w:ind w:left="850" w:leftChars="0" w:hanging="453" w:firstLineChars="0"/>
              <w:textAlignment w:val="auto"/>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rPr>
              <w:t>职教资源库</w:t>
            </w:r>
          </w:p>
          <w:p>
            <w:pPr>
              <w:keepNext w:val="0"/>
              <w:keepLines w:val="0"/>
              <w:pageBreakBefore w:val="0"/>
              <w:widowControl/>
              <w:numPr>
                <w:ilvl w:val="0"/>
                <w:numId w:val="19"/>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中职资源：覆盖农林牧渔类、资源环境类、能源与新能源类、土木水利类、加工制造类、石油化工类、轻纺食品类、交通运输类、信息技术类、医药卫生类、休闲保健类、财经商贸类、旅游服务类、文化艺术类、体育与健身类、教育类、司法服务类、公共管理与服务类等类别；</w:t>
            </w:r>
          </w:p>
          <w:p>
            <w:pPr>
              <w:keepNext w:val="0"/>
              <w:keepLines w:val="0"/>
              <w:pageBreakBefore w:val="0"/>
              <w:widowControl/>
              <w:numPr>
                <w:ilvl w:val="0"/>
                <w:numId w:val="19"/>
              </w:numPr>
              <w:kinsoku/>
              <w:wordWrap/>
              <w:overflowPunct/>
              <w:topLinePunct w:val="0"/>
              <w:autoSpaceDE/>
              <w:autoSpaceDN/>
              <w:bidi w:val="0"/>
              <w:adjustRightInd w:val="0"/>
              <w:snapToGrid w:val="0"/>
              <w:spacing w:line="240" w:lineRule="auto"/>
              <w:ind w:left="907" w:leftChars="0" w:hanging="113"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高职资源：覆盖材料与能源、财经、法律、旅游、文化教育、医药卫生、艺术设计传媒等类别。</w:t>
            </w:r>
          </w:p>
          <w:p>
            <w:pPr>
              <w:keepNext w:val="0"/>
              <w:keepLines w:val="0"/>
              <w:pageBreakBefore w:val="0"/>
              <w:widowControl/>
              <w:numPr>
                <w:ilvl w:val="0"/>
                <w:numId w:val="20"/>
              </w:numPr>
              <w:kinsoku/>
              <w:wordWrap/>
              <w:overflowPunct/>
              <w:topLinePunct w:val="0"/>
              <w:autoSpaceDE/>
              <w:autoSpaceDN/>
              <w:bidi w:val="0"/>
              <w:adjustRightInd w:val="0"/>
              <w:snapToGrid w:val="0"/>
              <w:spacing w:line="240" w:lineRule="auto"/>
              <w:ind w:left="454" w:leftChars="0" w:hanging="454"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学科试题库</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highlight w:val="none"/>
              </w:rPr>
              <w:t>提供丰富的学科试题库，</w:t>
            </w:r>
            <w:r>
              <w:rPr>
                <w:rFonts w:hint="eastAsia" w:asciiTheme="minorEastAsia" w:hAnsiTheme="minorEastAsia" w:eastAsiaTheme="minorEastAsia" w:cstheme="minorEastAsia"/>
                <w:b w:val="0"/>
                <w:bCs w:val="0"/>
                <w:color w:val="auto"/>
                <w:sz w:val="24"/>
                <w:szCs w:val="24"/>
                <w:lang w:val="en-US" w:eastAsia="zh-CN"/>
              </w:rPr>
              <w:t>包括</w:t>
            </w:r>
            <w:r>
              <w:rPr>
                <w:rFonts w:hint="eastAsia" w:asciiTheme="minorEastAsia" w:hAnsiTheme="minorEastAsia" w:eastAsiaTheme="minorEastAsia" w:cstheme="minorEastAsia"/>
                <w:b w:val="0"/>
                <w:bCs w:val="0"/>
                <w:color w:val="auto"/>
                <w:sz w:val="24"/>
                <w:szCs w:val="24"/>
              </w:rPr>
              <w:t>同步题库和个人题库，</w:t>
            </w:r>
            <w:r>
              <w:rPr>
                <w:rFonts w:hint="eastAsia" w:asciiTheme="minorEastAsia" w:hAnsiTheme="minorEastAsia" w:eastAsiaTheme="minorEastAsia" w:cstheme="minorEastAsia"/>
                <w:b w:val="0"/>
                <w:bCs w:val="0"/>
                <w:color w:val="auto"/>
                <w:sz w:val="24"/>
                <w:szCs w:val="24"/>
                <w:highlight w:val="none"/>
                <w:lang w:val="en-US" w:eastAsia="zh-CN"/>
              </w:rPr>
              <w:t>教师</w:t>
            </w:r>
            <w:r>
              <w:rPr>
                <w:rFonts w:hint="eastAsia" w:asciiTheme="minorEastAsia" w:hAnsiTheme="minorEastAsia" w:eastAsiaTheme="minorEastAsia" w:cstheme="minorEastAsia"/>
                <w:b w:val="0"/>
                <w:bCs w:val="0"/>
                <w:color w:val="auto"/>
                <w:sz w:val="24"/>
                <w:szCs w:val="24"/>
              </w:rPr>
              <w:t>可根据题型、难度进行选择</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同时</w:t>
            </w:r>
            <w:r>
              <w:rPr>
                <w:rFonts w:hint="eastAsia" w:asciiTheme="minorEastAsia" w:hAnsiTheme="minorEastAsia" w:eastAsiaTheme="minorEastAsia" w:cstheme="minorEastAsia"/>
                <w:b w:val="0"/>
                <w:bCs w:val="0"/>
                <w:color w:val="auto"/>
                <w:sz w:val="24"/>
                <w:szCs w:val="24"/>
                <w:highlight w:val="none"/>
                <w:lang w:val="en-US" w:eastAsia="zh-CN"/>
              </w:rPr>
              <w:t>可</w:t>
            </w:r>
            <w:r>
              <w:rPr>
                <w:rFonts w:hint="eastAsia" w:asciiTheme="minorEastAsia" w:hAnsiTheme="minorEastAsia" w:eastAsiaTheme="minorEastAsia" w:cstheme="minorEastAsia"/>
                <w:b w:val="0"/>
                <w:bCs w:val="0"/>
                <w:color w:val="auto"/>
                <w:sz w:val="24"/>
                <w:szCs w:val="24"/>
                <w:highlight w:val="none"/>
              </w:rPr>
              <w:t>按学科知识点与学科教材目录同步检索</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个人题库</w:t>
            </w:r>
            <w:r>
              <w:rPr>
                <w:rFonts w:hint="eastAsia" w:asciiTheme="minorEastAsia" w:hAnsiTheme="minorEastAsia" w:eastAsiaTheme="minorEastAsia" w:cstheme="minorEastAsia"/>
                <w:b w:val="0"/>
                <w:bCs w:val="0"/>
                <w:color w:val="auto"/>
                <w:sz w:val="24"/>
                <w:szCs w:val="24"/>
                <w:lang w:val="en-US" w:eastAsia="zh-CN"/>
              </w:rPr>
              <w:t>支持</w:t>
            </w:r>
            <w:r>
              <w:rPr>
                <w:rFonts w:hint="eastAsia" w:asciiTheme="minorEastAsia" w:hAnsiTheme="minorEastAsia" w:eastAsiaTheme="minorEastAsia" w:cstheme="minorEastAsia"/>
                <w:b w:val="0"/>
                <w:bCs w:val="0"/>
                <w:color w:val="auto"/>
                <w:sz w:val="24"/>
                <w:szCs w:val="24"/>
                <w:highlight w:val="none"/>
              </w:rPr>
              <w:t>自定义单选、多选、判断、解答等多种类型题目</w:t>
            </w:r>
            <w:r>
              <w:rPr>
                <w:rFonts w:hint="eastAsia" w:asciiTheme="minorEastAsia" w:hAnsiTheme="minorEastAsia" w:eastAsiaTheme="minorEastAsia" w:cstheme="minorEastAsia"/>
                <w:b w:val="0"/>
                <w:bCs w:val="0"/>
                <w:color w:val="auto"/>
                <w:sz w:val="24"/>
                <w:szCs w:val="24"/>
                <w:highlight w:val="none"/>
                <w:lang w:val="en-US" w:eastAsia="zh-CN"/>
              </w:rPr>
              <w:t>添加</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备课时可直接拖拽至教学活动中。</w:t>
            </w:r>
          </w:p>
          <w:p>
            <w:pPr>
              <w:pStyle w:val="2"/>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Theme="minorEastAsia" w:hAnsiTheme="minorEastAsia" w:eastAsiaTheme="minorEastAsia" w:cstheme="minorEastAsia"/>
                <w:b/>
                <w:bCs/>
                <w:color w:val="auto"/>
                <w:sz w:val="24"/>
                <w:szCs w:val="24"/>
                <w:highlight w:val="yellow"/>
                <w:lang w:eastAsia="zh-CN"/>
              </w:rPr>
            </w:pPr>
            <w:r>
              <w:rPr>
                <w:rFonts w:hint="eastAsia" w:asciiTheme="minorEastAsia" w:hAnsiTheme="minorEastAsia" w:eastAsiaTheme="minorEastAsia" w:cstheme="minorEastAsia"/>
                <w:b/>
                <w:bCs/>
                <w:color w:val="auto"/>
                <w:sz w:val="24"/>
                <w:szCs w:val="24"/>
                <w:highlight w:val="none"/>
              </w:rPr>
              <w:t>（为保证兼容性及后期升级，要求</w:t>
            </w:r>
            <w:r>
              <w:rPr>
                <w:rFonts w:hint="eastAsia" w:asciiTheme="minorEastAsia" w:hAnsiTheme="minorEastAsia" w:eastAsiaTheme="minorEastAsia" w:cstheme="minorEastAsia"/>
                <w:b/>
                <w:bCs/>
                <w:color w:val="auto"/>
                <w:sz w:val="24"/>
                <w:szCs w:val="24"/>
                <w:highlight w:val="none"/>
                <w:lang w:val="en-US" w:eastAsia="zh-CN"/>
              </w:rPr>
              <w:t>所有软件</w:t>
            </w:r>
            <w:r>
              <w:rPr>
                <w:rFonts w:hint="eastAsia" w:asciiTheme="minorEastAsia" w:hAnsiTheme="minorEastAsia" w:eastAsiaTheme="minorEastAsia" w:cstheme="minorEastAsia"/>
                <w:b/>
                <w:bCs/>
                <w:color w:val="auto"/>
                <w:sz w:val="24"/>
                <w:szCs w:val="24"/>
                <w:highlight w:val="none"/>
              </w:rPr>
              <w:t>与所投产品硬件为同一制造商，拒绝使用第三方软件）</w:t>
            </w:r>
          </w:p>
          <w:p>
            <w:pPr>
              <w:pStyle w:val="7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b w:val="0"/>
                <w:bCs w:val="0"/>
                <w:color w:val="auto"/>
                <w:sz w:val="24"/>
                <w:szCs w:val="24"/>
                <w:lang w:val="en-US" w:eastAsia="zh-CN"/>
              </w:rPr>
              <w:t>八、资质证书部分</w:t>
            </w:r>
          </w:p>
          <w:p>
            <w:pPr>
              <w:pStyle w:val="77"/>
              <w:keepNext w:val="0"/>
              <w:keepLines w:val="0"/>
              <w:pageBreakBefore w:val="0"/>
              <w:widowControl w:val="0"/>
              <w:numPr>
                <w:ilvl w:val="0"/>
                <w:numId w:val="2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投标产品整机制造商需具备《知识产权管理体系认证证书》，提供证书复印件</w:t>
            </w:r>
            <w:r>
              <w:rPr>
                <w:rFonts w:hint="eastAsia" w:asciiTheme="minorEastAsia" w:hAnsiTheme="minorEastAsia" w:eastAsiaTheme="minorEastAsia" w:cstheme="minorEastAsia"/>
                <w:b w:val="0"/>
                <w:bCs w:val="0"/>
                <w:color w:val="auto"/>
                <w:sz w:val="24"/>
                <w:szCs w:val="24"/>
              </w:rPr>
              <w:t>并加盖厂商公章</w:t>
            </w:r>
            <w:r>
              <w:rPr>
                <w:rFonts w:hint="eastAsia" w:asciiTheme="minorEastAsia" w:hAnsiTheme="minorEastAsia" w:eastAsiaTheme="minorEastAsia" w:cstheme="minorEastAsia"/>
                <w:b w:val="0"/>
                <w:bCs w:val="0"/>
                <w:color w:val="auto"/>
                <w:sz w:val="24"/>
                <w:szCs w:val="24"/>
                <w:lang w:val="en-US" w:eastAsia="zh-CN"/>
              </w:rPr>
              <w:t>。</w:t>
            </w:r>
          </w:p>
          <w:p>
            <w:pPr>
              <w:pStyle w:val="77"/>
              <w:keepNext w:val="0"/>
              <w:keepLines w:val="0"/>
              <w:pageBreakBefore w:val="0"/>
              <w:widowControl w:val="0"/>
              <w:numPr>
                <w:ilvl w:val="0"/>
                <w:numId w:val="21"/>
              </w:numPr>
              <w:kinsoku/>
              <w:wordWrap/>
              <w:overflowPunct/>
              <w:topLinePunct w:val="0"/>
              <w:autoSpaceDE/>
              <w:autoSpaceDN/>
              <w:bidi w:val="0"/>
              <w:adjustRightInd w:val="0"/>
              <w:snapToGrid w:val="0"/>
              <w:spacing w:line="240" w:lineRule="auto"/>
              <w:ind w:left="425" w:leftChars="0" w:hanging="425" w:firstLineChars="0"/>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投标产品整机制造商需具备《售后服务认证证书》提供证书复印件</w:t>
            </w:r>
            <w:r>
              <w:rPr>
                <w:rFonts w:hint="eastAsia" w:asciiTheme="minorEastAsia" w:hAnsiTheme="minorEastAsia" w:eastAsiaTheme="minorEastAsia" w:cstheme="minorEastAsia"/>
                <w:b w:val="0"/>
                <w:bCs w:val="0"/>
                <w:color w:val="auto"/>
                <w:sz w:val="24"/>
                <w:szCs w:val="24"/>
              </w:rPr>
              <w:t>并加盖厂商公章</w:t>
            </w:r>
            <w:r>
              <w:rPr>
                <w:rFonts w:hint="eastAsia" w:asciiTheme="minorEastAsia" w:hAnsiTheme="minorEastAsia" w:eastAsiaTheme="minorEastAsia" w:cstheme="minorEastAsia"/>
                <w:b w:val="0"/>
                <w:bCs w:val="0"/>
                <w:color w:val="auto"/>
                <w:sz w:val="24"/>
                <w:szCs w:val="24"/>
                <w:lang w:val="en-US" w:eastAsia="zh-CN"/>
              </w:rPr>
              <w:t>。</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投标产品</w:t>
            </w:r>
            <w:r>
              <w:rPr>
                <w:rFonts w:hint="eastAsia" w:asciiTheme="minorEastAsia" w:hAnsiTheme="minorEastAsia" w:eastAsiaTheme="minorEastAsia" w:cstheme="minorEastAsia"/>
                <w:b w:val="0"/>
                <w:bCs w:val="0"/>
                <w:color w:val="auto"/>
                <w:sz w:val="24"/>
                <w:szCs w:val="24"/>
                <w:lang w:val="en-US" w:eastAsia="zh-CN"/>
              </w:rPr>
              <w:t>整机</w:t>
            </w:r>
            <w:r>
              <w:rPr>
                <w:rFonts w:hint="eastAsia" w:asciiTheme="minorEastAsia" w:hAnsiTheme="minorEastAsia" w:eastAsiaTheme="minorEastAsia" w:cstheme="minorEastAsia"/>
                <w:b w:val="0"/>
                <w:bCs w:val="0"/>
                <w:color w:val="auto"/>
                <w:sz w:val="24"/>
                <w:szCs w:val="24"/>
              </w:rPr>
              <w:t>制造商应具</w:t>
            </w:r>
            <w:r>
              <w:rPr>
                <w:rFonts w:hint="eastAsia" w:asciiTheme="minorEastAsia" w:hAnsiTheme="minorEastAsia" w:eastAsiaTheme="minorEastAsia" w:cstheme="minorEastAsia"/>
                <w:b w:val="0"/>
                <w:bCs w:val="0"/>
                <w:color w:val="auto"/>
                <w:sz w:val="24"/>
                <w:szCs w:val="24"/>
                <w:lang w:val="en-US" w:eastAsia="zh-CN"/>
              </w:rPr>
              <w:t>备</w:t>
            </w:r>
            <w:r>
              <w:rPr>
                <w:rFonts w:hint="eastAsia" w:asciiTheme="minorEastAsia" w:hAnsiTheme="minorEastAsia" w:eastAsiaTheme="minorEastAsia" w:cstheme="minorEastAsia"/>
                <w:b w:val="0"/>
                <w:bCs w:val="0"/>
                <w:color w:val="auto"/>
                <w:sz w:val="24"/>
                <w:szCs w:val="24"/>
              </w:rPr>
              <w:t>国际电工委员会电子元器件质量评定体系（IECQ）出具的</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满足</w:t>
            </w:r>
            <w:r>
              <w:rPr>
                <w:rFonts w:hint="eastAsia" w:asciiTheme="minorEastAsia" w:hAnsiTheme="minorEastAsia" w:eastAsiaTheme="minorEastAsia" w:cstheme="minorEastAsia"/>
                <w:b w:val="0"/>
                <w:bCs w:val="0"/>
                <w:color w:val="auto"/>
                <w:sz w:val="24"/>
                <w:szCs w:val="24"/>
              </w:rPr>
              <w:t>QC080000危害物质过程管理</w:t>
            </w:r>
            <w:r>
              <w:rPr>
                <w:rFonts w:hint="eastAsia" w:asciiTheme="minorEastAsia" w:hAnsiTheme="minorEastAsia" w:eastAsiaTheme="minorEastAsia" w:cstheme="minorEastAsia"/>
                <w:b w:val="0"/>
                <w:bCs w:val="0"/>
                <w:color w:val="auto"/>
                <w:sz w:val="24"/>
                <w:szCs w:val="24"/>
                <w:lang w:val="en-US" w:eastAsia="zh-CN"/>
              </w:rPr>
              <w:t>系统要求的合格证书</w:t>
            </w:r>
            <w:r>
              <w:rPr>
                <w:rFonts w:hint="eastAsia" w:asciiTheme="minorEastAsia" w:hAnsiTheme="minorEastAsia" w:eastAsiaTheme="minorEastAsia" w:cstheme="minorEastAsia"/>
                <w:b w:val="0"/>
                <w:bCs w:val="0"/>
                <w:color w:val="auto"/>
                <w:sz w:val="24"/>
                <w:szCs w:val="24"/>
              </w:rPr>
              <w:t>。</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投标产品整机制造商必须通过ISO9001质量体系管理认证、ISO14001环境管理体系认证，18001职业健康管理体系认证，提供认证复印件并加盖厂商公章。</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所投产品应具备CMA、CAL、CNAS级别的国家电子计算机质量监督检验中心出具的产品平均无故障时间（MTBF）证书（不低于10万小时）。</w:t>
            </w:r>
          </w:p>
          <w:p>
            <w:pPr>
              <w:keepNext w:val="0"/>
              <w:keepLines w:val="0"/>
              <w:pageBreakBefore w:val="0"/>
              <w:numPr>
                <w:ilvl w:val="0"/>
                <w:numId w:val="21"/>
              </w:numPr>
              <w:kinsoku/>
              <w:wordWrap/>
              <w:overflowPunct/>
              <w:topLinePunct w:val="0"/>
              <w:autoSpaceDE/>
              <w:autoSpaceDN/>
              <w:bidi w:val="0"/>
              <w:adjustRightInd w:val="0"/>
              <w:snapToGrid w:val="0"/>
              <w:spacing w:line="240" w:lineRule="auto"/>
              <w:ind w:left="425" w:leftChars="0" w:hanging="425" w:firstLineChars="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整机测试结果符合 GB21520-2008 的能源效率等级 1 级要求。</w:t>
            </w:r>
            <w:r>
              <w:rPr>
                <w:rFonts w:hint="eastAsia" w:asciiTheme="minorEastAsia" w:hAnsiTheme="minorEastAsia" w:eastAsiaTheme="minorEastAsia" w:cstheme="minorEastAsia"/>
                <w:b w:val="0"/>
                <w:bCs w:val="0"/>
                <w:color w:val="auto"/>
                <w:kern w:val="0"/>
                <w:sz w:val="24"/>
                <w:szCs w:val="24"/>
              </w:rPr>
              <w:t>（</w:t>
            </w:r>
            <w:r>
              <w:rPr>
                <w:rFonts w:hint="eastAsia" w:asciiTheme="minorEastAsia" w:hAnsiTheme="minorEastAsia" w:eastAsiaTheme="minorEastAsia" w:cstheme="minorEastAsia"/>
                <w:b w:val="0"/>
                <w:bCs w:val="0"/>
                <w:color w:val="auto"/>
                <w:sz w:val="24"/>
                <w:szCs w:val="24"/>
              </w:rPr>
              <w:t>需提供CMA、CAL、CNAS级别权威机构出具的检测报告）</w:t>
            </w:r>
          </w:p>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rPr>
              <w:t>为保证产品质量、供货进度及后续便利维护，最大限度保护用户根本利益，本次投标商所投交互平板产品必须为原厂产品，要求交互平板CCC证书的申请人、制造商、生产厂必须为同一企业，不接受OEM等代工方式产品，投标时须提供3C证书复印件加盖制造厂商公章。</w:t>
            </w:r>
            <w:r>
              <w:rPr>
                <w:rFonts w:hint="eastAsia" w:asciiTheme="minorEastAsia" w:hAnsiTheme="minorEastAsia" w:eastAsiaTheme="minorEastAsia" w:cstheme="minorEastAsia"/>
                <w:b w:val="0"/>
                <w:bCs w:val="0"/>
                <w:color w:val="auto"/>
                <w:sz w:val="24"/>
                <w:szCs w:val="24"/>
                <w:lang w:eastAsia="zh-CN"/>
              </w:rPr>
              <w:t>）</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379095</wp:posOffset>
                  </wp:positionH>
                  <wp:positionV relativeFrom="paragraph">
                    <wp:posOffset>3715385</wp:posOffset>
                  </wp:positionV>
                  <wp:extent cx="865505" cy="677545"/>
                  <wp:effectExtent l="0" t="0" r="3175" b="8255"/>
                  <wp:wrapNone/>
                  <wp:docPr id="41" name="Picture_1"/>
                  <wp:cNvGraphicFramePr/>
                  <a:graphic xmlns:a="http://schemas.openxmlformats.org/drawingml/2006/main">
                    <a:graphicData uri="http://schemas.openxmlformats.org/drawingml/2006/picture">
                      <pic:pic xmlns:pic="http://schemas.openxmlformats.org/drawingml/2006/picture">
                        <pic:nvPicPr>
                          <pic:cNvPr id="41" name="Picture_1"/>
                          <pic:cNvPicPr/>
                        </pic:nvPicPr>
                        <pic:blipFill>
                          <a:blip r:embed="rId56"/>
                          <a:stretch>
                            <a:fillRect/>
                          </a:stretch>
                        </pic:blipFill>
                        <pic:spPr>
                          <a:xfrm>
                            <a:off x="0" y="0"/>
                            <a:ext cx="865505" cy="677545"/>
                          </a:xfrm>
                          <a:prstGeom prst="rect">
                            <a:avLst/>
                          </a:prstGeom>
                          <a:noFill/>
                          <a:ln>
                            <a:noFill/>
                          </a:ln>
                        </pic:spPr>
                      </pic:pic>
                    </a:graphicData>
                  </a:graphic>
                </wp:anchor>
              </w:drawing>
            </w:r>
          </w:p>
        </w:tc>
        <w:tc>
          <w:tcPr>
            <w:tcW w:w="132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0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讲台</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1 规格尺寸：2300*700*850㎜；</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1.桌面材料：台面采用12.7mm实心异型理化板，四周贴边加厚至25.4mm，经处理后表面光滑、不变形、平整，整体美观大方、耐用。须符合：</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化学性能：通过国家化学建筑材料测试中心检测，按照GB/T17657-2013进行抽样检测，盐酸（37%）、磷酸（85%）、硝酸（70%）、硝酸（30%）、硝酸（20%）、甲醇、氨水（28%）、氢氧化钠溶液（40%）、氢氧化钠溶液（20%）、氢氧化钠溶液（10%）、片状氢氧化钠、硫酸（96%）、硫酸（77%）、硫酸（33%）、苯酚（90%）、甲醛（37%）、乙酸乙酯、乙酸（98%）、丙酮、铬酸（5%）、丁醇、乙醇、苯、四氯化碳、氯仿、铬酸（60%）、甲酚、二氯乙酸、92#汽油、甲酸（90%）、氢氟酸（48%)、过氧化氢溶液（30%）、碘酒、丁酮、二氯甲烷、一氯化碳、萘、饱和硝酸银、饱和氯化锌、77%硫酸：70%硝酸1：1、甲苯、三氯乙烯、二甲基甲酰胺、二恶烷、乙醚、糠醛、硫化钠饱和液、二甲苯共48种强酸强碱化学试剂分级检验结果为5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物理性能要求：抗拉强度、吸水率、表面耐干热性能、表面耐香烟灼烧、密度、含水率、抗冲击性能（落球高度≥1m）、洛氏硬度、耐沸水性能、防静电性能、表面耐湿热性、表面耐龟裂性、耐光色牢度、光泽度（60°）等14项物理性能符合检测要求。</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（3）.甲醛：台面甲醛释放量检测达到GB18580-2001  E1级的技术指标要求，甲醛释放量（40L干燥器法）检测值≤0.01mg/L。检测结果合格。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（4）.重金属：参照EN71-3：2013+A1：2014采用ICP-OES进行分析 可溶性六价铬、可溶性铝、可溶性锑、可溶性砷、检测结果未检出。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 三聚氰胺的特殊迁移检测方法依据EN13130-1:2004用3%醋酸在60℃浸泡6小时 检测结果合格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★投标厂家需提供符合以上技术参数的检测报告，并加盖生产厂家</w:t>
            </w:r>
            <w:r>
              <w:rPr>
                <w:rFonts w:hint="eastAsia" w:asciiTheme="minorEastAsia" w:hAnsiTheme="minorEastAsia" w:cstheme="minorEastAsia"/>
                <w:i w:val="0"/>
                <w:color w:val="auto"/>
                <w:kern w:val="0"/>
                <w:sz w:val="24"/>
                <w:szCs w:val="24"/>
                <w:u w:val="none"/>
                <w:lang w:val="en-US" w:eastAsia="zh-CN" w:bidi="ar"/>
              </w:rPr>
              <w:t>公章</w:t>
            </w: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投标厂家需提供板材供应商出具的授权证明及售后承诺函加盖</w:t>
            </w:r>
            <w:r>
              <w:rPr>
                <w:rFonts w:hint="eastAsia" w:asciiTheme="minorEastAsia" w:hAnsiTheme="minorEastAsia" w:cstheme="minorEastAsia"/>
                <w:i w:val="0"/>
                <w:color w:val="auto"/>
                <w:kern w:val="0"/>
                <w:sz w:val="24"/>
                <w:szCs w:val="24"/>
                <w:u w:val="none"/>
                <w:lang w:val="en-US" w:eastAsia="zh-CN" w:bidi="ar"/>
              </w:rPr>
              <w:t>公章</w:t>
            </w:r>
            <w:r>
              <w:rPr>
                <w:rFonts w:hint="eastAsia" w:asciiTheme="minorEastAsia" w:hAnsiTheme="minorEastAsia" w:eastAsiaTheme="minorEastAsia" w:cstheme="minorEastAsia"/>
                <w:i w:val="0"/>
                <w:color w:val="auto"/>
                <w:kern w:val="0"/>
                <w:sz w:val="24"/>
                <w:szCs w:val="24"/>
                <w:u w:val="none"/>
                <w:lang w:val="en-US" w:eastAsia="zh-CN" w:bidi="ar"/>
              </w:rPr>
              <w:t>。(手写无效,以打印文本为有效授权)</w:t>
            </w:r>
          </w:p>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桌身结构：铝合金框架结构，左右工字脚之间通过前、中、后3条铝合金横梁由专用锁扣连接件连接，起到稳固桌子的作用，带钩式压紧锁扣连接件连接设计具有安装方便、连接牢固、表面无螺丝等特点。3 柜身材质：采用PP工程塑料一次性注塑成型结合，柜门：PP材质，注塑一次性成型，无铰链设计，静音，270度打开，前后门工艺一致，永不生锈。抽屉全部采用PP工程塑料。</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 门框及箱体：前后门框均采用PP工程塑料一次性注塑成型，箱体内衬宝钢数控型材支撑架，配以专用连接件进行组装连接.箱体为精钢配件与注塑组合件联合,柜身中间吊板采用1.0mm宝钢冷轧板数控工艺折弯成型。</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 拉伸模具冲压标准化连接件,表面经纯环氧树脂塑粉高温固化处理，具防酸碱、防腐蚀的特点、且承重。</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6 框架：采用1.2mm厚优质冷轧钢板折弯成型为60*40 mm，表面粉末静电喷涂。纯环氧树脂塑粉高温固化处理，耐酸耐腐蚀。</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7 箱体：采用1mm激光切割下料，数控冲压成型，表面喷涂纯环氧树脂；塑粉高温固化处理，耐酸耐腐蚀。</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8 工艺:专用连接件连接组合紧固。中台面为准备台面（放置实验仪器）和演示台面：中间为教师电源，左侧为水槽，右侧为柜体。</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9 产品零甲醛，无污染，可回收，表面看不见一个螺丝。</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65405</wp:posOffset>
                  </wp:positionH>
                  <wp:positionV relativeFrom="paragraph">
                    <wp:posOffset>3434715</wp:posOffset>
                  </wp:positionV>
                  <wp:extent cx="703580" cy="575945"/>
                  <wp:effectExtent l="0" t="0" r="12700" b="3175"/>
                  <wp:wrapNone/>
                  <wp:docPr id="35" name="图片_19"/>
                  <wp:cNvGraphicFramePr/>
                  <a:graphic xmlns:a="http://schemas.openxmlformats.org/drawingml/2006/main">
                    <a:graphicData uri="http://schemas.openxmlformats.org/drawingml/2006/picture">
                      <pic:pic xmlns:pic="http://schemas.openxmlformats.org/drawingml/2006/picture">
                        <pic:nvPicPr>
                          <pic:cNvPr id="35" name="图片_19"/>
                          <pic:cNvPicPr/>
                        </pic:nvPicPr>
                        <pic:blipFill>
                          <a:blip r:embed="rId72"/>
                          <a:stretch>
                            <a:fillRect/>
                          </a:stretch>
                        </pic:blipFill>
                        <pic:spPr>
                          <a:xfrm>
                            <a:off x="0" y="0"/>
                            <a:ext cx="703580" cy="575945"/>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8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实验桌</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规格：1200*600*780㎜。</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1.桌面材料：台面采用12.7mm实心异型理化板，四周贴边加厚至25.4mm，经处理后表面光滑、不变形、平整，整体美观大方、耐用。须符合：</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化学性能：通过国家化学建筑材料测试中心检测，按照GB/T17657-2013进行抽样检测，盐酸（37%）、磷酸（85%）、硝酸（70%）、硝酸（30%）、硝酸（20%）、甲醇、氨水（28%）、氢氧化钠溶液（40%）、氢氧化钠溶液（20%）、氢氧化钠溶液（10%）、片状氢氧化钠、硫酸（96%）、硫酸（77%）、硫酸（33%）、苯酚（90%）、甲醛（37%）、乙酸乙酯、乙酸（98%）、丙酮、铬酸（5%）、丁醇、乙醇、苯、四氯化碳、氯仿、铬酸（60%）、甲酚、二氯乙酸、92#汽油、甲酸（90%）、氢氟酸（48%)、过氧化氢溶液（30%）、碘酒、丁酮、二氯甲烷、一氯化碳、萘、饱和硝酸银、饱和氯化锌、77%硫酸：70%硝酸1：1、甲苯、三氯乙烯、二甲基甲酰胺、二恶烷、乙醚、糠醛、硫化钠饱和液、二甲苯共48种强酸强碱化学试剂分级检验结果为5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物理性能要求：抗拉强度、吸水率、表面耐干热性能、表面耐香烟灼烧、密度、含水率、抗冲击性能（落球高度≥1m）、洛氏硬度、耐沸水性能、防静电性能、表面耐湿热性、表面耐龟裂性、耐光色牢度、光泽度（60°）等14项物理性能符合检测要求。</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（3）.甲醛：台面甲醛释放量检测达到GB18580-2001  E1级的技术指标要求，甲醛释放量（40L干燥器法）检测值≤0.01mg/L。检测结果合格。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（4）.重金属：参照EN71-3：2013+A1：2014采用ICP-OES进行分析 可溶性六价铬、可溶性铝、可溶性锑、可溶性砷、检测结果未检出。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 三聚氰胺的特殊迁移检测方法依据EN13130-1:2004用3%醋酸在60℃浸泡6小时 检测结果合格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b/>
                <w:bCs/>
                <w:i w:val="0"/>
                <w:color w:val="auto"/>
                <w:kern w:val="0"/>
                <w:sz w:val="24"/>
                <w:szCs w:val="24"/>
                <w:u w:val="none"/>
                <w:lang w:val="en-US" w:eastAsia="zh-CN" w:bidi="ar"/>
              </w:rPr>
              <w:t>投标厂家需提供符合以上技术参数的检测报告，并加盖生产厂家</w:t>
            </w:r>
            <w:r>
              <w:rPr>
                <w:rFonts w:hint="eastAsia" w:asciiTheme="minorEastAsia" w:hAnsiTheme="minorEastAsia" w:cstheme="minorEastAsia"/>
                <w:b/>
                <w:bCs/>
                <w:i w:val="0"/>
                <w:color w:val="auto"/>
                <w:kern w:val="0"/>
                <w:sz w:val="24"/>
                <w:szCs w:val="24"/>
                <w:u w:val="none"/>
                <w:lang w:val="en-US" w:eastAsia="zh-CN" w:bidi="ar"/>
              </w:rPr>
              <w:t>公章</w:t>
            </w:r>
            <w:r>
              <w:rPr>
                <w:rFonts w:hint="eastAsia" w:asciiTheme="minorEastAsia" w:hAnsiTheme="minorEastAsia" w:eastAsiaTheme="minorEastAsia" w:cstheme="minorEastAsia"/>
                <w:b/>
                <w:bCs/>
                <w:i w:val="0"/>
                <w:color w:val="auto"/>
                <w:kern w:val="0"/>
                <w:sz w:val="24"/>
                <w:szCs w:val="24"/>
                <w:u w:val="none"/>
                <w:lang w:val="en-US" w:eastAsia="zh-CN" w:bidi="ar"/>
              </w:rPr>
              <w:t>。</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投标厂家需提供板材供应商出具的授权证明及售后承诺函加盖</w:t>
            </w:r>
            <w:r>
              <w:rPr>
                <w:rFonts w:hint="eastAsia" w:asciiTheme="minorEastAsia" w:hAnsiTheme="minorEastAsia" w:cstheme="minorEastAsia"/>
                <w:i w:val="0"/>
                <w:color w:val="auto"/>
                <w:kern w:val="0"/>
                <w:sz w:val="24"/>
                <w:szCs w:val="24"/>
                <w:u w:val="none"/>
                <w:lang w:val="en-US" w:eastAsia="zh-CN" w:bidi="ar"/>
              </w:rPr>
              <w:t>公章</w:t>
            </w:r>
            <w:r>
              <w:rPr>
                <w:rFonts w:hint="eastAsia" w:asciiTheme="minorEastAsia" w:hAnsiTheme="minorEastAsia" w:eastAsiaTheme="minorEastAsia" w:cstheme="minorEastAsia"/>
                <w:i w:val="0"/>
                <w:color w:val="auto"/>
                <w:kern w:val="0"/>
                <w:sz w:val="24"/>
                <w:szCs w:val="24"/>
                <w:u w:val="none"/>
                <w:lang w:val="en-US" w:eastAsia="zh-CN" w:bidi="ar"/>
              </w:rPr>
              <w:t>。(手写无效,以打印文本为有效授权)</w:t>
            </w:r>
          </w:p>
          <w:p>
            <w:pP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桌身结构：铝合金框架结构，左右工字脚之间通过前、中、后3条铝合金横梁由专用锁扣连接件连接，起到稳固桌子的作用，带钩式压紧锁扣连接件连接设计具有安装方便、连接牢固、表面无螺丝等特点。</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桌身材质及配件：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1、前后横梁：采用60x40mm壁厚2.5mm的优质铝型材材料一次性成型，内设2条不低于2mm厚的加强筋，材料表面经过防腐氧化处理和纯环氧树脂塑粉高温固化处理，具有较强的耐蚀性及承重性。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2、中横梁：采用110x16mm壁厚2mm的优质铝型材材料一次性成型，内设2条不低于2mm厚的加强筋，材料表面经过防腐氧化处理和纯环氧树脂塑粉高温固化处理，具有较强的耐蚀性及承重性。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 、工字脚架：由立柱、上下支脚、桌脚加固件和脚套四部分组成。</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3.1、立柱：采用100x50mm壁厚不低于2.2mm的优质铝材材料，内设4根厚度不低于2mm的加强筋，材料表面经过防腐氧化处理和纯环氧树脂塑粉高温固化处理，具有较强的耐蚀性。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3.2、上下支脚：采用3.5mm厚铝压铸模具一次性成型，压铸脚形状独特，造型美观.压铸脚料内部通过螺丝连接安装成型，牢固耐用，铝压铸脚前后端设计有塑料一次性成型的塑料材质防锈片。</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3.3、桌脚加固件：安装在上下支脚之间，采用PP工程塑料一次性注塑成型，厚度为12mm，高度为：550mm，宽度为：105mm，用于加固工字脚架，搭配工字脚支架，时尚元素与精致美感的完美结合，看上去即温馨又能带给您一种自然与现代的融合享受。</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3.4、脚套：采用PP改性材料，注塑模一次性成型，全部圆弧设计，总体结构既美观又安全，保证了孩子万一撞到桌脚也没有关系，设计安装程序从上往下放入式安装。</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  书包斗：规格470*285*130mm，采用PP工程塑料一次性注塑成型，底部设有排水孔，斗的前端设有笔槽与橡皮擦架子，方便孩子放东西和孩子万一把水倒到抽屉里也能迅速排干水。</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产品特点：零甲醛、零污染、易擦洗、耐老化、环保、防水、可回收。</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62865</wp:posOffset>
                  </wp:positionH>
                  <wp:positionV relativeFrom="paragraph">
                    <wp:posOffset>2446020</wp:posOffset>
                  </wp:positionV>
                  <wp:extent cx="693420" cy="943610"/>
                  <wp:effectExtent l="0" t="0" r="7620" b="1270"/>
                  <wp:wrapNone/>
                  <wp:docPr id="36" name="Picture_1_SpCnt_1"/>
                  <wp:cNvGraphicFramePr/>
                  <a:graphic xmlns:a="http://schemas.openxmlformats.org/drawingml/2006/main">
                    <a:graphicData uri="http://schemas.openxmlformats.org/drawingml/2006/picture">
                      <pic:pic xmlns:pic="http://schemas.openxmlformats.org/drawingml/2006/picture">
                        <pic:nvPicPr>
                          <pic:cNvPr id="36" name="Picture_1_SpCnt_1"/>
                          <pic:cNvPicPr/>
                        </pic:nvPicPr>
                        <pic:blipFill>
                          <a:blip r:embed="rId73"/>
                          <a:stretch>
                            <a:fillRect/>
                          </a:stretch>
                        </pic:blipFill>
                        <pic:spPr>
                          <a:xfrm>
                            <a:off x="0" y="0"/>
                            <a:ext cx="693420" cy="943610"/>
                          </a:xfrm>
                          <a:prstGeom prst="rect">
                            <a:avLst/>
                          </a:prstGeom>
                          <a:noFill/>
                          <a:ln>
                            <a:noFill/>
                          </a:ln>
                        </pic:spPr>
                      </pic:pic>
                    </a:graphicData>
                  </a:graphic>
                </wp:anchor>
              </w:drawing>
            </w: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 cy="0"/>
                  <wp:effectExtent l="0" t="0" r="0" b="0"/>
                  <wp:wrapNone/>
                  <wp:docPr id="34" name="图片_1"/>
                  <wp:cNvGraphicFramePr/>
                  <a:graphic xmlns:a="http://schemas.openxmlformats.org/drawingml/2006/main">
                    <a:graphicData uri="http://schemas.openxmlformats.org/drawingml/2006/picture">
                      <pic:pic xmlns:pic="http://schemas.openxmlformats.org/drawingml/2006/picture">
                        <pic:nvPicPr>
                          <pic:cNvPr id="34" name="图片_1"/>
                          <pic:cNvPicPr/>
                        </pic:nvPicPr>
                        <pic:blipFill>
                          <a:blip r:embed="rId33"/>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306070</wp:posOffset>
                  </wp:positionH>
                  <wp:positionV relativeFrom="paragraph">
                    <wp:posOffset>182880</wp:posOffset>
                  </wp:positionV>
                  <wp:extent cx="381635" cy="0"/>
                  <wp:effectExtent l="0" t="0" r="0" b="0"/>
                  <wp:wrapNone/>
                  <wp:docPr id="40" name="图片_30"/>
                  <wp:cNvGraphicFramePr/>
                  <a:graphic xmlns:a="http://schemas.openxmlformats.org/drawingml/2006/main">
                    <a:graphicData uri="http://schemas.openxmlformats.org/drawingml/2006/picture">
                      <pic:pic xmlns:pic="http://schemas.openxmlformats.org/drawingml/2006/picture">
                        <pic:nvPicPr>
                          <pic:cNvPr id="40" name="图片_30"/>
                          <pic:cNvPicPr/>
                        </pic:nvPicPr>
                        <pic:blipFill>
                          <a:blip r:embed="rId40"/>
                          <a:stretch>
                            <a:fillRect/>
                          </a:stretch>
                        </pic:blipFill>
                        <pic:spPr>
                          <a:xfrm>
                            <a:off x="0" y="0"/>
                            <a:ext cx="381635" cy="0"/>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2262"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电源筒</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规格：410*230*760，装在桌子的中间，外壳带圆形装饰板，下面带说明标牌字体规格40*260mm.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产品特点：零甲醛、零污染、易擦洗、耐老化、环保、防水、可回收。</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136525</wp:posOffset>
                  </wp:positionH>
                  <wp:positionV relativeFrom="paragraph">
                    <wp:posOffset>383540</wp:posOffset>
                  </wp:positionV>
                  <wp:extent cx="565150" cy="788670"/>
                  <wp:effectExtent l="0" t="0" r="13970" b="3810"/>
                  <wp:wrapNone/>
                  <wp:docPr id="73" name="图片_2"/>
                  <wp:cNvGraphicFramePr/>
                  <a:graphic xmlns:a="http://schemas.openxmlformats.org/drawingml/2006/main">
                    <a:graphicData uri="http://schemas.openxmlformats.org/drawingml/2006/picture">
                      <pic:pic xmlns:pic="http://schemas.openxmlformats.org/drawingml/2006/picture">
                        <pic:nvPicPr>
                          <pic:cNvPr id="73" name="图片_2"/>
                          <pic:cNvPicPr/>
                        </pic:nvPicPr>
                        <pic:blipFill>
                          <a:blip r:embed="rId60"/>
                          <a:stretch>
                            <a:fillRect/>
                          </a:stretch>
                        </pic:blipFill>
                        <pic:spPr>
                          <a:xfrm>
                            <a:off x="0" y="0"/>
                            <a:ext cx="565150" cy="788670"/>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14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抽斗电源A</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学生电源：装置在学生实验台中间电源盒内，具体参数为：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设置多功能220插座，是单独安装在实验台中间，操作简单，安全可靠。学生安全电源：敞开式设计，滑道推拉适用功能，静音润滑专用导轨，导轨自带锁定功能</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368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水槽</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 规格尺寸：左右500*前后600*高度780㎜。</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 水槽内部尺寸：400mm*300mm*220mm。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 水槽台面：采用PP工程塑料一次性注塑成型结合，黑色，水槽面部下沉式构造，使废水无法沿着桌面侵蚀柜体，后挡水边采用注塑一体化成型，带内部安装固件，前后边所有梯形片材与柜体连接，台盆面设安装水龙头与紧急洗眼器的安装孔，水槽前端设有凹形设计，方便操作者使用。</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 水槽具有防止溢水功能，水槽内部设有一个水满到一定位置的时候，把水排到PP下水器进行排出，防止废水外溢。</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 废水防臭器：构建组合成型的防臭防倒流装置，注塑模具一次性成型组合件，防止废气与废水倒灌。</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6 PP注塑成型自由转弯软管：采用PP材料注塑已形成形，吸塑PP软管节节可伸缩功能，规格1000任意伸缩长度，直径50mm。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7 水槽柜底盖：PP材质，注塑模具一次成型，防锈、耐酸碱、防水、防潮、底部设有可调整高度的螺旋脚。</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8 柜门：PP材质，注塑一次性成型，无铰链设计，静音，270度打开，前后门工艺一致，永不生锈。</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9 门框及箱体：前后门框均采用PP工程塑料一次性注塑成型，箱体内衬宝钢数控型材支撑架，配以专用连接件进行组装连接.箱体为精钢配件与注塑组合件联合。</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106045</wp:posOffset>
                  </wp:positionH>
                  <wp:positionV relativeFrom="paragraph">
                    <wp:posOffset>1851660</wp:posOffset>
                  </wp:positionV>
                  <wp:extent cx="631825" cy="1003935"/>
                  <wp:effectExtent l="0" t="0" r="8255" b="1905"/>
                  <wp:wrapNone/>
                  <wp:docPr id="43" name="图片_14_SpCnt_1"/>
                  <wp:cNvGraphicFramePr/>
                  <a:graphic xmlns:a="http://schemas.openxmlformats.org/drawingml/2006/main">
                    <a:graphicData uri="http://schemas.openxmlformats.org/drawingml/2006/picture">
                      <pic:pic xmlns:pic="http://schemas.openxmlformats.org/drawingml/2006/picture">
                        <pic:nvPicPr>
                          <pic:cNvPr id="43" name="图片_14_SpCnt_1"/>
                          <pic:cNvPicPr/>
                        </pic:nvPicPr>
                        <pic:blipFill>
                          <a:blip r:embed="rId74"/>
                          <a:stretch>
                            <a:fillRect/>
                          </a:stretch>
                        </pic:blipFill>
                        <pic:spPr>
                          <a:xfrm>
                            <a:off x="0" y="0"/>
                            <a:ext cx="631825" cy="1003935"/>
                          </a:xfrm>
                          <a:prstGeom prst="rect">
                            <a:avLst/>
                          </a:prstGeom>
                          <a:noFill/>
                          <a:ln>
                            <a:noFill/>
                          </a:ln>
                        </pic:spPr>
                      </pic:pic>
                    </a:graphicData>
                  </a:graphic>
                </wp:anchor>
              </w:drawing>
            </w: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448310</wp:posOffset>
                  </wp:positionH>
                  <wp:positionV relativeFrom="paragraph">
                    <wp:posOffset>186055</wp:posOffset>
                  </wp:positionV>
                  <wp:extent cx="237490" cy="0"/>
                  <wp:effectExtent l="0" t="0" r="0" b="0"/>
                  <wp:wrapNone/>
                  <wp:docPr id="39" name="图片_14"/>
                  <wp:cNvGraphicFramePr/>
                  <a:graphic xmlns:a="http://schemas.openxmlformats.org/drawingml/2006/main">
                    <a:graphicData uri="http://schemas.openxmlformats.org/drawingml/2006/picture">
                      <pic:pic xmlns:pic="http://schemas.openxmlformats.org/drawingml/2006/picture">
                        <pic:nvPicPr>
                          <pic:cNvPr id="39" name="图片_14"/>
                          <pic:cNvPicPr/>
                        </pic:nvPicPr>
                        <pic:blipFill>
                          <a:blip r:embed="rId75"/>
                          <a:stretch>
                            <a:fillRect/>
                          </a:stretch>
                        </pic:blipFill>
                        <pic:spPr>
                          <a:xfrm>
                            <a:off x="0" y="0"/>
                            <a:ext cx="237490" cy="0"/>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9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三联水嘴</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三口专用实验龙头：全铜质结构，铜管无痕迹弯制成型，陶瓷阀芯，鹅颈造型，节节出水口。</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83820</wp:posOffset>
                  </wp:positionH>
                  <wp:positionV relativeFrom="paragraph">
                    <wp:posOffset>392430</wp:posOffset>
                  </wp:positionV>
                  <wp:extent cx="617220" cy="520700"/>
                  <wp:effectExtent l="0" t="0" r="7620" b="12700"/>
                  <wp:wrapNone/>
                  <wp:docPr id="42" name="图片_12"/>
                  <wp:cNvGraphicFramePr/>
                  <a:graphic xmlns:a="http://schemas.openxmlformats.org/drawingml/2006/main">
                    <a:graphicData uri="http://schemas.openxmlformats.org/drawingml/2006/picture">
                      <pic:pic xmlns:pic="http://schemas.openxmlformats.org/drawingml/2006/picture">
                        <pic:nvPicPr>
                          <pic:cNvPr id="42" name="图片_12"/>
                          <pic:cNvPicPr/>
                        </pic:nvPicPr>
                        <pic:blipFill>
                          <a:blip r:embed="rId76"/>
                          <a:stretch>
                            <a:fillRect/>
                          </a:stretch>
                        </pic:blipFill>
                        <pic:spPr>
                          <a:xfrm>
                            <a:off x="0" y="0"/>
                            <a:ext cx="617220" cy="520700"/>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13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学生显微镜</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S20，40X双目立体显微镜</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3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教师显微镜</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M-100FBM，1000X双筒</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962"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实验圆凳</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Φ300*450mm。1、凳脚材质：4个凳脚采用15×30×1.5mm 椭圆钢管模具一次成型。满焊接完成，结构牢固，经高温粉体烤漆处理，长时间使用也不会产生表面烤漆剥落现象 固定式凳面直径不小于300mm  2、凳面材质：采用聚丙烯共聚级注塑,厚6mm。表面细纹咬花，防滑不发光 。凳面底部镶嵌4枚铜质螺纹，采用不锈钢螺丝与圆型托盘固定。3、脚垫材质：采用PP加耐磨纤维质塑料，实心倒勾式一体射出成型。凳面颜色蓝色</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91440</wp:posOffset>
                  </wp:positionH>
                  <wp:positionV relativeFrom="paragraph">
                    <wp:posOffset>465455</wp:posOffset>
                  </wp:positionV>
                  <wp:extent cx="619760" cy="752475"/>
                  <wp:effectExtent l="0" t="0" r="5080" b="9525"/>
                  <wp:wrapNone/>
                  <wp:docPr id="74" name="图片_9"/>
                  <wp:cNvGraphicFramePr/>
                  <a:graphic xmlns:a="http://schemas.openxmlformats.org/drawingml/2006/main">
                    <a:graphicData uri="http://schemas.openxmlformats.org/drawingml/2006/picture">
                      <pic:pic xmlns:pic="http://schemas.openxmlformats.org/drawingml/2006/picture">
                        <pic:nvPicPr>
                          <pic:cNvPr id="74" name="图片_9"/>
                          <pic:cNvPicPr/>
                        </pic:nvPicPr>
                        <pic:blipFill>
                          <a:blip r:embed="rId77"/>
                          <a:stretch>
                            <a:fillRect/>
                          </a:stretch>
                        </pic:blipFill>
                        <pic:spPr>
                          <a:xfrm>
                            <a:off x="0" y="0"/>
                            <a:ext cx="619760" cy="752475"/>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104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实验室文化窗帘</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用窗帘的形式表现描述与学科教学内容相关或科学普及方面，选题适当，主题明确，无科学性错误，以图为主辅以文字。图片清晰美观，文字准确精炼，语句通顺易读，标点使用正确。</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平方</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实验室简装</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吊顶、灯光</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室</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715"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控制系统</w:t>
            </w:r>
          </w:p>
        </w:tc>
      </w:tr>
      <w:tr>
        <w:tblPrEx>
          <w:shd w:val="clear" w:color="auto" w:fill="auto"/>
          <w:tblLayout w:type="fixed"/>
          <w:tblCellMar>
            <w:top w:w="0" w:type="dxa"/>
            <w:left w:w="0" w:type="dxa"/>
            <w:bottom w:w="0" w:type="dxa"/>
            <w:right w:w="0" w:type="dxa"/>
          </w:tblCellMar>
        </w:tblPrEx>
        <w:trPr>
          <w:trHeight w:val="3137"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智能系统控制柜</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规格：450*200*1100mm；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智能控制柜：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风机控制系统1套。</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（1）电源控制系统：可以对220V进行控制，可以单独进行控制，进行单选、全选、反选，分组进行控制；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（2）照明控制系统可以对照明进行控制，可以单独进行控制，进行单选、全选、反选，分组进行控制；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(4)、智能摇臂控制系统：可以对摇臂进行控制，可以单独进行控制，进行单选、全选、反选，分组进行控制；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通风控制系统：采用风机矢量控制变频器：应用空间电压矢量控制原理，采用模块化设计、双CPU控制，是集数字技术、计算机技术、现代自控技术于一体的高科技产品，具有精度高、噪音低、转矩大、性能可靠等特点。主要参数指标为：1.频率指示、异常指示、转速指示、状态指示等均由LED显示；2.输入额定电压：三相380V，±15%；3.输入额定频率：50/60 HZ；4.控制方式：空间电压矢量控制；5.输出频率：1.00~400.0 HZ；6.过载能力：150% 额定电流；7.保护功能：输入缺相、输入欠压、直流过压、过载等。</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控制系统：采用自主研发控制系统；</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115570</wp:posOffset>
                  </wp:positionH>
                  <wp:positionV relativeFrom="paragraph">
                    <wp:posOffset>2139950</wp:posOffset>
                  </wp:positionV>
                  <wp:extent cx="546735" cy="908685"/>
                  <wp:effectExtent l="0" t="0" r="1905" b="5715"/>
                  <wp:wrapNone/>
                  <wp:docPr id="31" name="Picture_1_SpCnt_2"/>
                  <wp:cNvGraphicFramePr/>
                  <a:graphic xmlns:a="http://schemas.openxmlformats.org/drawingml/2006/main">
                    <a:graphicData uri="http://schemas.openxmlformats.org/drawingml/2006/picture">
                      <pic:pic xmlns:pic="http://schemas.openxmlformats.org/drawingml/2006/picture">
                        <pic:nvPicPr>
                          <pic:cNvPr id="31" name="Picture_1_SpCnt_2"/>
                          <pic:cNvPicPr/>
                        </pic:nvPicPr>
                        <pic:blipFill>
                          <a:blip r:embed="rId68"/>
                          <a:stretch>
                            <a:fillRect/>
                          </a:stretch>
                        </pic:blipFill>
                        <pic:spPr>
                          <a:xfrm>
                            <a:off x="0" y="0"/>
                            <a:ext cx="546735" cy="908685"/>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智能控制面板</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规格：10寸一体电脑。（带两个开关，一个启动开关，一个紧急开关）</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▲集中控制系统。可执行各分项分页控制；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（1）通风控制：触摸数字无极变频控制，具有频率数字显示功能，可精确控制通风风量；</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（2）供水控制：集中控制整室给排水；</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（3）照明控制：分组控制整室照明；</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 xml:space="preserve">（4）电源控制：控制学生AC220V电源； </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（5）摇臂控制：可以实现单个控制，可以集中控制，可以任意组合控制。</w:t>
            </w:r>
            <w:r>
              <w:rPr>
                <w:rFonts w:hint="eastAsia" w:asciiTheme="minorEastAsia" w:hAnsiTheme="minorEastAsia" w:eastAsiaTheme="minorEastAsia" w:cstheme="minorEastAsia"/>
                <w:i w:val="0"/>
                <w:color w:val="auto"/>
                <w:kern w:val="0"/>
                <w:sz w:val="24"/>
                <w:szCs w:val="24"/>
                <w:u w:val="none"/>
                <w:lang w:val="en-US" w:eastAsia="zh-CN" w:bidi="ar"/>
              </w:rPr>
              <w:br w:type="textWrapping"/>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远程控制系统</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A、APP登入有网络注册功能，注册后登入系统操作，使用者忘记密码方便找回，同时方便升级系统，带来新的体验。</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B、 能使用APP能控制总电源关闭；</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C、 APP能显示当前温度、相对湿度及当前时间；</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D、 使用APP能控制学生低压电源的交流电压，且电压值为实测值。如APP给学生交流3V，学生电源电压实测电压为3V；</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E、 使用APP同时控制水电风光源开启与关闭，同时可以扩展功能（监控布防、空调控制等等）</w:t>
            </w:r>
            <w:r>
              <w:rPr>
                <w:rFonts w:hint="eastAsia" w:asciiTheme="minorEastAsia" w:hAnsiTheme="minorEastAsia" w:eastAsiaTheme="minorEastAsia" w:cstheme="minorEastAsia"/>
                <w:i w:val="0"/>
                <w:color w:val="auto"/>
                <w:kern w:val="0"/>
                <w:sz w:val="24"/>
                <w:szCs w:val="24"/>
                <w:u w:val="none"/>
                <w:lang w:val="en-US" w:eastAsia="zh-CN" w:bidi="ar"/>
              </w:rPr>
              <w:br w:type="textWrapping"/>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温湿度监视系统</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内置精密温湿度传感装置，实时监控房间内的温度和湿度，保障室内舒适的环境舒适性，在触摸屏中实时显示当前环境的温度和湿度</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顶部集成系统</w:t>
            </w: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顶装主体框架</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规格：1520*575*290mm。整体采用3.0mm冷轧钢板，经激光雕刻机精细雕刻，数控折弯成型，表面经环氧树脂粉末喷涂高温固化处理。要做到承重性能强和耐酸碱、耐腐蚀。</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254635</wp:posOffset>
                  </wp:positionH>
                  <wp:positionV relativeFrom="paragraph">
                    <wp:posOffset>1824355</wp:posOffset>
                  </wp:positionV>
                  <wp:extent cx="336550" cy="1041400"/>
                  <wp:effectExtent l="0" t="0" r="13970" b="10160"/>
                  <wp:wrapNone/>
                  <wp:docPr id="38" name="图片_38"/>
                  <wp:cNvGraphicFramePr/>
                  <a:graphic xmlns:a="http://schemas.openxmlformats.org/drawingml/2006/main">
                    <a:graphicData uri="http://schemas.openxmlformats.org/drawingml/2006/picture">
                      <pic:pic xmlns:pic="http://schemas.openxmlformats.org/drawingml/2006/picture">
                        <pic:nvPicPr>
                          <pic:cNvPr id="38" name="图片_38"/>
                          <pic:cNvPicPr/>
                        </pic:nvPicPr>
                        <pic:blipFill>
                          <a:blip r:embed="rId78"/>
                          <a:stretch>
                            <a:fillRect/>
                          </a:stretch>
                        </pic:blipFill>
                        <pic:spPr>
                          <a:xfrm>
                            <a:off x="0" y="0"/>
                            <a:ext cx="336550" cy="1041400"/>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主体防尘保护罩</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规格：1400*430*150mm。整体采用PP材质，保护主体构架内的供应系统的安全，防止灰尘进入罩体内。</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摇臂智能升降系统</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规格：1520*575*290mm。▲接收智能控制系统信号实现远程遥控，动力为直流24V低压电机推送杆，固定于3mm厚专用铝合金模具一体成型，外部保护罩为铝合金模具一次成型，摇臂上装电源、选配网络及上下水模块。</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上下水智能安装面板</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规格：215*240*88mm。接收智能化控制系统控制，主体采用铝合金材质，内部铝质框架，外壳采用ABS注塑成型，预留多个供应系统安装位置，水电分离设计，模块设计防水功能。</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多功能电源</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规格：65*65*8mm（2个/组）接收智能化控制系统控制，内含新国标多功能插座2个。</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急停装置</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铝合金材质，在水电系统出现故障时紧急制动，确保实验时安全。</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供电线路</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模块化设计，每组模块间采用活接式连接，方便安装、检修。采用2.5mm²电线进行系统布线（国标免检产品）。</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智能照明</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接收智能化控制系统控制，功能面板采用1200*85mm，配置LED日光灯1根，每根15W，灯罩采用ABS一次成型，设计安装磨砂透明均光板，不仅能使光线扩散均匀更能起到安全防护作用。</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自动给排水系统</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自动排水模块1组、水模拟量控制器1组、电源控制器1套、自动保护系统1组。</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所有排水由智能化控制系统集中控制，三联高低位龙头处设置排水接口，接口与学生水槽柜采用优质硅胶软管（具有防酸、防碱、耐腐蚀功能）连接，接口均采用自动锁紧插拔式连接方式（拔掉时没有污水流出），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自动给排水接口</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接收智能化控制系统控制，功能面板采用钢制面板，每组功能板上预留不锈钢快速给排水接口1对。并配置配套给排水软管2根。快速给水接口5mm厚304不锈钢材质，带自动止水功能，表面抛光拉丝处理。快速排水接口采用PP材质专用接口。</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给水布管</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给水主管选用φ20-32mmPP-R给水管，模块化设计，每组模块间采用活接式连接，方便安装、检修。</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79"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排水布管</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排水管选用加厚φ50-75mmPVC-U国标管（具有防酸、防碱、耐腐蚀功能），模块化设计，每组模块间采用活接式连接，方便安装、检修。</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31"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学生端分组控制系统</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每组模块单独设置独立控制装置，包含独立摇臂、独立上水、独立排水、独立电源，每个装置的每个小组可以单独开启、关闭，安全性高、实用性强。</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978"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安装调试</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1、吊顶式安装系统采用模块化结构设计，采用吊装安装方式；</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2、系统结构安装调试；</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3、系统控制安装调试；</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4、给排水安装调试；</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5、供电系统安装调试；</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6、照明系统安装调试。</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22"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系统安装辅件</w:t>
            </w:r>
          </w:p>
        </w:tc>
        <w:tc>
          <w:tcPr>
            <w:tcW w:w="6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采用双槽钢横梁吊装方式，减少楼板承重，防止左右晃动，可进行上下、左右的平衡调节，实验功能板离地2m左右。主要辅件有：槽钢、三角构件、直角座、龙骨架连接件、吊装挂件、安装连接板等。</w:t>
            </w:r>
          </w:p>
        </w:tc>
        <w:tc>
          <w:tcPr>
            <w:tcW w:w="7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项</w:t>
            </w:r>
          </w:p>
        </w:tc>
        <w:tc>
          <w:tcPr>
            <w:tcW w:w="6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565" w:hRule="atLeast"/>
        </w:trPr>
        <w:tc>
          <w:tcPr>
            <w:tcW w:w="10598" w:type="dxa"/>
            <w:gridSpan w:val="7"/>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准备室</w:t>
            </w:r>
          </w:p>
        </w:tc>
      </w:tr>
      <w:tr>
        <w:tblPrEx>
          <w:shd w:val="clear" w:color="auto" w:fill="auto"/>
          <w:tblLayout w:type="fixed"/>
          <w:tblCellMar>
            <w:top w:w="0" w:type="dxa"/>
            <w:left w:w="0" w:type="dxa"/>
            <w:bottom w:w="0" w:type="dxa"/>
            <w:right w:w="0" w:type="dxa"/>
          </w:tblCellMar>
        </w:tblPrEx>
        <w:trPr>
          <w:trHeight w:val="2900" w:hRule="atLeast"/>
        </w:trPr>
        <w:tc>
          <w:tcPr>
            <w:tcW w:w="35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仪器柜</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规格：1000*500*2000mm，铝木结构，铝型材规格32*32*1.5mm。柜门上部为铝合金门框，5mm厚钢化玻璃对开门，设有16mm厚三聚氰胺面板3块活动层板并配铝合金加强条；下部为16mm厚三聚氰胺面板对开门，设有一块活动层板。以上芯板均为E1级环保芯板，甲醛释放量（穿孔萃取法 ）应不大于≤ 8mg/100g。其他各项技术指标和质量要求应符合：GB/T 10357.4—1989《家具力学性能试验柜类稳定性》、GB/T 10357.5 －2011《家具力学性能试验柜类强度和耐久性》        </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w:t>
            </w: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nil"/>
              <w:bottom w:val="single" w:color="000000" w:sz="4" w:space="0"/>
              <w:right w:val="single" w:color="auto"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143" w:hRule="atLeast"/>
        </w:trPr>
        <w:tc>
          <w:tcPr>
            <w:tcW w:w="357"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准备桌</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规格：1200*600*780㎜。</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1.桌面材料：台面采用12.7mm实心异型理化板，四周贴边加厚至25.4mm，经处理后表面光滑、不变形、平整，整体美观大方、耐用。须符合：</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化学性能：通过国家化学建筑材料测试中心检测，按照GB/T17657-2013进行抽样检测，盐酸（37%）、磷酸（85%）、硝酸（70%）、硝酸（30%）、硝酸（20%）、甲醇、氨水（28%）、氢氧化钠溶液（40%）、氢氧化钠溶液（20%）、氢氧化钠溶液（10%）、片状氢氧化钠、硫酸（96%）、硫酸（77%）、硫酸（33%）、苯酚（90%）、甲醛（37%）、乙酸乙酯、乙酸（98%）、丙酮、铬酸（5%）、丁醇、乙醇、苯、四氯化碳、氯仿、铬酸（60%）、甲酚、二氯乙酸、92#汽油、甲酸（90%）、氢氟酸（48%)、过氧化氢溶液（30%）、碘酒、丁酮、二氯甲烷、一氯化碳、萘、饱和硝酸银、饱和氯化锌、77%硫酸：70%硝酸1：1、甲苯、三氯乙烯、二甲基甲酰胺、二恶烷、乙醚、糠醛、硫化钠饱和液、二甲苯共48种强酸强碱化学试剂分级检验结果为5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物理性能要求：抗拉强度、吸水率、表面耐干热性能、表面耐香烟灼烧、密度、含水率、抗冲击性能（落球高度≥1m）、洛氏硬度、耐沸水性能、防静电性能、表面耐湿热性、表面耐龟裂性、耐光色牢度、光泽度（60°）等14项物理性能符合检测要求。</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（3）.甲醛：台面甲醛释放量检测达到GB18580-2001  E1级的技术指标要求，甲醛释放量（40L干燥器法）检测值≤0.01mg/L。检测结果合格。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（4）.重金属：参照EN71-3：2013+A1：2014采用ICP-OES进行分析 可溶性六价铬、可溶性铝、可溶性锑、可溶性砷、检测结果未检出。</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 三聚氰胺的特殊迁移检测方法依据EN13130-1:2004用3%醋酸在60℃浸泡6小时 检测结果合格</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★投标厂家需提供符合以上技术参数的检测报告，并加盖生产厂家</w:t>
            </w:r>
            <w:r>
              <w:rPr>
                <w:rFonts w:hint="eastAsia" w:asciiTheme="minorEastAsia" w:hAnsiTheme="minorEastAsia" w:cstheme="minorEastAsia"/>
                <w:i w:val="0"/>
                <w:color w:val="auto"/>
                <w:kern w:val="0"/>
                <w:sz w:val="24"/>
                <w:szCs w:val="24"/>
                <w:u w:val="none"/>
                <w:lang w:val="en-US" w:eastAsia="zh-CN" w:bidi="ar"/>
              </w:rPr>
              <w:t>公章</w:t>
            </w:r>
            <w:r>
              <w:rPr>
                <w:rFonts w:hint="eastAsia" w:asciiTheme="minorEastAsia" w:hAnsiTheme="minorEastAsia" w:eastAsiaTheme="minorEastAsia" w:cstheme="minorEastAsia"/>
                <w:i w:val="0"/>
                <w:color w:val="auto"/>
                <w:kern w:val="0"/>
                <w:sz w:val="24"/>
                <w:szCs w:val="24"/>
                <w:u w:val="none"/>
                <w:lang w:val="en-US" w:eastAsia="zh-CN" w:bidi="ar"/>
              </w:rPr>
              <w:t>。</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投标厂家需提供板材供应商出具的授权证明及售后承诺函加盖</w:t>
            </w:r>
            <w:r>
              <w:rPr>
                <w:rFonts w:hint="eastAsia" w:asciiTheme="minorEastAsia" w:hAnsiTheme="minorEastAsia" w:cstheme="minorEastAsia"/>
                <w:i w:val="0"/>
                <w:color w:val="auto"/>
                <w:kern w:val="0"/>
                <w:sz w:val="24"/>
                <w:szCs w:val="24"/>
                <w:u w:val="none"/>
                <w:lang w:val="en-US" w:eastAsia="zh-CN" w:bidi="ar"/>
              </w:rPr>
              <w:t>公章</w:t>
            </w:r>
            <w:r>
              <w:rPr>
                <w:rFonts w:hint="eastAsia" w:asciiTheme="minorEastAsia" w:hAnsiTheme="minorEastAsia" w:eastAsiaTheme="minorEastAsia" w:cstheme="minorEastAsia"/>
                <w:i w:val="0"/>
                <w:color w:val="auto"/>
                <w:kern w:val="0"/>
                <w:sz w:val="24"/>
                <w:szCs w:val="24"/>
                <w:u w:val="none"/>
                <w:lang w:val="en-US" w:eastAsia="zh-CN" w:bidi="ar"/>
              </w:rPr>
              <w:t>。(手写无效,以打印文本为有效授权)</w:t>
            </w:r>
          </w:p>
          <w:p>
            <w:pP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桌身结构：铝合金框架结构，左右工字脚之间通过前、中、后3条铝合金横梁由专用锁扣连接件连接，起到稳固桌子的作用，带钩式压紧锁扣连接件连接设计具有安装方便、连接牢固、表面无螺丝等特点。</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桌身材质及配件：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1、前后横梁：采用60x40mm壁厚2.5mm的优质铝型材材料一次性成型，内设2条不低于2mm厚的加强筋，材料表面经过防腐氧化处理和纯环氧树脂塑粉高温固化处理，具有较强的耐蚀性及承重性。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2、中横梁：采用110x16mm壁厚2mm的优质铝型材材料一次性成型，内设2条不低于2mm厚的加强筋，材料表面经过防腐氧化处理和纯环氧树脂塑粉高温固化处理，具有较强的耐蚀性及承重性。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 、工字脚架：由立柱、上下支脚、桌脚加固件和脚套四部分组成。</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3.1、立柱：采用100x50mm壁厚不低于2.2mm的优质铝材材料，内设4根厚度不低于2mm的加强筋，材料表面经过防腐氧化处理和纯环氧树脂塑粉高温固化处理，具有较强的耐蚀性。</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3.2、上下支脚：采用3.5mm厚铝压铸模具一次性成型，压铸脚形状独特，造型美观.压铸脚料内部通过螺丝连接安装成型，牢固耐用，铝压铸脚前后端设计有塑料一次性成型的塑料材质防锈片。</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3.3、桌脚加固件：安装在上下支脚之间，采用PP工程塑料一次性注塑成型，厚度为12mm，高度为：550mm，宽度为：105mm，用于加固工字脚架，搭配工字脚支架，时尚元素与精致美感的完美结合，看上去即温馨又能带给您一种自然与现代的融合享受。</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3.4、脚套：采用PP改性材料，注塑模一次性成型，全部圆弧设计，总体结构既美观又安全，保证了孩子万一撞到桌脚也没有关系，设计安装程序从上往下放入式安装。</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  书包斗：规格470*285*130mm，采用PP工程塑料一次性注塑成型，底部设有排水孔，斗的前端设有笔槽与橡皮擦架子，方便孩子放东西和孩子万一把水倒到抽屉里也能迅速排干水。</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产品特点：零甲醛、零污染、易擦洗、耐老化、环保、防水、可回收。</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nil"/>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drawing>
                <wp:anchor distT="0" distB="0" distL="114300" distR="114300" simplePos="0" relativeHeight="251658240" behindDoc="0" locked="0" layoutInCell="1" allowOverlap="1">
                  <wp:simplePos x="0" y="0"/>
                  <wp:positionH relativeFrom="column">
                    <wp:posOffset>37465</wp:posOffset>
                  </wp:positionH>
                  <wp:positionV relativeFrom="paragraph">
                    <wp:posOffset>887730</wp:posOffset>
                  </wp:positionV>
                  <wp:extent cx="793115" cy="620395"/>
                  <wp:effectExtent l="0" t="0" r="14605" b="4445"/>
                  <wp:wrapNone/>
                  <wp:docPr id="70" name="图片_14_SpCnt_2"/>
                  <wp:cNvGraphicFramePr/>
                  <a:graphic xmlns:a="http://schemas.openxmlformats.org/drawingml/2006/main">
                    <a:graphicData uri="http://schemas.openxmlformats.org/drawingml/2006/picture">
                      <pic:pic xmlns:pic="http://schemas.openxmlformats.org/drawingml/2006/picture">
                        <pic:nvPicPr>
                          <pic:cNvPr id="70" name="图片_14_SpCnt_2"/>
                          <pic:cNvPicPr/>
                        </pic:nvPicPr>
                        <pic:blipFill>
                          <a:blip r:embed="rId79"/>
                          <a:stretch>
                            <a:fillRect/>
                          </a:stretch>
                        </pic:blipFill>
                        <pic:spPr>
                          <a:xfrm>
                            <a:off x="0" y="0"/>
                            <a:ext cx="793115" cy="620395"/>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2900" w:hRule="atLeast"/>
        </w:trPr>
        <w:tc>
          <w:tcPr>
            <w:tcW w:w="357"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auto"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水槽</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 规格尺寸：左右500*前后600*高度780㎜。</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 水槽内部尺寸：400mm*300mm*220mm。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 水槽台面：采用PP工程塑料一次性注塑成型结合，黑色，水槽面部下沉式构造，使废水无法沿着桌面侵蚀柜体，后挡水边采用注塑一体化成型，带内部安装固件，前后边所有梯形片材与柜体连接，台盆面设安装水龙头与紧急洗眼器的安装孔，水槽前端设有凹形设计，方便操作者使用。</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 水槽具有防止溢水功能，水槽内部设有一个水满到一定位置的时候，把水排到PP下水器进行排出，防止废水外溢。</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 废水防臭器：构建组合成型的防臭防倒流装置，注塑模具一次性成型组合件，防止废气与废水倒灌。</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6 PP注塑成型自由转弯软管：采用PP材料注塑已形成形，吸塑PP软管节节可伸缩功能，规格1000任意伸缩长度，直径50mm。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7 水槽柜底盖：PP材质，注塑模具一次成型，防锈、耐酸碱、防水、防潮、底部设有可调整高度的螺旋脚。</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8 柜门：PP材质，注塑一次性成型，无铰链设计，静音，270度打开，前后门工艺一致，永不生锈。</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9 门框及箱体：前后门框均采用PP工程塑料一次性注塑成型，箱体内衬宝钢数控型材支撑架，配以专用连接件进行组装连接.箱体为精钢配件与注塑组合件联合。</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138430</wp:posOffset>
                  </wp:positionH>
                  <wp:positionV relativeFrom="paragraph">
                    <wp:posOffset>865505</wp:posOffset>
                  </wp:positionV>
                  <wp:extent cx="655320" cy="886460"/>
                  <wp:effectExtent l="0" t="0" r="0" b="12700"/>
                  <wp:wrapNone/>
                  <wp:docPr id="72" name="图片_14_SpCnt_3"/>
                  <wp:cNvGraphicFramePr/>
                  <a:graphic xmlns:a="http://schemas.openxmlformats.org/drawingml/2006/main">
                    <a:graphicData uri="http://schemas.openxmlformats.org/drawingml/2006/picture">
                      <pic:pic xmlns:pic="http://schemas.openxmlformats.org/drawingml/2006/picture">
                        <pic:nvPicPr>
                          <pic:cNvPr id="72" name="图片_14_SpCnt_3"/>
                          <pic:cNvPicPr/>
                        </pic:nvPicPr>
                        <pic:blipFill>
                          <a:blip r:embed="rId80"/>
                          <a:stretch>
                            <a:fillRect/>
                          </a:stretch>
                        </pic:blipFill>
                        <pic:spPr>
                          <a:xfrm>
                            <a:off x="0" y="0"/>
                            <a:ext cx="655320" cy="886460"/>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2455" w:hRule="atLeast"/>
        </w:trPr>
        <w:tc>
          <w:tcPr>
            <w:tcW w:w="35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三联水嘴</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三口专用实验龙头：全铜质结构，铜管无痕迹弯制成型，陶瓷阀芯，鹅颈造型，节节出水口。</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117475</wp:posOffset>
                  </wp:positionH>
                  <wp:positionV relativeFrom="paragraph">
                    <wp:posOffset>657225</wp:posOffset>
                  </wp:positionV>
                  <wp:extent cx="631190" cy="475615"/>
                  <wp:effectExtent l="0" t="0" r="8890" b="12065"/>
                  <wp:wrapNone/>
                  <wp:docPr id="37" name="图片_12_SpCnt_1"/>
                  <wp:cNvGraphicFramePr/>
                  <a:graphic xmlns:a="http://schemas.openxmlformats.org/drawingml/2006/main">
                    <a:graphicData uri="http://schemas.openxmlformats.org/drawingml/2006/picture">
                      <pic:pic xmlns:pic="http://schemas.openxmlformats.org/drawingml/2006/picture">
                        <pic:nvPicPr>
                          <pic:cNvPr id="37" name="图片_12_SpCnt_1"/>
                          <pic:cNvPicPr/>
                        </pic:nvPicPr>
                        <pic:blipFill>
                          <a:blip r:embed="rId81"/>
                          <a:stretch>
                            <a:fillRect/>
                          </a:stretch>
                        </pic:blipFill>
                        <pic:spPr>
                          <a:xfrm>
                            <a:off x="0" y="0"/>
                            <a:ext cx="631190" cy="475615"/>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405"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仪器类</w:t>
            </w: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打孔器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四件</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仪器车</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辆</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放大镜</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手持式，有效通光孔径不小于</w:t>
            </w:r>
            <w:r>
              <w:rPr>
                <w:rStyle w:val="103"/>
                <w:rFonts w:hint="eastAsia" w:asciiTheme="minorEastAsia" w:hAnsiTheme="minorEastAsia" w:eastAsiaTheme="minorEastAsia" w:cstheme="minorEastAsia"/>
                <w:color w:val="auto"/>
                <w:sz w:val="24"/>
                <w:szCs w:val="24"/>
                <w:lang w:val="en-US" w:eastAsia="zh-CN" w:bidi="ar"/>
              </w:rPr>
              <w:t>3</w:t>
            </w:r>
            <w:r>
              <w:rPr>
                <w:rFonts w:hint="eastAsia" w:asciiTheme="minorEastAsia" w:hAnsiTheme="minorEastAsia" w:eastAsiaTheme="minorEastAsia" w:cstheme="minorEastAsia"/>
                <w:i w:val="0"/>
                <w:color w:val="auto"/>
                <w:kern w:val="0"/>
                <w:sz w:val="24"/>
                <w:szCs w:val="24"/>
                <w:u w:val="none"/>
                <w:lang w:val="en-US" w:eastAsia="zh-CN" w:bidi="ar"/>
              </w:rPr>
              <w:t>0mm，5倍</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望远镜</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双筒，7×35</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电动离心机</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离心沉淀器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手摇式</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磁力加热搅拌器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酒精喷灯</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坐式</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电炉</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密封式</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听诊器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医用</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整理箱</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矮型，储存及分发药品用</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保温桶</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1L～2L</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水族箱</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方座支架</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三脚架</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试管架</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6孔</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软尺</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1500mm</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测微尺</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显微镜用，台式</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托盘天平</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200g，0.2g</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电子天平</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100g，0.001g</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电子停表</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0.1s</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温度计</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红液，0℃～100℃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温度计</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水银，0℃～200℃</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干湿球温度计</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Style w:val="104"/>
                <w:rFonts w:hint="eastAsia" w:asciiTheme="minorEastAsia" w:hAnsiTheme="minorEastAsia" w:eastAsiaTheme="minorEastAsia" w:cstheme="minorEastAsia"/>
                <w:color w:val="auto"/>
                <w:sz w:val="24"/>
                <w:szCs w:val="24"/>
                <w:lang w:val="en-US" w:eastAsia="zh-CN" w:bidi="ar"/>
              </w:rPr>
              <w:t>,</w:t>
            </w:r>
            <w:r>
              <w:rPr>
                <w:rFonts w:hint="eastAsia" w:asciiTheme="minorEastAsia" w:hAnsiTheme="minorEastAsia" w:eastAsiaTheme="minorEastAsia" w:cstheme="minorEastAsia"/>
                <w:i w:val="0"/>
                <w:color w:val="auto"/>
                <w:kern w:val="0"/>
                <w:sz w:val="24"/>
                <w:szCs w:val="24"/>
                <w:u w:val="none"/>
                <w:lang w:val="en-US" w:eastAsia="zh-CN" w:bidi="ar"/>
              </w:rPr>
              <w:t>-36℃～+46℃</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付</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血压计</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汞柱式</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肺活量计</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计数器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手持式</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解剖器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不锈钢材料，7件(大、小剪刀,大、小镊子，解剖刀，解剖针，弯头镊)</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解剖器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不锈钢材料，4件(大剪刀，解剖刀，解剖针，弯头镊)</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解剖盘</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蜡盘，140mm×250mm</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骨剪</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130mm，不锈钢</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接种箱</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带紫外灯</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接种环</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植物细胞模型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根纵剖模型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导管、筛管结构模型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单子叶植物茎模型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双子叶草本植物茎模型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叶构造模型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桃花模型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小麦花模型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蝗虫解剖模型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蛙胚胎发育模型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草履虫模型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蚯蚓解剖模型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血吸虫模型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雌雄合抱，可拆装</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头、颈、躯干模型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850mm</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人体骨骼模型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850mm</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眼球解剖模型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6倍自然大</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眼球仪</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晶状体曲率可变</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心脏解剖模型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3倍自然大</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心脏解剖模型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自然大</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喉解剖模型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肺泡模型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脑解剖模型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自然大</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耳解剖模型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6倍自然大</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男性泌尿生殖系统模型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自然大</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女性泌尿生殖系统模型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自然大</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皮肤结构模型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肝、十二指肠、胰脏模型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自然大</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肾单位、肾小体模型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心搏与血液循环模型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示心动周期及大小循环，心壁可收缩及瓣膜可启闭</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人体肌肉模型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850mm全身，示浅层肌及部分深层肌</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肘关节活动模型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附肩胛骨</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牙列及磨牙解剖模型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胃解剖模型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自然大</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尿的形成动态模型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电动式</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人体呼吸运动模型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电动式</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膈肌运动模拟器</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护理人模型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1700mm</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始祖鸟化石及复原模型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鱼解剖浸制标本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蛙解剖浸制标本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蜥蜴解剖浸制标本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鸽解剖浸制标本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兔解剖浸制标本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蛙发育顺序标本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蛔虫标本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雌、雄各一条</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花序类型保色浸制标本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不少于七种</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花冠类型保色浸制标本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十字花科，豆科，菊科等七种</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褐藻类植物保色浸制标本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海带等四种</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红藻类植物保色浸制标本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紫菜等四种</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海葵标本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海蛰标本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寄居蟹标本 </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寄居蟹与其他生物共生标本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寄生绦虫囊尾蚴猪肉浸制标本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珍贵植物保色浸制标本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葫芦藓生活史标本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蕨生活史标本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蝗虫生活史标本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蜜蜂生活史标本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竹节虫拟态标本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家蚕生活史标本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菜粉蝶生活史标本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兔骨骼标本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鱼骨骼标本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蛙骨骼标本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鸽骨骼标本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验证基因分离规律玉米标本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玉米穗</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褐藻类植物原色覆膜标本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海带等四种</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红藻类植物原色覆膜标本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紫菜等四种</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珊瑚标本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化石标本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节肢动物标本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常见六种以上</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昆虫标本</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常见六种以上</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植物根尖纵切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松叶横切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胞间连丝切片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地衣切片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蕨叶切片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蕨原叶体装片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蕨原叶体幼孢子体装片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花粉萌发装片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百合子房切片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百合花药切片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荠菜幼胚切片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荠菜老胚切片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迎春叶横切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玉米种子纵切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洋葱鳞片叶表皮装片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青霉装片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衣藻装片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细菌三型涂片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酵母菌装片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水绵接合生殖装片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水绵装片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团藻装片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曲霉装片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伞蕈切片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黑根霉装片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水螅纵切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蚯蚓横切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62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动物细胞有丝分裂(马蛔虫受精卵切片)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草履虫接合生殖装片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草履虫分裂生殖装片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囊虫装片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血吸虫雌雄合抱装片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139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血吸虫雄虫装片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血吸虫雌虫装片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家蚊(雌)口器装片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水螅带芽整体装片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水螅过精巢横切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水螅过卵巢横切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单层扁平上皮装片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复层扁平上皮装片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人皮过毛囊切片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人皮过汗腺切片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21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纤维结缔组织切片(腱纵切)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疏松结缔组织装片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人血涂片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骨骼肌纵横切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平滑肌分离装片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心肌切片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运动神经元装片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脊髓横切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运动神经末梢装片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胃壁切片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肾脏纵切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动静脉血管横切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小肠切片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肺血管注射切片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肾血管注射切片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精巢切片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卵巢切片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精虫涂片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口腔上皮细胞装片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蛔虫卵装片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169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字母“e”装片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正常人染色体装片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药匙</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玻璃管</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φ5mm～φ6mm</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千克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玻璃棒</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φ3mm～φ4mm</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千克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软胶塞</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千克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橡胶管</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 </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千克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培养皿</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60mm</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培养皿</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100mm</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研钵</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瓷，60mm</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179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棉纱缸</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记数载玻片(计数板)</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碘化钠</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硫酸铜(蓝矾、胆矾)</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碳酸氢钠</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硝酸银</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氢氧化钙(熟石灰)</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柠檬酸钠</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琼脂</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 </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甘油</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蔗糖</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 </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可溶性淀粉</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 </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尿糖试纸</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定性滤纸</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高锰酸钾</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硝酸铅</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氯化钡</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250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硫酸</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毫升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盐酸</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毫升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乙酸(醋酸)</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毫升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199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硼酸</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毫升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氢氧化钠</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甲醛</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试剂</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毫升</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1000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载玻片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盖玻片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包</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18</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标记笔</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生理盐水</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砾石</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千克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珍珠岩</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千克</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昆虫针</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209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昆虫盒</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盒</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测电笔</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一字螺丝刀</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十字螺丝刀</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支</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钢手锯</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剥线钳</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钢丝钳</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手锤</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活扳手</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砂轮片</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断玻璃管用</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片</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219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饲养笼</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鱼缸</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大号</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鱼缸</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小号</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花盆</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展翅板</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昆虫网(捕虫网)</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枝剪</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163"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水网</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橡皮锤</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膝跳反射用</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把</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工作服</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件</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229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护目镜</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侧面完全遮挡</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230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乳胶手套</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付</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405"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231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急救包</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shd w:val="clear" w:color="auto" w:fill="auto"/>
          <w:tblLayout w:type="fixed"/>
          <w:tblCellMar>
            <w:top w:w="0" w:type="dxa"/>
            <w:left w:w="0" w:type="dxa"/>
            <w:bottom w:w="0" w:type="dxa"/>
            <w:right w:w="0" w:type="dxa"/>
          </w:tblCellMar>
        </w:tblPrEx>
        <w:trPr>
          <w:trHeight w:val="760" w:hRule="atLeast"/>
        </w:trPr>
        <w:tc>
          <w:tcPr>
            <w:tcW w:w="10598" w:type="dxa"/>
            <w:gridSpan w:val="7"/>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数字化仪器</w:t>
            </w:r>
          </w:p>
        </w:tc>
      </w:tr>
      <w:tr>
        <w:tblPrEx>
          <w:shd w:val="clear" w:color="auto" w:fill="auto"/>
          <w:tblLayout w:type="fixed"/>
          <w:tblCellMar>
            <w:top w:w="0" w:type="dxa"/>
            <w:left w:w="0" w:type="dxa"/>
            <w:bottom w:w="0" w:type="dxa"/>
            <w:right w:w="0" w:type="dxa"/>
          </w:tblCellMar>
        </w:tblPrEx>
        <w:trPr>
          <w:trHeight w:val="434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高智能一体化体</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视数码显微镜</w:t>
            </w:r>
          </w:p>
        </w:tc>
        <w:tc>
          <w:tcPr>
            <w:tcW w:w="6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一、基本配置要求：</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整机金属结构</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二、主要技术指标要求：</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1、光学系统，无限远色差校正光学系统；</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2、目镜：高眼点大视野平场目镜PL10/20mm，线视场数≥20mm，视度可调目镜，带锁紧结构；</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3、物镜：无限远平场消色差物镜4x（成像圆直径≥16.8㎜）、10x（成像圆直径≥16.7㎜）、40x（成像圆直径≥16.5㎜）、100x（成像圆直径≥15.9㎜）；</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4、观察筒：铰链三目观察头；</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5、转换器：不少于4孔内倾式转换器；</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6、载物台：双层复合机械移动平台，移动范围不小于76x50mm；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7、聚光镜:N.A1.25柯拉照明聚光镜组，要求带插板式的相衬和暗场附件接口；</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8、调焦机构：粗调行程≥25mm,带松紧调焦装置，机械式上限位；</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9、集光镜要求带可调孔径光栏；</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10、电源：自适应100v-240v开关电源 ，单颗高亮度3wLED（预置中心），光强连续可调，集光镜座不能轻易取下，防止经常取下造成光路中心的改变，而影响观察效果；</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 xml:space="preserve">11、重要技术性能：必须提供【国家光学质量监督检验中心】出具的检测报告复印件加盖厂家公章 </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12.1、10倍物镜景深范围内像面的偏摆：≤0.01mm；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12.2、显微镜物镜放大率准确度不超过±0.93%；</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12.3、显微镜目镜放大率准确度不超过±0.45%；</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12.4、双目系统左右两像面光谱色一致明暗差≤6.5%；</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12.5、双目系统左右视场像面方位差≤15；</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12.6、双目系统左右光轴平行度水平发散≤15；</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12.7、左右两系统放大率差≤0.27%</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12.8、零视度时，左右系统的目镜端面位置差≤0.06</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12.9、4x（成像圆直径≥16.8㎜）、10x（成像圆直径≥16.7㎜）、40x（成像圆直径≥16.5㎜）、100x（成像圆直径≥15.9㎜）；</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12.10、摄影摄像视场清晰范围≥89%</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13 智能液晶屏幕：IPS10寸高清屏，实时HDR,内建OSD菜单，≧400万像素(2688x1520@15fps、1920x1080@30fps）内存16G，支持拓展SD卡存储。图像输出：WIFI（1080P≥12Fps，720P≥15Fps）、HDMI(2K≥12fps，1080P≥30fps)、USB Camera(2K≥12fps，1080P≥30fps）。</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14、可发射独立的WIFI信号。连接上之后可用手机或者平板浏览显微镜下图像，实现拍照、录像，文字标注，长度、角度、面积测量，细胞计数。支持WIFI和HDMI或USB和HDMI同时输出，互不干涉。输入接口：USB鼠标、USB移动存储、SD卡。</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15、显微镜自带操作系统，平板不带操作系统。支持Windows7及以上、IOS、Android系统</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16、相关控制软件必须是产品制造企业独立自主研发的正版软件，提供软件著作权证书复印件：</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17、通过ISO9001、ISO13485、ISO14001、OHSAS18001体系认证。</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18、所采用零部件和生产过程，需对有害物质过程管理进行严格控制，符合中华人民共和国《电器电子产品有害物质限制使用管理办法》（令第32号）的要求，提供证明材料。</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19、★</w:t>
            </w:r>
            <w:r>
              <w:rPr>
                <w:rFonts w:hint="eastAsia" w:asciiTheme="minorEastAsia" w:hAnsiTheme="minorEastAsia" w:eastAsiaTheme="minorEastAsia" w:cstheme="minorEastAsia"/>
                <w:b/>
                <w:bCs/>
                <w:i w:val="0"/>
                <w:color w:val="auto"/>
                <w:kern w:val="0"/>
                <w:sz w:val="24"/>
                <w:szCs w:val="24"/>
                <w:u w:val="none"/>
                <w:lang w:val="en-US" w:eastAsia="zh-CN" w:bidi="ar"/>
              </w:rPr>
              <w:t>提供权威机构提供的数码显微互动系统检测报告复印件，加盖厂家公章</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台</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85725</wp:posOffset>
                  </wp:positionH>
                  <wp:positionV relativeFrom="paragraph">
                    <wp:posOffset>1353820</wp:posOffset>
                  </wp:positionV>
                  <wp:extent cx="659130" cy="895350"/>
                  <wp:effectExtent l="0" t="0" r="11430" b="3810"/>
                  <wp:wrapNone/>
                  <wp:docPr id="71" name="图片_35"/>
                  <wp:cNvGraphicFramePr/>
                  <a:graphic xmlns:a="http://schemas.openxmlformats.org/drawingml/2006/main">
                    <a:graphicData uri="http://schemas.openxmlformats.org/drawingml/2006/picture">
                      <pic:pic xmlns:pic="http://schemas.openxmlformats.org/drawingml/2006/picture">
                        <pic:nvPicPr>
                          <pic:cNvPr id="71" name="图片_35"/>
                          <pic:cNvPicPr/>
                        </pic:nvPicPr>
                        <pic:blipFill>
                          <a:blip r:embed="rId82"/>
                          <a:stretch>
                            <a:fillRect/>
                          </a:stretch>
                        </pic:blipFill>
                        <pic:spPr>
                          <a:xfrm>
                            <a:off x="0" y="0"/>
                            <a:ext cx="659130" cy="895350"/>
                          </a:xfrm>
                          <a:prstGeom prst="rect">
                            <a:avLst/>
                          </a:prstGeom>
                          <a:noFill/>
                          <a:ln>
                            <a:noFill/>
                          </a:ln>
                        </pic:spPr>
                      </pic:pic>
                    </a:graphicData>
                  </a:graphic>
                </wp:anchor>
              </w:drawing>
            </w:r>
          </w:p>
        </w:tc>
      </w:tr>
    </w:tbl>
    <w:p>
      <w:pP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br w:type="page"/>
      </w:r>
    </w:p>
    <w:p>
      <w:pPr>
        <w:jc w:val="cente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化学危险品室</w:t>
      </w:r>
    </w:p>
    <w:tbl>
      <w:tblPr>
        <w:tblStyle w:val="22"/>
        <w:tblW w:w="10598" w:type="dxa"/>
        <w:tblInd w:w="0" w:type="dxa"/>
        <w:shd w:val="clear" w:color="auto" w:fill="auto"/>
        <w:tblLayout w:type="fixed"/>
        <w:tblCellMar>
          <w:top w:w="0" w:type="dxa"/>
          <w:left w:w="0" w:type="dxa"/>
          <w:bottom w:w="0" w:type="dxa"/>
          <w:right w:w="0" w:type="dxa"/>
        </w:tblCellMar>
      </w:tblPr>
      <w:tblGrid>
        <w:gridCol w:w="357"/>
        <w:gridCol w:w="850"/>
        <w:gridCol w:w="6054"/>
        <w:gridCol w:w="746"/>
        <w:gridCol w:w="650"/>
        <w:gridCol w:w="633"/>
        <w:gridCol w:w="1308"/>
      </w:tblGrid>
      <w:tr>
        <w:tblPrEx>
          <w:shd w:val="clear" w:color="auto" w:fill="auto"/>
          <w:tblLayout w:type="fixed"/>
          <w:tblCellMar>
            <w:top w:w="0" w:type="dxa"/>
            <w:left w:w="0" w:type="dxa"/>
            <w:bottom w:w="0" w:type="dxa"/>
            <w:right w:w="0" w:type="dxa"/>
          </w:tblCellMar>
        </w:tblPrEx>
        <w:trPr>
          <w:trHeight w:val="66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化学危险品室</w:t>
            </w:r>
            <w:r>
              <w:rPr>
                <w:rFonts w:hint="eastAsia" w:asciiTheme="minorEastAsia" w:hAnsiTheme="minorEastAsia" w:cstheme="minorEastAsia"/>
                <w:b/>
                <w:i w:val="0"/>
                <w:color w:val="auto"/>
                <w:kern w:val="0"/>
                <w:sz w:val="24"/>
                <w:szCs w:val="24"/>
                <w:u w:val="none"/>
                <w:lang w:val="en-US" w:eastAsia="zh-CN" w:bidi="ar"/>
              </w:rPr>
              <w:t>配置</w:t>
            </w:r>
            <w:r>
              <w:rPr>
                <w:rFonts w:hint="eastAsia" w:asciiTheme="minorEastAsia" w:hAnsiTheme="minorEastAsia" w:eastAsiaTheme="minorEastAsia" w:cstheme="minorEastAsia"/>
                <w:b/>
                <w:i w:val="0"/>
                <w:color w:val="auto"/>
                <w:kern w:val="0"/>
                <w:sz w:val="24"/>
                <w:szCs w:val="24"/>
                <w:u w:val="none"/>
                <w:lang w:val="en-US" w:eastAsia="zh-CN" w:bidi="ar"/>
              </w:rPr>
              <w:t>清单</w:t>
            </w:r>
          </w:p>
        </w:tc>
      </w:tr>
      <w:tr>
        <w:tblPrEx>
          <w:tblLayout w:type="fixed"/>
          <w:tblCellMar>
            <w:top w:w="0" w:type="dxa"/>
            <w:left w:w="0" w:type="dxa"/>
            <w:bottom w:w="0" w:type="dxa"/>
            <w:right w:w="0" w:type="dxa"/>
          </w:tblCellMar>
        </w:tblPrEx>
        <w:trPr>
          <w:trHeight w:val="660" w:hRule="atLeast"/>
        </w:trPr>
        <w:tc>
          <w:tcPr>
            <w:tcW w:w="357"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名称</w:t>
            </w:r>
          </w:p>
        </w:tc>
        <w:tc>
          <w:tcPr>
            <w:tcW w:w="6054"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技术参数</w:t>
            </w:r>
          </w:p>
        </w:tc>
        <w:tc>
          <w:tcPr>
            <w:tcW w:w="746"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单位</w:t>
            </w:r>
          </w:p>
        </w:tc>
        <w:tc>
          <w:tcPr>
            <w:tcW w:w="650"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数量</w:t>
            </w:r>
          </w:p>
        </w:tc>
        <w:tc>
          <w:tcPr>
            <w:tcW w:w="633"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备注</w:t>
            </w:r>
          </w:p>
        </w:tc>
        <w:tc>
          <w:tcPr>
            <w:tcW w:w="1308"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参考图</w:t>
            </w:r>
          </w:p>
        </w:tc>
      </w:tr>
      <w:tr>
        <w:tblPrEx>
          <w:tblLayout w:type="fixed"/>
          <w:tblCellMar>
            <w:top w:w="0" w:type="dxa"/>
            <w:left w:w="0" w:type="dxa"/>
            <w:bottom w:w="0" w:type="dxa"/>
            <w:right w:w="0" w:type="dxa"/>
          </w:tblCellMar>
        </w:tblPrEx>
        <w:trPr>
          <w:trHeight w:val="105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药品台架</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 规格尺寸：3500*600*700/1450㎜；材质说明： 台架及支撑部分采用砖混结构，台面采用花岗岩。底层设有凹槽用于放置石英砂。</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105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安全柜</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900*650*1800mm全钢结构，带通风，搁板可调节要耐酸碱</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防盗门</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钢制</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木质门</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实木可移动推门。</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扇</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弯头</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PVC材质，主要用于室外主管道与室内主管道的连接。</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弯头制作</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PVC材质，主要用于室内Φ110 PVC管道    与Φ160 PVC管道的连接。</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通风管道安装</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Φ110 PVC管道    Φ160 PVC管道 </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室</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轴流风机</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PVC制作</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吸风罩</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304不锈钢制作</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实验室风机开关及专用控制系统</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所有部件及电器材料符合国家标准</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定时防爆灯</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实验室专用</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10" w:hRule="atLeast"/>
        </w:trPr>
        <w:tc>
          <w:tcPr>
            <w:tcW w:w="3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新风系统</w:t>
            </w:r>
          </w:p>
        </w:tc>
        <w:tc>
          <w:tcPr>
            <w:tcW w:w="60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PVC补风系统</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项</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auto"/>
                <w:sz w:val="24"/>
                <w:szCs w:val="24"/>
                <w:u w:val="none"/>
              </w:rPr>
            </w:pPr>
          </w:p>
        </w:tc>
      </w:tr>
    </w:tbl>
    <w:p>
      <w:pP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br w:type="page"/>
      </w:r>
    </w:p>
    <w:p>
      <w:pPr>
        <w:jc w:val="center"/>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智慧教室</w:t>
      </w:r>
    </w:p>
    <w:tbl>
      <w:tblPr>
        <w:tblStyle w:val="22"/>
        <w:tblW w:w="10598" w:type="dxa"/>
        <w:tblInd w:w="0" w:type="dxa"/>
        <w:shd w:val="clear" w:color="auto" w:fill="auto"/>
        <w:tblLayout w:type="fixed"/>
        <w:tblCellMar>
          <w:top w:w="0" w:type="dxa"/>
          <w:left w:w="0" w:type="dxa"/>
          <w:bottom w:w="0" w:type="dxa"/>
          <w:right w:w="0" w:type="dxa"/>
        </w:tblCellMar>
      </w:tblPr>
      <w:tblGrid>
        <w:gridCol w:w="374"/>
        <w:gridCol w:w="750"/>
        <w:gridCol w:w="6116"/>
        <w:gridCol w:w="784"/>
        <w:gridCol w:w="650"/>
        <w:gridCol w:w="600"/>
        <w:gridCol w:w="1324"/>
      </w:tblGrid>
      <w:tr>
        <w:tblPrEx>
          <w:shd w:val="clear" w:color="auto" w:fill="auto"/>
          <w:tblLayout w:type="fixed"/>
          <w:tblCellMar>
            <w:top w:w="0" w:type="dxa"/>
            <w:left w:w="0" w:type="dxa"/>
            <w:bottom w:w="0" w:type="dxa"/>
            <w:right w:w="0" w:type="dxa"/>
          </w:tblCellMar>
        </w:tblPrEx>
        <w:trPr>
          <w:trHeight w:val="56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b/>
                <w:i w:val="0"/>
                <w:color w:val="auto"/>
                <w:sz w:val="24"/>
                <w:szCs w:val="24"/>
                <w:u w:val="none"/>
                <w:lang w:val="en-US"/>
              </w:rPr>
            </w:pPr>
            <w:r>
              <w:rPr>
                <w:rFonts w:hint="eastAsia" w:asciiTheme="minorEastAsia" w:hAnsiTheme="minorEastAsia" w:eastAsiaTheme="minorEastAsia" w:cstheme="minorEastAsia"/>
                <w:b/>
                <w:i w:val="0"/>
                <w:color w:val="auto"/>
                <w:kern w:val="0"/>
                <w:sz w:val="24"/>
                <w:szCs w:val="24"/>
                <w:u w:val="none"/>
                <w:lang w:val="en-US" w:eastAsia="zh-CN" w:bidi="ar"/>
              </w:rPr>
              <w:t>智慧教室</w:t>
            </w:r>
            <w:r>
              <w:rPr>
                <w:rFonts w:hint="eastAsia" w:asciiTheme="minorEastAsia" w:hAnsiTheme="minorEastAsia" w:cstheme="minorEastAsia"/>
                <w:b/>
                <w:i w:val="0"/>
                <w:color w:val="auto"/>
                <w:kern w:val="0"/>
                <w:sz w:val="24"/>
                <w:szCs w:val="24"/>
                <w:u w:val="none"/>
                <w:lang w:val="en-US" w:eastAsia="zh-CN" w:bidi="ar"/>
              </w:rPr>
              <w:t>配置清单</w:t>
            </w:r>
          </w:p>
        </w:tc>
      </w:tr>
      <w:tr>
        <w:tblPrEx>
          <w:tblLayout w:type="fixed"/>
          <w:tblCellMar>
            <w:top w:w="0" w:type="dxa"/>
            <w:left w:w="0" w:type="dxa"/>
            <w:bottom w:w="0" w:type="dxa"/>
            <w:right w:w="0" w:type="dxa"/>
          </w:tblCellMar>
        </w:tblPrEx>
        <w:trPr>
          <w:trHeight w:val="56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序号</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名称</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规格尺寸，材质说明</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单位</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数量</w:t>
            </w:r>
          </w:p>
        </w:tc>
        <w:tc>
          <w:tcPr>
            <w:tcW w:w="6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备注</w:t>
            </w:r>
          </w:p>
        </w:tc>
        <w:tc>
          <w:tcPr>
            <w:tcW w:w="13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auto"/>
                <w:sz w:val="24"/>
                <w:szCs w:val="24"/>
                <w:u w:val="none"/>
              </w:rPr>
            </w:pPr>
            <w:r>
              <w:rPr>
                <w:rFonts w:hint="eastAsia" w:asciiTheme="minorEastAsia" w:hAnsiTheme="minorEastAsia" w:eastAsiaTheme="minorEastAsia" w:cstheme="minorEastAsia"/>
                <w:b/>
                <w:i w:val="0"/>
                <w:color w:val="auto"/>
                <w:kern w:val="0"/>
                <w:sz w:val="24"/>
                <w:szCs w:val="24"/>
                <w:u w:val="none"/>
                <w:lang w:val="en-US" w:eastAsia="zh-CN" w:bidi="ar"/>
              </w:rPr>
              <w:t>参考图</w:t>
            </w:r>
          </w:p>
        </w:tc>
      </w:tr>
      <w:tr>
        <w:tblPrEx>
          <w:tblLayout w:type="fixed"/>
          <w:tblCellMar>
            <w:top w:w="0" w:type="dxa"/>
            <w:left w:w="0" w:type="dxa"/>
            <w:bottom w:w="0" w:type="dxa"/>
            <w:right w:w="0" w:type="dxa"/>
          </w:tblCellMar>
        </w:tblPrEx>
        <w:trPr>
          <w:trHeight w:val="326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灵动讲台</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桌子规格：1200*600*800mm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材质及特点：</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桌面：台面采用25mmE1级环保板芯外贴防火板，甲醛释放量（穿孔萃取法 ）应不大于≤8mg/100g。外露截面采用优质PVC封边，并经防裂防翘处理，颜色可选；搭配钢支架，时尚元素与精致美感的完美结合，看上去即温馨又能给您一种自然与现代的融合享受。</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桌身：采用40mm*40mm的方钢骨架,模具冲压配已优质的五金件连接,表面经纯环氧树脂塑粉高温固化处理，具防酸碱、防腐蚀、且承重的特点。带活动调节轮，方便移动。</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3135"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学生桌课桌</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规格：1200*600*750mm，台面：采用12.7mm厚实芯抗倍特板，颜色可选。机械磨边处理，边缘光滑圆润不伤手; 前端V字形转角处理，分散扩大使用空间，使学生在实验及上课时不显拥挤。前端设计笔槽。侧面多功能挂钩：采用PP改性材料，注塑模一次性成型，表面沙面处理。</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立柱：采用32mm的优质钢架型材，折弯成型，材料表面经过防腐氧化处理和纯环氧树脂塑粉高温固化处理，具有较强的耐蚀性及承重性，外形时尚。</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书包斗：采用PP工程塑料一次性注塑成型结合，底部设有排水孔，斗的前端设有笔槽与橡皮擦架子。左右侧面各带一个写字板。</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14</w:t>
            </w:r>
          </w:p>
        </w:tc>
        <w:tc>
          <w:tcPr>
            <w:tcW w:w="6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29845</wp:posOffset>
                  </wp:positionH>
                  <wp:positionV relativeFrom="paragraph">
                    <wp:posOffset>833120</wp:posOffset>
                  </wp:positionV>
                  <wp:extent cx="724535" cy="682625"/>
                  <wp:effectExtent l="0" t="0" r="6985" b="3175"/>
                  <wp:wrapNone/>
                  <wp:docPr id="75" name="图片_4"/>
                  <wp:cNvGraphicFramePr/>
                  <a:graphic xmlns:a="http://schemas.openxmlformats.org/drawingml/2006/main">
                    <a:graphicData uri="http://schemas.openxmlformats.org/drawingml/2006/picture">
                      <pic:pic xmlns:pic="http://schemas.openxmlformats.org/drawingml/2006/picture">
                        <pic:nvPicPr>
                          <pic:cNvPr id="75" name="图片_4"/>
                          <pic:cNvPicPr/>
                        </pic:nvPicPr>
                        <pic:blipFill>
                          <a:blip r:embed="rId83"/>
                          <a:stretch>
                            <a:fillRect/>
                          </a:stretch>
                        </pic:blipFill>
                        <pic:spPr>
                          <a:xfrm>
                            <a:off x="0" y="0"/>
                            <a:ext cx="724535" cy="6826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88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3</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实验椅</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产品名称：一次注塑成型学生椅</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1.尺寸：坐宽450mmx坐深360mmx790mm（坐高440mm）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2.材质及结构：采用进口环保PP材料，坐靠及椅腿一次注塑成型，经久耐用；座椅靠背正上方设置一个92mmx30mm把手圈，方便学生移动；把手圈独特造型设计，手握感舒适，美观大方；靠背宽度385mm，高度340mm，根据人体工程学设计，坐感舒适；座椅可重叠放置，节省占地空间；且产品质量不受气候温差影响，正常使用八年以上。</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3.表面外观：边缘平整圆滑及座椅用手可触及的隐蔽处，均不得有锐利大的菱角、毛刺毛边等现象。</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张</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28</w:t>
            </w:r>
          </w:p>
        </w:tc>
        <w:tc>
          <w:tcPr>
            <w:tcW w:w="6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81915</wp:posOffset>
                  </wp:positionH>
                  <wp:positionV relativeFrom="paragraph">
                    <wp:posOffset>699135</wp:posOffset>
                  </wp:positionV>
                  <wp:extent cx="646430" cy="822325"/>
                  <wp:effectExtent l="0" t="0" r="8890" b="635"/>
                  <wp:wrapNone/>
                  <wp:docPr id="76" name="图片_1"/>
                  <wp:cNvGraphicFramePr/>
                  <a:graphic xmlns:a="http://schemas.openxmlformats.org/drawingml/2006/main">
                    <a:graphicData uri="http://schemas.openxmlformats.org/drawingml/2006/picture">
                      <pic:pic xmlns:pic="http://schemas.openxmlformats.org/drawingml/2006/picture">
                        <pic:nvPicPr>
                          <pic:cNvPr id="76" name="图片_1"/>
                          <pic:cNvPicPr/>
                        </pic:nvPicPr>
                        <pic:blipFill>
                          <a:blip r:embed="rId84"/>
                          <a:stretch>
                            <a:fillRect/>
                          </a:stretch>
                        </pic:blipFill>
                        <pic:spPr>
                          <a:xfrm>
                            <a:off x="0" y="0"/>
                            <a:ext cx="646430" cy="8223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8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4</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展示柜</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款式特点：可以放置书籍、作品展示且带涂鸦及书写功能。</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规格：2000*350*2000mm</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材质说明：</w:t>
            </w:r>
            <w:r>
              <w:rPr>
                <w:rFonts w:hint="eastAsia" w:asciiTheme="minorEastAsia" w:hAnsiTheme="minorEastAsia" w:eastAsiaTheme="minorEastAsia" w:cstheme="minorEastAsia"/>
                <w:i w:val="0"/>
                <w:color w:val="auto"/>
                <w:kern w:val="0"/>
                <w:sz w:val="24"/>
                <w:szCs w:val="24"/>
                <w:u w:val="none"/>
                <w:lang w:val="en-US" w:eastAsia="zh-CN" w:bidi="ar"/>
              </w:rPr>
              <w:br w:type="textWrapping"/>
            </w:r>
            <w:r>
              <w:rPr>
                <w:rFonts w:hint="eastAsia" w:asciiTheme="minorEastAsia" w:hAnsiTheme="minorEastAsia" w:eastAsiaTheme="minorEastAsia" w:cstheme="minorEastAsia"/>
                <w:i w:val="0"/>
                <w:color w:val="auto"/>
                <w:kern w:val="0"/>
                <w:sz w:val="24"/>
                <w:szCs w:val="24"/>
                <w:u w:val="none"/>
                <w:lang w:val="en-US" w:eastAsia="zh-CN" w:bidi="ar"/>
              </w:rPr>
              <w:t>主体采用25mmE1级环保板，甲醛释放量（穿孔萃取法 ）应不大于≤8mg/100g。外露截面采用优质PVC封边，并经防裂防翘处理，颜色为原木色；搭配优质的五金件连接,即美观及牢固。</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组</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2</w:t>
            </w:r>
          </w:p>
        </w:tc>
        <w:tc>
          <w:tcPr>
            <w:tcW w:w="6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r>
        <w:tblPrEx>
          <w:tblLayout w:type="fixed"/>
          <w:tblCellMar>
            <w:top w:w="0" w:type="dxa"/>
            <w:left w:w="0" w:type="dxa"/>
            <w:bottom w:w="0" w:type="dxa"/>
            <w:right w:w="0" w:type="dxa"/>
          </w:tblCellMar>
        </w:tblPrEx>
        <w:trPr>
          <w:trHeight w:val="84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留言告示板</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4"/>
                <w:szCs w:val="24"/>
                <w:u w:val="none"/>
                <w:lang w:val="en-US"/>
              </w:rPr>
            </w:pPr>
            <w:r>
              <w:rPr>
                <w:rFonts w:hint="eastAsia" w:asciiTheme="minorEastAsia" w:hAnsiTheme="minorEastAsia" w:eastAsiaTheme="minorEastAsia" w:cstheme="minorEastAsia"/>
                <w:i w:val="0"/>
                <w:color w:val="auto"/>
                <w:kern w:val="0"/>
                <w:sz w:val="24"/>
                <w:szCs w:val="24"/>
                <w:u w:val="none"/>
                <w:lang w:val="en-US" w:eastAsia="zh-CN" w:bidi="ar"/>
              </w:rPr>
              <w:t>主体采用软木板制作，木制边框。尺寸4000*1200mm</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c>
          <w:tcPr>
            <w:tcW w:w="1324"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auto"/>
                <w:sz w:val="24"/>
                <w:szCs w:val="24"/>
                <w:u w:val="none"/>
              </w:rPr>
            </w:pPr>
          </w:p>
        </w:tc>
      </w:tr>
    </w:tbl>
    <w:p>
      <w:pPr>
        <w:jc w:val="center"/>
        <w:rPr>
          <w:rFonts w:hint="default"/>
          <w:b/>
          <w:bCs/>
          <w:sz w:val="24"/>
          <w:szCs w:val="24"/>
          <w:lang w:val="en-US" w:eastAsia="zh-CN"/>
        </w:rPr>
      </w:pPr>
      <w:r>
        <w:rPr>
          <w:rFonts w:hint="default"/>
          <w:b/>
          <w:bCs/>
          <w:sz w:val="36"/>
          <w:szCs w:val="36"/>
          <w:lang w:val="en-US" w:eastAsia="zh-CN"/>
        </w:rPr>
        <w:br w:type="page"/>
      </w:r>
      <w:r>
        <w:rPr>
          <w:rFonts w:hint="eastAsia"/>
          <w:b/>
          <w:bCs/>
          <w:sz w:val="24"/>
          <w:szCs w:val="24"/>
          <w:lang w:val="en-US" w:eastAsia="zh-CN"/>
        </w:rPr>
        <w:t>花园气象站</w:t>
      </w:r>
    </w:p>
    <w:tbl>
      <w:tblPr>
        <w:tblStyle w:val="22"/>
        <w:tblW w:w="10598" w:type="dxa"/>
        <w:tblInd w:w="0" w:type="dxa"/>
        <w:shd w:val="clear" w:color="auto" w:fill="auto"/>
        <w:tblLayout w:type="fixed"/>
        <w:tblCellMar>
          <w:top w:w="0" w:type="dxa"/>
          <w:left w:w="0" w:type="dxa"/>
          <w:bottom w:w="0" w:type="dxa"/>
          <w:right w:w="0" w:type="dxa"/>
        </w:tblCellMar>
      </w:tblPr>
      <w:tblGrid>
        <w:gridCol w:w="374"/>
        <w:gridCol w:w="750"/>
        <w:gridCol w:w="6116"/>
        <w:gridCol w:w="784"/>
        <w:gridCol w:w="650"/>
        <w:gridCol w:w="600"/>
        <w:gridCol w:w="1324"/>
      </w:tblGrid>
      <w:tr>
        <w:tblPrEx>
          <w:shd w:val="clear" w:color="auto" w:fill="auto"/>
          <w:tblLayout w:type="fixed"/>
          <w:tblCellMar>
            <w:top w:w="0" w:type="dxa"/>
            <w:left w:w="0" w:type="dxa"/>
            <w:bottom w:w="0" w:type="dxa"/>
            <w:right w:w="0" w:type="dxa"/>
          </w:tblCellMar>
        </w:tblPrEx>
        <w:trPr>
          <w:trHeight w:val="375"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FDE9D9"/>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b/>
                <w:i w:val="0"/>
                <w:color w:val="000000"/>
                <w:sz w:val="24"/>
                <w:szCs w:val="24"/>
                <w:u w:val="none"/>
                <w:lang w:val="en-US"/>
              </w:rPr>
            </w:pPr>
            <w:r>
              <w:rPr>
                <w:rFonts w:hint="eastAsia" w:asciiTheme="minorEastAsia" w:hAnsiTheme="minorEastAsia" w:eastAsiaTheme="minorEastAsia" w:cstheme="minorEastAsia"/>
                <w:b/>
                <w:i w:val="0"/>
                <w:color w:val="000000"/>
                <w:kern w:val="0"/>
                <w:sz w:val="24"/>
                <w:szCs w:val="24"/>
                <w:u w:val="none"/>
                <w:lang w:val="en-US" w:eastAsia="zh-CN" w:bidi="ar"/>
              </w:rPr>
              <w:t>花园、气象站</w:t>
            </w:r>
            <w:r>
              <w:rPr>
                <w:rFonts w:hint="eastAsia" w:asciiTheme="minorEastAsia" w:hAnsiTheme="minorEastAsia" w:cstheme="minorEastAsia"/>
                <w:b/>
                <w:i w:val="0"/>
                <w:color w:val="000000"/>
                <w:kern w:val="0"/>
                <w:sz w:val="24"/>
                <w:szCs w:val="24"/>
                <w:u w:val="none"/>
                <w:lang w:val="en-US" w:eastAsia="zh-CN" w:bidi="ar"/>
              </w:rPr>
              <w:t>配置清单</w:t>
            </w:r>
          </w:p>
        </w:tc>
      </w:tr>
      <w:tr>
        <w:tblPrEx>
          <w:tblLayout w:type="fixed"/>
          <w:tblCellMar>
            <w:top w:w="0" w:type="dxa"/>
            <w:left w:w="0" w:type="dxa"/>
            <w:bottom w:w="0" w:type="dxa"/>
            <w:right w:w="0" w:type="dxa"/>
          </w:tblCellMar>
        </w:tblPrEx>
        <w:trPr>
          <w:trHeight w:val="375" w:hRule="atLeast"/>
        </w:trPr>
        <w:tc>
          <w:tcPr>
            <w:tcW w:w="374"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序号</w:t>
            </w:r>
          </w:p>
        </w:tc>
        <w:tc>
          <w:tcPr>
            <w:tcW w:w="750"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名称</w:t>
            </w:r>
          </w:p>
        </w:tc>
        <w:tc>
          <w:tcPr>
            <w:tcW w:w="6116"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规格尺寸</w:t>
            </w:r>
          </w:p>
        </w:tc>
        <w:tc>
          <w:tcPr>
            <w:tcW w:w="784"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lang w:val="en-US" w:eastAsia="zh-CN"/>
              </w:rPr>
            </w:pPr>
            <w:r>
              <w:rPr>
                <w:rFonts w:hint="eastAsia" w:asciiTheme="minorEastAsia" w:hAnsiTheme="minorEastAsia" w:cstheme="minorEastAsia"/>
                <w:b/>
                <w:i w:val="0"/>
                <w:color w:val="000000"/>
                <w:sz w:val="24"/>
                <w:szCs w:val="24"/>
                <w:u w:val="none"/>
                <w:lang w:val="en-US" w:eastAsia="zh-CN"/>
              </w:rPr>
              <w:t>单位</w:t>
            </w:r>
          </w:p>
        </w:tc>
        <w:tc>
          <w:tcPr>
            <w:tcW w:w="650"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cstheme="minorEastAsia"/>
                <w:b/>
                <w:i w:val="0"/>
                <w:color w:val="000000"/>
                <w:kern w:val="0"/>
                <w:sz w:val="24"/>
                <w:szCs w:val="24"/>
                <w:u w:val="none"/>
                <w:lang w:val="en-US" w:eastAsia="zh-CN"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备注</w:t>
            </w:r>
          </w:p>
        </w:tc>
        <w:tc>
          <w:tcPr>
            <w:tcW w:w="1324" w:type="dxa"/>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参考图</w:t>
            </w:r>
          </w:p>
        </w:tc>
      </w:tr>
      <w:tr>
        <w:tblPrEx>
          <w:tblLayout w:type="fixed"/>
          <w:tblCellMar>
            <w:top w:w="0" w:type="dxa"/>
            <w:left w:w="0" w:type="dxa"/>
            <w:bottom w:w="0" w:type="dxa"/>
            <w:right w:w="0" w:type="dxa"/>
          </w:tblCellMar>
        </w:tblPrEx>
        <w:trPr>
          <w:trHeight w:val="375"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FDE9D9"/>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小型花园</w:t>
            </w:r>
          </w:p>
        </w:tc>
      </w:tr>
      <w:tr>
        <w:tblPrEx>
          <w:tblLayout w:type="fixed"/>
          <w:tblCellMar>
            <w:top w:w="0" w:type="dxa"/>
            <w:left w:w="0" w:type="dxa"/>
            <w:bottom w:w="0" w:type="dxa"/>
            <w:right w:w="0" w:type="dxa"/>
          </w:tblCellMar>
        </w:tblPrEx>
        <w:trPr>
          <w:trHeight w:val="156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种植箱</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380*400*1600mm，采用环保塑料制成，加厚耐用，抗氧化，抗晒，适合种植各种花草及蔬菜</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85725</wp:posOffset>
                  </wp:positionH>
                  <wp:positionV relativeFrom="paragraph">
                    <wp:posOffset>325755</wp:posOffset>
                  </wp:positionV>
                  <wp:extent cx="525780" cy="474345"/>
                  <wp:effectExtent l="0" t="0" r="7620" b="13335"/>
                  <wp:wrapNone/>
                  <wp:docPr id="24" name="图片_3"/>
                  <wp:cNvGraphicFramePr/>
                  <a:graphic xmlns:a="http://schemas.openxmlformats.org/drawingml/2006/main">
                    <a:graphicData uri="http://schemas.openxmlformats.org/drawingml/2006/picture">
                      <pic:pic xmlns:pic="http://schemas.openxmlformats.org/drawingml/2006/picture">
                        <pic:nvPicPr>
                          <pic:cNvPr id="24" name="图片_3"/>
                          <pic:cNvPicPr/>
                        </pic:nvPicPr>
                        <pic:blipFill>
                          <a:blip r:embed="rId85"/>
                          <a:stretch>
                            <a:fillRect/>
                          </a:stretch>
                        </pic:blipFill>
                        <pic:spPr>
                          <a:xfrm>
                            <a:off x="0" y="0"/>
                            <a:ext cx="525780" cy="4743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2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假草皮</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采用优质PA,PE,PP拉制成草丝，通过织草机缝入PP网格布，符合环保检测标准</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平方</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142875</wp:posOffset>
                  </wp:positionH>
                  <wp:positionV relativeFrom="paragraph">
                    <wp:posOffset>230505</wp:posOffset>
                  </wp:positionV>
                  <wp:extent cx="491490" cy="477520"/>
                  <wp:effectExtent l="0" t="0" r="11430" b="10160"/>
                  <wp:wrapNone/>
                  <wp:docPr id="78" name="图片_6"/>
                  <wp:cNvGraphicFramePr/>
                  <a:graphic xmlns:a="http://schemas.openxmlformats.org/drawingml/2006/main">
                    <a:graphicData uri="http://schemas.openxmlformats.org/drawingml/2006/picture">
                      <pic:pic xmlns:pic="http://schemas.openxmlformats.org/drawingml/2006/picture">
                        <pic:nvPicPr>
                          <pic:cNvPr id="78" name="图片_6"/>
                          <pic:cNvPicPr/>
                        </pic:nvPicPr>
                        <pic:blipFill>
                          <a:blip r:embed="rId86"/>
                          <a:stretch>
                            <a:fillRect/>
                          </a:stretch>
                        </pic:blipFill>
                        <pic:spPr>
                          <a:xfrm>
                            <a:off x="0" y="0"/>
                            <a:ext cx="491490" cy="4775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1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蔬菜种子</w:t>
            </w:r>
          </w:p>
        </w:tc>
        <w:tc>
          <w:tcPr>
            <w:tcW w:w="6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胡萝卜，包心菜，大白菜等菜种</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粒</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11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种植土</w:t>
            </w:r>
          </w:p>
        </w:tc>
        <w:tc>
          <w:tcPr>
            <w:tcW w:w="6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通用型有机土</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斤</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11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种植工具套件</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包括宽铲，窄铲，两用锄，五齿耙，防护手套，水壶。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10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花草苗</w:t>
            </w:r>
          </w:p>
        </w:tc>
        <w:tc>
          <w:tcPr>
            <w:tcW w:w="6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海棠，满天星，红豆杉等花苗</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棵</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66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花盆</w:t>
            </w:r>
          </w:p>
        </w:tc>
        <w:tc>
          <w:tcPr>
            <w:tcW w:w="6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塑料青山盆</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60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15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8</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大型多层花架</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防腐木制成尺寸规格3000*1500*850mm，多层结构</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张</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118745</wp:posOffset>
                  </wp:positionH>
                  <wp:positionV relativeFrom="paragraph">
                    <wp:posOffset>280035</wp:posOffset>
                  </wp:positionV>
                  <wp:extent cx="592455" cy="432435"/>
                  <wp:effectExtent l="0" t="0" r="1905" b="9525"/>
                  <wp:wrapNone/>
                  <wp:docPr id="33" name="图片_5"/>
                  <wp:cNvGraphicFramePr/>
                  <a:graphic xmlns:a="http://schemas.openxmlformats.org/drawingml/2006/main">
                    <a:graphicData uri="http://schemas.openxmlformats.org/drawingml/2006/picture">
                      <pic:pic xmlns:pic="http://schemas.openxmlformats.org/drawingml/2006/picture">
                        <pic:nvPicPr>
                          <pic:cNvPr id="33" name="图片_5"/>
                          <pic:cNvPicPr/>
                        </pic:nvPicPr>
                        <pic:blipFill>
                          <a:blip r:embed="rId87"/>
                          <a:stretch>
                            <a:fillRect/>
                          </a:stretch>
                        </pic:blipFill>
                        <pic:spPr>
                          <a:xfrm>
                            <a:off x="0" y="0"/>
                            <a:ext cx="592455" cy="4324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9</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踏步石</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天然青石规格尺寸：400*800*30mm</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wp:posOffset>
                  </wp:positionH>
                  <wp:positionV relativeFrom="paragraph">
                    <wp:posOffset>349885</wp:posOffset>
                  </wp:positionV>
                  <wp:extent cx="542290" cy="621665"/>
                  <wp:effectExtent l="0" t="0" r="6350" b="3175"/>
                  <wp:wrapNone/>
                  <wp:docPr id="77" name="图片_4"/>
                  <wp:cNvGraphicFramePr/>
                  <a:graphic xmlns:a="http://schemas.openxmlformats.org/drawingml/2006/main">
                    <a:graphicData uri="http://schemas.openxmlformats.org/drawingml/2006/picture">
                      <pic:pic xmlns:pic="http://schemas.openxmlformats.org/drawingml/2006/picture">
                        <pic:nvPicPr>
                          <pic:cNvPr id="77" name="图片_4"/>
                          <pic:cNvPicPr/>
                        </pic:nvPicPr>
                        <pic:blipFill>
                          <a:blip r:embed="rId88"/>
                          <a:stretch>
                            <a:fillRect/>
                          </a:stretch>
                        </pic:blipFill>
                        <pic:spPr>
                          <a:xfrm>
                            <a:off x="0" y="0"/>
                            <a:ext cx="542290" cy="62166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70" w:hRule="atLeast"/>
        </w:trPr>
        <w:tc>
          <w:tcPr>
            <w:tcW w:w="10598"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气象站</w:t>
            </w:r>
          </w:p>
        </w:tc>
      </w:tr>
      <w:tr>
        <w:tblPrEx>
          <w:tblLayout w:type="fixed"/>
          <w:tblCellMar>
            <w:top w:w="0" w:type="dxa"/>
            <w:left w:w="0" w:type="dxa"/>
            <w:bottom w:w="0" w:type="dxa"/>
            <w:right w:w="0" w:type="dxa"/>
          </w:tblCellMar>
        </w:tblPrEx>
        <w:trPr>
          <w:trHeight w:val="819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无线气象数据采集系统</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 包含无线气象数据采集仪，无线气象数据接收仪。太阳能供电系统，防雨柜，配套电缆，外接天线及配套连接支架。 1、无线气象数据采集仪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    电源电压DC12-24V，输入信号为485通讯协议/脉冲信号(雨量)，可测量温度/湿度/气象/风向/风速/雨量等，采集数据时间间隔为1S/次，可通过按键转换查看不同要素的当前测量值，大屏LCD显示，中文菜单，并有LED指示灯显示当前采集仪的采集状态以及发送状态。发送数据时间间隔为1～60S可设置，发送距离不小于500米。安装于防雨控制柜内。 2、无线气象数据接收仪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    电源电压DC6V，采用无线数传电台接收模式，可显示温度/湿度/气象/风向/风速/雨量等数据，数据更新时间间隔可设置为2～60S/次，可通过按键转换查看不同要素的当前测量值，大屏LCD显示，中文菜单，有LED指示灯显示当前仪器的数据接收状态，带USB接口及SMA标准外置天线接口，配SMA外置天线一套。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    接收仪可实时接收当前值，并可记录一年内各参数数据，带有USB接口，可以与电脑相连接，通过配套软件可以进行实时值观测，并可上传上日及一年内的历史数据。 3、太阳能供电系统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    采用多晶硅太阳能板，功率25W，配套采用LSLC10A_DC12智能电源管理系统，具有自动控制输出电源及对蓄电池进行自动充电管理，配套蓄电池规格12V12AH。 4、配套防雨柜、立杆及附件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    防雨控制柜采用不锈钢材料制作，外型尺寸400m×300m×190mm，内板可安装无线气象数据采集仪及配套蓄电池及智能电源管理系统。箱体后侧有带有固定孔可采用U型蹄扣与立杆相连接，左右两侧带有雨通风孔。采用镀锌管表面喷塑，高度不小于2.9米。带横杆，可安装风向风速传感器及控制柜，底部带圆型或方型基座。 </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123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风向/风速传感器</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Style w:val="105"/>
                <w:rFonts w:hint="eastAsia" w:asciiTheme="minorEastAsia" w:hAnsiTheme="minorEastAsia" w:eastAsiaTheme="minorEastAsia" w:cstheme="minorEastAsia"/>
                <w:sz w:val="24"/>
                <w:szCs w:val="24"/>
                <w:lang w:val="en-US" w:eastAsia="zh-CN" w:bidi="ar"/>
              </w:rPr>
              <w:t>风速范围</w:t>
            </w:r>
            <w:r>
              <w:rPr>
                <w:rFonts w:hint="eastAsia" w:asciiTheme="minorEastAsia" w:hAnsiTheme="minorEastAsia" w:eastAsiaTheme="minorEastAsia" w:cstheme="minorEastAsia"/>
                <w:i w:val="0"/>
                <w:color w:val="000000"/>
                <w:kern w:val="0"/>
                <w:sz w:val="24"/>
                <w:szCs w:val="24"/>
                <w:u w:val="none"/>
                <w:lang w:val="en-US" w:eastAsia="zh-CN" w:bidi="ar"/>
              </w:rPr>
              <w:t>0-60m/s,</w:t>
            </w:r>
            <w:r>
              <w:rPr>
                <w:rStyle w:val="105"/>
                <w:rFonts w:hint="eastAsia" w:asciiTheme="minorEastAsia" w:hAnsiTheme="minorEastAsia" w:eastAsiaTheme="minorEastAsia" w:cstheme="minorEastAsia"/>
                <w:sz w:val="24"/>
                <w:szCs w:val="24"/>
                <w:lang w:val="en-US" w:eastAsia="zh-CN" w:bidi="ar"/>
              </w:rPr>
              <w:t>风向范围</w:t>
            </w:r>
            <w:r>
              <w:rPr>
                <w:rFonts w:hint="eastAsia" w:asciiTheme="minorEastAsia" w:hAnsiTheme="minorEastAsia" w:eastAsiaTheme="minorEastAsia" w:cstheme="minorEastAsia"/>
                <w:i w:val="0"/>
                <w:color w:val="000000"/>
                <w:kern w:val="0"/>
                <w:sz w:val="24"/>
                <w:szCs w:val="24"/>
                <w:u w:val="none"/>
                <w:lang w:val="en-US" w:eastAsia="zh-CN" w:bidi="ar"/>
              </w:rPr>
              <w:t>16</w:t>
            </w:r>
            <w:r>
              <w:rPr>
                <w:rStyle w:val="105"/>
                <w:rFonts w:hint="eastAsia" w:asciiTheme="minorEastAsia" w:hAnsiTheme="minorEastAsia" w:eastAsiaTheme="minorEastAsia" w:cstheme="minorEastAsia"/>
                <w:sz w:val="24"/>
                <w:szCs w:val="24"/>
                <w:lang w:val="en-US" w:eastAsia="zh-CN" w:bidi="ar"/>
              </w:rPr>
              <w:t>方位。传感器主体采用碳纤维增强材料，风向杆及风向板采用不锈钢及铝合金材料制成，耐腐蚀、耐辐射耐腐蚀、耐辐射。</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21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温度/湿度/气压传感器</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1、温度测量范围：-50.0～＋65.0℃，显示精度0.1℃。</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2、湿度传感器测量范围0.0～100.0RH%，显示精度0.1RH%。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3、气压传感器测量范围600.0～1100.0hPa，显示精度0.1hPa。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          </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15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雨量传感器</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1、测量口径：Φ200mm。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2、测量范围：4mm/分钟。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3、分辨率：0.1mm。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4、输出信号：脉冲式。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5、外型尺寸：Φ220mmm×750mm。</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27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百叶箱及支架</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1、内尺寸：460mm×290mm×530mm （高、宽、深）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2、实木制做，箱体表层具有防雨防腐白色涂层,四壁为双层百叶，上面、下面为交错式双层结构，箱休内空气流动性良好。可以安装气象专用干湿球温度计和最高、最低温度计的固定支架。固定支架采用上下分段式结构,表面喷塑料处理.</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12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干湿球/最高/最低温度表</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气象专用，测量范围：-36～+46℃，-26～51℃/-36～+61℃，-16～+81℃/-62～+31℃，-52～+41℃</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21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7</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蒸发器/含支架</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1、测量口径：Φ200mm。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2、测量高度：100mm，侧边带有U型放水嘴。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3、支架规格，支架采用直插式结构。材料采用20mmm×3mm型材制成，三等分三个固定脚，表面采用静电喷塑处理，可插入地面深度不小于200mm。</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21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8</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日照计/含支架</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1、测量方式：暗筒式，内置弹簧夹，内壁及弹簧夹消光处理。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2、记录时间：5:00～19:00。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3、可调整纬度0°～60°。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4、底盘直径：115mm，连接孔径Φ6mm。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5、支架规格：立管采用镀锌钢管表面采用静电喷塑处理。</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tblLayout w:type="fixed"/>
          <w:tblCellMar>
            <w:top w:w="0" w:type="dxa"/>
            <w:left w:w="0" w:type="dxa"/>
            <w:bottom w:w="0" w:type="dxa"/>
            <w:right w:w="0" w:type="dxa"/>
          </w:tblCellMar>
        </w:tblPrEx>
        <w:trPr>
          <w:trHeight w:val="15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9</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围栏/选配</w:t>
            </w:r>
          </w:p>
        </w:tc>
        <w:tc>
          <w:tcPr>
            <w:tcW w:w="6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    围栏面积一般在2.8m*6m--4m*6.8m左右,采用白色塑钢材料，内衬镀锌钢管加强，顶部采用半圆型结构，高度60-80CM，立柱间隔不大于2000mm。并配有可锁活动门一个。 </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b/>
          <w:bCs/>
          <w:sz w:val="24"/>
          <w:szCs w:val="24"/>
          <w:lang w:val="en-US" w:eastAsia="zh-CN"/>
        </w:rPr>
      </w:pPr>
      <w:r>
        <w:rPr>
          <w:rFonts w:hint="eastAsia"/>
          <w:b/>
          <w:bCs/>
          <w:sz w:val="24"/>
          <w:szCs w:val="24"/>
          <w:lang w:val="en-US" w:eastAsia="zh-CN"/>
        </w:rPr>
        <w:t>档案室</w:t>
      </w:r>
    </w:p>
    <w:tbl>
      <w:tblPr>
        <w:tblStyle w:val="22"/>
        <w:tblW w:w="10590" w:type="dxa"/>
        <w:tblInd w:w="0" w:type="dxa"/>
        <w:shd w:val="clear" w:color="auto" w:fill="auto"/>
        <w:tblLayout w:type="fixed"/>
        <w:tblCellMar>
          <w:top w:w="0" w:type="dxa"/>
          <w:left w:w="0" w:type="dxa"/>
          <w:bottom w:w="0" w:type="dxa"/>
          <w:right w:w="0" w:type="dxa"/>
        </w:tblCellMar>
      </w:tblPr>
      <w:tblGrid>
        <w:gridCol w:w="374"/>
        <w:gridCol w:w="733"/>
        <w:gridCol w:w="6133"/>
        <w:gridCol w:w="800"/>
        <w:gridCol w:w="650"/>
        <w:gridCol w:w="567"/>
        <w:gridCol w:w="1333"/>
      </w:tblGrid>
      <w:tr>
        <w:tblPrEx>
          <w:tblLayout w:type="fixed"/>
          <w:tblCellMar>
            <w:top w:w="0" w:type="dxa"/>
            <w:left w:w="0" w:type="dxa"/>
            <w:bottom w:w="0" w:type="dxa"/>
            <w:right w:w="0" w:type="dxa"/>
          </w:tblCellMar>
        </w:tblPrEx>
        <w:trPr>
          <w:trHeight w:val="880" w:hRule="atLeast"/>
        </w:trPr>
        <w:tc>
          <w:tcPr>
            <w:tcW w:w="1059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档案室配置清单</w:t>
            </w:r>
          </w:p>
        </w:tc>
      </w:tr>
      <w:tr>
        <w:tblPrEx>
          <w:tblLayout w:type="fixed"/>
          <w:tblCellMar>
            <w:top w:w="0" w:type="dxa"/>
            <w:left w:w="0" w:type="dxa"/>
            <w:bottom w:w="0" w:type="dxa"/>
            <w:right w:w="0" w:type="dxa"/>
          </w:tblCellMar>
        </w:tblPrEx>
        <w:trPr>
          <w:trHeight w:val="88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名称</w:t>
            </w:r>
          </w:p>
        </w:tc>
        <w:tc>
          <w:tcPr>
            <w:tcW w:w="6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参数</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数量</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备注</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参考图</w:t>
            </w:r>
          </w:p>
        </w:tc>
      </w:tr>
      <w:tr>
        <w:tblPrEx>
          <w:tblLayout w:type="fixed"/>
          <w:tblCellMar>
            <w:top w:w="0" w:type="dxa"/>
            <w:left w:w="0" w:type="dxa"/>
            <w:bottom w:w="0" w:type="dxa"/>
            <w:right w:w="0" w:type="dxa"/>
          </w:tblCellMar>
        </w:tblPrEx>
        <w:trPr>
          <w:trHeight w:val="2300" w:hRule="atLeast"/>
        </w:trPr>
        <w:tc>
          <w:tcPr>
            <w:tcW w:w="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密集架</w:t>
            </w:r>
          </w:p>
        </w:tc>
        <w:tc>
          <w:tcPr>
            <w:tcW w:w="6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900*600*2400全钢喷塑（56组，带轨道自由移动）</w:t>
            </w:r>
          </w:p>
        </w:tc>
        <w:tc>
          <w:tcPr>
            <w:tcW w:w="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3175</wp:posOffset>
                  </wp:positionH>
                  <wp:positionV relativeFrom="paragraph">
                    <wp:posOffset>673735</wp:posOffset>
                  </wp:positionV>
                  <wp:extent cx="782955" cy="341630"/>
                  <wp:effectExtent l="0" t="0" r="9525" b="8890"/>
                  <wp:wrapNone/>
                  <wp:docPr id="79" name="图片_1"/>
                  <wp:cNvGraphicFramePr/>
                  <a:graphic xmlns:a="http://schemas.openxmlformats.org/drawingml/2006/main">
                    <a:graphicData uri="http://schemas.openxmlformats.org/drawingml/2006/picture">
                      <pic:pic xmlns:pic="http://schemas.openxmlformats.org/drawingml/2006/picture">
                        <pic:nvPicPr>
                          <pic:cNvPr id="79" name="图片_1"/>
                          <pic:cNvPicPr/>
                        </pic:nvPicPr>
                        <pic:blipFill>
                          <a:blip r:embed="rId89"/>
                          <a:stretch>
                            <a:fillRect/>
                          </a:stretch>
                        </pic:blipFill>
                        <pic:spPr>
                          <a:xfrm>
                            <a:off x="0" y="0"/>
                            <a:ext cx="782955" cy="341630"/>
                          </a:xfrm>
                          <a:prstGeom prst="rect">
                            <a:avLst/>
                          </a:prstGeom>
                          <a:noFill/>
                          <a:ln>
                            <a:noFill/>
                          </a:ln>
                        </pic:spPr>
                      </pic:pic>
                    </a:graphicData>
                  </a:graphic>
                </wp:anchor>
              </w:drawing>
            </w:r>
          </w:p>
        </w:tc>
      </w:tr>
    </w:tbl>
    <w:p>
      <w:pPr>
        <w:rPr>
          <w:rFonts w:hint="default"/>
          <w:lang w:val="en-US" w:eastAsia="zh-CN"/>
        </w:rPr>
      </w:pPr>
      <w:r>
        <w:rPr>
          <w:rFonts w:hint="default"/>
          <w:lang w:val="en-US" w:eastAsia="zh-CN"/>
        </w:rPr>
        <w:br w:type="page"/>
      </w:r>
    </w:p>
    <w:p>
      <w:pPr>
        <w:jc w:val="center"/>
        <w:rPr>
          <w:rFonts w:hint="default"/>
          <w:b/>
          <w:bCs/>
          <w:sz w:val="24"/>
          <w:szCs w:val="24"/>
          <w:lang w:val="en-US" w:eastAsia="zh-CN"/>
        </w:rPr>
      </w:pPr>
      <w:r>
        <w:rPr>
          <w:rFonts w:hint="eastAsia"/>
          <w:b/>
          <w:bCs/>
          <w:sz w:val="24"/>
          <w:szCs w:val="24"/>
          <w:lang w:val="en-US" w:eastAsia="zh-CN"/>
        </w:rPr>
        <w:t>创客教室（木工）</w:t>
      </w:r>
    </w:p>
    <w:tbl>
      <w:tblPr>
        <w:tblStyle w:val="22"/>
        <w:tblW w:w="10598" w:type="dxa"/>
        <w:tblInd w:w="0" w:type="dxa"/>
        <w:shd w:val="clear" w:color="auto" w:fill="auto"/>
        <w:tblLayout w:type="fixed"/>
        <w:tblCellMar>
          <w:top w:w="0" w:type="dxa"/>
          <w:left w:w="0" w:type="dxa"/>
          <w:bottom w:w="0" w:type="dxa"/>
          <w:right w:w="0" w:type="dxa"/>
        </w:tblCellMar>
      </w:tblPr>
      <w:tblGrid>
        <w:gridCol w:w="394"/>
        <w:gridCol w:w="720"/>
        <w:gridCol w:w="6090"/>
        <w:gridCol w:w="840"/>
        <w:gridCol w:w="690"/>
        <w:gridCol w:w="510"/>
        <w:gridCol w:w="1354"/>
      </w:tblGrid>
      <w:tr>
        <w:tblPrEx>
          <w:shd w:val="clear" w:color="auto" w:fill="auto"/>
          <w:tblLayout w:type="fixed"/>
          <w:tblCellMar>
            <w:top w:w="0" w:type="dxa"/>
            <w:left w:w="0" w:type="dxa"/>
            <w:bottom w:w="0" w:type="dxa"/>
            <w:right w:w="0" w:type="dxa"/>
          </w:tblCellMar>
        </w:tblPrEx>
        <w:trPr>
          <w:trHeight w:val="900" w:hRule="atLeast"/>
        </w:trPr>
        <w:tc>
          <w:tcPr>
            <w:tcW w:w="10598" w:type="dxa"/>
            <w:gridSpan w:val="7"/>
            <w:tcBorders>
              <w:top w:val="single" w:color="000000" w:sz="4" w:space="0"/>
              <w:left w:val="single" w:color="000000" w:sz="4" w:space="0"/>
              <w:bottom w:val="single" w:color="000000" w:sz="4" w:space="0"/>
              <w:right w:val="nil"/>
            </w:tcBorders>
            <w:shd w:val="clear" w:color="auto" w:fill="FCD5B4"/>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lang w:val="en-US"/>
              </w:rPr>
            </w:pPr>
            <w:r>
              <w:rPr>
                <w:rFonts w:hint="eastAsia" w:asciiTheme="minorEastAsia" w:hAnsiTheme="minorEastAsia" w:eastAsiaTheme="minorEastAsia" w:cstheme="minorEastAsia"/>
                <w:i w:val="0"/>
                <w:color w:val="000000"/>
                <w:kern w:val="0"/>
                <w:sz w:val="24"/>
                <w:szCs w:val="24"/>
                <w:u w:val="none"/>
                <w:lang w:val="en-US" w:eastAsia="zh-CN" w:bidi="ar"/>
              </w:rPr>
              <w:t>创客教室（木工）配置清单</w:t>
            </w:r>
          </w:p>
        </w:tc>
      </w:tr>
      <w:tr>
        <w:tblPrEx>
          <w:shd w:val="clear" w:color="auto" w:fill="auto"/>
          <w:tblLayout w:type="fixed"/>
          <w:tblCellMar>
            <w:top w:w="0" w:type="dxa"/>
            <w:left w:w="0" w:type="dxa"/>
            <w:bottom w:w="0" w:type="dxa"/>
            <w:right w:w="0" w:type="dxa"/>
          </w:tblCellMar>
        </w:tblPrEx>
        <w:trPr>
          <w:trHeight w:val="600" w:hRule="atLeast"/>
        </w:trPr>
        <w:tc>
          <w:tcPr>
            <w:tcW w:w="394"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序号</w:t>
            </w:r>
          </w:p>
        </w:tc>
        <w:tc>
          <w:tcPr>
            <w:tcW w:w="720"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产品名称</w:t>
            </w:r>
          </w:p>
        </w:tc>
        <w:tc>
          <w:tcPr>
            <w:tcW w:w="6090"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技术参数</w:t>
            </w:r>
          </w:p>
        </w:tc>
        <w:tc>
          <w:tcPr>
            <w:tcW w:w="840"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单位</w:t>
            </w:r>
          </w:p>
        </w:tc>
        <w:tc>
          <w:tcPr>
            <w:tcW w:w="690"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数量</w:t>
            </w:r>
          </w:p>
        </w:tc>
        <w:tc>
          <w:tcPr>
            <w:tcW w:w="510"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备注</w:t>
            </w:r>
          </w:p>
        </w:tc>
        <w:tc>
          <w:tcPr>
            <w:tcW w:w="1354" w:type="dxa"/>
            <w:tcBorders>
              <w:top w:val="single" w:color="000000" w:sz="4" w:space="0"/>
              <w:left w:val="single" w:color="000000" w:sz="4" w:space="0"/>
              <w:bottom w:val="single" w:color="000000" w:sz="4" w:space="0"/>
              <w:right w:val="single" w:color="000000" w:sz="4" w:space="0"/>
            </w:tcBorders>
            <w:shd w:val="clear" w:color="auto" w:fill="FCD5B4"/>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参考图</w:t>
            </w:r>
          </w:p>
        </w:tc>
      </w:tr>
      <w:tr>
        <w:tblPrEx>
          <w:shd w:val="clear" w:color="auto" w:fill="auto"/>
          <w:tblLayout w:type="fixed"/>
          <w:tblCellMar>
            <w:top w:w="0" w:type="dxa"/>
            <w:left w:w="0" w:type="dxa"/>
            <w:bottom w:w="0" w:type="dxa"/>
            <w:right w:w="0" w:type="dxa"/>
          </w:tblCellMar>
        </w:tblPrEx>
        <w:trPr>
          <w:trHeight w:val="184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教师演示台</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规格：1800mm×700mm×850mm；</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台面采用40mm厚实木指接橡木板加工，表面清漆处理，铺设2mm透明橡胶防护垫。</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桌身：全钢质结构，采用2mm厚的冷压钢板无缝焊接成型，表面喷塑处理；立腿为60×40mm方钢，厚度2mm，表面喷塑处理；</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wp:posOffset>
                  </wp:positionH>
                  <wp:positionV relativeFrom="paragraph">
                    <wp:posOffset>220345</wp:posOffset>
                  </wp:positionV>
                  <wp:extent cx="0" cy="810260"/>
                  <wp:effectExtent l="0" t="0" r="0" b="0"/>
                  <wp:wrapNone/>
                  <wp:docPr id="80" name="Picture_1"/>
                  <wp:cNvGraphicFramePr/>
                  <a:graphic xmlns:a="http://schemas.openxmlformats.org/drawingml/2006/main">
                    <a:graphicData uri="http://schemas.openxmlformats.org/drawingml/2006/picture">
                      <pic:pic xmlns:pic="http://schemas.openxmlformats.org/drawingml/2006/picture">
                        <pic:nvPicPr>
                          <pic:cNvPr id="80" name="Picture_1"/>
                          <pic:cNvPicPr/>
                        </pic:nvPicPr>
                        <pic:blipFill>
                          <a:blip r:embed="rId90"/>
                          <a:stretch>
                            <a:fillRect/>
                          </a:stretch>
                        </pic:blipFill>
                        <pic:spPr>
                          <a:xfrm>
                            <a:off x="0" y="0"/>
                            <a:ext cx="0" cy="810260"/>
                          </a:xfrm>
                          <a:prstGeom prst="rect">
                            <a:avLst/>
                          </a:prstGeom>
                          <a:noFill/>
                          <a:ln>
                            <a:noFill/>
                          </a:ln>
                        </pic:spPr>
                      </pic:pic>
                    </a:graphicData>
                  </a:graphic>
                </wp:anchor>
              </w:drawing>
            </w: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229870</wp:posOffset>
                  </wp:positionV>
                  <wp:extent cx="0" cy="810260"/>
                  <wp:effectExtent l="0" t="0" r="0" b="0"/>
                  <wp:wrapNone/>
                  <wp:docPr id="85" name="Picture_1_SpCnt_1"/>
                  <wp:cNvGraphicFramePr/>
                  <a:graphic xmlns:a="http://schemas.openxmlformats.org/drawingml/2006/main">
                    <a:graphicData uri="http://schemas.openxmlformats.org/drawingml/2006/picture">
                      <pic:pic xmlns:pic="http://schemas.openxmlformats.org/drawingml/2006/picture">
                        <pic:nvPicPr>
                          <pic:cNvPr id="85" name="Picture_1_SpCnt_1"/>
                          <pic:cNvPicPr/>
                        </pic:nvPicPr>
                        <pic:blipFill>
                          <a:blip r:embed="rId91"/>
                          <a:stretch>
                            <a:fillRect/>
                          </a:stretch>
                        </pic:blipFill>
                        <pic:spPr>
                          <a:xfrm>
                            <a:off x="0" y="0"/>
                            <a:ext cx="0" cy="810260"/>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2299"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工作椅</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规格：470mm*440mm*790mm椅子的椅脚架为12mm实心钢筋金属，线条优美，受力稳固。各钢筋条连接接驳位电焊处理，材料表面有白色喷涂、电镀两种表现处理工艺，起到很好的保护作用。</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161925</wp:posOffset>
                  </wp:positionH>
                  <wp:positionV relativeFrom="paragraph">
                    <wp:posOffset>586105</wp:posOffset>
                  </wp:positionV>
                  <wp:extent cx="504825" cy="532765"/>
                  <wp:effectExtent l="0" t="0" r="13335" b="635"/>
                  <wp:wrapNone/>
                  <wp:docPr id="81" name="图片_8"/>
                  <wp:cNvGraphicFramePr/>
                  <a:graphic xmlns:a="http://schemas.openxmlformats.org/drawingml/2006/main">
                    <a:graphicData uri="http://schemas.openxmlformats.org/drawingml/2006/picture">
                      <pic:pic xmlns:pic="http://schemas.openxmlformats.org/drawingml/2006/picture">
                        <pic:nvPicPr>
                          <pic:cNvPr id="81" name="图片_8"/>
                          <pic:cNvPicPr/>
                        </pic:nvPicPr>
                        <pic:blipFill>
                          <a:blip r:embed="rId92"/>
                          <a:stretch>
                            <a:fillRect/>
                          </a:stretch>
                        </pic:blipFill>
                        <pic:spPr>
                          <a:xfrm>
                            <a:off x="0" y="0"/>
                            <a:ext cx="504825" cy="532765"/>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280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学生操作台</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桌子规格：2400*1200*750mm</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材质及特点：</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台面：采用不薄于40mm优质橡胶指接木，精细加工，表面光滑平整，并经防裂防翘处理,表面采用环保联邦PU全哑清漆烤制</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桌身：采用30mm*60mm的方钢骨架,模具冲压配已优质的五金件连接,表面经纯环氧树脂塑粉高温固化处理，具防酸碱、防腐蚀、且承重的特点。</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结构：上下二层结构，第二层配16mm优质三聚氰胺饰面板，可放置常用工具，整体美观大方。</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cstheme="minorEastAsia"/>
                <w:i w:val="0"/>
                <w:color w:val="000000"/>
                <w:kern w:val="0"/>
                <w:sz w:val="24"/>
                <w:szCs w:val="24"/>
                <w:u w:val="none"/>
                <w:lang w:val="en-US" w:eastAsia="zh-CN" w:bidi="ar"/>
              </w:rPr>
              <w:t>4</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37465</wp:posOffset>
                  </wp:positionH>
                  <wp:positionV relativeFrom="paragraph">
                    <wp:posOffset>578485</wp:posOffset>
                  </wp:positionV>
                  <wp:extent cx="726440" cy="660400"/>
                  <wp:effectExtent l="0" t="0" r="5080" b="10160"/>
                  <wp:wrapNone/>
                  <wp:docPr id="83" name="Picture_3_SpCnt_1"/>
                  <wp:cNvGraphicFramePr/>
                  <a:graphic xmlns:a="http://schemas.openxmlformats.org/drawingml/2006/main">
                    <a:graphicData uri="http://schemas.openxmlformats.org/drawingml/2006/picture">
                      <pic:pic xmlns:pic="http://schemas.openxmlformats.org/drawingml/2006/picture">
                        <pic:nvPicPr>
                          <pic:cNvPr id="83" name="Picture_3_SpCnt_1"/>
                          <pic:cNvPicPr/>
                        </pic:nvPicPr>
                        <pic:blipFill>
                          <a:blip r:embed="rId93"/>
                          <a:stretch>
                            <a:fillRect/>
                          </a:stretch>
                        </pic:blipFill>
                        <pic:spPr>
                          <a:xfrm>
                            <a:off x="0" y="0"/>
                            <a:ext cx="726440" cy="660400"/>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228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操作凳</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400*300*440mm。材质及特点：</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凳面：台面：采用25mm优质橡胶实木板对插精细加工，并经防裂防翘处理,表面采用环保联邦PU全哑清漆烤制，颜色为原木色。</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凳身：采用30mm*60mm的方钢骨架,模具冲压配已优质的五金件连接,表面经纯环氧树脂塑粉高温固化处理，具防酸碱、防腐蚀、且承重的特点。</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24"/>
                <w:szCs w:val="24"/>
                <w:u w:val="none"/>
                <w:lang w:val="en-US"/>
              </w:rPr>
            </w:pPr>
            <w:r>
              <w:rPr>
                <w:rFonts w:hint="eastAsia" w:asciiTheme="minorEastAsia" w:hAnsiTheme="minorEastAsia" w:cstheme="minorEastAsia"/>
                <w:i w:val="0"/>
                <w:color w:val="000000"/>
                <w:kern w:val="0"/>
                <w:sz w:val="24"/>
                <w:szCs w:val="24"/>
                <w:u w:val="none"/>
                <w:lang w:val="en-US" w:eastAsia="zh-CN" w:bidi="ar"/>
              </w:rPr>
              <w:t>32</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104775</wp:posOffset>
                  </wp:positionH>
                  <wp:positionV relativeFrom="paragraph">
                    <wp:posOffset>701040</wp:posOffset>
                  </wp:positionV>
                  <wp:extent cx="558800" cy="474345"/>
                  <wp:effectExtent l="0" t="0" r="5080" b="13335"/>
                  <wp:wrapNone/>
                  <wp:docPr id="84" name="Picture_1_SpCnt_2"/>
                  <wp:cNvGraphicFramePr/>
                  <a:graphic xmlns:a="http://schemas.openxmlformats.org/drawingml/2006/main">
                    <a:graphicData uri="http://schemas.openxmlformats.org/drawingml/2006/picture">
                      <pic:pic xmlns:pic="http://schemas.openxmlformats.org/drawingml/2006/picture">
                        <pic:nvPicPr>
                          <pic:cNvPr id="84" name="Picture_1_SpCnt_2"/>
                          <pic:cNvPicPr/>
                        </pic:nvPicPr>
                        <pic:blipFill>
                          <a:blip r:embed="rId94"/>
                          <a:stretch>
                            <a:fillRect/>
                          </a:stretch>
                        </pic:blipFill>
                        <pic:spPr>
                          <a:xfrm>
                            <a:off x="0" y="0"/>
                            <a:ext cx="558800" cy="474345"/>
                          </a:xfrm>
                          <a:prstGeom prst="rect">
                            <a:avLst/>
                          </a:prstGeom>
                          <a:noFill/>
                          <a:ln>
                            <a:noFill/>
                          </a:ln>
                        </pic:spPr>
                      </pic:pic>
                    </a:graphicData>
                  </a:graphic>
                </wp:anchor>
              </w:drawing>
            </w:r>
          </w:p>
        </w:tc>
      </w:tr>
      <w:tr>
        <w:tblPrEx>
          <w:shd w:val="clear" w:color="auto" w:fill="auto"/>
          <w:tblLayout w:type="fixed"/>
          <w:tblCellMar>
            <w:top w:w="0" w:type="dxa"/>
            <w:left w:w="0" w:type="dxa"/>
            <w:bottom w:w="0" w:type="dxa"/>
            <w:right w:w="0" w:type="dxa"/>
          </w:tblCellMar>
        </w:tblPrEx>
        <w:trPr>
          <w:trHeight w:val="120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作品样品陈列柜</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规格：2000mm×500mm×2000mm   柜身材料18mm厚三聚氰胺贴面刨花板(E1级），配有玻璃移门，下部镶装实心对开门。</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120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工具柜</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规格：1000*500*1800mm，铝木结构，铝型材规格32*32*1.5mm，柜门上下均为铝合金门框内镶5mm厚玻璃对开门，设有16mm厚白色三聚氰胺面板2块活动层板并配铝合金加强条；以上芯板均为E1级环保芯板，甲醛释放量（穿孔萃取法 ）应不大于≤ 8mg/100g。其他各项技术指标和质量要求应符合：GB/T 10357.4—1989《家具力学性能试验柜类稳定性》、GB/T 10357.5 －2011《家具力学性能试验柜类强度和耐久性》。           </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171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木工集成器</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钢板制作、功率：750W、风扇直径：230mm、入风口直径：100mm、进气孔数量：1×100、进气量 -50Hz：500CFM/14.15cubic meter/min、进气量 -60Hz：600CFM/16.98cubic meter/min、尘袋直径：370mm、尘袋高度：640mm、尘袋容量：0.057立方米、净毛重：40/42kg、包装尺寸：760×450×460mm (carton 1)，400×400×680mm (carton 2)，用于木工设备连接吸取刨花及灰尘。</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142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气泵</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钢板制作、功率：560W，容量：25L，转数：1380r/min、电压：220V，容积流量102L/min，排气压力：0.7MPa，重量：25kg，尺寸：50×50×70cm，压力显示及防爆装置，喷涂空气压力：0.34MPa，空气使用量：105L/min，所用压缩机：0.4kW，重量：185g，用于清理灰尘、清洁设备。</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85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9</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充电钻</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阻燃尼龙机身、电池类型：10.8V锂电池、电池配置：2.0安培、钻钢板10mm、钻木材22mm、空载转速0～360/0～1400转/分钟，最大扭力17牛顿米/34牛顿米、钻夹头1～10mm，重量：0.8千克。</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85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钻头</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碳钢锻造、尺寸分别：3mm、3mm、3mm、3.5mm、3.5mm、4mm、4mm、4.5mm、5mm、5.5mm、6mm、6.5mm、7mm、8mm、10mm用于钻木材及塑料。</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85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钻头</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高速钢、尺寸：1mm、1.5mm、2mm、2.5mm、3mm、3.5mm、4mm、4.5mm、5mm、5.5mm、6mm、6.5mm、7mm、7.5mm、8mm、8.5mm、9mm、9.5mm、10mm，用于铸钢以及硬塑料等材料。</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171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木工工具</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组套工具，工具定点定位；包含以下基本工具：3/4”木工凿子：1把；美工刀：1把；8"半圆木工锉：1把；剪刀：1把；0.5KG木柄羊角锤：1把；手推刨：1把；300mm钢角尺：1把；6*125+-铬钒钢、芝麻柄螺丝刀：1把；5m*19mm卷尺：1把；5"G形夹：1把；锰钢三面齿、磨齿锯的木工鸡尾锯：1把；木工铅笔：1支；S93型、塑料、三水泡：45°、90°、180°小水平尺：1把；小油石：1块。</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7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13</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十字螺丝刀</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S2钢，带磁性，刀杆采用加硬的S2材料制造、尺寸：6mm×100mm，6mm×125mm，6mm×150mm。</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7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14</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一字螺丝刀</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S2钢，带磁性，刀杆采用加硬的S2材料制造、尺寸：6mm×100mm，6mm×125mm，6mm×150mm。</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7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15</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木柄榔头1</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S碳钢锻造、总长度260mm、手柄长度247mm、锤头长度80mm、总重量120g。</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快速F夹</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塑料主体材质、长度：180mm、用于固定。</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17</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定位块</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高强度工业塑料、一次成形100mm、用于固定。</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18</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大力夹</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高强度工程塑料、75mm × 100mm。</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7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19</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压胶枪</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高强度工程塑料、夹杆：A3、表面镀锌开口距离：21cm、压力：110kg。</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7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木工锯1</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65#锰钢，225mm，齿高2.7mm，齿间距3.0mm，锯路宽度0.8mm，锯片厚度0.6mm。</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砂纸</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8干湿二用抛光砂纸、0～700目，230mm×280mm。</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降噪耳塞</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软硅胶、子弹头形、用于阻隔噪音。</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23</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防护眼镜</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聚碳酸脂镜片，防高强度冲击。</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副</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24</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防尘口罩</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活性碳口罩，KN90/P1级别，用于减除异味。</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7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25</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防滑耐磨手套</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尼龙丁晴橡胶</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双</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26</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工作围裙</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纯棉纱卡，L。</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条</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85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27</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木蜡油</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蜡油、100毫升、适用各种木材，木制房屋、室内外家具、木门窗、防腐木、花园地板、花园家具、木凉亭、木篱笆、木桥、木栈道、木瓦片、木雕、花架等木制品。</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瓶</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28</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木蜡油布</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棉布，40cm×40cm。</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条</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29</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油漆刷</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猪毛刷，25mm、50mm、75mm、100mm、125mm。</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30</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木工胶</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是单组分胶，30毫升，适用快速拼装。</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瓶</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五合板</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A3幅面</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三合板</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A3幅面</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33</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木条</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300mm*25mm*20mm</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34</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钉子</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25mm</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公斤</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35</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各种螺丝</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Theme="minorEastAsia" w:hAnsiTheme="minorEastAsia" w:eastAsiaTheme="minorEastAsia" w:cstheme="minorEastAsia"/>
                <w:i w:val="0"/>
                <w:color w:val="000000"/>
                <w:sz w:val="24"/>
                <w:szCs w:val="24"/>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公斤</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36</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钢锯条</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50根/盒</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盒</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37</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美工刀片</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小号</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38</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木砂纸</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规格：800目，静电植砂氧化铝耐水砂纸</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7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39</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聚醋酸乙烯乳液</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无毒，快干高效，粘接力超强，耐水性能强</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瓶</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手套</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棉质</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双</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简易急救箱</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含有红药水、碘酒、药棉、纱布、胶布、创可贴、烫伤药膏等</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灭火器</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干粉式灭火器，符合消防要求。（学校自配）</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57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43</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木工文化挂图</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包含木工发展史、名人传记、木工工艺制作等等，不少于4幅</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81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44</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激光雕刻机</w:t>
            </w:r>
          </w:p>
        </w:tc>
        <w:tc>
          <w:tcPr>
            <w:tcW w:w="6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 xml:space="preserve">激光功率：50W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激光器类型：CO2封离式玻璃管激光器，水冷，10.6μm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有效幅面：600mm*400mm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雕刻扫描速度：25-30000mm/min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最大切割速度：10000mm/min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激光能量控制：实时可调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最小形成文字：汉字2.0mm*2.0mm，英文1.0mm*1.0mm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最大扫描精度：2500DPI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支持图形格式：DST、PLT、BMP、DXF、AI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支持软件：CORELDRAW、PHOTOSHOP、AUTOCAD，ILLUSTRATOR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分色切割：有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 xml:space="preserve">外形尺寸：990*800*410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总功率：750W</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电力要求：220V/50HZ</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控制系统:BY控制系统</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控制软件：laser BY</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文件传输方式：U盘或网线,无线WIFI</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冷却方式：内置一体式水冷系统，与设备完美集成，全封闭结构设计无需经常换水</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废气排放方式：内置一体式排烟系统，不占摆放空间，且无需安装</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人机界面：真彩TFT屏</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运动结构：內滑式直线导轨</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整体结构：上下层分离式结构设计，</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无需对设备主体结构进行拆装即可进入狭小的门</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安全配置：1、门保护开关，设备门未关闭将无法运行</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2、一键急停开关</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4"/>
                <w:szCs w:val="24"/>
                <w:u w:val="none"/>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4"/>
                <w:szCs w:val="24"/>
                <w:u w:val="none"/>
              </w:rPr>
            </w:pPr>
          </w:p>
        </w:tc>
      </w:tr>
    </w:tbl>
    <w:p>
      <w:pPr>
        <w:rPr>
          <w:rFonts w:hint="default"/>
          <w:lang w:val="en-US" w:eastAsia="zh-CN"/>
        </w:rPr>
      </w:pPr>
    </w:p>
    <w:p>
      <w:pPr>
        <w:pStyle w:val="2"/>
        <w:rPr>
          <w:rFonts w:hint="default"/>
          <w:lang w:val="en-US" w:eastAsia="zh-CN"/>
        </w:rPr>
      </w:pPr>
    </w:p>
    <w:p>
      <w:pPr>
        <w:pStyle w:val="2"/>
        <w:rPr>
          <w:rFonts w:hint="default"/>
          <w:lang w:val="en-US" w:eastAsia="zh-CN"/>
        </w:rPr>
      </w:pPr>
    </w:p>
    <w:p>
      <w:pPr>
        <w:rPr>
          <w:rFonts w:hint="default"/>
          <w:lang w:val="en-US" w:eastAsia="zh-CN"/>
        </w:rPr>
      </w:pPr>
      <w:r>
        <w:rPr>
          <w:rFonts w:hint="default"/>
          <w:lang w:val="en-US" w:eastAsia="zh-CN"/>
        </w:rPr>
        <w:br w:type="page"/>
      </w:r>
    </w:p>
    <w:p>
      <w:pPr>
        <w:pStyle w:val="2"/>
        <w:jc w:val="center"/>
        <w:rPr>
          <w:rFonts w:hint="default"/>
          <w:b/>
          <w:bCs/>
          <w:lang w:val="en-US" w:eastAsia="zh-CN"/>
        </w:rPr>
      </w:pPr>
      <w:r>
        <w:rPr>
          <w:rFonts w:hint="eastAsia"/>
          <w:b/>
          <w:bCs/>
          <w:lang w:val="en-US" w:eastAsia="zh-CN"/>
        </w:rPr>
        <w:t>创客教室（航模）</w:t>
      </w:r>
    </w:p>
    <w:tbl>
      <w:tblPr>
        <w:tblStyle w:val="22"/>
        <w:tblW w:w="10598" w:type="dxa"/>
        <w:tblInd w:w="0" w:type="dxa"/>
        <w:shd w:val="clear" w:color="auto" w:fill="auto"/>
        <w:tblLayout w:type="fixed"/>
        <w:tblCellMar>
          <w:top w:w="0" w:type="dxa"/>
          <w:left w:w="0" w:type="dxa"/>
          <w:bottom w:w="0" w:type="dxa"/>
          <w:right w:w="0" w:type="dxa"/>
        </w:tblCellMar>
      </w:tblPr>
      <w:tblGrid>
        <w:gridCol w:w="387"/>
        <w:gridCol w:w="720"/>
        <w:gridCol w:w="6060"/>
        <w:gridCol w:w="870"/>
        <w:gridCol w:w="675"/>
        <w:gridCol w:w="525"/>
        <w:gridCol w:w="1361"/>
      </w:tblGrid>
      <w:tr>
        <w:tblPrEx>
          <w:shd w:val="clear" w:color="auto" w:fill="auto"/>
          <w:tblLayout w:type="fixed"/>
          <w:tblCellMar>
            <w:top w:w="0" w:type="dxa"/>
            <w:left w:w="0" w:type="dxa"/>
            <w:bottom w:w="0" w:type="dxa"/>
            <w:right w:w="0" w:type="dxa"/>
          </w:tblCellMar>
        </w:tblPrEx>
        <w:trPr>
          <w:trHeight w:val="620" w:hRule="atLeast"/>
        </w:trPr>
        <w:tc>
          <w:tcPr>
            <w:tcW w:w="10598" w:type="dxa"/>
            <w:gridSpan w:val="7"/>
            <w:tcBorders>
              <w:top w:val="single" w:color="000000" w:sz="4" w:space="0"/>
              <w:left w:val="single" w:color="000000" w:sz="4" w:space="0"/>
              <w:bottom w:val="single" w:color="000000" w:sz="4" w:space="0"/>
              <w:right w:val="nil"/>
            </w:tcBorders>
            <w:shd w:val="clear" w:color="auto" w:fill="FCD5B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创客教室（航模）配置清单</w:t>
            </w:r>
          </w:p>
        </w:tc>
      </w:tr>
      <w:tr>
        <w:tblPrEx>
          <w:tblLayout w:type="fixed"/>
          <w:tblCellMar>
            <w:top w:w="0" w:type="dxa"/>
            <w:left w:w="0" w:type="dxa"/>
            <w:bottom w:w="0" w:type="dxa"/>
            <w:right w:w="0" w:type="dxa"/>
          </w:tblCellMar>
        </w:tblPrEx>
        <w:trPr>
          <w:trHeight w:val="600" w:hRule="atLeast"/>
        </w:trPr>
        <w:tc>
          <w:tcPr>
            <w:tcW w:w="387"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720"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产品名称</w:t>
            </w:r>
          </w:p>
        </w:tc>
        <w:tc>
          <w:tcPr>
            <w:tcW w:w="6060"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技术参数</w:t>
            </w:r>
          </w:p>
        </w:tc>
        <w:tc>
          <w:tcPr>
            <w:tcW w:w="870"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单位</w:t>
            </w:r>
          </w:p>
        </w:tc>
        <w:tc>
          <w:tcPr>
            <w:tcW w:w="675"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数量</w:t>
            </w:r>
          </w:p>
        </w:tc>
        <w:tc>
          <w:tcPr>
            <w:tcW w:w="525" w:type="dxa"/>
            <w:tcBorders>
              <w:top w:val="single" w:color="000000" w:sz="4" w:space="0"/>
              <w:left w:val="single" w:color="000000" w:sz="4" w:space="0"/>
              <w:bottom w:val="single" w:color="000000" w:sz="4" w:space="0"/>
              <w:right w:val="single" w:color="000000" w:sz="4" w:space="0"/>
            </w:tcBorders>
            <w:shd w:val="clear" w:color="auto" w:fill="FCD5B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备注</w:t>
            </w:r>
          </w:p>
        </w:tc>
        <w:tc>
          <w:tcPr>
            <w:tcW w:w="1361" w:type="dxa"/>
            <w:tcBorders>
              <w:top w:val="single" w:color="000000" w:sz="4" w:space="0"/>
              <w:left w:val="single" w:color="000000" w:sz="4" w:space="0"/>
              <w:bottom w:val="single" w:color="000000" w:sz="4" w:space="0"/>
              <w:right w:val="single" w:color="000000" w:sz="4" w:space="0"/>
            </w:tcBorders>
            <w:shd w:val="clear" w:color="auto" w:fill="FCD5B4"/>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参考图</w:t>
            </w:r>
          </w:p>
        </w:tc>
      </w:tr>
      <w:tr>
        <w:tblPrEx>
          <w:tblLayout w:type="fixed"/>
          <w:tblCellMar>
            <w:top w:w="0" w:type="dxa"/>
            <w:left w:w="0" w:type="dxa"/>
            <w:bottom w:w="0" w:type="dxa"/>
            <w:right w:w="0" w:type="dxa"/>
          </w:tblCellMar>
        </w:tblPrEx>
        <w:trPr>
          <w:trHeight w:val="23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教师演示台</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规格：1800mm×700mm×850mm；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台面采用40mm厚实木指接橡木板加工，表面清漆处理，铺设2mm透明橡胶防护垫。</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桌身：全钢质结构，采用2mm厚的冷压钢板无缝焊接成型，表面喷塑处理；立腿为60×40mm方钢，厚度2mm，表面喷塑处理；</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142875</wp:posOffset>
                  </wp:positionH>
                  <wp:positionV relativeFrom="paragraph">
                    <wp:posOffset>418465</wp:posOffset>
                  </wp:positionV>
                  <wp:extent cx="581660" cy="609600"/>
                  <wp:effectExtent l="0" t="0" r="12700" b="0"/>
                  <wp:wrapNone/>
                  <wp:docPr id="87" name="图片_7"/>
                  <wp:cNvGraphicFramePr/>
                  <a:graphic xmlns:a="http://schemas.openxmlformats.org/drawingml/2006/main">
                    <a:graphicData uri="http://schemas.openxmlformats.org/drawingml/2006/picture">
                      <pic:pic xmlns:pic="http://schemas.openxmlformats.org/drawingml/2006/picture">
                        <pic:nvPicPr>
                          <pic:cNvPr id="87" name="图片_7"/>
                          <pic:cNvPicPr/>
                        </pic:nvPicPr>
                        <pic:blipFill>
                          <a:blip r:embed="rId95"/>
                          <a:stretch>
                            <a:fillRect/>
                          </a:stretch>
                        </pic:blipFill>
                        <pic:spPr>
                          <a:xfrm>
                            <a:off x="0" y="0"/>
                            <a:ext cx="581660" cy="609600"/>
                          </a:xfrm>
                          <a:prstGeom prst="rect">
                            <a:avLst/>
                          </a:prstGeom>
                          <a:noFill/>
                          <a:ln>
                            <a:noFill/>
                          </a:ln>
                        </pic:spPr>
                      </pic:pic>
                    </a:graphicData>
                  </a:graphic>
                </wp:anchor>
              </w:drawing>
            </w: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wp:posOffset>
                  </wp:positionH>
                  <wp:positionV relativeFrom="paragraph">
                    <wp:posOffset>219075</wp:posOffset>
                  </wp:positionV>
                  <wp:extent cx="0" cy="810260"/>
                  <wp:effectExtent l="0" t="0" r="0" b="0"/>
                  <wp:wrapNone/>
                  <wp:docPr id="86" name="Picture_1"/>
                  <wp:cNvGraphicFramePr/>
                  <a:graphic xmlns:a="http://schemas.openxmlformats.org/drawingml/2006/main">
                    <a:graphicData uri="http://schemas.openxmlformats.org/drawingml/2006/picture">
                      <pic:pic xmlns:pic="http://schemas.openxmlformats.org/drawingml/2006/picture">
                        <pic:nvPicPr>
                          <pic:cNvPr id="86" name="Picture_1"/>
                          <pic:cNvPicPr/>
                        </pic:nvPicPr>
                        <pic:blipFill>
                          <a:blip r:embed="rId90"/>
                          <a:stretch>
                            <a:fillRect/>
                          </a:stretch>
                        </pic:blipFill>
                        <pic:spPr>
                          <a:xfrm>
                            <a:off x="0" y="0"/>
                            <a:ext cx="0" cy="8102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99"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工作椅</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规格：470mm*440mm*790mm椅子的椅脚架为12mm实心钢筋金属，线条优美，受力稳固。各钢筋条连接接驳位电焊处理，材料表面有白色喷涂、电镀两种表现处理工艺，起到很好的保护作用。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280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学生操作台</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Style w:val="106"/>
                <w:rFonts w:hint="eastAsia" w:ascii="宋体" w:hAnsi="宋体" w:eastAsia="宋体" w:cs="宋体"/>
                <w:sz w:val="22"/>
                <w:szCs w:val="22"/>
                <w:lang w:val="en-US" w:eastAsia="zh-CN" w:bidi="ar"/>
              </w:rPr>
              <w:t>桌子规格：2400*1200*750mm</w:t>
            </w:r>
            <w:r>
              <w:rPr>
                <w:rStyle w:val="106"/>
                <w:rFonts w:hint="eastAsia" w:ascii="宋体" w:hAnsi="宋体" w:eastAsia="宋体" w:cs="宋体"/>
                <w:sz w:val="22"/>
                <w:szCs w:val="22"/>
                <w:lang w:val="en-US" w:eastAsia="zh-CN" w:bidi="ar"/>
              </w:rPr>
              <w:br w:type="textWrapping"/>
            </w:r>
            <w:r>
              <w:rPr>
                <w:rStyle w:val="106"/>
                <w:rFonts w:hint="eastAsia" w:ascii="宋体" w:hAnsi="宋体" w:eastAsia="宋体" w:cs="宋体"/>
                <w:sz w:val="22"/>
                <w:szCs w:val="22"/>
                <w:lang w:val="en-US" w:eastAsia="zh-CN" w:bidi="ar"/>
              </w:rPr>
              <w:t>材质及特点：</w:t>
            </w:r>
            <w:r>
              <w:rPr>
                <w:rStyle w:val="106"/>
                <w:rFonts w:hint="eastAsia" w:ascii="宋体" w:hAnsi="宋体" w:eastAsia="宋体" w:cs="宋体"/>
                <w:sz w:val="22"/>
                <w:szCs w:val="22"/>
                <w:lang w:val="en-US" w:eastAsia="zh-CN" w:bidi="ar"/>
              </w:rPr>
              <w:br w:type="textWrapping"/>
            </w:r>
            <w:r>
              <w:rPr>
                <w:rStyle w:val="106"/>
                <w:rFonts w:hint="eastAsia" w:ascii="宋体" w:hAnsi="宋体" w:eastAsia="宋体" w:cs="宋体"/>
                <w:sz w:val="22"/>
                <w:szCs w:val="22"/>
                <w:lang w:val="en-US" w:eastAsia="zh-CN" w:bidi="ar"/>
              </w:rPr>
              <w:t>台面：采用不薄于40mm优质</w:t>
            </w:r>
            <w:r>
              <w:rPr>
                <w:rFonts w:hint="eastAsia" w:ascii="宋体" w:hAnsi="宋体" w:eastAsia="宋体" w:cs="宋体"/>
                <w:i w:val="0"/>
                <w:color w:val="000000"/>
                <w:kern w:val="0"/>
                <w:sz w:val="22"/>
                <w:szCs w:val="22"/>
                <w:u w:val="none"/>
                <w:lang w:val="en-US" w:eastAsia="zh-CN" w:bidi="ar"/>
              </w:rPr>
              <w:t>橡胶指接木</w:t>
            </w:r>
            <w:r>
              <w:rPr>
                <w:rStyle w:val="106"/>
                <w:rFonts w:hint="eastAsia" w:ascii="宋体" w:hAnsi="宋体" w:eastAsia="宋体" w:cs="宋体"/>
                <w:sz w:val="22"/>
                <w:szCs w:val="22"/>
                <w:lang w:val="en-US" w:eastAsia="zh-CN" w:bidi="ar"/>
              </w:rPr>
              <w:t>，精细加工，表面光滑平整，并经防裂防翘处理,表面采用环保联邦PU全哑清漆烤制</w:t>
            </w:r>
            <w:r>
              <w:rPr>
                <w:rStyle w:val="106"/>
                <w:rFonts w:hint="eastAsia" w:ascii="宋体" w:hAnsi="宋体" w:eastAsia="宋体" w:cs="宋体"/>
                <w:sz w:val="22"/>
                <w:szCs w:val="22"/>
                <w:lang w:val="en-US" w:eastAsia="zh-CN" w:bidi="ar"/>
              </w:rPr>
              <w:br w:type="textWrapping"/>
            </w:r>
            <w:r>
              <w:rPr>
                <w:rStyle w:val="106"/>
                <w:rFonts w:hint="eastAsia" w:ascii="宋体" w:hAnsi="宋体" w:eastAsia="宋体" w:cs="宋体"/>
                <w:sz w:val="22"/>
                <w:szCs w:val="22"/>
                <w:lang w:val="en-US" w:eastAsia="zh-CN" w:bidi="ar"/>
              </w:rPr>
              <w:t>桌身：采用30mm*60mm的方钢骨架,模具冲压配已优质的五金件连接,表面经纯环氧树脂塑粉高温固化处理，具防酸碱、防腐蚀、且承重的特点。</w:t>
            </w:r>
            <w:r>
              <w:rPr>
                <w:rStyle w:val="106"/>
                <w:rFonts w:hint="eastAsia" w:ascii="宋体" w:hAnsi="宋体" w:eastAsia="宋体" w:cs="宋体"/>
                <w:sz w:val="22"/>
                <w:szCs w:val="22"/>
                <w:lang w:val="en-US" w:eastAsia="zh-CN" w:bidi="ar"/>
              </w:rPr>
              <w:br w:type="textWrapping"/>
            </w:r>
            <w:r>
              <w:rPr>
                <w:rStyle w:val="106"/>
                <w:rFonts w:hint="eastAsia" w:ascii="宋体" w:hAnsi="宋体" w:eastAsia="宋体" w:cs="宋体"/>
                <w:sz w:val="22"/>
                <w:szCs w:val="22"/>
                <w:lang w:val="en-US" w:eastAsia="zh-CN" w:bidi="ar"/>
              </w:rPr>
              <w:t>结构：上下二层结构，第二层配16mm优质三聚氰胺饰面板，可放置常用工具，整体美观大方。</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113665</wp:posOffset>
                  </wp:positionH>
                  <wp:positionV relativeFrom="paragraph">
                    <wp:posOffset>863600</wp:posOffset>
                  </wp:positionV>
                  <wp:extent cx="650240" cy="556260"/>
                  <wp:effectExtent l="0" t="0" r="5080" b="7620"/>
                  <wp:wrapNone/>
                  <wp:docPr id="88" name="Picture_3"/>
                  <wp:cNvGraphicFramePr/>
                  <a:graphic xmlns:a="http://schemas.openxmlformats.org/drawingml/2006/main">
                    <a:graphicData uri="http://schemas.openxmlformats.org/drawingml/2006/picture">
                      <pic:pic xmlns:pic="http://schemas.openxmlformats.org/drawingml/2006/picture">
                        <pic:nvPicPr>
                          <pic:cNvPr id="88" name="Picture_3"/>
                          <pic:cNvPicPr/>
                        </pic:nvPicPr>
                        <pic:blipFill>
                          <a:blip r:embed="rId96"/>
                          <a:stretch>
                            <a:fillRect/>
                          </a:stretch>
                        </pic:blipFill>
                        <pic:spPr>
                          <a:xfrm>
                            <a:off x="0" y="0"/>
                            <a:ext cx="650240" cy="5562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8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操作凳</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400*300*440mm。材质及特点：</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桌面：台面：采用25mm优质橡胶实木板对插精细加工，并经防裂防翘处理,表面采用环保联邦PU全哑清漆烤制，颜色为原木色。</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桌身：采用30mm*60mm的方钢骨架,模具冲压配已优质的五金件连接,表面经纯环氧树脂塑粉高温固化处理，具防酸碱、防腐蚀、且承重的特点。</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180975</wp:posOffset>
                  </wp:positionH>
                  <wp:positionV relativeFrom="paragraph">
                    <wp:posOffset>533400</wp:posOffset>
                  </wp:positionV>
                  <wp:extent cx="464185" cy="464820"/>
                  <wp:effectExtent l="0" t="0" r="8255" b="7620"/>
                  <wp:wrapNone/>
                  <wp:docPr id="89" name="Picture_1_SpCnt_1"/>
                  <wp:cNvGraphicFramePr/>
                  <a:graphic xmlns:a="http://schemas.openxmlformats.org/drawingml/2006/main">
                    <a:graphicData uri="http://schemas.openxmlformats.org/drawingml/2006/picture">
                      <pic:pic xmlns:pic="http://schemas.openxmlformats.org/drawingml/2006/picture">
                        <pic:nvPicPr>
                          <pic:cNvPr id="89" name="Picture_1_SpCnt_1"/>
                          <pic:cNvPicPr/>
                        </pic:nvPicPr>
                        <pic:blipFill>
                          <a:blip r:embed="rId94"/>
                          <a:stretch>
                            <a:fillRect/>
                          </a:stretch>
                        </pic:blipFill>
                        <pic:spPr>
                          <a:xfrm>
                            <a:off x="0" y="0"/>
                            <a:ext cx="464185" cy="4648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2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飞机模型展示架</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钢木结构规格：600*1500*2000mm，造型美观大方，用于放置展示飞机模型作品</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122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器具柜</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规格：1000*500*2000mm，铝木结构，铝型材规格32*32*1.5mm。柜门上部为铝合金门框，5mm厚钢化玻璃对开门，设有16mm厚三聚氰胺面板3块活动层板并配铝合金加强条；下部为16mm厚三聚氰胺面板对开门，设有一块活动层板。以上芯板均为E1级环保芯板，甲醛释放量（穿孔萃取法 ）应不大于≤ 8mg/100g。其他各项技术指标和质量要求应符合：GB/T 10357.4—1989《家具力学性能试验柜类稳定性》、GB/T 10357.5 －2011《家具力学性能试验柜类强度和耐久性》        </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8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VR飞行模拟训练系统</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具有教学与实践功能。含VR眼镜、平板电脑、飞行软件、控制器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8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六轴竞速无人机</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需要含遥控设备、动力电池、导航系统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8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模型专用动力电池</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容量2100mAH（AA型），镍氢充电电池，电压1.2V，适合大电流放电。</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8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模型专用充电器</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适用于5号/7号镍氢充电电池，单节/多节均可充电，充电电流150mA。</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14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航拍无人机</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*1、Phantom系列，重量 (含电池及桨)1280 克 ，GPS/GLONASS 双模定位，影像传感器1/2.3 英寸 CMOS，有效像素 1240 万 (总像素 1276 万)，镜头FOV 94° 20 mm (35 mm 格式等效) f/2.8，对焦点无穷远，ISO 范围：100-3200 (视频)，100-1600 (照片)；电子快门速度：8 秒 至 1/8000 秒，照片最大分辨率：4000 x 3000。</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2、Apple ipad air遥控装置。</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14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橡筋动力直升机</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翼展220mm、机高240mm，螺距无需调节，带拖尾，舞蹈式飞行姿态，调节螺距可将模型飞至8楼的高度。</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14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72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橡筋动力模型飞机</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翼展：500mm，机长：430mm，无需贴纸，可更换泡沫机翼多次试飞；机翼带双色印刷，机身为内置橡筋的轻量化高强度塑筒，塑筒直径11mm，留空时间最长可达1分钟以上；适合普及类航模班开展科技活动。符合“飞向北京”全国青少年航空模型竞赛器材要求。</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14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电动遥控飞机</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翼展：540mm，机长：380mm，2.4G三通道遥控滑翔机，超轻机身，仅重45g，配置150mA锂电池，充电30分钟可飞行15分钟。超大翼展，可平地起飞，操控性好，能做翻筋斗、8字飞行等特技，适合初学者快速上手。</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14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橡筋动力模型飞机</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翼展500mm、机长400mm，超大翼展配上高含胶量2克橡筋，飞行性能优越，滞空时间最长可达1分半。学习凹凸型机翼的大升力以及飞机重心对飞行性能影响的知识，初步接触上反角的概念。</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146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歼十航空教育课程包</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要求每十套满足40人/班教学、含12课时的器材课件记录表、课程目录需配备：《鸭翼原理的探索实验课程》、《涡扇与涡轮喷气发动机的探索课程》、《战斗机气动布局实验探索课程》、《螺旋桨飞机与喷气式飞机原理探索课程》、《涵道动力的实验探索课程》、《战斗机路面滑行系统的探索课程》、《航空母舰舰载机阻拦索的探索课程》、《襟翼的探索实验课程》、《混控原理探索课程》、《歼十喷气式飞机原理实训探索课程》、《动力能源课程》、《发动机结构探索课程》</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8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遥控纸飞机</w:t>
            </w:r>
          </w:p>
        </w:tc>
        <w:tc>
          <w:tcPr>
            <w:tcW w:w="60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（符合全国航空航天锦标赛标准）</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架</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8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长征三号运载火箭模型</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制作完成达到省比赛与全国赛标准</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架</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8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东风带降火箭模型</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全国赛、省锦标赛标准</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架</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84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遥控电动滑翔机（P5B）</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翼展1.4米、8.4V锂电池、遥控器（符合全国航空航天锦标赛标准）</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架</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81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航天文化挂图</w:t>
            </w:r>
          </w:p>
        </w:tc>
        <w:tc>
          <w:tcPr>
            <w:tcW w:w="6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包含木工发展史、名人传记、木工工艺制作等等，不少于4幅</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bl>
    <w:p>
      <w:pPr>
        <w:rPr>
          <w:rFonts w:hint="eastAsia"/>
          <w:sz w:val="48"/>
          <w:szCs w:val="48"/>
          <w:lang w:val="en-US" w:eastAsia="zh-CN"/>
        </w:rPr>
      </w:pPr>
    </w:p>
    <w:p>
      <w:pPr>
        <w:rPr>
          <w:rFonts w:hint="eastAsia"/>
          <w:sz w:val="48"/>
          <w:szCs w:val="48"/>
          <w:lang w:val="en-US" w:eastAsia="zh-CN"/>
        </w:rPr>
      </w:pPr>
    </w:p>
    <w:p>
      <w:pPr>
        <w:jc w:val="center"/>
        <w:rPr>
          <w:rFonts w:hint="eastAsia"/>
          <w:color w:val="FF0000"/>
          <w:sz w:val="48"/>
          <w:szCs w:val="48"/>
          <w:lang w:val="en-US" w:eastAsia="zh-CN"/>
        </w:rPr>
      </w:pPr>
      <w:r>
        <w:rPr>
          <w:rFonts w:hint="eastAsia"/>
          <w:color w:val="FF0000"/>
          <w:sz w:val="48"/>
          <w:szCs w:val="48"/>
          <w:lang w:val="en-US" w:eastAsia="zh-CN"/>
        </w:rPr>
        <w:t>需携带样品</w:t>
      </w:r>
    </w:p>
    <w:p>
      <w:pPr>
        <w:pStyle w:val="2"/>
        <w:jc w:val="left"/>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i w:val="0"/>
          <w:color w:val="FF0000"/>
          <w:kern w:val="0"/>
          <w:sz w:val="24"/>
          <w:szCs w:val="24"/>
          <w:u w:val="none"/>
          <w:lang w:val="en-US" w:eastAsia="zh-CN" w:bidi="ar"/>
        </w:rPr>
        <w:t>盐水能源教学装置、实验桌</w:t>
      </w:r>
      <w:r>
        <w:rPr>
          <w:rFonts w:hint="eastAsia" w:asciiTheme="minorEastAsia" w:hAnsiTheme="minorEastAsia" w:eastAsiaTheme="minorEastAsia" w:cstheme="minorEastAsia"/>
          <w:b w:val="0"/>
          <w:bCs w:val="0"/>
          <w:i w:val="0"/>
          <w:color w:val="FF0000"/>
          <w:kern w:val="0"/>
          <w:sz w:val="24"/>
          <w:szCs w:val="24"/>
          <w:u w:val="none"/>
          <w:lang w:val="en-US" w:eastAsia="zh-CN" w:bidi="ar"/>
        </w:rPr>
        <w:tab/>
      </w:r>
      <w:r>
        <w:rPr>
          <w:rFonts w:hint="eastAsia" w:asciiTheme="minorEastAsia" w:hAnsiTheme="minorEastAsia" w:eastAsiaTheme="minorEastAsia" w:cstheme="minorEastAsia"/>
          <w:b w:val="0"/>
          <w:bCs w:val="0"/>
          <w:i w:val="0"/>
          <w:color w:val="FF0000"/>
          <w:kern w:val="0"/>
          <w:sz w:val="24"/>
          <w:szCs w:val="24"/>
          <w:u w:val="none"/>
          <w:lang w:val="en-US" w:eastAsia="zh-CN" w:bidi="ar"/>
        </w:rPr>
        <w:t>、气体爆炸装置。</w:t>
      </w:r>
    </w:p>
    <w:p>
      <w:pPr>
        <w:rPr>
          <w:rFonts w:hint="default"/>
          <w:b/>
          <w:bCs/>
          <w:sz w:val="30"/>
          <w:szCs w:val="30"/>
          <w:lang w:val="en-US" w:eastAsia="zh-CN"/>
        </w:rPr>
      </w:pPr>
    </w:p>
    <w:p>
      <w:pPr>
        <w:pStyle w:val="2"/>
        <w:jc w:val="center"/>
        <w:rPr>
          <w:rFonts w:hint="default"/>
          <w:b/>
          <w:bCs/>
          <w:sz w:val="30"/>
          <w:szCs w:val="30"/>
          <w:lang w:val="en-US" w:eastAsia="zh-CN"/>
        </w:rPr>
      </w:pPr>
    </w:p>
    <w:p/>
    <w:p>
      <w:pPr>
        <w:spacing w:beforeLines="100"/>
        <w:jc w:val="center"/>
        <w:outlineLvl w:val="0"/>
        <w:rPr>
          <w:rFonts w:ascii="宋体" w:hAnsi="宋体" w:eastAsia="宋体" w:cs="Times New Roman"/>
          <w:b/>
          <w:bCs/>
          <w:color w:val="000000"/>
          <w:kern w:val="0"/>
          <w:sz w:val="30"/>
          <w:szCs w:val="20"/>
        </w:rPr>
      </w:pPr>
      <w:r>
        <w:rPr>
          <w:rFonts w:hint="eastAsia" w:ascii="宋体" w:hAnsi="宋体" w:eastAsia="宋体" w:cs="Times New Roman"/>
          <w:b/>
          <w:bCs/>
          <w:color w:val="000000"/>
          <w:kern w:val="0"/>
          <w:sz w:val="30"/>
          <w:szCs w:val="20"/>
        </w:rPr>
        <w:t xml:space="preserve">  采购其它要求</w:t>
      </w:r>
    </w:p>
    <w:p>
      <w:pPr>
        <w:numPr>
          <w:ilvl w:val="0"/>
          <w:numId w:val="22"/>
        </w:numPr>
        <w:tabs>
          <w:tab w:val="left" w:pos="720"/>
          <w:tab w:val="clear" w:pos="567"/>
        </w:tabs>
        <w:spacing w:line="380" w:lineRule="exact"/>
        <w:ind w:left="720" w:hanging="720"/>
        <w:rPr>
          <w:rFonts w:ascii="宋体" w:hAnsi="宋体" w:eastAsia="宋体" w:cs="Times New Roman"/>
          <w:bCs/>
          <w:color w:val="000000"/>
          <w:kern w:val="0"/>
          <w:szCs w:val="20"/>
        </w:rPr>
      </w:pPr>
      <w:r>
        <w:rPr>
          <w:rFonts w:hint="eastAsia" w:ascii="宋体" w:hAnsi="宋体" w:eastAsia="宋体" w:cs="Times New Roman"/>
          <w:bCs/>
          <w:color w:val="000000"/>
          <w:kern w:val="0"/>
          <w:szCs w:val="20"/>
        </w:rPr>
        <w:t>投标报价：</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Arial"/>
          <w:color w:val="000000"/>
          <w:kern w:val="0"/>
          <w:szCs w:val="20"/>
        </w:rPr>
        <w:t>报价是招标文件所确定的采购范围内的全部工作内容的价格体现，包括货物及其附件的设计、采购、制造、检测、试验、至最终目的地</w:t>
      </w:r>
      <w:bookmarkStart w:id="66" w:name="_GoBack"/>
      <w:bookmarkEnd w:id="66"/>
      <w:r>
        <w:rPr>
          <w:rFonts w:hint="eastAsia" w:ascii="宋体" w:hAnsi="宋体" w:eastAsia="宋体" w:cs="Arial"/>
          <w:color w:val="000000"/>
          <w:kern w:val="0"/>
          <w:szCs w:val="20"/>
        </w:rPr>
        <w:t>的运费和保险费、现场仓储、税费以及调试、测试、验收、技术服务（包括技术资料的提供）、维护、售后服务等完成合同所需的一切本身和不可或缺的所有工作开支、政策性文件规定等全部费用，</w:t>
      </w:r>
      <w:r>
        <w:rPr>
          <w:rFonts w:hint="eastAsia" w:ascii="宋体" w:hAnsi="宋体" w:eastAsia="宋体" w:cs="Arial"/>
          <w:color w:val="000000"/>
          <w:kern w:val="0"/>
          <w:szCs w:val="21"/>
        </w:rPr>
        <w:t>如有遗漏，视同包括在其他项目中，合同总价和单价均不作调整。</w:t>
      </w:r>
      <w:r>
        <w:rPr>
          <w:rFonts w:hint="eastAsia" w:ascii="宋体" w:hAnsi="宋体" w:eastAsia="宋体" w:cs="Times New Roman"/>
          <w:color w:val="000000"/>
          <w:kern w:val="0"/>
          <w:szCs w:val="20"/>
        </w:rPr>
        <w:t>除发生下列因素可调整合同价外，不得以任何其他理由调整任何费用。</w:t>
      </w:r>
    </w:p>
    <w:p>
      <w:pPr>
        <w:spacing w:line="380" w:lineRule="exact"/>
        <w:ind w:left="735" w:hanging="735" w:hangingChars="350"/>
        <w:rPr>
          <w:rFonts w:ascii="宋体" w:hAnsi="宋体" w:eastAsia="宋体" w:cs="Arial"/>
          <w:color w:val="000000"/>
          <w:kern w:val="0"/>
          <w:szCs w:val="20"/>
        </w:rPr>
      </w:pPr>
      <w:r>
        <w:rPr>
          <w:rFonts w:hint="eastAsia" w:ascii="宋体" w:hAnsi="宋体" w:eastAsia="宋体" w:cs="Arial"/>
          <w:color w:val="000000"/>
          <w:kern w:val="0"/>
          <w:szCs w:val="20"/>
        </w:rPr>
        <w:t>（1）  买方提出的货物数量变更，根据原中标单价计算变更费用。由卖方提出的合理化建议，需经得买方同意，其费用不得变更。但属卖方投标漏项少算的设备及服务费用不得追补。</w:t>
      </w:r>
    </w:p>
    <w:p>
      <w:pPr>
        <w:spacing w:line="380" w:lineRule="exact"/>
        <w:ind w:left="735" w:hanging="735" w:hangingChars="350"/>
        <w:rPr>
          <w:rFonts w:ascii="宋体" w:hAnsi="宋体" w:eastAsia="宋体" w:cs="Arial"/>
          <w:color w:val="000000"/>
          <w:kern w:val="0"/>
          <w:szCs w:val="20"/>
        </w:rPr>
      </w:pPr>
      <w:r>
        <w:rPr>
          <w:rFonts w:hint="eastAsia" w:ascii="宋体" w:hAnsi="宋体" w:eastAsia="宋体" w:cs="Arial"/>
          <w:color w:val="000000"/>
          <w:kern w:val="0"/>
          <w:szCs w:val="20"/>
        </w:rPr>
        <w:t>（2）  发生不可抗力的因素造成费用增加使卖方直接损失的费用，经鉴定核准，买方酌情予以一定补偿。但属卖方可以预见、预防，而卖方预防不力所造成的损失，不予补偿。其经济损失由卖方承担。</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Arial"/>
          <w:color w:val="000000"/>
          <w:kern w:val="0"/>
          <w:szCs w:val="20"/>
        </w:rPr>
        <w:t>供应商的报价不仅应包括采购文件提供的技术条款和图纸上所标明的，还应包括任何未明确标出的，但全套货物保证正常使用所不可缺少的配件及附件的全部费用。其中全部设备材料应说明名称、型号、数量、单价、总价、产地、厂商等。供应商按要求应列入而未列入货物材料清单的设备及材料，均认为已含在其设备材料清单中。</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Arial"/>
          <w:color w:val="000000"/>
          <w:kern w:val="0"/>
          <w:szCs w:val="20"/>
        </w:rPr>
        <w:t>供应商的中标单价在合同实施期间不作调整，成交单位不得以任何理由予以变更，除非采购人提出的设计变更。</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Times New Roman"/>
          <w:color w:val="000000"/>
          <w:kern w:val="0"/>
          <w:szCs w:val="20"/>
        </w:rPr>
        <w:t>允许</w:t>
      </w:r>
      <w:r>
        <w:rPr>
          <w:rFonts w:hint="eastAsia" w:ascii="宋体" w:hAnsi="宋体" w:eastAsia="宋体" w:cs="Arial"/>
          <w:color w:val="000000"/>
          <w:kern w:val="0"/>
          <w:szCs w:val="20"/>
        </w:rPr>
        <w:t>供应商</w:t>
      </w:r>
      <w:r>
        <w:rPr>
          <w:rFonts w:hint="eastAsia" w:ascii="宋体" w:hAnsi="宋体" w:eastAsia="宋体" w:cs="Times New Roman"/>
          <w:color w:val="000000"/>
          <w:kern w:val="0"/>
          <w:szCs w:val="20"/>
        </w:rPr>
        <w:t>在满足采购文件提出的技术要求的前提下，在投标价格不增加且能扩大使用功能的前提下，可提出合理化建议，做出其优越性、先进性等详细说明。</w:t>
      </w:r>
    </w:p>
    <w:p>
      <w:pPr>
        <w:numPr>
          <w:ilvl w:val="0"/>
          <w:numId w:val="22"/>
        </w:numPr>
        <w:tabs>
          <w:tab w:val="left" w:pos="720"/>
          <w:tab w:val="clear" w:pos="567"/>
        </w:tabs>
        <w:spacing w:line="380" w:lineRule="exact"/>
        <w:ind w:left="720" w:hanging="720"/>
        <w:rPr>
          <w:rFonts w:ascii="宋体" w:hAnsi="宋体" w:eastAsia="宋体" w:cs="Times New Roman"/>
          <w:bCs/>
          <w:color w:val="000000"/>
          <w:kern w:val="0"/>
          <w:szCs w:val="20"/>
        </w:rPr>
      </w:pPr>
      <w:r>
        <w:rPr>
          <w:rFonts w:hint="eastAsia" w:ascii="宋体" w:hAnsi="宋体" w:eastAsia="宋体" w:cs="Times New Roman"/>
          <w:bCs/>
          <w:color w:val="000000"/>
          <w:kern w:val="0"/>
          <w:szCs w:val="20"/>
        </w:rPr>
        <w:t>设计及制造</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ascii="宋体" w:hAnsi="宋体" w:eastAsia="宋体" w:cs="Times New Roman"/>
          <w:color w:val="000000"/>
          <w:kern w:val="0"/>
          <w:szCs w:val="20"/>
        </w:rPr>
        <w:t>供应</w:t>
      </w:r>
      <w:r>
        <w:rPr>
          <w:rFonts w:ascii="宋体" w:hAnsi="宋体" w:eastAsia="宋体" w:cs="Arial"/>
          <w:color w:val="000000"/>
          <w:kern w:val="0"/>
          <w:szCs w:val="20"/>
        </w:rPr>
        <w:t>商按</w:t>
      </w:r>
      <w:r>
        <w:rPr>
          <w:rFonts w:hint="eastAsia" w:ascii="宋体" w:hAnsi="宋体" w:eastAsia="宋体" w:cs="Arial"/>
          <w:color w:val="000000"/>
          <w:kern w:val="0"/>
          <w:szCs w:val="20"/>
        </w:rPr>
        <w:t>采购</w:t>
      </w:r>
      <w:r>
        <w:rPr>
          <w:rFonts w:ascii="宋体" w:hAnsi="宋体" w:eastAsia="宋体" w:cs="Arial"/>
          <w:color w:val="000000"/>
          <w:kern w:val="0"/>
          <w:szCs w:val="20"/>
        </w:rPr>
        <w:t>人</w:t>
      </w:r>
      <w:r>
        <w:rPr>
          <w:rFonts w:hint="eastAsia" w:ascii="宋体" w:hAnsi="宋体" w:eastAsia="宋体" w:cs="Arial"/>
          <w:color w:val="000000"/>
          <w:kern w:val="0"/>
          <w:szCs w:val="20"/>
        </w:rPr>
        <w:t>确定的图纸及有关技术要求</w:t>
      </w:r>
      <w:r>
        <w:rPr>
          <w:rFonts w:ascii="宋体" w:hAnsi="宋体" w:eastAsia="宋体" w:cs="Arial"/>
          <w:color w:val="000000"/>
          <w:kern w:val="0"/>
          <w:szCs w:val="20"/>
        </w:rPr>
        <w:t>进行货物的设计及制造；</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ascii="宋体" w:hAnsi="宋体" w:eastAsia="宋体" w:cs="Times New Roman"/>
          <w:color w:val="000000"/>
          <w:kern w:val="0"/>
          <w:szCs w:val="20"/>
        </w:rPr>
        <w:t>未经</w:t>
      </w:r>
      <w:r>
        <w:rPr>
          <w:rFonts w:hint="eastAsia" w:ascii="宋体" w:hAnsi="宋体" w:eastAsia="宋体" w:cs="Arial"/>
          <w:color w:val="000000"/>
          <w:kern w:val="0"/>
          <w:szCs w:val="20"/>
        </w:rPr>
        <w:t>采购</w:t>
      </w:r>
      <w:r>
        <w:rPr>
          <w:rFonts w:ascii="宋体" w:hAnsi="宋体" w:eastAsia="宋体" w:cs="Arial"/>
          <w:color w:val="000000"/>
          <w:kern w:val="0"/>
          <w:szCs w:val="20"/>
        </w:rPr>
        <w:t>人同意，不得将货物的制造扩散到第三方生产，一经发现，</w:t>
      </w:r>
      <w:r>
        <w:rPr>
          <w:rFonts w:hint="eastAsia" w:ascii="宋体" w:hAnsi="宋体" w:eastAsia="宋体" w:cs="Arial"/>
          <w:color w:val="000000"/>
          <w:kern w:val="0"/>
          <w:szCs w:val="20"/>
        </w:rPr>
        <w:t>采购</w:t>
      </w:r>
      <w:r>
        <w:rPr>
          <w:rFonts w:ascii="宋体" w:hAnsi="宋体" w:eastAsia="宋体" w:cs="Arial"/>
          <w:color w:val="000000"/>
          <w:kern w:val="0"/>
          <w:szCs w:val="20"/>
        </w:rPr>
        <w:t>人将有权取消其中标资格并单方面终止合同，并保留追究其他经济赔偿的权利。</w:t>
      </w:r>
    </w:p>
    <w:p>
      <w:pPr>
        <w:numPr>
          <w:ilvl w:val="0"/>
          <w:numId w:val="22"/>
        </w:numPr>
        <w:tabs>
          <w:tab w:val="left" w:pos="720"/>
          <w:tab w:val="clear" w:pos="567"/>
        </w:tabs>
        <w:spacing w:line="380" w:lineRule="exact"/>
        <w:ind w:left="720" w:hanging="720"/>
        <w:rPr>
          <w:rFonts w:ascii="宋体" w:hAnsi="宋体" w:eastAsia="宋体" w:cs="Times New Roman"/>
          <w:color w:val="000000"/>
          <w:kern w:val="0"/>
          <w:szCs w:val="20"/>
        </w:rPr>
      </w:pPr>
      <w:r>
        <w:rPr>
          <w:rFonts w:hint="eastAsia" w:ascii="宋体" w:hAnsi="宋体" w:eastAsia="宋体" w:cs="Times New Roman"/>
          <w:color w:val="000000"/>
          <w:kern w:val="0"/>
          <w:szCs w:val="20"/>
        </w:rPr>
        <w:t>检验和试验：</w:t>
      </w:r>
    </w:p>
    <w:p>
      <w:pPr>
        <w:numPr>
          <w:ilvl w:val="1"/>
          <w:numId w:val="22"/>
        </w:numPr>
        <w:tabs>
          <w:tab w:val="left" w:pos="720"/>
          <w:tab w:val="clear" w:pos="680"/>
        </w:tabs>
        <w:spacing w:line="380" w:lineRule="exact"/>
        <w:ind w:left="720" w:hanging="720"/>
        <w:rPr>
          <w:rFonts w:ascii="宋体" w:hAnsi="宋体" w:eastAsia="宋体" w:cs="Times New Roman"/>
          <w:color w:val="000000"/>
          <w:kern w:val="0"/>
          <w:szCs w:val="20"/>
        </w:rPr>
      </w:pPr>
      <w:r>
        <w:rPr>
          <w:rFonts w:hint="eastAsia" w:ascii="宋体" w:hAnsi="宋体" w:eastAsia="宋体" w:cs="Times New Roman"/>
          <w:color w:val="000000"/>
          <w:kern w:val="0"/>
          <w:szCs w:val="20"/>
        </w:rPr>
        <w:t>根据</w:t>
      </w:r>
      <w:r>
        <w:rPr>
          <w:rFonts w:hint="eastAsia" w:ascii="宋体" w:hAnsi="宋体" w:eastAsia="宋体" w:cs="Arial"/>
          <w:color w:val="000000"/>
          <w:kern w:val="0"/>
          <w:szCs w:val="20"/>
        </w:rPr>
        <w:t>合同</w:t>
      </w:r>
      <w:r>
        <w:rPr>
          <w:rFonts w:hint="eastAsia" w:ascii="宋体" w:hAnsi="宋体" w:eastAsia="宋体" w:cs="Times New Roman"/>
          <w:color w:val="000000"/>
          <w:kern w:val="0"/>
          <w:szCs w:val="20"/>
        </w:rPr>
        <w:t>条款要求，所有检验和试验等费用都被认为包括在合同总价中。</w:t>
      </w:r>
    </w:p>
    <w:p>
      <w:pPr>
        <w:numPr>
          <w:ilvl w:val="1"/>
          <w:numId w:val="22"/>
        </w:numPr>
        <w:tabs>
          <w:tab w:val="left" w:pos="720"/>
          <w:tab w:val="clear" w:pos="680"/>
        </w:tabs>
        <w:spacing w:line="380" w:lineRule="exact"/>
        <w:ind w:left="720" w:hanging="720"/>
        <w:rPr>
          <w:rFonts w:ascii="宋体" w:hAnsi="宋体" w:eastAsia="宋体" w:cs="Times New Roman"/>
          <w:color w:val="000000"/>
          <w:kern w:val="0"/>
          <w:szCs w:val="20"/>
        </w:rPr>
      </w:pPr>
      <w:r>
        <w:rPr>
          <w:rFonts w:hint="eastAsia" w:ascii="宋体" w:hAnsi="宋体" w:eastAsia="宋体" w:cs="Times New Roman"/>
          <w:color w:val="000000"/>
          <w:kern w:val="0"/>
          <w:szCs w:val="20"/>
        </w:rPr>
        <w:t>在生产制造期间，买方有权在认为合适的时间到卖方制造地，进行质量检验和试验，若一些零部件需在其他地方生产，卖方应为买方办理手续进入现场。在制造监制期间，制造商有责任提供有关设备的各种数据，设备结构图和部件图的详细中文资料。但买方监制并不解除制造商对所有产品在制造质量上应负的全部责任，也不作为买方的最终验收。</w:t>
      </w:r>
    </w:p>
    <w:p>
      <w:pPr>
        <w:numPr>
          <w:ilvl w:val="1"/>
          <w:numId w:val="22"/>
        </w:numPr>
        <w:tabs>
          <w:tab w:val="left" w:pos="720"/>
          <w:tab w:val="clear" w:pos="680"/>
        </w:tabs>
        <w:spacing w:line="380" w:lineRule="exact"/>
        <w:ind w:left="720" w:hanging="720"/>
        <w:rPr>
          <w:rFonts w:ascii="宋体" w:hAnsi="宋体" w:eastAsia="宋体" w:cs="Times New Roman"/>
          <w:color w:val="000000"/>
          <w:kern w:val="0"/>
          <w:szCs w:val="20"/>
        </w:rPr>
      </w:pPr>
      <w:r>
        <w:rPr>
          <w:rFonts w:hint="eastAsia" w:ascii="宋体" w:hAnsi="宋体" w:eastAsia="宋体" w:cs="Times New Roman"/>
          <w:color w:val="000000"/>
          <w:kern w:val="0"/>
          <w:szCs w:val="20"/>
        </w:rPr>
        <w:t>主要</w:t>
      </w:r>
      <w:r>
        <w:rPr>
          <w:rFonts w:hint="eastAsia" w:ascii="宋体" w:hAnsi="宋体" w:eastAsia="宋体" w:cs="Arial"/>
          <w:color w:val="000000"/>
          <w:kern w:val="0"/>
          <w:szCs w:val="20"/>
        </w:rPr>
        <w:t>部件</w:t>
      </w:r>
      <w:r>
        <w:rPr>
          <w:rFonts w:hint="eastAsia" w:ascii="宋体" w:hAnsi="宋体" w:eastAsia="宋体" w:cs="Times New Roman"/>
          <w:color w:val="000000"/>
          <w:kern w:val="0"/>
          <w:szCs w:val="20"/>
        </w:rPr>
        <w:t>及总体工程的检验都应在工厂内结束。卖方须提供由买方认可的一整套检验标准和计划。所有检验应严格地按照认可的方式进行。在检验结束后，卖方须提供必要的技术数据和图纸，并提交一式三份检验、试验报告给买方。</w:t>
      </w:r>
    </w:p>
    <w:p>
      <w:pPr>
        <w:numPr>
          <w:ilvl w:val="0"/>
          <w:numId w:val="22"/>
        </w:numPr>
        <w:tabs>
          <w:tab w:val="left" w:pos="720"/>
          <w:tab w:val="clear" w:pos="567"/>
        </w:tabs>
        <w:spacing w:line="380" w:lineRule="exact"/>
        <w:ind w:left="720" w:hanging="720"/>
        <w:rPr>
          <w:rFonts w:ascii="宋体" w:hAnsi="宋体" w:eastAsia="宋体" w:cs="Times New Roman"/>
          <w:color w:val="000000"/>
          <w:kern w:val="0"/>
          <w:szCs w:val="20"/>
        </w:rPr>
      </w:pPr>
      <w:r>
        <w:rPr>
          <w:rFonts w:hint="eastAsia" w:ascii="宋体" w:hAnsi="宋体" w:eastAsia="宋体" w:cs="Times New Roman"/>
          <w:color w:val="000000"/>
          <w:kern w:val="0"/>
          <w:szCs w:val="20"/>
        </w:rPr>
        <w:t>包装要求：</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Times New Roman"/>
          <w:bCs/>
          <w:color w:val="000000"/>
          <w:kern w:val="0"/>
          <w:szCs w:val="20"/>
        </w:rPr>
        <w:t>成交</w:t>
      </w:r>
      <w:r>
        <w:rPr>
          <w:rFonts w:hint="eastAsia" w:ascii="宋体" w:hAnsi="宋体" w:eastAsia="宋体" w:cs="Arial"/>
          <w:color w:val="000000"/>
          <w:kern w:val="0"/>
          <w:szCs w:val="20"/>
        </w:rPr>
        <w:t>人交付的货物必须是全新的无缺馅的；成交人应按照采购文件规定的技术要求和范围提供有关货物，并提供产品的质量检验证明文件，并在合同规定的地点负责组织将货物按期运抵委托人的现场，提单日期为交货日期。货物的运输和保险及中国政府根据现行税法向成交人征收的与履行本合同有关的一切税费均由成交人承担。</w:t>
      </w:r>
    </w:p>
    <w:p>
      <w:pPr>
        <w:numPr>
          <w:ilvl w:val="1"/>
          <w:numId w:val="22"/>
        </w:numPr>
        <w:tabs>
          <w:tab w:val="left" w:pos="720"/>
          <w:tab w:val="clear" w:pos="680"/>
        </w:tabs>
        <w:spacing w:line="380" w:lineRule="exact"/>
        <w:ind w:left="720" w:hanging="720"/>
        <w:rPr>
          <w:rFonts w:ascii="宋体" w:hAnsi="宋体" w:eastAsia="宋体" w:cs="Times New Roman"/>
          <w:color w:val="000000"/>
          <w:kern w:val="0"/>
          <w:szCs w:val="20"/>
        </w:rPr>
      </w:pPr>
      <w:r>
        <w:rPr>
          <w:rFonts w:hint="eastAsia" w:ascii="宋体" w:hAnsi="宋体" w:eastAsia="宋体" w:cs="Times New Roman"/>
          <w:color w:val="000000"/>
          <w:kern w:val="0"/>
          <w:szCs w:val="20"/>
        </w:rPr>
        <w:t>货物的防护及油漆：设备内、外表面应洁净。</w:t>
      </w:r>
      <w:r>
        <w:rPr>
          <w:rFonts w:hint="eastAsia" w:ascii="宋体" w:hAnsi="宋体" w:eastAsia="宋体" w:cs="Arial"/>
          <w:color w:val="000000"/>
          <w:kern w:val="0"/>
          <w:szCs w:val="20"/>
        </w:rPr>
        <w:t>供应商</w:t>
      </w:r>
      <w:r>
        <w:rPr>
          <w:rFonts w:hint="eastAsia" w:ascii="宋体" w:hAnsi="宋体" w:eastAsia="宋体" w:cs="Times New Roman"/>
          <w:color w:val="000000"/>
          <w:kern w:val="0"/>
          <w:szCs w:val="20"/>
        </w:rPr>
        <w:t>在投标时须提供所供货物的具体防护措施供买方认可，并对此工作负责。油漆表面应光洁，无折皱和剥落等。</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Times New Roman"/>
          <w:color w:val="000000"/>
          <w:kern w:val="0"/>
          <w:szCs w:val="20"/>
        </w:rPr>
        <w:t>所有货物应合理、有效地包装，以使其有效防止各种损坏，如受潮、受热、剥落、腐蚀、变形等。</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Times New Roman"/>
          <w:color w:val="000000"/>
          <w:kern w:val="0"/>
          <w:szCs w:val="20"/>
        </w:rPr>
        <w:t>设备的包装费应包括在合同总价中，这些包装材料应属于买方所有。</w:t>
      </w:r>
    </w:p>
    <w:p>
      <w:pPr>
        <w:numPr>
          <w:ilvl w:val="1"/>
          <w:numId w:val="22"/>
        </w:numPr>
        <w:tabs>
          <w:tab w:val="left" w:pos="720"/>
          <w:tab w:val="clear" w:pos="680"/>
        </w:tabs>
        <w:snapToGrid w:val="0"/>
        <w:spacing w:line="380" w:lineRule="exact"/>
        <w:ind w:left="720" w:hanging="720"/>
        <w:rPr>
          <w:rFonts w:ascii="宋体" w:hAnsi="宋体" w:eastAsia="宋体" w:cs="Arial"/>
          <w:color w:val="000000"/>
          <w:kern w:val="0"/>
          <w:szCs w:val="20"/>
        </w:rPr>
      </w:pPr>
      <w:r>
        <w:rPr>
          <w:rFonts w:hint="eastAsia" w:ascii="宋体" w:hAnsi="宋体" w:eastAsia="宋体" w:cs="Arial"/>
          <w:color w:val="000000"/>
          <w:kern w:val="0"/>
          <w:szCs w:val="20"/>
        </w:rPr>
        <w:t>货物随箱应附有下列资料：</w:t>
      </w:r>
    </w:p>
    <w:p>
      <w:pPr>
        <w:snapToGrid w:val="0"/>
        <w:spacing w:line="380" w:lineRule="exact"/>
        <w:ind w:left="720"/>
        <w:rPr>
          <w:rFonts w:ascii="宋体" w:hAnsi="宋体" w:eastAsia="宋体" w:cs="Times New Roman"/>
          <w:color w:val="000000"/>
          <w:kern w:val="0"/>
          <w:szCs w:val="20"/>
        </w:rPr>
      </w:pPr>
      <w:r>
        <w:rPr>
          <w:rFonts w:hint="eastAsia" w:ascii="宋体" w:hAnsi="宋体" w:eastAsia="宋体" w:cs="Times New Roman"/>
          <w:color w:val="000000"/>
          <w:kern w:val="0"/>
          <w:szCs w:val="20"/>
        </w:rPr>
        <w:t>详细装箱单；</w:t>
      </w:r>
    </w:p>
    <w:p>
      <w:pPr>
        <w:snapToGrid w:val="0"/>
        <w:spacing w:line="380" w:lineRule="exact"/>
        <w:ind w:left="720"/>
        <w:rPr>
          <w:rFonts w:ascii="宋体" w:hAnsi="宋体" w:eastAsia="宋体" w:cs="Times New Roman"/>
          <w:color w:val="000000"/>
          <w:kern w:val="0"/>
          <w:szCs w:val="20"/>
        </w:rPr>
      </w:pPr>
      <w:r>
        <w:rPr>
          <w:rFonts w:hint="eastAsia" w:ascii="宋体" w:hAnsi="宋体" w:eastAsia="宋体" w:cs="Times New Roman"/>
          <w:color w:val="000000"/>
          <w:kern w:val="0"/>
          <w:szCs w:val="20"/>
        </w:rPr>
        <w:t>产品合格证及检验记录；</w:t>
      </w:r>
    </w:p>
    <w:p>
      <w:pPr>
        <w:snapToGrid w:val="0"/>
        <w:spacing w:line="380" w:lineRule="exact"/>
        <w:ind w:left="720"/>
        <w:rPr>
          <w:rFonts w:ascii="宋体" w:hAnsi="宋体" w:eastAsia="宋体" w:cs="Arial"/>
          <w:color w:val="000000"/>
          <w:kern w:val="0"/>
          <w:szCs w:val="20"/>
        </w:rPr>
      </w:pPr>
      <w:r>
        <w:rPr>
          <w:rFonts w:ascii="宋体" w:hAnsi="宋体" w:eastAsia="宋体" w:cs="Arial"/>
          <w:color w:val="000000"/>
          <w:kern w:val="0"/>
          <w:szCs w:val="20"/>
        </w:rPr>
        <w:t>安装操作与维修说明书及其他技术文档。</w:t>
      </w:r>
    </w:p>
    <w:p>
      <w:pPr>
        <w:numPr>
          <w:ilvl w:val="0"/>
          <w:numId w:val="22"/>
        </w:numPr>
        <w:tabs>
          <w:tab w:val="left" w:pos="720"/>
          <w:tab w:val="clear" w:pos="567"/>
        </w:tabs>
        <w:spacing w:line="380" w:lineRule="exact"/>
        <w:ind w:left="720" w:hanging="720"/>
        <w:rPr>
          <w:rFonts w:ascii="宋体" w:hAnsi="宋体" w:eastAsia="宋体" w:cs="Arial"/>
          <w:color w:val="000000"/>
          <w:kern w:val="0"/>
          <w:szCs w:val="20"/>
        </w:rPr>
      </w:pPr>
      <w:r>
        <w:rPr>
          <w:rFonts w:ascii="宋体" w:hAnsi="宋体" w:eastAsia="宋体" w:cs="Arial"/>
          <w:color w:val="000000"/>
          <w:kern w:val="0"/>
          <w:szCs w:val="20"/>
        </w:rPr>
        <w:t>验收</w:t>
      </w:r>
      <w:r>
        <w:rPr>
          <w:rFonts w:hint="eastAsia" w:ascii="宋体" w:hAnsi="宋体" w:eastAsia="宋体" w:cs="Arial"/>
          <w:color w:val="000000"/>
          <w:kern w:val="0"/>
          <w:szCs w:val="20"/>
        </w:rPr>
        <w:t>标准</w:t>
      </w:r>
      <w:r>
        <w:rPr>
          <w:rFonts w:ascii="宋体" w:hAnsi="宋体" w:eastAsia="宋体" w:cs="Arial"/>
          <w:color w:val="000000"/>
          <w:kern w:val="0"/>
          <w:szCs w:val="20"/>
        </w:rPr>
        <w:t>：</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Arial"/>
          <w:color w:val="000000"/>
          <w:kern w:val="0"/>
          <w:szCs w:val="20"/>
        </w:rPr>
        <w:t>产品验收的质量、技术资信标准按采购文件和报价文件，并满足国家、行业最新标准。</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ascii="宋体" w:hAnsi="宋体" w:eastAsia="宋体" w:cs="Arial"/>
          <w:color w:val="000000"/>
          <w:kern w:val="0"/>
          <w:szCs w:val="20"/>
        </w:rPr>
        <w:t>验</w:t>
      </w:r>
      <w:r>
        <w:rPr>
          <w:rFonts w:hint="eastAsia" w:ascii="宋体" w:hAnsi="宋体" w:eastAsia="宋体" w:cs="Arial"/>
          <w:color w:val="000000"/>
          <w:kern w:val="0"/>
          <w:szCs w:val="20"/>
        </w:rPr>
        <w:t>收结果符合合同要求。</w:t>
      </w:r>
    </w:p>
    <w:p>
      <w:pPr>
        <w:snapToGrid w:val="0"/>
        <w:spacing w:line="380" w:lineRule="exact"/>
        <w:ind w:left="720"/>
        <w:rPr>
          <w:rFonts w:ascii="宋体" w:hAnsi="宋体" w:eastAsia="宋体" w:cs="Times New Roman"/>
          <w:color w:val="000000"/>
          <w:kern w:val="0"/>
          <w:szCs w:val="20"/>
        </w:rPr>
      </w:pPr>
      <w:r>
        <w:rPr>
          <w:rFonts w:hint="eastAsia" w:ascii="宋体" w:hAnsi="宋体" w:eastAsia="宋体" w:cs="Times New Roman"/>
          <w:color w:val="000000"/>
          <w:kern w:val="0"/>
          <w:szCs w:val="20"/>
        </w:rPr>
        <w:t>在进行验收过程中发生的故障和隐患已被排除并得到买方的认可。</w:t>
      </w:r>
    </w:p>
    <w:p>
      <w:pPr>
        <w:snapToGrid w:val="0"/>
        <w:spacing w:line="380" w:lineRule="exact"/>
        <w:ind w:left="720"/>
        <w:rPr>
          <w:rFonts w:ascii="宋体" w:hAnsi="宋体" w:eastAsia="宋体" w:cs="Times New Roman"/>
          <w:color w:val="000000"/>
          <w:kern w:val="0"/>
          <w:szCs w:val="20"/>
        </w:rPr>
      </w:pPr>
      <w:r>
        <w:rPr>
          <w:rFonts w:hint="eastAsia" w:ascii="宋体" w:hAnsi="宋体" w:eastAsia="宋体" w:cs="Times New Roman"/>
          <w:color w:val="000000"/>
          <w:kern w:val="0"/>
          <w:szCs w:val="20"/>
        </w:rPr>
        <w:t>所有合同中规定的货物和资料都已提交。</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ascii="宋体" w:hAnsi="宋体" w:eastAsia="宋体" w:cs="Arial"/>
          <w:color w:val="000000"/>
          <w:kern w:val="0"/>
          <w:szCs w:val="20"/>
        </w:rPr>
        <w:t>验收</w:t>
      </w:r>
      <w:r>
        <w:rPr>
          <w:rFonts w:hint="eastAsia" w:ascii="宋体" w:hAnsi="宋体" w:eastAsia="宋体" w:cs="Arial"/>
          <w:color w:val="000000"/>
          <w:kern w:val="0"/>
          <w:szCs w:val="20"/>
        </w:rPr>
        <w:t>发现有与投标不符（甲方要求更改除外），存在</w:t>
      </w:r>
      <w:r>
        <w:rPr>
          <w:rFonts w:ascii="宋体" w:hAnsi="宋体" w:eastAsia="宋体" w:cs="Arial"/>
          <w:color w:val="000000"/>
          <w:kern w:val="0"/>
          <w:szCs w:val="20"/>
        </w:rPr>
        <w:t>不合格</w:t>
      </w:r>
      <w:r>
        <w:rPr>
          <w:rFonts w:hint="eastAsia" w:ascii="宋体" w:hAnsi="宋体" w:eastAsia="宋体" w:cs="Arial"/>
          <w:color w:val="000000"/>
          <w:kern w:val="0"/>
          <w:szCs w:val="20"/>
        </w:rPr>
        <w:t>情况的，</w:t>
      </w:r>
      <w:r>
        <w:rPr>
          <w:rFonts w:ascii="宋体" w:hAnsi="宋体" w:eastAsia="宋体" w:cs="Arial"/>
          <w:color w:val="000000"/>
          <w:kern w:val="0"/>
          <w:szCs w:val="20"/>
        </w:rPr>
        <w:t>买方有权</w:t>
      </w:r>
      <w:r>
        <w:rPr>
          <w:rFonts w:hint="eastAsia" w:ascii="宋体" w:hAnsi="宋体" w:eastAsia="宋体" w:cs="Arial"/>
          <w:color w:val="000000"/>
          <w:kern w:val="0"/>
          <w:szCs w:val="20"/>
        </w:rPr>
        <w:t>每项</w:t>
      </w:r>
      <w:r>
        <w:rPr>
          <w:rFonts w:ascii="宋体" w:hAnsi="宋体" w:eastAsia="宋体" w:cs="Arial"/>
          <w:color w:val="000000"/>
          <w:kern w:val="0"/>
          <w:szCs w:val="20"/>
        </w:rPr>
        <w:t>扣除合同总价的5%，</w:t>
      </w:r>
      <w:r>
        <w:rPr>
          <w:rFonts w:hint="eastAsia" w:ascii="宋体" w:hAnsi="宋体" w:eastAsia="宋体" w:cs="Arial"/>
          <w:color w:val="000000"/>
          <w:kern w:val="0"/>
          <w:szCs w:val="20"/>
        </w:rPr>
        <w:t>直至取消合同。</w:t>
      </w:r>
    </w:p>
    <w:p>
      <w:pPr>
        <w:numPr>
          <w:ilvl w:val="0"/>
          <w:numId w:val="22"/>
        </w:numPr>
        <w:tabs>
          <w:tab w:val="left" w:pos="720"/>
          <w:tab w:val="clear" w:pos="567"/>
        </w:tabs>
        <w:spacing w:line="380" w:lineRule="exact"/>
        <w:ind w:left="720" w:hanging="720"/>
        <w:rPr>
          <w:rFonts w:ascii="宋体" w:hAnsi="宋体" w:eastAsia="宋体" w:cs="Arial"/>
          <w:bCs/>
          <w:color w:val="000000"/>
          <w:kern w:val="0"/>
          <w:szCs w:val="20"/>
        </w:rPr>
      </w:pPr>
      <w:r>
        <w:rPr>
          <w:rFonts w:ascii="宋体" w:hAnsi="宋体" w:eastAsia="宋体" w:cs="Arial"/>
          <w:color w:val="000000"/>
          <w:kern w:val="0"/>
          <w:szCs w:val="20"/>
        </w:rPr>
        <w:t xml:space="preserve">技术资料： </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ascii="宋体" w:hAnsi="宋体" w:eastAsia="宋体" w:cs="Arial"/>
          <w:color w:val="000000"/>
          <w:kern w:val="0"/>
          <w:szCs w:val="20"/>
        </w:rPr>
        <w:t>卖方</w:t>
      </w:r>
      <w:r>
        <w:rPr>
          <w:rFonts w:ascii="宋体" w:hAnsi="宋体" w:eastAsia="宋体" w:cs="Times New Roman"/>
          <w:bCs/>
          <w:color w:val="000000"/>
          <w:kern w:val="0"/>
          <w:szCs w:val="20"/>
        </w:rPr>
        <w:t>应向</w:t>
      </w:r>
      <w:r>
        <w:rPr>
          <w:rFonts w:ascii="宋体" w:hAnsi="宋体" w:eastAsia="宋体" w:cs="Arial"/>
          <w:color w:val="000000"/>
          <w:kern w:val="0"/>
          <w:szCs w:val="20"/>
        </w:rPr>
        <w:t>买方提供下列文件：</w:t>
      </w:r>
    </w:p>
    <w:p>
      <w:pPr>
        <w:snapToGrid w:val="0"/>
        <w:spacing w:line="380" w:lineRule="exact"/>
        <w:ind w:left="720"/>
        <w:rPr>
          <w:rFonts w:ascii="宋体" w:hAnsi="宋体" w:eastAsia="宋体" w:cs="Times New Roman"/>
          <w:color w:val="000000"/>
          <w:kern w:val="0"/>
          <w:szCs w:val="20"/>
        </w:rPr>
      </w:pPr>
      <w:r>
        <w:rPr>
          <w:rFonts w:ascii="宋体" w:hAnsi="宋体" w:eastAsia="宋体" w:cs="Times New Roman"/>
          <w:color w:val="000000"/>
          <w:kern w:val="0"/>
          <w:szCs w:val="20"/>
        </w:rPr>
        <w:t>投标书中应附所投货物的样本资料</w:t>
      </w:r>
      <w:r>
        <w:rPr>
          <w:rFonts w:hint="eastAsia" w:ascii="宋体" w:hAnsi="宋体" w:eastAsia="宋体" w:cs="Times New Roman"/>
          <w:color w:val="000000"/>
          <w:kern w:val="0"/>
          <w:szCs w:val="20"/>
        </w:rPr>
        <w:t>；</w:t>
      </w:r>
    </w:p>
    <w:p>
      <w:pPr>
        <w:snapToGrid w:val="0"/>
        <w:spacing w:line="380" w:lineRule="exact"/>
        <w:ind w:left="720"/>
        <w:rPr>
          <w:rFonts w:ascii="宋体" w:hAnsi="宋体" w:eastAsia="宋体" w:cs="Times New Roman"/>
          <w:color w:val="000000"/>
          <w:kern w:val="0"/>
          <w:szCs w:val="20"/>
        </w:rPr>
      </w:pPr>
      <w:r>
        <w:rPr>
          <w:rFonts w:ascii="宋体" w:hAnsi="宋体" w:eastAsia="宋体" w:cs="Times New Roman"/>
          <w:color w:val="000000"/>
          <w:kern w:val="0"/>
          <w:szCs w:val="20"/>
        </w:rPr>
        <w:t>检验记录，试验报告和质量合格证，以及出厂报告；</w:t>
      </w:r>
    </w:p>
    <w:p>
      <w:pPr>
        <w:snapToGrid w:val="0"/>
        <w:spacing w:line="380" w:lineRule="exact"/>
        <w:ind w:left="720"/>
        <w:rPr>
          <w:rFonts w:ascii="宋体" w:hAnsi="宋体" w:eastAsia="宋体" w:cs="Times New Roman"/>
          <w:color w:val="000000"/>
          <w:kern w:val="0"/>
          <w:szCs w:val="20"/>
        </w:rPr>
      </w:pPr>
      <w:r>
        <w:rPr>
          <w:rFonts w:ascii="宋体" w:hAnsi="宋体" w:eastAsia="宋体" w:cs="Times New Roman"/>
          <w:color w:val="000000"/>
          <w:kern w:val="0"/>
          <w:szCs w:val="20"/>
        </w:rPr>
        <w:t>货物发运和装箱的详细清单；</w:t>
      </w:r>
    </w:p>
    <w:p>
      <w:pPr>
        <w:snapToGrid w:val="0"/>
        <w:spacing w:line="380" w:lineRule="exact"/>
        <w:ind w:left="720"/>
        <w:rPr>
          <w:rFonts w:ascii="宋体" w:hAnsi="宋体" w:eastAsia="宋体" w:cs="Times New Roman"/>
          <w:color w:val="000000"/>
          <w:kern w:val="0"/>
          <w:szCs w:val="20"/>
        </w:rPr>
      </w:pPr>
      <w:r>
        <w:rPr>
          <w:rFonts w:ascii="宋体" w:hAnsi="宋体" w:eastAsia="宋体" w:cs="Times New Roman"/>
          <w:color w:val="000000"/>
          <w:kern w:val="0"/>
          <w:szCs w:val="20"/>
        </w:rPr>
        <w:t>按有关标准、规程规定应提交的技术文件、资料。</w:t>
      </w:r>
    </w:p>
    <w:p>
      <w:pPr>
        <w:numPr>
          <w:ilvl w:val="0"/>
          <w:numId w:val="22"/>
        </w:numPr>
        <w:tabs>
          <w:tab w:val="left" w:pos="720"/>
          <w:tab w:val="clear" w:pos="567"/>
        </w:tabs>
        <w:spacing w:line="380" w:lineRule="exact"/>
        <w:ind w:left="720" w:hanging="720"/>
        <w:rPr>
          <w:rFonts w:ascii="宋体" w:hAnsi="宋体" w:eastAsia="宋体" w:cs="Arial"/>
          <w:bCs/>
          <w:color w:val="000000"/>
          <w:kern w:val="0"/>
          <w:szCs w:val="20"/>
        </w:rPr>
      </w:pPr>
      <w:r>
        <w:rPr>
          <w:rFonts w:ascii="宋体" w:hAnsi="宋体" w:eastAsia="宋体" w:cs="Arial"/>
          <w:color w:val="000000"/>
          <w:kern w:val="0"/>
          <w:szCs w:val="20"/>
        </w:rPr>
        <w:t>免费保修要求：</w:t>
      </w:r>
    </w:p>
    <w:p>
      <w:pPr>
        <w:spacing w:line="380" w:lineRule="exact"/>
        <w:ind w:left="714" w:hanging="714" w:hangingChars="340"/>
        <w:rPr>
          <w:rFonts w:ascii="宋体" w:hAnsi="宋体" w:eastAsia="宋体" w:cs="Arial"/>
          <w:color w:val="000000"/>
          <w:kern w:val="0"/>
          <w:szCs w:val="20"/>
        </w:rPr>
      </w:pPr>
      <w:r>
        <w:rPr>
          <w:rFonts w:hint="eastAsia" w:ascii="宋体" w:hAnsi="宋体" w:eastAsia="宋体" w:cs="Arial"/>
          <w:color w:val="000000"/>
          <w:kern w:val="0"/>
          <w:szCs w:val="20"/>
        </w:rPr>
        <w:t>8.1    维修技术服务。出现质量问题而买方无法自行解决的，卖方在接到买方的维修电话或传真通知后30分钟内作出响应，电话沟通无法解决的，卖方维修人员应在2小时内到达现场进行维修（包括更换零部件），排除故障，重大质量问题一时无法解决的，卖方应提出解决问题的应急处理预案。提供7×24小时电话咨询服务。</w:t>
      </w:r>
    </w:p>
    <w:p>
      <w:pPr>
        <w:spacing w:line="380" w:lineRule="exact"/>
        <w:ind w:left="718" w:hanging="718" w:hangingChars="342"/>
        <w:rPr>
          <w:rFonts w:ascii="宋体" w:hAnsi="宋体" w:eastAsia="宋体" w:cs="Arial"/>
          <w:color w:val="000000"/>
          <w:kern w:val="0"/>
          <w:szCs w:val="20"/>
        </w:rPr>
      </w:pPr>
      <w:r>
        <w:rPr>
          <w:rFonts w:hint="eastAsia" w:ascii="宋体" w:hAnsi="宋体" w:eastAsia="宋体" w:cs="Arial"/>
          <w:color w:val="000000"/>
          <w:kern w:val="0"/>
          <w:szCs w:val="20"/>
        </w:rPr>
        <w:t>8.2    合同规定的期限内，卖方应派遣有经验的工程技术人员在安装调试现场对买方指派人员进行操作和保养培训，使其能独立操作、维护、包养。培训计划方案（培训人数、时间、地点、教材、费用</w:t>
      </w:r>
      <w:r>
        <w:rPr>
          <w:rFonts w:ascii="宋体" w:hAnsi="宋体" w:eastAsia="宋体" w:cs="Arial"/>
          <w:color w:val="000000"/>
          <w:kern w:val="0"/>
          <w:szCs w:val="20"/>
        </w:rPr>
        <w:t>）</w:t>
      </w:r>
      <w:r>
        <w:rPr>
          <w:rFonts w:hint="eastAsia" w:ascii="宋体" w:hAnsi="宋体" w:eastAsia="宋体" w:cs="Arial"/>
          <w:color w:val="000000"/>
          <w:kern w:val="0"/>
          <w:szCs w:val="20"/>
        </w:rPr>
        <w:t>应在投标文件中详细说明。其费用可单独报价，计入投标总价，如免费培训需在投标文件中作出说明。</w:t>
      </w:r>
    </w:p>
    <w:p>
      <w:pPr>
        <w:spacing w:line="380" w:lineRule="exact"/>
        <w:ind w:left="512" w:hanging="512" w:hangingChars="244"/>
        <w:rPr>
          <w:rFonts w:ascii="宋体" w:hAnsi="宋体" w:eastAsia="宋体" w:cs="Arial"/>
          <w:color w:val="000000"/>
          <w:kern w:val="0"/>
          <w:szCs w:val="20"/>
        </w:rPr>
      </w:pPr>
      <w:r>
        <w:rPr>
          <w:rFonts w:hint="eastAsia" w:ascii="宋体" w:hAnsi="宋体" w:eastAsia="宋体" w:cs="Arial"/>
          <w:color w:val="000000"/>
          <w:kern w:val="0"/>
          <w:szCs w:val="20"/>
        </w:rPr>
        <w:t>8.3    质保期内，卖方需免费提供每年不少于2次的回访维护保养。</w:t>
      </w:r>
    </w:p>
    <w:p>
      <w:pPr>
        <w:spacing w:line="380" w:lineRule="exact"/>
        <w:ind w:left="735" w:hanging="735" w:hangingChars="350"/>
        <w:rPr>
          <w:rFonts w:ascii="宋体" w:hAnsi="宋体" w:eastAsia="宋体" w:cs="Arial"/>
          <w:color w:val="000000"/>
          <w:kern w:val="0"/>
          <w:szCs w:val="20"/>
        </w:rPr>
      </w:pPr>
      <w:r>
        <w:rPr>
          <w:rFonts w:hint="eastAsia" w:ascii="宋体" w:hAnsi="宋体" w:eastAsia="宋体" w:cs="Arial"/>
          <w:color w:val="000000"/>
          <w:kern w:val="0"/>
          <w:szCs w:val="20"/>
        </w:rPr>
        <w:t>8.4    质保期满后，卖方工程技术、维修人员也须不定期的进行回访，并为买方提供优质、优价的终身维修和产品维护包养。</w:t>
      </w:r>
    </w:p>
    <w:p>
      <w:pPr>
        <w:numPr>
          <w:ilvl w:val="0"/>
          <w:numId w:val="22"/>
        </w:numPr>
        <w:tabs>
          <w:tab w:val="left" w:pos="720"/>
          <w:tab w:val="clear" w:pos="567"/>
        </w:tabs>
        <w:spacing w:line="380" w:lineRule="exact"/>
        <w:ind w:left="720" w:hanging="720"/>
        <w:rPr>
          <w:rFonts w:ascii="宋体" w:hAnsi="宋体" w:eastAsia="宋体" w:cs="Arial"/>
          <w:color w:val="000000"/>
          <w:kern w:val="0"/>
          <w:szCs w:val="20"/>
        </w:rPr>
      </w:pPr>
      <w:r>
        <w:rPr>
          <w:rFonts w:ascii="宋体" w:hAnsi="宋体" w:eastAsia="宋体" w:cs="Times New Roman"/>
          <w:bCs/>
          <w:color w:val="000000"/>
          <w:kern w:val="0"/>
          <w:szCs w:val="20"/>
        </w:rPr>
        <w:t>备件</w:t>
      </w:r>
      <w:r>
        <w:rPr>
          <w:rFonts w:ascii="宋体" w:hAnsi="宋体" w:eastAsia="宋体" w:cs="Arial"/>
          <w:color w:val="000000"/>
          <w:kern w:val="0"/>
          <w:szCs w:val="20"/>
        </w:rPr>
        <w:t>供应：</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Arial"/>
          <w:color w:val="000000"/>
          <w:kern w:val="0"/>
          <w:szCs w:val="20"/>
        </w:rPr>
        <w:t>卖方供货时应提供一定量的常用备品备件给买方。</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Arial"/>
          <w:color w:val="000000"/>
          <w:kern w:val="0"/>
          <w:szCs w:val="20"/>
        </w:rPr>
        <w:t>卖方确保有足够的原厂备件、附件和易损件满足正常使用需要。</w:t>
      </w:r>
    </w:p>
    <w:p>
      <w:pPr>
        <w:numPr>
          <w:ilvl w:val="1"/>
          <w:numId w:val="22"/>
        </w:numPr>
        <w:tabs>
          <w:tab w:val="left" w:pos="720"/>
          <w:tab w:val="clear" w:pos="680"/>
        </w:tabs>
        <w:spacing w:line="380" w:lineRule="exact"/>
        <w:ind w:left="720" w:hanging="720"/>
        <w:rPr>
          <w:rFonts w:ascii="宋体" w:hAnsi="宋体" w:eastAsia="宋体" w:cs="Arial"/>
          <w:color w:val="000000"/>
          <w:kern w:val="0"/>
          <w:szCs w:val="20"/>
        </w:rPr>
      </w:pPr>
      <w:r>
        <w:rPr>
          <w:rFonts w:hint="eastAsia" w:ascii="宋体" w:hAnsi="宋体" w:eastAsia="宋体" w:cs="Arial"/>
          <w:color w:val="000000"/>
          <w:kern w:val="0"/>
          <w:szCs w:val="20"/>
        </w:rPr>
        <w:t>投标时提供推荐常用备件清单，并承诺优惠供货价格。</w:t>
      </w:r>
    </w:p>
    <w:p>
      <w:pPr>
        <w:spacing w:line="380" w:lineRule="exact"/>
        <w:outlineLvl w:val="0"/>
        <w:rPr>
          <w:rFonts w:ascii="宋体" w:hAnsi="宋体" w:eastAsia="宋体" w:cs="Times New Roman"/>
          <w:b/>
          <w:kern w:val="0"/>
          <w:sz w:val="22"/>
          <w:szCs w:val="20"/>
        </w:rPr>
      </w:pPr>
      <w:r>
        <w:rPr>
          <w:rFonts w:hint="eastAsia" w:ascii="宋体" w:hAnsi="宋体" w:eastAsia="宋体" w:cs="Times New Roman"/>
          <w:b/>
          <w:kern w:val="0"/>
          <w:sz w:val="22"/>
          <w:szCs w:val="20"/>
        </w:rPr>
        <w:t>四、商务条款</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1、保质期与售后服务：</w:t>
      </w:r>
    </w:p>
    <w:p>
      <w:pPr>
        <w:adjustRightInd w:val="0"/>
        <w:snapToGrid w:val="0"/>
        <w:spacing w:line="380" w:lineRule="exact"/>
        <w:ind w:firstLine="480"/>
        <w:rPr>
          <w:rFonts w:ascii="宋体" w:hAnsi="宋体" w:eastAsia="宋体" w:cs="Times New Roman"/>
          <w:b/>
          <w:kern w:val="0"/>
          <w:sz w:val="22"/>
          <w:u w:val="single"/>
        </w:rPr>
      </w:pPr>
      <w:r>
        <w:rPr>
          <w:rFonts w:hint="eastAsia" w:ascii="宋体" w:hAnsi="宋体" w:eastAsia="宋体" w:cs="Times New Roman"/>
          <w:b/>
          <w:kern w:val="0"/>
          <w:sz w:val="22"/>
          <w:szCs w:val="20"/>
        </w:rPr>
        <w:t>▲</w:t>
      </w:r>
      <w:r>
        <w:rPr>
          <w:rFonts w:hint="eastAsia" w:ascii="宋体" w:hAnsi="宋体" w:eastAsia="宋体" w:cs="Times New Roman"/>
          <w:b/>
          <w:kern w:val="0"/>
          <w:sz w:val="22"/>
          <w:szCs w:val="20"/>
          <w:u w:val="single"/>
        </w:rPr>
        <w:t>本项目所有货物质保期均为2年，</w:t>
      </w:r>
      <w:r>
        <w:rPr>
          <w:rFonts w:hint="eastAsia" w:ascii="宋体" w:hAnsi="宋体" w:eastAsia="宋体" w:cs="Times New Roman"/>
          <w:b/>
          <w:kern w:val="0"/>
          <w:sz w:val="22"/>
          <w:u w:val="single"/>
        </w:rPr>
        <w:t>质保期从验收合格交付使用之日起算。</w:t>
      </w:r>
    </w:p>
    <w:p>
      <w:pPr>
        <w:widowControl/>
        <w:autoSpaceDE w:val="0"/>
        <w:autoSpaceDN w:val="0"/>
        <w:adjustRightInd w:val="0"/>
        <w:spacing w:line="380" w:lineRule="exact"/>
        <w:ind w:firstLine="440" w:firstLineChars="200"/>
        <w:textAlignment w:val="bottom"/>
        <w:rPr>
          <w:rFonts w:ascii="宋体" w:hAnsi="宋体" w:eastAsia="宋体" w:cs="Times New Roman"/>
          <w:kern w:val="0"/>
          <w:sz w:val="22"/>
          <w:szCs w:val="20"/>
        </w:rPr>
      </w:pPr>
      <w:r>
        <w:rPr>
          <w:rFonts w:hint="eastAsia" w:ascii="宋体" w:hAnsi="宋体" w:eastAsia="宋体" w:cs="Times New Roman"/>
          <w:kern w:val="0"/>
          <w:sz w:val="22"/>
          <w:szCs w:val="20"/>
        </w:rPr>
        <w:t>2、送货：</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供应商必须在投标文件中列出详细的送货安装计划。要求投标文件中提供送货安装时间计划表。计划中必须包括人员配置、车辆安排等详尽的计划。供应商须写明如果达不到送货安装承诺后采购人对自己的惩罚措施。</w:t>
      </w:r>
    </w:p>
    <w:p>
      <w:pPr>
        <w:widowControl/>
        <w:autoSpaceDE w:val="0"/>
        <w:autoSpaceDN w:val="0"/>
        <w:adjustRightInd w:val="0"/>
        <w:spacing w:line="380" w:lineRule="exact"/>
        <w:ind w:firstLine="440" w:firstLineChars="200"/>
        <w:textAlignment w:val="bottom"/>
        <w:rPr>
          <w:rFonts w:ascii="宋体" w:hAnsi="宋体" w:eastAsia="宋体" w:cs="Times New Roman"/>
          <w:kern w:val="0"/>
          <w:sz w:val="22"/>
          <w:szCs w:val="20"/>
        </w:rPr>
      </w:pPr>
      <w:r>
        <w:rPr>
          <w:rFonts w:hint="eastAsia" w:ascii="宋体" w:hAnsi="宋体" w:eastAsia="宋体" w:cs="Times New Roman"/>
          <w:kern w:val="0"/>
          <w:sz w:val="22"/>
          <w:szCs w:val="20"/>
        </w:rPr>
        <w:t>3、安装调试：</w:t>
      </w:r>
    </w:p>
    <w:p>
      <w:pPr>
        <w:widowControl/>
        <w:autoSpaceDE w:val="0"/>
        <w:autoSpaceDN w:val="0"/>
        <w:adjustRightInd w:val="0"/>
        <w:spacing w:line="380" w:lineRule="exact"/>
        <w:ind w:firstLine="440" w:firstLineChars="200"/>
        <w:textAlignment w:val="bottom"/>
        <w:rPr>
          <w:rFonts w:ascii="宋体" w:hAnsi="宋体" w:eastAsia="宋体" w:cs="Times New Roman"/>
          <w:kern w:val="0"/>
          <w:sz w:val="22"/>
          <w:szCs w:val="20"/>
          <w:u w:val="single"/>
        </w:rPr>
      </w:pPr>
      <w:r>
        <w:rPr>
          <w:rFonts w:hint="eastAsia" w:ascii="宋体" w:hAnsi="宋体" w:eastAsia="宋体" w:cs="Times New Roman"/>
          <w:kern w:val="0"/>
          <w:sz w:val="22"/>
          <w:szCs w:val="20"/>
        </w:rPr>
        <w:t>3.1.送货安装地点：</w:t>
      </w:r>
      <w:r>
        <w:rPr>
          <w:rFonts w:hint="eastAsia" w:ascii="宋体" w:hAnsi="宋体" w:eastAsia="宋体" w:cs="Times New Roman"/>
          <w:kern w:val="0"/>
          <w:sz w:val="22"/>
          <w:szCs w:val="20"/>
          <w:u w:val="single"/>
        </w:rPr>
        <w:t>要求供应商送货到学校并安装调试。供应商报价应充分考虑送货与安装风险。</w:t>
      </w:r>
    </w:p>
    <w:p>
      <w:pPr>
        <w:widowControl/>
        <w:autoSpaceDE w:val="0"/>
        <w:autoSpaceDN w:val="0"/>
        <w:adjustRightInd w:val="0"/>
        <w:spacing w:line="380" w:lineRule="exact"/>
        <w:ind w:firstLine="440" w:firstLineChars="200"/>
        <w:textAlignment w:val="bottom"/>
        <w:rPr>
          <w:rFonts w:ascii="宋体" w:hAnsi="宋体" w:eastAsia="宋体" w:cs="Times New Roman"/>
          <w:kern w:val="0"/>
          <w:sz w:val="22"/>
          <w:szCs w:val="20"/>
        </w:rPr>
      </w:pPr>
      <w:r>
        <w:rPr>
          <w:rFonts w:hint="eastAsia" w:ascii="宋体" w:hAnsi="宋体" w:eastAsia="宋体" w:cs="Times New Roman"/>
          <w:kern w:val="0"/>
          <w:sz w:val="22"/>
          <w:szCs w:val="20"/>
        </w:rPr>
        <w:t>3.2.安装调试与安装标准：提供现场的安装调试直至合格。提供的货物与安装应符合招标文件与我国国家有关技术规范要求和技术标准。</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3.3.送货、安装过程中发生的费用由中标供应商负责。</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3.4.供应商应在投标文件中提出其安装调试过程中使用单位需配合的内容。</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4、合同验收</w:t>
      </w:r>
    </w:p>
    <w:p>
      <w:pPr>
        <w:adjustRightInd w:val="0"/>
        <w:snapToGrid w:val="0"/>
        <w:spacing w:line="380" w:lineRule="exact"/>
        <w:ind w:firstLine="480"/>
        <w:rPr>
          <w:rFonts w:ascii="宋体" w:hAnsi="宋体" w:eastAsia="宋体" w:cs="Times New Roman"/>
          <w:kern w:val="0"/>
          <w:sz w:val="22"/>
        </w:rPr>
      </w:pPr>
      <w:r>
        <w:rPr>
          <w:rFonts w:hint="eastAsia" w:ascii="宋体" w:hAnsi="宋体" w:eastAsia="宋体" w:cs="Times New Roman"/>
          <w:kern w:val="0"/>
          <w:sz w:val="22"/>
        </w:rPr>
        <w:t>1、中标供应商须提供符合招标文件和国家相关质量标准的全新合格货物。如发生所供货物与现行国家政策法规、合同约定不符，采购人有权拒收、退货、解除合同，或者中标供应商予以免费更换。</w:t>
      </w:r>
    </w:p>
    <w:p>
      <w:pPr>
        <w:adjustRightInd w:val="0"/>
        <w:spacing w:line="380" w:lineRule="exact"/>
        <w:ind w:firstLine="431" w:firstLineChars="196"/>
        <w:rPr>
          <w:rFonts w:ascii="宋体" w:hAnsi="宋体" w:eastAsia="宋体" w:cs="Times New Roman"/>
          <w:kern w:val="0"/>
          <w:sz w:val="22"/>
        </w:rPr>
      </w:pPr>
      <w:r>
        <w:rPr>
          <w:rFonts w:hint="eastAsia" w:ascii="宋体" w:hAnsi="宋体" w:eastAsia="宋体" w:cs="Times New Roman"/>
          <w:kern w:val="0"/>
          <w:sz w:val="22"/>
        </w:rPr>
        <w:t>2、本次招标的货物如涉及国家规定强制认证的，供应商未在投标文件偏离表中</w:t>
      </w:r>
      <w:r>
        <w:rPr>
          <w:rFonts w:hint="eastAsia" w:ascii="宋体" w:hAnsi="宋体" w:eastAsia="宋体" w:cs="Times New Roman"/>
          <w:b/>
          <w:kern w:val="0"/>
          <w:sz w:val="22"/>
        </w:rPr>
        <w:t>用明显字体予以声明的，</w:t>
      </w:r>
      <w:r>
        <w:rPr>
          <w:rFonts w:hint="eastAsia" w:ascii="宋体" w:hAnsi="宋体" w:eastAsia="宋体" w:cs="Times New Roman"/>
          <w:kern w:val="0"/>
          <w:sz w:val="22"/>
        </w:rPr>
        <w:t>均视为供应商投标产品符合了</w:t>
      </w:r>
      <w:r>
        <w:rPr>
          <w:rFonts w:ascii="宋体" w:hAnsi="宋体" w:eastAsia="宋体" w:cs="Times New Roman"/>
          <w:kern w:val="0"/>
          <w:sz w:val="22"/>
        </w:rPr>
        <w:t>强制认证规定</w:t>
      </w:r>
      <w:r>
        <w:rPr>
          <w:rFonts w:hint="eastAsia" w:ascii="宋体" w:hAnsi="宋体" w:eastAsia="宋体" w:cs="Times New Roman"/>
          <w:kern w:val="0"/>
          <w:sz w:val="22"/>
        </w:rPr>
        <w:t>（如工业品生产许可证，</w:t>
      </w:r>
      <w:r>
        <w:rPr>
          <w:rFonts w:ascii="宋体" w:hAnsi="宋体" w:eastAsia="宋体" w:cs="Times New Roman"/>
          <w:kern w:val="0"/>
          <w:sz w:val="22"/>
        </w:rPr>
        <w:t>3C认证</w:t>
      </w:r>
      <w:r>
        <w:rPr>
          <w:rFonts w:hint="eastAsia" w:ascii="宋体" w:hAnsi="宋体" w:eastAsia="宋体" w:cs="Times New Roman"/>
          <w:kern w:val="0"/>
          <w:sz w:val="22"/>
        </w:rPr>
        <w:t>，</w:t>
      </w:r>
      <w:r>
        <w:rPr>
          <w:rFonts w:ascii="宋体" w:hAnsi="宋体" w:eastAsia="宋体" w:cs="Times New Roman"/>
          <w:kern w:val="0"/>
          <w:sz w:val="22"/>
        </w:rPr>
        <w:t>等</w:t>
      </w:r>
      <w:r>
        <w:rPr>
          <w:rFonts w:hint="eastAsia" w:ascii="宋体" w:hAnsi="宋体" w:eastAsia="宋体" w:cs="Times New Roman"/>
          <w:kern w:val="0"/>
          <w:sz w:val="22"/>
        </w:rPr>
        <w:t>等）</w:t>
      </w:r>
      <w:r>
        <w:rPr>
          <w:rFonts w:ascii="宋体" w:hAnsi="宋体" w:eastAsia="宋体" w:cs="Times New Roman"/>
          <w:kern w:val="0"/>
          <w:sz w:val="22"/>
        </w:rPr>
        <w:t>，中标供应商须在采购人对上述</w:t>
      </w:r>
      <w:r>
        <w:rPr>
          <w:rFonts w:hint="eastAsia" w:ascii="宋体" w:hAnsi="宋体" w:eastAsia="宋体" w:cs="Times New Roman"/>
          <w:kern w:val="0"/>
          <w:sz w:val="22"/>
        </w:rPr>
        <w:t>货物</w:t>
      </w:r>
      <w:r>
        <w:rPr>
          <w:rFonts w:ascii="宋体" w:hAnsi="宋体" w:eastAsia="宋体" w:cs="Times New Roman"/>
          <w:kern w:val="0"/>
          <w:sz w:val="22"/>
        </w:rPr>
        <w:t>验收时提供相关证书证明资料（上述</w:t>
      </w:r>
      <w:r>
        <w:rPr>
          <w:rFonts w:hint="eastAsia" w:ascii="宋体" w:hAnsi="宋体" w:eastAsia="宋体" w:cs="Times New Roman"/>
          <w:kern w:val="0"/>
          <w:sz w:val="22"/>
        </w:rPr>
        <w:t>产品</w:t>
      </w:r>
      <w:r>
        <w:rPr>
          <w:rFonts w:ascii="宋体" w:hAnsi="宋体" w:eastAsia="宋体" w:cs="Times New Roman"/>
          <w:kern w:val="0"/>
          <w:sz w:val="22"/>
        </w:rPr>
        <w:t>相关强制认证的证明文件投标时不需提供</w:t>
      </w:r>
      <w:r>
        <w:rPr>
          <w:rFonts w:hint="eastAsia" w:ascii="宋体" w:hAnsi="宋体" w:eastAsia="宋体" w:cs="Times New Roman"/>
          <w:kern w:val="0"/>
          <w:sz w:val="22"/>
        </w:rPr>
        <w:t>，招标文件另有要求的除外</w:t>
      </w:r>
      <w:r>
        <w:rPr>
          <w:rFonts w:ascii="宋体" w:hAnsi="宋体" w:eastAsia="宋体" w:cs="Times New Roman"/>
          <w:kern w:val="0"/>
          <w:sz w:val="22"/>
        </w:rPr>
        <w:t>），否则</w:t>
      </w:r>
      <w:r>
        <w:rPr>
          <w:rFonts w:hint="eastAsia" w:ascii="宋体" w:hAnsi="宋体" w:eastAsia="宋体" w:cs="Times New Roman"/>
          <w:kern w:val="0"/>
          <w:sz w:val="22"/>
        </w:rPr>
        <w:t>按</w:t>
      </w:r>
      <w:r>
        <w:rPr>
          <w:rFonts w:ascii="宋体" w:hAnsi="宋体" w:eastAsia="宋体" w:cs="Times New Roman"/>
          <w:kern w:val="0"/>
          <w:sz w:val="22"/>
        </w:rPr>
        <w:t>验收不能通过</w:t>
      </w:r>
      <w:r>
        <w:rPr>
          <w:rFonts w:hint="eastAsia" w:ascii="宋体" w:hAnsi="宋体" w:eastAsia="宋体" w:cs="Times New Roman"/>
          <w:kern w:val="0"/>
          <w:sz w:val="22"/>
        </w:rPr>
        <w:t>，采购人给予退货、解除合同或经采购人同意换货</w:t>
      </w:r>
      <w:r>
        <w:rPr>
          <w:rFonts w:ascii="宋体" w:hAnsi="宋体" w:eastAsia="宋体" w:cs="Times New Roman"/>
          <w:kern w:val="0"/>
          <w:sz w:val="22"/>
        </w:rPr>
        <w:t>处理，</w:t>
      </w:r>
      <w:r>
        <w:rPr>
          <w:rFonts w:hint="eastAsia" w:ascii="宋体" w:hAnsi="宋体" w:eastAsia="宋体" w:cs="Times New Roman"/>
          <w:kern w:val="0"/>
          <w:sz w:val="22"/>
        </w:rPr>
        <w:t>中标供应商自行承担由此造成的损失</w:t>
      </w:r>
      <w:r>
        <w:rPr>
          <w:rFonts w:ascii="宋体" w:hAnsi="宋体" w:eastAsia="宋体" w:cs="Times New Roman"/>
          <w:kern w:val="0"/>
          <w:sz w:val="22"/>
        </w:rPr>
        <w:t>。</w:t>
      </w:r>
    </w:p>
    <w:p>
      <w:pPr>
        <w:adjustRightInd w:val="0"/>
        <w:spacing w:line="380" w:lineRule="exact"/>
        <w:ind w:firstLine="431" w:firstLineChars="196"/>
        <w:rPr>
          <w:rFonts w:ascii="宋体" w:hAnsi="宋体" w:eastAsia="宋体" w:cs="Times New Roman"/>
          <w:kern w:val="0"/>
          <w:sz w:val="22"/>
          <w:szCs w:val="20"/>
        </w:rPr>
      </w:pPr>
      <w:r>
        <w:rPr>
          <w:rFonts w:ascii="宋体" w:hAnsi="宋体" w:eastAsia="宋体" w:cs="Times New Roman"/>
          <w:kern w:val="0"/>
          <w:sz w:val="22"/>
        </w:rPr>
        <w:t>3</w:t>
      </w:r>
      <w:r>
        <w:rPr>
          <w:rFonts w:hint="eastAsia" w:ascii="宋体" w:hAnsi="宋体" w:eastAsia="宋体" w:cs="Times New Roman"/>
          <w:kern w:val="0"/>
          <w:sz w:val="22"/>
        </w:rPr>
        <w:t>、以上两条款因素导致工期延误的，采购人有权扣罚全部履约保证金，履约保证金不足以弥补采购人损失的，采购人有权向供应商依法索赔。</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6、工期</w:t>
      </w:r>
    </w:p>
    <w:p>
      <w:pPr>
        <w:widowControl/>
        <w:autoSpaceDE w:val="0"/>
        <w:autoSpaceDN w:val="0"/>
        <w:adjustRightInd w:val="0"/>
        <w:spacing w:line="380" w:lineRule="exact"/>
        <w:ind w:firstLine="442" w:firstLineChars="200"/>
        <w:textAlignment w:val="bottom"/>
        <w:rPr>
          <w:rFonts w:ascii="宋体" w:hAnsi="宋体" w:eastAsia="宋体" w:cs="Times New Roman"/>
          <w:b/>
          <w:kern w:val="0"/>
          <w:sz w:val="22"/>
          <w:szCs w:val="20"/>
        </w:rPr>
      </w:pPr>
      <w:r>
        <w:rPr>
          <w:rFonts w:hint="eastAsia" w:ascii="宋体" w:hAnsi="宋体" w:eastAsia="宋体" w:cs="Times New Roman"/>
          <w:b/>
          <w:kern w:val="0"/>
          <w:sz w:val="22"/>
          <w:szCs w:val="20"/>
        </w:rPr>
        <w:t>▲中标供应商在合同签订后</w:t>
      </w:r>
      <w:r>
        <w:rPr>
          <w:rFonts w:ascii="宋体" w:hAnsi="宋体" w:eastAsia="宋体" w:cs="Times New Roman"/>
          <w:b/>
          <w:kern w:val="0"/>
          <w:sz w:val="22"/>
          <w:szCs w:val="20"/>
        </w:rPr>
        <w:t>30</w:t>
      </w:r>
      <w:r>
        <w:rPr>
          <w:rFonts w:hint="eastAsia" w:ascii="宋体" w:hAnsi="宋体" w:eastAsia="宋体" w:cs="Times New Roman"/>
          <w:b/>
          <w:kern w:val="0"/>
          <w:sz w:val="22"/>
          <w:szCs w:val="20"/>
        </w:rPr>
        <w:t>日历天内交货并通过采购人验收。</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b/>
          <w:kern w:val="0"/>
          <w:sz w:val="22"/>
          <w:szCs w:val="20"/>
        </w:rPr>
        <w:t>7、</w:t>
      </w:r>
      <w:r>
        <w:rPr>
          <w:rFonts w:hint="eastAsia" w:ascii="宋体" w:hAnsi="宋体" w:eastAsia="宋体" w:cs="Times New Roman"/>
          <w:kern w:val="0"/>
          <w:sz w:val="22"/>
          <w:szCs w:val="20"/>
        </w:rPr>
        <w:t xml:space="preserve">付款方式： </w:t>
      </w:r>
    </w:p>
    <w:p>
      <w:pPr>
        <w:adjustRightInd w:val="0"/>
        <w:snapToGrid w:val="0"/>
        <w:spacing w:line="380" w:lineRule="exact"/>
        <w:ind w:firstLine="480"/>
        <w:rPr>
          <w:rFonts w:ascii="宋体" w:hAnsi="宋体" w:eastAsia="宋体" w:cs="Times New Roman"/>
          <w:b/>
          <w:color w:val="000000" w:themeColor="text1"/>
          <w:kern w:val="0"/>
          <w:sz w:val="22"/>
          <w:szCs w:val="20"/>
          <w:u w:val="single"/>
        </w:rPr>
      </w:pPr>
      <w:r>
        <w:rPr>
          <w:rFonts w:hint="eastAsia" w:ascii="宋体" w:hAnsi="宋体" w:eastAsia="宋体" w:cs="Times New Roman"/>
          <w:b/>
          <w:color w:val="000000" w:themeColor="text1"/>
          <w:kern w:val="0"/>
          <w:sz w:val="22"/>
          <w:szCs w:val="20"/>
          <w:u w:val="single"/>
        </w:rPr>
        <w:t>▲在合同签订前卖方提供合同总金额5%的履约保证金；在设备供应齐全且安装、调试完毕，经验收合格后，七日内由甲方向乙方一次性支付合同总金额100%货款；履约保证金自动转为产品质量保证金，质量保证期满24个月后无质量问题7天内一次付清（无息）。</w:t>
      </w:r>
    </w:p>
    <w:p>
      <w:pPr>
        <w:widowControl/>
        <w:spacing w:line="380" w:lineRule="exact"/>
        <w:ind w:firstLine="540"/>
        <w:jc w:val="left"/>
        <w:rPr>
          <w:rFonts w:ascii="宋体" w:hAnsi="宋体" w:eastAsia="宋体" w:cs="Times New Roman"/>
          <w:b/>
          <w:kern w:val="0"/>
          <w:sz w:val="22"/>
          <w:szCs w:val="20"/>
        </w:rPr>
      </w:pPr>
      <w:bookmarkStart w:id="12" w:name="_Toc494407530"/>
      <w:r>
        <w:rPr>
          <w:rFonts w:hint="eastAsia" w:ascii="宋体" w:hAnsi="宋体" w:eastAsia="宋体" w:cs="Times New Roman"/>
          <w:b/>
          <w:kern w:val="0"/>
          <w:sz w:val="22"/>
          <w:szCs w:val="20"/>
        </w:rPr>
        <w:t>五、工作范围：</w:t>
      </w:r>
      <w:bookmarkEnd w:id="12"/>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根据招标文件，各供应商须按国家有关标准及规范完成下列工作：</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1.提供完整成套的货物；</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2.产品及相关附件的提供、运输、装卸、就位、安装、调试、检验、通过验收；</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3.完成各项安装、调试、检验、测试工作，并在采购人的配合下通过的验收；提供各种数据资料；直至通过验收。</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4.对最终使用单位的操作人员及维修人员进行技术培训；</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5.质保期内的维保及维修；</w:t>
      </w:r>
    </w:p>
    <w:p>
      <w:pPr>
        <w:adjustRightInd w:val="0"/>
        <w:snapToGrid w:val="0"/>
        <w:spacing w:line="380" w:lineRule="exact"/>
        <w:ind w:firstLine="480"/>
        <w:rPr>
          <w:rFonts w:ascii="宋体" w:hAnsi="宋体" w:eastAsia="宋体" w:cs="Times New Roman"/>
          <w:kern w:val="0"/>
          <w:sz w:val="22"/>
          <w:szCs w:val="20"/>
        </w:rPr>
      </w:pPr>
      <w:r>
        <w:rPr>
          <w:rFonts w:hint="eastAsia" w:ascii="宋体" w:hAnsi="宋体" w:eastAsia="宋体" w:cs="Times New Roman"/>
          <w:kern w:val="0"/>
          <w:sz w:val="22"/>
          <w:szCs w:val="20"/>
        </w:rPr>
        <w:t>6.售后服务的措施及承诺。</w:t>
      </w:r>
    </w:p>
    <w:p>
      <w:pPr>
        <w:adjustRightInd w:val="0"/>
        <w:snapToGrid w:val="0"/>
        <w:spacing w:line="380" w:lineRule="exact"/>
        <w:ind w:firstLine="480"/>
        <w:rPr>
          <w:rFonts w:ascii="宋体" w:hAnsi="宋体" w:eastAsia="宋体" w:cs="Times New Roman"/>
          <w:kern w:val="0"/>
          <w:sz w:val="22"/>
          <w:szCs w:val="20"/>
          <w:u w:val="single"/>
        </w:rPr>
      </w:pPr>
      <w:r>
        <w:rPr>
          <w:rFonts w:hint="eastAsia" w:ascii="宋体" w:hAnsi="宋体" w:eastAsia="宋体" w:cs="Times New Roman"/>
          <w:kern w:val="0"/>
          <w:sz w:val="22"/>
          <w:szCs w:val="20"/>
          <w:u w:val="single"/>
        </w:rPr>
        <w:t>以上工作内容的费用均包含在投标总价中。</w:t>
      </w:r>
    </w:p>
    <w:p>
      <w:pPr>
        <w:snapToGrid w:val="0"/>
        <w:spacing w:line="460" w:lineRule="atLeast"/>
        <w:jc w:val="center"/>
        <w:rPr>
          <w:rFonts w:ascii="宋体" w:hAnsi="宋体" w:eastAsia="宋体" w:cs="Times New Roman"/>
          <w:b/>
          <w:kern w:val="0"/>
          <w:sz w:val="36"/>
          <w:szCs w:val="20"/>
        </w:rPr>
      </w:pPr>
    </w:p>
    <w:p>
      <w:pPr>
        <w:snapToGrid w:val="0"/>
        <w:spacing w:line="460" w:lineRule="atLeast"/>
        <w:jc w:val="center"/>
        <w:rPr>
          <w:rFonts w:ascii="宋体" w:hAnsi="宋体" w:eastAsia="宋体" w:cs="Times New Roman"/>
          <w:b/>
          <w:kern w:val="0"/>
          <w:sz w:val="36"/>
          <w:szCs w:val="20"/>
        </w:rPr>
      </w:pPr>
    </w:p>
    <w:p>
      <w:pPr>
        <w:snapToGrid w:val="0"/>
        <w:spacing w:line="460" w:lineRule="atLeast"/>
        <w:jc w:val="center"/>
        <w:rPr>
          <w:rFonts w:ascii="宋体" w:hAnsi="宋体" w:eastAsia="宋体" w:cs="Times New Roman"/>
          <w:b/>
          <w:kern w:val="0"/>
          <w:sz w:val="36"/>
          <w:szCs w:val="20"/>
        </w:rPr>
      </w:pPr>
    </w:p>
    <w:p>
      <w:pPr>
        <w:snapToGrid w:val="0"/>
        <w:spacing w:line="460" w:lineRule="atLeast"/>
        <w:jc w:val="center"/>
        <w:rPr>
          <w:rFonts w:ascii="宋体" w:hAnsi="宋体" w:eastAsia="宋体" w:cs="Times New Roman"/>
          <w:b/>
          <w:kern w:val="0"/>
          <w:sz w:val="36"/>
          <w:szCs w:val="20"/>
        </w:rPr>
      </w:pPr>
    </w:p>
    <w:p>
      <w:pPr>
        <w:snapToGrid w:val="0"/>
        <w:spacing w:line="460" w:lineRule="atLeast"/>
        <w:jc w:val="center"/>
        <w:rPr>
          <w:rFonts w:ascii="宋体" w:hAnsi="宋体" w:eastAsia="宋体" w:cs="Times New Roman"/>
          <w:b/>
          <w:kern w:val="0"/>
          <w:sz w:val="36"/>
          <w:szCs w:val="20"/>
        </w:rPr>
      </w:pPr>
    </w:p>
    <w:p>
      <w:pPr>
        <w:snapToGrid w:val="0"/>
        <w:spacing w:line="460" w:lineRule="atLeast"/>
        <w:jc w:val="center"/>
        <w:rPr>
          <w:rFonts w:ascii="宋体" w:hAnsi="宋体" w:eastAsia="宋体" w:cs="Times New Roman"/>
          <w:b/>
          <w:kern w:val="0"/>
          <w:sz w:val="36"/>
          <w:szCs w:val="20"/>
        </w:rPr>
      </w:pPr>
    </w:p>
    <w:p>
      <w:pPr>
        <w:snapToGrid w:val="0"/>
        <w:spacing w:line="460" w:lineRule="atLeast"/>
        <w:jc w:val="center"/>
        <w:rPr>
          <w:rFonts w:ascii="宋体" w:hAnsi="宋体" w:eastAsia="宋体" w:cs="Times New Roman"/>
          <w:b/>
          <w:kern w:val="0"/>
          <w:sz w:val="36"/>
          <w:szCs w:val="20"/>
        </w:rPr>
      </w:pPr>
    </w:p>
    <w:p>
      <w:pPr>
        <w:snapToGrid w:val="0"/>
        <w:spacing w:line="460" w:lineRule="atLeast"/>
        <w:jc w:val="center"/>
        <w:rPr>
          <w:rFonts w:ascii="宋体" w:hAnsi="宋体" w:eastAsia="宋体" w:cs="Times New Roman"/>
          <w:b/>
          <w:kern w:val="0"/>
          <w:sz w:val="36"/>
          <w:szCs w:val="20"/>
        </w:rPr>
      </w:pPr>
    </w:p>
    <w:p>
      <w:pPr>
        <w:snapToGrid w:val="0"/>
        <w:spacing w:line="460" w:lineRule="atLeast"/>
        <w:jc w:val="center"/>
        <w:rPr>
          <w:rFonts w:ascii="宋体" w:hAnsi="宋体" w:eastAsia="宋体" w:cs="Times New Roman"/>
          <w:b/>
          <w:kern w:val="0"/>
          <w:sz w:val="36"/>
          <w:szCs w:val="20"/>
        </w:rPr>
      </w:pPr>
    </w:p>
    <w:p>
      <w:pPr>
        <w:pStyle w:val="2"/>
      </w:pPr>
    </w:p>
    <w:p>
      <w:pPr>
        <w:snapToGrid w:val="0"/>
        <w:spacing w:line="460" w:lineRule="atLeast"/>
        <w:jc w:val="center"/>
        <w:rPr>
          <w:rFonts w:ascii="宋体" w:hAnsi="宋体" w:eastAsia="宋体" w:cs="Times New Roman"/>
          <w:b/>
          <w:kern w:val="0"/>
          <w:sz w:val="36"/>
          <w:szCs w:val="20"/>
        </w:rPr>
      </w:pPr>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8"/>
          <w:szCs w:val="28"/>
        </w:rPr>
      </w:pPr>
      <w:bookmarkStart w:id="13" w:name="_Toc494407531"/>
      <w:r>
        <w:rPr>
          <w:rFonts w:hint="eastAsia" w:ascii="宋体" w:hAnsi="宋体" w:eastAsia="宋体" w:cs="Times New Roman"/>
          <w:b/>
          <w:kern w:val="0"/>
          <w:sz w:val="28"/>
          <w:szCs w:val="28"/>
        </w:rPr>
        <w:t>第三部分   供应商须知</w:t>
      </w:r>
      <w:bookmarkEnd w:id="13"/>
    </w:p>
    <w:p>
      <w:pPr>
        <w:outlineLvl w:val="0"/>
        <w:rPr>
          <w:rFonts w:ascii="宋体" w:hAnsi="宋体" w:eastAsia="宋体" w:cs="Times New Roman"/>
          <w:b/>
          <w:kern w:val="0"/>
          <w:sz w:val="22"/>
        </w:rPr>
      </w:pPr>
      <w:bookmarkStart w:id="14" w:name="_Toc494407532"/>
      <w:r>
        <w:rPr>
          <w:rFonts w:hint="eastAsia" w:ascii="宋体" w:hAnsi="宋体" w:eastAsia="宋体" w:cs="Times New Roman"/>
          <w:b/>
          <w:kern w:val="0"/>
          <w:sz w:val="22"/>
        </w:rPr>
        <w:t>一、说明</w:t>
      </w:r>
      <w:bookmarkEnd w:id="14"/>
    </w:p>
    <w:p>
      <w:pPr>
        <w:autoSpaceDE w:val="0"/>
        <w:autoSpaceDN w:val="0"/>
        <w:adjustRightInd w:val="0"/>
        <w:snapToGrid w:val="0"/>
        <w:spacing w:line="440" w:lineRule="atLeast"/>
        <w:ind w:firstLine="446" w:firstLineChars="203"/>
        <w:textAlignment w:val="bottom"/>
        <w:rPr>
          <w:rFonts w:ascii="宋体" w:hAnsi="宋体" w:eastAsia="宋体" w:cs="Times New Roman"/>
          <w:kern w:val="0"/>
          <w:sz w:val="22"/>
        </w:rPr>
      </w:pPr>
      <w:r>
        <w:rPr>
          <w:rFonts w:hint="eastAsia" w:ascii="宋体" w:hAnsi="宋体" w:eastAsia="宋体" w:cs="Times New Roman"/>
          <w:kern w:val="0"/>
          <w:sz w:val="22"/>
        </w:rPr>
        <w:t>1、本次采购工作是按照《中华人民共和国政府采购法》、《中华人民共和国政府采购法实施条例》、《政府采购货物和服务招标投标管理办法》及相关法律规章组织和实施。</w:t>
      </w:r>
    </w:p>
    <w:p>
      <w:pPr>
        <w:adjustRightInd w:val="0"/>
        <w:spacing w:line="440" w:lineRule="atLeast"/>
        <w:ind w:firstLine="431" w:firstLineChars="196"/>
        <w:rPr>
          <w:rFonts w:ascii="宋体" w:hAnsi="宋体" w:eastAsia="宋体" w:cs="Times New Roman"/>
          <w:kern w:val="0"/>
          <w:sz w:val="22"/>
        </w:rPr>
      </w:pPr>
      <w:r>
        <w:rPr>
          <w:rFonts w:hint="eastAsia" w:ascii="宋体" w:hAnsi="宋体" w:eastAsia="宋体" w:cs="Times New Roman"/>
          <w:kern w:val="0"/>
          <w:sz w:val="22"/>
          <w:szCs w:val="20"/>
        </w:rPr>
        <w:t>2、供应商必须对全部货物进行投标，否则按无效投标处理。分标段的项目可以选择全部或部分标段进行投标，但每个标段必须投标全部货物</w:t>
      </w:r>
    </w:p>
    <w:p>
      <w:pPr>
        <w:adjustRightInd w:val="0"/>
        <w:spacing w:line="440" w:lineRule="atLeast"/>
        <w:ind w:firstLine="431" w:firstLineChars="196"/>
        <w:rPr>
          <w:rFonts w:ascii="宋体" w:hAnsi="宋体" w:eastAsia="宋体" w:cs="Times New Roman"/>
          <w:kern w:val="0"/>
          <w:sz w:val="22"/>
        </w:rPr>
      </w:pPr>
      <w:r>
        <w:rPr>
          <w:rFonts w:hint="eastAsia" w:ascii="宋体" w:hAnsi="宋体" w:eastAsia="宋体" w:cs="Times New Roman"/>
          <w:kern w:val="0"/>
          <w:sz w:val="22"/>
        </w:rPr>
        <w:t>3、采购人有权选择中标供应商的供货及服务范围</w:t>
      </w:r>
      <w:r>
        <w:rPr>
          <w:rFonts w:hint="eastAsia" w:ascii="宋体" w:hAnsi="宋体" w:eastAsia="宋体" w:cs="Times New Roman"/>
          <w:kern w:val="0"/>
          <w:sz w:val="22"/>
          <w:szCs w:val="20"/>
        </w:rPr>
        <w:t>（即采购人有权在合理范围内修改10%的采购量）</w:t>
      </w:r>
      <w:r>
        <w:rPr>
          <w:rFonts w:hint="eastAsia" w:ascii="宋体" w:hAnsi="宋体" w:eastAsia="宋体" w:cs="Times New Roman"/>
          <w:kern w:val="0"/>
          <w:sz w:val="22"/>
        </w:rPr>
        <w:t>。</w:t>
      </w:r>
    </w:p>
    <w:p>
      <w:pPr>
        <w:autoSpaceDE w:val="0"/>
        <w:autoSpaceDN w:val="0"/>
        <w:adjustRightInd w:val="0"/>
        <w:snapToGrid w:val="0"/>
        <w:spacing w:line="440" w:lineRule="atLeast"/>
        <w:ind w:firstLine="446" w:firstLineChars="203"/>
        <w:textAlignment w:val="bottom"/>
        <w:rPr>
          <w:rFonts w:ascii="宋体" w:hAnsi="宋体" w:eastAsia="宋体" w:cs="Times New Roman"/>
          <w:kern w:val="0"/>
          <w:sz w:val="22"/>
        </w:rPr>
      </w:pPr>
      <w:r>
        <w:rPr>
          <w:rFonts w:hint="eastAsia" w:ascii="宋体" w:hAnsi="宋体" w:eastAsia="宋体" w:cs="Times New Roman"/>
          <w:kern w:val="0"/>
          <w:sz w:val="22"/>
        </w:rPr>
        <w:t>4、本次采购商务报价文件与技术资信文件分别评审，评标委员会首先评审供应商技术资信部分，技术资信部分无效的供应商不进入商务报价阶段评审。要求供应商技术资信部分的投标文件（含资信与服务）中不得含产品报价，否则做无效投标处理。</w:t>
      </w:r>
    </w:p>
    <w:p>
      <w:pPr>
        <w:autoSpaceDE w:val="0"/>
        <w:autoSpaceDN w:val="0"/>
        <w:adjustRightInd w:val="0"/>
        <w:spacing w:line="460" w:lineRule="atLeast"/>
        <w:ind w:firstLine="442" w:firstLineChars="200"/>
        <w:textAlignment w:val="bottom"/>
        <w:rPr>
          <w:rFonts w:ascii="宋体" w:hAnsi="宋体" w:eastAsia="宋体" w:cs="Times New Roman"/>
          <w:b/>
          <w:kern w:val="0"/>
          <w:sz w:val="22"/>
          <w:szCs w:val="20"/>
        </w:rPr>
      </w:pPr>
      <w:r>
        <w:rPr>
          <w:rFonts w:ascii="宋体" w:hAnsi="宋体" w:eastAsia="宋体" w:cs="Times New Roman"/>
          <w:b/>
          <w:kern w:val="0"/>
          <w:sz w:val="22"/>
          <w:szCs w:val="20"/>
        </w:rPr>
        <w:t>5</w:t>
      </w:r>
      <w:r>
        <w:rPr>
          <w:rFonts w:hint="eastAsia" w:ascii="宋体" w:hAnsi="宋体" w:eastAsia="宋体" w:cs="Times New Roman"/>
          <w:b/>
          <w:kern w:val="0"/>
          <w:sz w:val="22"/>
          <w:szCs w:val="20"/>
        </w:rPr>
        <w:t>、知识产权</w:t>
      </w:r>
    </w:p>
    <w:p>
      <w:pPr>
        <w:autoSpaceDE w:val="0"/>
        <w:autoSpaceDN w:val="0"/>
        <w:adjustRightInd w:val="0"/>
        <w:spacing w:line="460" w:lineRule="atLeast"/>
        <w:ind w:firstLine="442" w:firstLineChars="200"/>
        <w:textAlignment w:val="bottom"/>
        <w:rPr>
          <w:rFonts w:ascii="宋体" w:hAnsi="宋体" w:eastAsia="宋体" w:cs="Times New Roman"/>
          <w:b/>
          <w:kern w:val="0"/>
          <w:sz w:val="22"/>
          <w:szCs w:val="20"/>
        </w:rPr>
      </w:pPr>
      <w:r>
        <w:rPr>
          <w:rFonts w:ascii="宋体" w:hAnsi="宋体" w:eastAsia="宋体" w:cs="Times New Roman"/>
          <w:b/>
          <w:kern w:val="0"/>
          <w:sz w:val="22"/>
          <w:szCs w:val="20"/>
        </w:rPr>
        <w:t>5</w:t>
      </w:r>
      <w:r>
        <w:rPr>
          <w:rFonts w:hint="eastAsia" w:ascii="宋体" w:hAnsi="宋体" w:eastAsia="宋体" w:cs="Times New Roman"/>
          <w:b/>
          <w:kern w:val="0"/>
          <w:sz w:val="22"/>
          <w:szCs w:val="20"/>
        </w:rPr>
        <w:t>.1供应商应保证，采购人在中华人民共和国使用货物和服务的任何一部分时，免受第三方提出侵犯其专利权、商标权或其它知识产权的起诉。</w:t>
      </w:r>
    </w:p>
    <w:p>
      <w:pPr>
        <w:autoSpaceDE w:val="0"/>
        <w:autoSpaceDN w:val="0"/>
        <w:adjustRightInd w:val="0"/>
        <w:spacing w:line="460" w:lineRule="atLeast"/>
        <w:ind w:firstLine="442" w:firstLineChars="200"/>
        <w:textAlignment w:val="bottom"/>
        <w:rPr>
          <w:rFonts w:ascii="宋体" w:hAnsi="宋体" w:eastAsia="宋体" w:cs="Times New Roman"/>
          <w:b/>
          <w:kern w:val="0"/>
          <w:sz w:val="22"/>
          <w:szCs w:val="20"/>
        </w:rPr>
      </w:pPr>
      <w:r>
        <w:rPr>
          <w:rFonts w:ascii="宋体" w:hAnsi="宋体" w:eastAsia="宋体" w:cs="Times New Roman"/>
          <w:b/>
          <w:kern w:val="0"/>
          <w:sz w:val="22"/>
          <w:szCs w:val="20"/>
        </w:rPr>
        <w:t>5</w:t>
      </w:r>
      <w:r>
        <w:rPr>
          <w:rFonts w:hint="eastAsia" w:ascii="宋体" w:hAnsi="宋体" w:eastAsia="宋体" w:cs="Times New Roman"/>
          <w:b/>
          <w:kern w:val="0"/>
          <w:sz w:val="22"/>
          <w:szCs w:val="20"/>
        </w:rPr>
        <w:t>.2投标人应对采购人在使用该产品时所涉及到的专利权负责，不损害采购人的利益。</w:t>
      </w:r>
    </w:p>
    <w:p>
      <w:pPr>
        <w:autoSpaceDE w:val="0"/>
        <w:autoSpaceDN w:val="0"/>
        <w:adjustRightInd w:val="0"/>
        <w:spacing w:line="460" w:lineRule="atLeast"/>
        <w:ind w:firstLine="442" w:firstLineChars="200"/>
        <w:textAlignment w:val="bottom"/>
        <w:rPr>
          <w:rFonts w:ascii="宋体" w:hAnsi="宋体" w:eastAsia="宋体" w:cs="Times New Roman"/>
          <w:b/>
          <w:kern w:val="0"/>
          <w:sz w:val="22"/>
          <w:szCs w:val="20"/>
        </w:rPr>
      </w:pPr>
      <w:r>
        <w:rPr>
          <w:rFonts w:ascii="宋体" w:hAnsi="宋体" w:eastAsia="宋体" w:cs="Times New Roman"/>
          <w:b/>
          <w:kern w:val="0"/>
          <w:sz w:val="22"/>
          <w:szCs w:val="20"/>
        </w:rPr>
        <w:t>5</w:t>
      </w:r>
      <w:r>
        <w:rPr>
          <w:rFonts w:hint="eastAsia" w:ascii="宋体" w:hAnsi="宋体" w:eastAsia="宋体" w:cs="Times New Roman"/>
          <w:b/>
          <w:kern w:val="0"/>
          <w:sz w:val="22"/>
          <w:szCs w:val="20"/>
        </w:rPr>
        <w:t>.3报价应包括所有应支付的对专利权和版权、设计或其他知识产权而需要向其他方支付的版税。</w:t>
      </w:r>
    </w:p>
    <w:p>
      <w:pPr>
        <w:autoSpaceDE w:val="0"/>
        <w:autoSpaceDN w:val="0"/>
        <w:adjustRightInd w:val="0"/>
        <w:snapToGrid w:val="0"/>
        <w:spacing w:line="440" w:lineRule="atLeast"/>
        <w:ind w:firstLine="448" w:firstLineChars="203"/>
        <w:textAlignment w:val="bottom"/>
        <w:rPr>
          <w:rFonts w:ascii="宋体" w:hAnsi="宋体" w:eastAsia="宋体" w:cs="Times New Roman"/>
          <w:b/>
          <w:kern w:val="0"/>
          <w:sz w:val="22"/>
        </w:rPr>
      </w:pPr>
      <w:r>
        <w:rPr>
          <w:rFonts w:ascii="宋体" w:hAnsi="宋体" w:eastAsia="宋体" w:cs="Times New Roman"/>
          <w:b/>
          <w:kern w:val="0"/>
          <w:sz w:val="22"/>
          <w:szCs w:val="20"/>
        </w:rPr>
        <w:t>5</w:t>
      </w:r>
      <w:r>
        <w:rPr>
          <w:rFonts w:hint="eastAsia" w:ascii="宋体" w:hAnsi="宋体" w:eastAsia="宋体" w:cs="Times New Roman"/>
          <w:b/>
          <w:kern w:val="0"/>
          <w:sz w:val="22"/>
          <w:szCs w:val="20"/>
        </w:rPr>
        <w:t>.4投标人提供得货物中如使用其他公司的相关专利，应在标书中出示相关授权，如未出示但使用了其他公司的专利，导致供应商中标而引起相关诉讼，由投标人承担。</w:t>
      </w:r>
    </w:p>
    <w:p>
      <w:pPr>
        <w:adjustRightInd w:val="0"/>
        <w:spacing w:line="440" w:lineRule="atLeast"/>
        <w:ind w:firstLine="431" w:firstLineChars="196"/>
        <w:rPr>
          <w:rFonts w:ascii="宋体" w:hAnsi="宋体" w:eastAsia="宋体" w:cs="Times New Roman"/>
          <w:kern w:val="0"/>
          <w:sz w:val="22"/>
          <w:szCs w:val="20"/>
        </w:rPr>
      </w:pPr>
      <w:r>
        <w:rPr>
          <w:rFonts w:ascii="宋体" w:hAnsi="宋体" w:eastAsia="宋体" w:cs="Times New Roman"/>
          <w:kern w:val="0"/>
          <w:sz w:val="22"/>
          <w:szCs w:val="20"/>
        </w:rPr>
        <w:t>6</w:t>
      </w:r>
      <w:r>
        <w:rPr>
          <w:rFonts w:hint="eastAsia" w:ascii="宋体" w:hAnsi="宋体" w:eastAsia="宋体" w:cs="Times New Roman"/>
          <w:kern w:val="0"/>
          <w:sz w:val="22"/>
          <w:szCs w:val="20"/>
        </w:rPr>
        <w:t>、招标文件中所列的货物品牌型号仅为参考，是为了对拟报价的货物、材料的技术指标和功能要求更好的说明，欢迎其他能满足本项目技术需求且性能与所明确品牌相当的产品参加。供应商提供的产品主要指标参数不得低于采购要求。</w:t>
      </w:r>
    </w:p>
    <w:p>
      <w:pPr>
        <w:adjustRightInd w:val="0"/>
        <w:spacing w:line="440" w:lineRule="atLeast"/>
        <w:ind w:firstLine="431" w:firstLineChars="196"/>
        <w:rPr>
          <w:rFonts w:ascii="宋体" w:hAnsi="宋体" w:eastAsia="宋体" w:cs="Times New Roman"/>
          <w:kern w:val="0"/>
          <w:sz w:val="22"/>
          <w:szCs w:val="20"/>
        </w:rPr>
      </w:pPr>
      <w:r>
        <w:rPr>
          <w:rFonts w:ascii="宋体" w:hAnsi="宋体" w:eastAsia="宋体" w:cs="Times New Roman"/>
          <w:kern w:val="0"/>
          <w:sz w:val="22"/>
          <w:szCs w:val="20"/>
        </w:rPr>
        <w:t>7</w:t>
      </w:r>
      <w:r>
        <w:rPr>
          <w:rFonts w:hint="eastAsia" w:ascii="宋体" w:hAnsi="宋体" w:eastAsia="宋体" w:cs="Times New Roman"/>
          <w:kern w:val="0"/>
          <w:sz w:val="22"/>
          <w:szCs w:val="20"/>
        </w:rPr>
        <w:t>、</w:t>
      </w:r>
      <w:r>
        <w:rPr>
          <w:rFonts w:ascii="宋体" w:hAnsi="宋体" w:eastAsia="宋体" w:cs="Times New Roman"/>
          <w:kern w:val="0"/>
          <w:sz w:val="22"/>
          <w:szCs w:val="20"/>
        </w:rPr>
        <w:t>采用最低评标价法的采购项目，提供相同品牌产品的不同投标人参加同一合同项下投标的，以其中通过资格审查、符合性审查且报价最低的参加评标；报价相同的，采取随机抽取方式确定，其他投标无效。</w:t>
      </w:r>
    </w:p>
    <w:p>
      <w:pPr>
        <w:adjustRightInd w:val="0"/>
        <w:spacing w:line="440" w:lineRule="atLeast"/>
        <w:ind w:firstLine="431" w:firstLineChars="196"/>
        <w:rPr>
          <w:rFonts w:ascii="宋体" w:hAnsi="宋体" w:eastAsia="宋体" w:cs="Times New Roman"/>
          <w:kern w:val="0"/>
          <w:sz w:val="22"/>
          <w:szCs w:val="20"/>
        </w:rPr>
      </w:pPr>
      <w:r>
        <w:rPr>
          <w:rFonts w:ascii="宋体" w:hAnsi="宋体" w:eastAsia="宋体" w:cs="Times New Roman"/>
          <w:kern w:val="0"/>
          <w:sz w:val="22"/>
          <w:szCs w:val="20"/>
        </w:rPr>
        <w:t>使用综合评分法的采购项目，提供相同品牌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adjustRightInd w:val="0"/>
        <w:spacing w:line="440" w:lineRule="atLeast"/>
        <w:ind w:firstLine="431" w:firstLineChars="196"/>
        <w:rPr>
          <w:rFonts w:ascii="宋体" w:hAnsi="宋体" w:eastAsia="宋体" w:cs="Times New Roman"/>
          <w:kern w:val="0"/>
          <w:sz w:val="22"/>
          <w:szCs w:val="20"/>
        </w:rPr>
      </w:pPr>
      <w:r>
        <w:rPr>
          <w:rFonts w:hint="eastAsia" w:ascii="宋体" w:hAnsi="宋体" w:eastAsia="宋体" w:cs="Times New Roman"/>
          <w:kern w:val="0"/>
          <w:sz w:val="22"/>
          <w:szCs w:val="20"/>
        </w:rPr>
        <w:t>非单一产品采购项目，采购人应当根据采购项目技术构成、产品价格比重等合理确定核心产品，并在招标文件中载明。多家投标人提供的核心产品品牌相同的，按前两款规定处理。</w:t>
      </w:r>
    </w:p>
    <w:p>
      <w:pPr>
        <w:adjustRightInd w:val="0"/>
        <w:spacing w:line="440" w:lineRule="atLeast"/>
        <w:ind w:firstLine="431" w:firstLineChars="196"/>
        <w:rPr>
          <w:rFonts w:ascii="宋体" w:hAnsi="宋体" w:eastAsia="宋体" w:cs="Times New Roman"/>
          <w:kern w:val="0"/>
          <w:sz w:val="22"/>
          <w:szCs w:val="20"/>
        </w:rPr>
      </w:pPr>
      <w:r>
        <w:rPr>
          <w:rFonts w:ascii="宋体" w:hAnsi="宋体" w:eastAsia="宋体" w:cs="Times New Roman"/>
          <w:kern w:val="0"/>
          <w:sz w:val="22"/>
          <w:szCs w:val="20"/>
        </w:rPr>
        <w:t>8</w:t>
      </w:r>
      <w:r>
        <w:rPr>
          <w:rFonts w:hint="eastAsia" w:ascii="宋体" w:hAnsi="宋体" w:eastAsia="宋体" w:cs="Times New Roman"/>
          <w:kern w:val="0"/>
          <w:sz w:val="22"/>
          <w:szCs w:val="20"/>
        </w:rPr>
        <w:t>、单位负责人为同一人或者存在直接控股、管理关系的不同供应商，不得参加同一合同项下的政府采购活动。如在评标过程中发现供应商间存在上述关系，评标委员会可以对存在上述关系的供应商做无效投标处理。</w:t>
      </w:r>
    </w:p>
    <w:p>
      <w:pPr>
        <w:adjustRightInd w:val="0"/>
        <w:spacing w:line="440" w:lineRule="atLeast"/>
        <w:ind w:firstLine="431" w:firstLineChars="196"/>
        <w:rPr>
          <w:rFonts w:ascii="宋体" w:hAnsi="宋体" w:eastAsia="宋体" w:cs="Times New Roman"/>
          <w:kern w:val="0"/>
          <w:sz w:val="22"/>
          <w:szCs w:val="20"/>
        </w:rPr>
      </w:pPr>
      <w:r>
        <w:rPr>
          <w:rFonts w:hint="eastAsia" w:ascii="宋体" w:hAnsi="宋体" w:eastAsia="宋体" w:cs="Times New Roman"/>
          <w:kern w:val="0"/>
          <w:sz w:val="22"/>
          <w:szCs w:val="20"/>
        </w:rPr>
        <w:t>除单一来源采购项目外，为采购项目提供整体设计、规范编制或者项目管理、监理、检测等服务的供应商，不得再参加该采购项目的其他采购活动。</w:t>
      </w:r>
    </w:p>
    <w:p>
      <w:pPr>
        <w:adjustRightInd w:val="0"/>
        <w:spacing w:line="440" w:lineRule="atLeast"/>
        <w:ind w:firstLine="431" w:firstLineChars="196"/>
        <w:jc w:val="left"/>
        <w:rPr>
          <w:rFonts w:ascii="宋体" w:hAnsi="宋体" w:eastAsia="宋体" w:cs="Times New Roman"/>
          <w:kern w:val="0"/>
          <w:sz w:val="22"/>
          <w:szCs w:val="20"/>
        </w:rPr>
      </w:pPr>
      <w:r>
        <w:rPr>
          <w:rFonts w:ascii="宋体" w:hAnsi="宋体" w:eastAsia="宋体" w:cs="Times New Roman"/>
          <w:kern w:val="0"/>
          <w:sz w:val="22"/>
          <w:szCs w:val="20"/>
        </w:rPr>
        <w:t>9</w:t>
      </w:r>
      <w:r>
        <w:rPr>
          <w:rFonts w:hint="eastAsia" w:ascii="宋体" w:hAnsi="宋体" w:eastAsia="宋体" w:cs="Times New Roman"/>
          <w:kern w:val="0"/>
          <w:sz w:val="22"/>
          <w:szCs w:val="20"/>
        </w:rPr>
        <w:t>、进口产品参与政府采购，按财政部《</w:t>
      </w:r>
      <w:r>
        <w:fldChar w:fldCharType="begin"/>
      </w:r>
      <w:r>
        <w:instrText xml:space="preserve"> HYPERLINK "http://www.chinaacc.com/new/63/64/80/2008/1/wa2420495431112180022419-0.htm" \t "_blank" </w:instrText>
      </w:r>
      <w:r>
        <w:fldChar w:fldCharType="separate"/>
      </w:r>
      <w:r>
        <w:rPr>
          <w:rFonts w:hint="eastAsia" w:ascii="宋体" w:hAnsi="宋体" w:eastAsia="宋体" w:cs="Times New Roman"/>
          <w:kern w:val="0"/>
          <w:sz w:val="22"/>
          <w:szCs w:val="20"/>
        </w:rPr>
        <w:t>关于印发〈政府采购进口产品管理办法〉的通知</w:t>
      </w:r>
      <w:r>
        <w:rPr>
          <w:rFonts w:hint="eastAsia" w:ascii="宋体" w:hAnsi="宋体" w:eastAsia="宋体" w:cs="Times New Roman"/>
          <w:kern w:val="0"/>
          <w:sz w:val="22"/>
          <w:szCs w:val="20"/>
        </w:rPr>
        <w:fldChar w:fldCharType="end"/>
      </w:r>
      <w:r>
        <w:rPr>
          <w:rFonts w:hint="eastAsia" w:ascii="宋体" w:hAnsi="宋体" w:eastAsia="宋体" w:cs="Times New Roman"/>
          <w:kern w:val="0"/>
          <w:sz w:val="22"/>
          <w:szCs w:val="20"/>
        </w:rPr>
        <w:t>》（财库[2007]119号）和财政部办公厅《</w:t>
      </w:r>
      <w:r>
        <w:fldChar w:fldCharType="begin"/>
      </w:r>
      <w:r>
        <w:instrText xml:space="preserve"> HYPERLINK "http://www.chinaacc.com/new/63/64/80/2008/10/wa29611252241030180027592-0.htm" \t "_blank" </w:instrText>
      </w:r>
      <w:r>
        <w:fldChar w:fldCharType="separate"/>
      </w:r>
      <w:r>
        <w:rPr>
          <w:rFonts w:hint="eastAsia" w:ascii="宋体" w:hAnsi="宋体" w:eastAsia="宋体" w:cs="Times New Roman"/>
          <w:kern w:val="0"/>
          <w:sz w:val="22"/>
          <w:szCs w:val="20"/>
        </w:rPr>
        <w:t>关于政府采购进口产品管理有关问题的通知</w:t>
      </w:r>
      <w:r>
        <w:rPr>
          <w:rFonts w:hint="eastAsia" w:ascii="宋体" w:hAnsi="宋体" w:eastAsia="宋体" w:cs="Times New Roman"/>
          <w:kern w:val="0"/>
          <w:sz w:val="22"/>
          <w:szCs w:val="20"/>
        </w:rPr>
        <w:fldChar w:fldCharType="end"/>
      </w:r>
      <w:r>
        <w:rPr>
          <w:rFonts w:hint="eastAsia" w:ascii="宋体" w:hAnsi="宋体" w:eastAsia="宋体" w:cs="Times New Roman"/>
          <w:kern w:val="0"/>
          <w:sz w:val="22"/>
          <w:szCs w:val="20"/>
        </w:rPr>
        <w:t>》（财办库〔2008〕248号）、《浙江省财政厅关于进一步加强政府采购进口产品管理的通知》（浙财采监[2010]51号）等相关文件规定处理。</w:t>
      </w:r>
    </w:p>
    <w:p>
      <w:pPr>
        <w:autoSpaceDE w:val="0"/>
        <w:autoSpaceDN w:val="0"/>
        <w:adjustRightInd w:val="0"/>
        <w:snapToGrid w:val="0"/>
        <w:spacing w:line="430" w:lineRule="atLeast"/>
        <w:ind w:firstLine="442" w:firstLineChars="200"/>
        <w:textAlignment w:val="bottom"/>
        <w:rPr>
          <w:rFonts w:ascii="宋体" w:hAnsi="宋体" w:eastAsia="宋体" w:cs="Times New Roman"/>
          <w:b/>
          <w:kern w:val="0"/>
          <w:sz w:val="22"/>
          <w:szCs w:val="20"/>
        </w:rPr>
      </w:pPr>
      <w:r>
        <w:rPr>
          <w:rFonts w:ascii="宋体" w:hAnsi="宋体" w:eastAsia="宋体" w:cs="Times New Roman"/>
          <w:b/>
          <w:kern w:val="0"/>
          <w:sz w:val="22"/>
          <w:szCs w:val="20"/>
        </w:rPr>
        <w:t>10</w:t>
      </w:r>
      <w:r>
        <w:rPr>
          <w:rFonts w:hint="eastAsia" w:ascii="宋体" w:hAnsi="宋体" w:eastAsia="宋体" w:cs="Times New Roman"/>
          <w:b/>
          <w:kern w:val="0"/>
          <w:sz w:val="22"/>
          <w:szCs w:val="20"/>
        </w:rPr>
        <w:t>、</w:t>
      </w:r>
      <w:r>
        <w:rPr>
          <w:rFonts w:hint="eastAsia" w:ascii="宋体" w:hAnsi="宋体" w:eastAsia="宋体" w:cs="Times New Roman"/>
          <w:b/>
          <w:kern w:val="0"/>
          <w:sz w:val="22"/>
          <w:lang w:val="zh-CN"/>
        </w:rPr>
        <w:t>本项目采购预算（最高限价）</w:t>
      </w:r>
      <w:r>
        <w:rPr>
          <w:rFonts w:hint="eastAsia" w:ascii="宋体" w:hAnsi="宋体" w:eastAsia="宋体" w:cs="Times New Roman"/>
          <w:b/>
          <w:kern w:val="0"/>
          <w:sz w:val="22"/>
          <w:u w:val="single"/>
          <w:lang w:val="zh-CN"/>
        </w:rPr>
        <w:t>为</w:t>
      </w:r>
      <w:r>
        <w:rPr>
          <w:rFonts w:hint="eastAsia" w:ascii="宋体" w:hAnsi="宋体" w:eastAsia="宋体" w:cs="Times New Roman"/>
          <w:b/>
          <w:kern w:val="0"/>
          <w:sz w:val="22"/>
          <w:u w:val="single"/>
          <w:lang w:val="en-US" w:eastAsia="zh-CN"/>
        </w:rPr>
        <w:t>176.8</w:t>
      </w:r>
      <w:r>
        <w:rPr>
          <w:rFonts w:hint="eastAsia" w:ascii="宋体" w:hAnsi="宋体" w:eastAsia="宋体" w:cs="Times New Roman"/>
          <w:b/>
          <w:kern w:val="0"/>
          <w:sz w:val="22"/>
          <w:u w:val="single"/>
          <w:lang w:val="zh-CN"/>
        </w:rPr>
        <w:t>万元；</w:t>
      </w:r>
      <w:r>
        <w:rPr>
          <w:rFonts w:hint="eastAsia" w:ascii="宋体" w:hAnsi="宋体" w:eastAsia="宋体" w:cs="Times New Roman"/>
          <w:b/>
          <w:kern w:val="0"/>
          <w:sz w:val="22"/>
          <w:lang w:val="zh-CN"/>
        </w:rPr>
        <w:t>如果所有供应商的投标报价均超出该标项采购预算（最高限价）金额的，</w:t>
      </w:r>
      <w:r>
        <w:rPr>
          <w:rFonts w:hint="eastAsia" w:ascii="宋体" w:hAnsi="宋体" w:eastAsia="宋体" w:cs="Times New Roman"/>
          <w:b/>
          <w:kern w:val="0"/>
          <w:sz w:val="22"/>
          <w:szCs w:val="20"/>
        </w:rPr>
        <w:t>则</w:t>
      </w:r>
      <w:r>
        <w:rPr>
          <w:rFonts w:hint="eastAsia" w:ascii="宋体" w:hAnsi="宋体" w:eastAsia="宋体" w:cs="Times New Roman"/>
          <w:b/>
          <w:kern w:val="0"/>
          <w:sz w:val="22"/>
          <w:lang w:val="zh-CN"/>
        </w:rPr>
        <w:t>该标项按流标处理。</w:t>
      </w:r>
      <w:r>
        <w:rPr>
          <w:rFonts w:hint="eastAsia" w:ascii="宋体" w:hAnsi="宋体" w:eastAsia="宋体" w:cs="Times New Roman"/>
          <w:b/>
          <w:kern w:val="0"/>
          <w:sz w:val="22"/>
          <w:szCs w:val="20"/>
        </w:rPr>
        <w:t>如果仅仅某个（些）供应商的投标报价超出该标项采购预算金额的，</w:t>
      </w:r>
      <w:r>
        <w:rPr>
          <w:rFonts w:hint="eastAsia" w:ascii="宋体" w:hAnsi="宋体" w:eastAsia="宋体" w:cs="Times New Roman"/>
          <w:b/>
          <w:bCs/>
          <w:kern w:val="0"/>
          <w:sz w:val="22"/>
        </w:rPr>
        <w:t>则该供应商该标项</w:t>
      </w:r>
      <w:r>
        <w:rPr>
          <w:rFonts w:hint="eastAsia" w:ascii="宋体" w:hAnsi="宋体" w:eastAsia="宋体" w:cs="Times New Roman"/>
          <w:b/>
          <w:kern w:val="0"/>
          <w:sz w:val="22"/>
          <w:lang w:val="zh-CN"/>
        </w:rPr>
        <w:t>按无效投标处理</w:t>
      </w:r>
      <w:r>
        <w:rPr>
          <w:rFonts w:hint="eastAsia" w:ascii="宋体" w:hAnsi="宋体" w:eastAsia="宋体" w:cs="Times New Roman"/>
          <w:b/>
          <w:bCs/>
          <w:kern w:val="0"/>
          <w:sz w:val="22"/>
        </w:rPr>
        <w:t>。</w:t>
      </w:r>
    </w:p>
    <w:p>
      <w:pPr>
        <w:widowControl/>
        <w:snapToGrid w:val="0"/>
        <w:spacing w:line="380" w:lineRule="exact"/>
        <w:ind w:firstLine="440" w:firstLineChars="200"/>
        <w:rPr>
          <w:rFonts w:ascii="宋体" w:hAnsi="宋体" w:eastAsia="宋体" w:cs="Times New Roman"/>
          <w:kern w:val="0"/>
          <w:sz w:val="22"/>
        </w:rPr>
      </w:pPr>
      <w:r>
        <w:rPr>
          <w:rFonts w:ascii="宋体" w:hAnsi="宋体" w:eastAsia="宋体" w:cs="Times New Roman"/>
          <w:kern w:val="0"/>
          <w:sz w:val="22"/>
        </w:rPr>
        <w:t>11</w:t>
      </w:r>
      <w:r>
        <w:rPr>
          <w:rFonts w:hint="eastAsia" w:ascii="宋体" w:hAnsi="宋体" w:eastAsia="宋体" w:cs="Times New Roman"/>
          <w:kern w:val="0"/>
          <w:sz w:val="22"/>
        </w:rPr>
        <w:t>、本项目招标文件如有补充、更正均见浙江政府采购网（</w:t>
      </w:r>
      <w:r>
        <w:rPr>
          <w:rFonts w:ascii="宋体" w:hAnsi="宋体" w:eastAsia="宋体" w:cs="Times New Roman"/>
          <w:kern w:val="0"/>
          <w:sz w:val="22"/>
        </w:rPr>
        <w:t>http://www.zjzfcg.gov.cn/</w:t>
      </w:r>
      <w:r>
        <w:rPr>
          <w:rFonts w:hint="eastAsia" w:ascii="宋体" w:hAnsi="宋体" w:eastAsia="宋体" w:cs="Times New Roman"/>
          <w:kern w:val="0"/>
          <w:sz w:val="22"/>
        </w:rPr>
        <w:t>）。供应商须在投标截止前自行查看是否有补充、更正文件，并按补充、更正文件要求投标，否则责任自负。</w:t>
      </w:r>
    </w:p>
    <w:p>
      <w:pPr>
        <w:outlineLvl w:val="0"/>
        <w:rPr>
          <w:rFonts w:ascii="宋体" w:hAnsi="宋体" w:eastAsia="宋体" w:cs="Times New Roman"/>
          <w:b/>
          <w:kern w:val="0"/>
          <w:sz w:val="22"/>
        </w:rPr>
      </w:pPr>
      <w:bookmarkStart w:id="15" w:name="_Toc494407533"/>
      <w:r>
        <w:rPr>
          <w:rFonts w:hint="eastAsia" w:ascii="宋体" w:hAnsi="宋体" w:eastAsia="宋体" w:cs="Times New Roman"/>
          <w:b/>
          <w:kern w:val="0"/>
          <w:sz w:val="22"/>
        </w:rPr>
        <w:t>二、招标文件</w:t>
      </w:r>
      <w:bookmarkEnd w:id="15"/>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1、招标文件</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1.1、招标文件约束力</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u w:val="single"/>
        </w:rPr>
      </w:pPr>
      <w:r>
        <w:rPr>
          <w:rFonts w:hint="eastAsia" w:ascii="宋体" w:hAnsi="宋体" w:eastAsia="宋体" w:cs="Times New Roman"/>
          <w:kern w:val="0"/>
          <w:sz w:val="22"/>
        </w:rPr>
        <w:t>▲</w:t>
      </w:r>
      <w:r>
        <w:rPr>
          <w:rFonts w:hint="eastAsia" w:ascii="宋体" w:hAnsi="宋体" w:eastAsia="宋体" w:cs="Times New Roman"/>
          <w:kern w:val="0"/>
          <w:sz w:val="22"/>
          <w:u w:val="single"/>
        </w:rPr>
        <w:t>供应商一旦获取了本招标文件并参加投标，即被认为接受了本招标文件中所有条款和规定。</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1.2、招标文件的组成</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招标文件由招标文件总目录所列内容及补充资料等组成。</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2、招标文件的澄清</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供应商对招标文件如有质疑或需要澄清，可用书面形式（包括信函、传真，下同）通知</w:t>
      </w:r>
      <w:r>
        <w:rPr>
          <w:rFonts w:hint="eastAsia" w:ascii="宋体" w:hAnsi="宋体" w:eastAsia="宋体" w:cs="Times New Roman"/>
          <w:kern w:val="0"/>
          <w:sz w:val="22"/>
          <w:u w:val="single"/>
        </w:rPr>
        <w:t>招标代理机构</w:t>
      </w:r>
      <w:r>
        <w:rPr>
          <w:rFonts w:hint="eastAsia" w:ascii="宋体" w:hAnsi="宋体" w:eastAsia="宋体" w:cs="Times New Roman"/>
          <w:kern w:val="0"/>
          <w:sz w:val="22"/>
        </w:rPr>
        <w:t>，但通知不得迟于规定的质疑时间前使招标代理机构收到，招标代理机构将用书面形式予以答复。如有必要，可将不说明来源的答复书面发给各有关供应商并予以公告。任何口头答复均不作为投标依据。</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3、招标文件的修改</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3.1、在投标截止时间前，采购人有权澄清或者修改招标文件，并以书面形式（补充、更正文件）通知供应商。补充、更正文件作为招标文件的组成部分，对所有投标供应商均有约束力。</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3.2、</w:t>
      </w:r>
      <w:r>
        <w:rPr>
          <w:rFonts w:ascii="宋体" w:hAnsi="宋体" w:eastAsia="宋体" w:cs="Times New Roman"/>
          <w:kern w:val="0"/>
          <w:sz w:val="22"/>
        </w:rPr>
        <w:t>澄清或者修改的内容可能影响投标文件编制的，采购人或者采购代理机构在投标截止时间至少15日前，以书面形式通知所有获取招标文件的潜在投标供应商；不足15日的，采购人或者采购代理机构顺延提交投标文件的截止时间。</w:t>
      </w:r>
    </w:p>
    <w:p>
      <w:pPr>
        <w:autoSpaceDE w:val="0"/>
        <w:autoSpaceDN w:val="0"/>
        <w:adjustRightInd w:val="0"/>
        <w:snapToGrid w:val="0"/>
        <w:spacing w:line="400" w:lineRule="exact"/>
        <w:ind w:firstLine="431" w:firstLineChars="196"/>
        <w:textAlignment w:val="bottom"/>
        <w:rPr>
          <w:rFonts w:ascii="宋体" w:hAnsi="宋体" w:eastAsia="宋体" w:cs="Times New Roman"/>
          <w:b/>
          <w:kern w:val="0"/>
          <w:sz w:val="22"/>
        </w:rPr>
      </w:pPr>
      <w:r>
        <w:rPr>
          <w:rFonts w:hint="eastAsia" w:ascii="宋体" w:hAnsi="宋体" w:eastAsia="宋体" w:cs="Times New Roman"/>
          <w:kern w:val="0"/>
          <w:sz w:val="22"/>
        </w:rPr>
        <w:t>3.3、补充、更正文件在浙江政府采购网（</w:t>
      </w:r>
      <w:r>
        <w:rPr>
          <w:rFonts w:ascii="宋体" w:hAnsi="宋体" w:eastAsia="宋体" w:cs="Times New Roman"/>
          <w:kern w:val="0"/>
          <w:sz w:val="22"/>
        </w:rPr>
        <w:t>http://www.zjzfcg.gov.cn/</w:t>
      </w:r>
      <w:r>
        <w:rPr>
          <w:rFonts w:hint="eastAsia" w:ascii="宋体" w:hAnsi="宋体" w:eastAsia="宋体" w:cs="Times New Roman"/>
          <w:kern w:val="0"/>
          <w:sz w:val="22"/>
        </w:rPr>
        <w:t>）予以公告公布。</w:t>
      </w:r>
    </w:p>
    <w:p>
      <w:pPr>
        <w:spacing w:line="400" w:lineRule="exact"/>
        <w:outlineLvl w:val="0"/>
        <w:rPr>
          <w:rFonts w:ascii="宋体" w:hAnsi="宋体" w:eastAsia="宋体" w:cs="Times New Roman"/>
          <w:b/>
          <w:kern w:val="0"/>
          <w:sz w:val="22"/>
        </w:rPr>
      </w:pPr>
      <w:bookmarkStart w:id="16" w:name="_Toc494407534"/>
      <w:r>
        <w:rPr>
          <w:rFonts w:hint="eastAsia" w:ascii="宋体" w:hAnsi="宋体" w:eastAsia="宋体" w:cs="Times New Roman"/>
          <w:b/>
          <w:kern w:val="0"/>
          <w:sz w:val="22"/>
        </w:rPr>
        <w:t>三、投标文件</w:t>
      </w:r>
      <w:bookmarkEnd w:id="16"/>
    </w:p>
    <w:p>
      <w:pPr>
        <w:autoSpaceDE w:val="0"/>
        <w:autoSpaceDN w:val="0"/>
        <w:adjustRightInd w:val="0"/>
        <w:snapToGrid w:val="0"/>
        <w:spacing w:line="400" w:lineRule="exac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rPr>
        <w:t>1、投标文件</w:t>
      </w:r>
    </w:p>
    <w:p>
      <w:pPr>
        <w:autoSpaceDE w:val="0"/>
        <w:autoSpaceDN w:val="0"/>
        <w:adjustRightInd w:val="0"/>
        <w:snapToGrid w:val="0"/>
        <w:spacing w:line="454" w:lineRule="atLeast"/>
        <w:ind w:firstLine="360" w:firstLineChars="150"/>
        <w:textAlignment w:val="bottom"/>
        <w:rPr>
          <w:rFonts w:ascii="宋体" w:hAnsi="宋体" w:eastAsia="宋体" w:cs="Times New Roman"/>
          <w:kern w:val="0"/>
          <w:sz w:val="22"/>
        </w:rPr>
      </w:pPr>
      <w:r>
        <w:rPr>
          <w:rFonts w:hint="eastAsia" w:ascii="宋体" w:hAnsi="宋体" w:eastAsia="宋体" w:cs="Times New Roman"/>
          <w:kern w:val="0"/>
          <w:sz w:val="24"/>
          <w:szCs w:val="20"/>
        </w:rPr>
        <w:t>1</w:t>
      </w:r>
      <w:r>
        <w:rPr>
          <w:rFonts w:hint="eastAsia" w:ascii="宋体" w:hAnsi="宋体" w:eastAsia="宋体" w:cs="Times New Roman"/>
          <w:kern w:val="0"/>
          <w:sz w:val="22"/>
        </w:rPr>
        <w:t>.1供应商提交的投标文件以及供应商与采购人就有关投标的所有来往函电均应使用中文。供应商可以提交用其它语言印制的资料，但必须译成中文，在有差异和矛盾时以中文为准。</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r>
        <w:rPr>
          <w:rFonts w:hint="eastAsia" w:ascii="宋体" w:hAnsi="宋体" w:eastAsia="宋体" w:cs="Times New Roman"/>
          <w:kern w:val="0"/>
          <w:sz w:val="22"/>
          <w:lang w:val="zh-CN"/>
        </w:rPr>
        <w:t>1.</w:t>
      </w:r>
      <w:r>
        <w:rPr>
          <w:rFonts w:hint="eastAsia" w:ascii="宋体" w:hAnsi="宋体" w:eastAsia="宋体" w:cs="Times New Roman"/>
          <w:kern w:val="0"/>
          <w:sz w:val="22"/>
        </w:rPr>
        <w:t>2供应商提交的投标文件报价均采用人民币报价。</w:t>
      </w:r>
    </w:p>
    <w:p>
      <w:pPr>
        <w:autoSpaceDE w:val="0"/>
        <w:autoSpaceDN w:val="0"/>
        <w:adjustRightInd w:val="0"/>
        <w:snapToGrid w:val="0"/>
        <w:spacing w:line="454" w:lineRule="atLeast"/>
        <w:ind w:firstLine="431" w:firstLineChars="196"/>
        <w:textAlignment w:val="bottom"/>
        <w:rPr>
          <w:rFonts w:ascii="宋体" w:hAnsi="宋体" w:eastAsia="宋体" w:cs="Arial"/>
          <w:kern w:val="0"/>
          <w:sz w:val="22"/>
        </w:rPr>
      </w:pPr>
      <w:r>
        <w:rPr>
          <w:rFonts w:hint="eastAsia" w:ascii="宋体" w:hAnsi="宋体" w:eastAsia="宋体" w:cs="Times New Roman"/>
          <w:kern w:val="0"/>
          <w:sz w:val="22"/>
          <w:lang w:val="zh-CN"/>
        </w:rPr>
        <w:t>1.</w:t>
      </w:r>
      <w:r>
        <w:rPr>
          <w:rFonts w:hint="eastAsia" w:ascii="宋体" w:hAnsi="宋体" w:eastAsia="宋体" w:cs="Times New Roman"/>
          <w:kern w:val="0"/>
          <w:sz w:val="22"/>
        </w:rPr>
        <w:t>3</w:t>
      </w:r>
      <w:r>
        <w:rPr>
          <w:rFonts w:hint="eastAsia" w:ascii="宋体" w:hAnsi="宋体" w:eastAsia="宋体" w:cs="Arial"/>
          <w:kern w:val="0"/>
          <w:sz w:val="22"/>
        </w:rPr>
        <w:t>供应商应仔细阅读招标文件中的所有内容，按照招标文件及招标货物技术规格要求，详细编制投标文件。并对招标文件的要求做出实质上响应。实质上响应的投标应该是与招标文件要求的条款没有重大偏离的投标。未实质上响应的投标文件将被拒绝，但允许投标货物在基本满足招标货物技术要求的前提下出现的微小差异。</w:t>
      </w:r>
    </w:p>
    <w:p>
      <w:pPr>
        <w:autoSpaceDE w:val="0"/>
        <w:autoSpaceDN w:val="0"/>
        <w:adjustRightInd w:val="0"/>
        <w:snapToGrid w:val="0"/>
        <w:spacing w:line="454" w:lineRule="atLeast"/>
        <w:ind w:firstLine="440" w:firstLineChars="200"/>
        <w:textAlignment w:val="bottom"/>
        <w:rPr>
          <w:rFonts w:ascii="宋体" w:hAnsi="宋体" w:eastAsia="宋体" w:cs="Arial"/>
          <w:kern w:val="0"/>
          <w:sz w:val="22"/>
        </w:rPr>
      </w:pPr>
      <w:r>
        <w:rPr>
          <w:rFonts w:hint="eastAsia" w:ascii="宋体" w:hAnsi="宋体" w:eastAsia="宋体" w:cs="仿宋_GB2312"/>
          <w:kern w:val="0"/>
          <w:sz w:val="22"/>
          <w:lang w:val="zh-CN"/>
        </w:rPr>
        <w:t>1.</w:t>
      </w:r>
      <w:r>
        <w:rPr>
          <w:rFonts w:hint="eastAsia" w:ascii="宋体" w:hAnsi="宋体" w:eastAsia="宋体" w:cs="仿宋_GB2312"/>
          <w:kern w:val="0"/>
          <w:sz w:val="22"/>
        </w:rPr>
        <w:t>4</w:t>
      </w:r>
      <w:r>
        <w:rPr>
          <w:rFonts w:hint="eastAsia" w:ascii="宋体" w:hAnsi="宋体" w:eastAsia="宋体" w:cs="Arial"/>
          <w:kern w:val="0"/>
          <w:sz w:val="22"/>
        </w:rPr>
        <w:t>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pPr>
        <w:autoSpaceDE w:val="0"/>
        <w:autoSpaceDN w:val="0"/>
        <w:adjustRightInd w:val="0"/>
        <w:snapToGrid w:val="0"/>
        <w:spacing w:line="430" w:lineRule="atLeast"/>
        <w:ind w:firstLine="440" w:firstLineChars="200"/>
        <w:rPr>
          <w:rFonts w:ascii="宋体" w:hAnsi="宋体" w:eastAsia="宋体" w:cs="Times New Roman"/>
          <w:kern w:val="0"/>
          <w:sz w:val="22"/>
          <w:szCs w:val="20"/>
          <w:lang w:val="zh-CN"/>
        </w:rPr>
      </w:pPr>
      <w:r>
        <w:rPr>
          <w:rFonts w:hint="eastAsia" w:ascii="宋体" w:hAnsi="宋体" w:eastAsia="宋体" w:cs="仿宋_GB2312"/>
          <w:kern w:val="0"/>
          <w:sz w:val="22"/>
          <w:lang w:val="zh-CN"/>
        </w:rPr>
        <w:t>1.</w:t>
      </w:r>
      <w:r>
        <w:rPr>
          <w:rFonts w:hint="eastAsia" w:ascii="宋体" w:hAnsi="宋体" w:eastAsia="宋体" w:cs="仿宋_GB2312"/>
          <w:kern w:val="0"/>
          <w:sz w:val="22"/>
        </w:rPr>
        <w:t>5</w:t>
      </w:r>
      <w:r>
        <w:rPr>
          <w:rFonts w:hint="eastAsia" w:ascii="宋体" w:hAnsi="宋体" w:eastAsia="宋体" w:cs="仿宋_GB2312"/>
          <w:kern w:val="0"/>
          <w:sz w:val="22"/>
          <w:lang w:val="zh-CN"/>
        </w:rPr>
        <w:t>供应商应仔细阅读招标文件中的所有内容，按照招标文件要求，详细编制投标文件，所有文件资料必须是针对本次投标。不按招标文件的要求提供的投标文件可能导致被拒绝。</w:t>
      </w:r>
    </w:p>
    <w:p>
      <w:pPr>
        <w:autoSpaceDE w:val="0"/>
        <w:autoSpaceDN w:val="0"/>
        <w:adjustRightInd w:val="0"/>
        <w:snapToGrid w:val="0"/>
        <w:spacing w:line="430" w:lineRule="atLeast"/>
        <w:ind w:firstLine="440" w:firstLineChars="200"/>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2、</w:t>
      </w:r>
      <w:r>
        <w:rPr>
          <w:rFonts w:hint="eastAsia" w:ascii="宋体" w:hAnsi="宋体" w:eastAsia="宋体" w:cs="Times New Roman"/>
          <w:b/>
          <w:kern w:val="0"/>
          <w:sz w:val="22"/>
          <w:szCs w:val="20"/>
          <w:lang w:val="zh-CN"/>
        </w:rPr>
        <w:t>投标文件的组成</w:t>
      </w:r>
    </w:p>
    <w:p>
      <w:pPr>
        <w:autoSpaceDE w:val="0"/>
        <w:autoSpaceDN w:val="0"/>
        <w:adjustRightInd w:val="0"/>
        <w:snapToGrid w:val="0"/>
        <w:spacing w:line="430" w:lineRule="atLeast"/>
        <w:ind w:firstLine="442" w:firstLineChars="200"/>
        <w:rPr>
          <w:rFonts w:ascii="宋体" w:hAnsi="宋体" w:eastAsia="宋体" w:cs="Times New Roman"/>
          <w:b/>
          <w:kern w:val="0"/>
          <w:sz w:val="22"/>
          <w:szCs w:val="20"/>
          <w:lang w:val="zh-CN"/>
        </w:rPr>
      </w:pPr>
      <w:r>
        <w:rPr>
          <w:rFonts w:hint="eastAsia" w:ascii="宋体" w:hAnsi="宋体" w:eastAsia="宋体" w:cs="Times New Roman"/>
          <w:b/>
          <w:kern w:val="0"/>
          <w:sz w:val="22"/>
          <w:szCs w:val="20"/>
        </w:rPr>
        <w:t>投标文件由商务报价部分和技术资信部分二部分组成，须分别装订成册，分别密封。技术资信部分（含资信与服务）不得含报价，否则投标将被拒绝。</w:t>
      </w:r>
    </w:p>
    <w:p>
      <w:pPr>
        <w:autoSpaceDE w:val="0"/>
        <w:autoSpaceDN w:val="0"/>
        <w:adjustRightInd w:val="0"/>
        <w:snapToGrid w:val="0"/>
        <w:spacing w:line="430" w:lineRule="atLeast"/>
        <w:ind w:firstLine="440" w:firstLineChars="200"/>
        <w:rPr>
          <w:rFonts w:ascii="宋体" w:hAnsi="宋体" w:eastAsia="宋体" w:cs="Times New Roman"/>
          <w:b/>
          <w:kern w:val="0"/>
          <w:sz w:val="22"/>
          <w:szCs w:val="20"/>
          <w:lang w:val="zh-CN"/>
        </w:rPr>
      </w:pPr>
      <w:r>
        <w:rPr>
          <w:rFonts w:hint="eastAsia" w:ascii="宋体" w:hAnsi="宋体" w:eastAsia="宋体" w:cs="Times New Roman"/>
          <w:kern w:val="0"/>
          <w:sz w:val="22"/>
          <w:szCs w:val="20"/>
          <w:lang w:val="zh-CN"/>
        </w:rPr>
        <w:t>2.1</w:t>
      </w:r>
      <w:r>
        <w:rPr>
          <w:rFonts w:hint="eastAsia" w:ascii="宋体" w:hAnsi="宋体" w:eastAsia="宋体" w:cs="Times New Roman"/>
          <w:b/>
          <w:kern w:val="0"/>
          <w:sz w:val="22"/>
          <w:szCs w:val="20"/>
        </w:rPr>
        <w:t>商务报价部分</w:t>
      </w:r>
      <w:r>
        <w:rPr>
          <w:rFonts w:hint="eastAsia" w:ascii="宋体" w:hAnsi="宋体" w:eastAsia="宋体" w:cs="Times New Roman"/>
          <w:b/>
          <w:kern w:val="0"/>
          <w:sz w:val="22"/>
          <w:szCs w:val="20"/>
          <w:lang w:val="zh-CN"/>
        </w:rPr>
        <w:t>组成</w:t>
      </w:r>
    </w:p>
    <w:tbl>
      <w:tblPr>
        <w:tblStyle w:val="22"/>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Align w:val="center"/>
          </w:tcPr>
          <w:p>
            <w:pPr>
              <w:autoSpaceDE w:val="0"/>
              <w:autoSpaceDN w:val="0"/>
              <w:adjustRightInd w:val="0"/>
              <w:snapToGrid w:val="0"/>
              <w:spacing w:line="430" w:lineRule="atLeast"/>
              <w:jc w:val="center"/>
              <w:rPr>
                <w:rFonts w:ascii="宋体" w:hAnsi="宋体" w:eastAsia="宋体" w:cs="Times New Roman"/>
                <w:kern w:val="0"/>
                <w:sz w:val="22"/>
                <w:lang w:val="zh-CN"/>
              </w:rPr>
            </w:pPr>
            <w:r>
              <w:rPr>
                <w:rFonts w:hint="eastAsia" w:ascii="宋体" w:hAnsi="宋体" w:eastAsia="宋体" w:cs="Times New Roman"/>
                <w:kern w:val="0"/>
                <w:sz w:val="22"/>
                <w:lang w:val="zh-CN"/>
              </w:rPr>
              <w:t>序号</w:t>
            </w:r>
          </w:p>
        </w:tc>
        <w:tc>
          <w:tcPr>
            <w:tcW w:w="8527" w:type="dxa"/>
            <w:vAlign w:val="center"/>
          </w:tcPr>
          <w:p>
            <w:pPr>
              <w:autoSpaceDE w:val="0"/>
              <w:autoSpaceDN w:val="0"/>
              <w:adjustRightInd w:val="0"/>
              <w:snapToGrid w:val="0"/>
              <w:spacing w:line="430" w:lineRule="atLeast"/>
              <w:rPr>
                <w:rFonts w:ascii="宋体" w:hAnsi="宋体" w:eastAsia="宋体" w:cs="Times New Roman"/>
                <w:kern w:val="0"/>
                <w:sz w:val="22"/>
                <w:lang w:val="zh-CN"/>
              </w:rPr>
            </w:pPr>
            <w:r>
              <w:rPr>
                <w:rFonts w:hint="eastAsia" w:ascii="宋体" w:hAnsi="宋体" w:eastAsia="宋体" w:cs="Times New Roman"/>
                <w:kern w:val="0"/>
                <w:sz w:val="22"/>
                <w:lang w:val="zh-CN"/>
              </w:rPr>
              <w:t>内容</w:t>
            </w:r>
            <w:r>
              <w:rPr>
                <w:rFonts w:hint="eastAsia" w:ascii="宋体" w:hAnsi="宋体" w:eastAsia="宋体" w:cs="Times New Roman"/>
                <w:b/>
                <w:kern w:val="0"/>
                <w:sz w:val="22"/>
                <w:lang w:val="zh-CN"/>
              </w:rPr>
              <w:t>（▲序号1-</w:t>
            </w:r>
            <w:r>
              <w:rPr>
                <w:rFonts w:ascii="宋体" w:hAnsi="宋体" w:eastAsia="宋体" w:cs="Times New Roman"/>
                <w:b/>
                <w:kern w:val="0"/>
                <w:sz w:val="22"/>
                <w:lang w:val="zh-CN"/>
              </w:rPr>
              <w:t>2</w:t>
            </w:r>
            <w:r>
              <w:rPr>
                <w:rFonts w:hint="eastAsia" w:ascii="宋体" w:hAnsi="宋体" w:eastAsia="宋体" w:cs="Times New Roman"/>
                <w:b/>
                <w:kern w:val="0"/>
                <w:sz w:val="22"/>
                <w:lang w:val="zh-CN"/>
              </w:rPr>
              <w:t>项供应商必须提供，否则不能通过符合性审查的，责任自负）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Align w:val="center"/>
          </w:tcPr>
          <w:p>
            <w:pPr>
              <w:numPr>
                <w:ilvl w:val="0"/>
                <w:numId w:val="23"/>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527" w:type="dxa"/>
            <w:vAlign w:val="center"/>
          </w:tcPr>
          <w:p>
            <w:pPr>
              <w:autoSpaceDE w:val="0"/>
              <w:autoSpaceDN w:val="0"/>
              <w:adjustRightInd w:val="0"/>
              <w:spacing w:line="430" w:lineRule="atLeast"/>
              <w:textAlignment w:val="bottom"/>
              <w:rPr>
                <w:rFonts w:ascii="宋体" w:hAnsi="宋体" w:eastAsia="宋体" w:cs="Times New Roman"/>
                <w:kern w:val="0"/>
                <w:sz w:val="22"/>
              </w:rPr>
            </w:pPr>
            <w:r>
              <w:rPr>
                <w:rFonts w:hint="eastAsia" w:ascii="宋体" w:hAnsi="宋体" w:eastAsia="宋体" w:cs="Times New Roman"/>
                <w:kern w:val="0"/>
                <w:sz w:val="22"/>
              </w:rPr>
              <w:t>开标一览表（附件一）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Align w:val="center"/>
          </w:tcPr>
          <w:p>
            <w:pPr>
              <w:numPr>
                <w:ilvl w:val="0"/>
                <w:numId w:val="23"/>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527" w:type="dxa"/>
            <w:vAlign w:val="center"/>
          </w:tcPr>
          <w:p>
            <w:pPr>
              <w:autoSpaceDE w:val="0"/>
              <w:autoSpaceDN w:val="0"/>
              <w:adjustRightInd w:val="0"/>
              <w:spacing w:line="430" w:lineRule="atLeast"/>
              <w:textAlignment w:val="bottom"/>
              <w:rPr>
                <w:rFonts w:ascii="宋体" w:hAnsi="宋体" w:eastAsia="宋体" w:cs="Times New Roman"/>
                <w:kern w:val="0"/>
                <w:sz w:val="22"/>
                <w:lang w:val="zh-CN"/>
              </w:rPr>
            </w:pPr>
            <w:r>
              <w:rPr>
                <w:rFonts w:hint="eastAsia" w:ascii="宋体" w:hAnsi="宋体" w:eastAsia="宋体" w:cs="Times New Roman"/>
                <w:kern w:val="0"/>
                <w:sz w:val="22"/>
              </w:rPr>
              <w:t>投标货物数量价格表（附件二）；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Align w:val="center"/>
          </w:tcPr>
          <w:p>
            <w:pPr>
              <w:numPr>
                <w:ilvl w:val="0"/>
                <w:numId w:val="23"/>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527" w:type="dxa"/>
            <w:vAlign w:val="center"/>
          </w:tcPr>
          <w:p>
            <w:pPr>
              <w:autoSpaceDE w:val="0"/>
              <w:autoSpaceDN w:val="0"/>
              <w:adjustRightInd w:val="0"/>
              <w:snapToGrid w:val="0"/>
              <w:spacing w:line="430" w:lineRule="atLeast"/>
              <w:textAlignment w:val="bottom"/>
              <w:rPr>
                <w:rFonts w:ascii="宋体" w:hAnsi="宋体" w:eastAsia="宋体" w:cs="Times New Roman"/>
                <w:kern w:val="0"/>
                <w:sz w:val="22"/>
                <w:lang w:val="zh-CN"/>
              </w:rPr>
            </w:pPr>
            <w:r>
              <w:rPr>
                <w:rFonts w:hint="eastAsia" w:ascii="宋体" w:hAnsi="宋体" w:eastAsia="宋体" w:cs="Times New Roman"/>
                <w:kern w:val="0"/>
                <w:sz w:val="22"/>
              </w:rPr>
              <w:t>随机备品备件、专用工具清单(如有)（附件三）；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Align w:val="center"/>
          </w:tcPr>
          <w:p>
            <w:pPr>
              <w:numPr>
                <w:ilvl w:val="0"/>
                <w:numId w:val="23"/>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527" w:type="dxa"/>
            <w:vAlign w:val="center"/>
          </w:tcPr>
          <w:p>
            <w:pPr>
              <w:autoSpaceDE w:val="0"/>
              <w:autoSpaceDN w:val="0"/>
              <w:adjustRightInd w:val="0"/>
              <w:snapToGrid w:val="0"/>
              <w:spacing w:line="430" w:lineRule="atLeast"/>
              <w:rPr>
                <w:rFonts w:ascii="宋体" w:hAnsi="宋体" w:eastAsia="宋体" w:cs="Times New Roman"/>
                <w:kern w:val="0"/>
                <w:sz w:val="22"/>
                <w:lang w:val="zh-CN"/>
              </w:rPr>
            </w:pPr>
            <w:r>
              <w:rPr>
                <w:rFonts w:hint="eastAsia" w:ascii="宋体" w:hAnsi="宋体" w:eastAsia="宋体" w:cs="Times New Roman"/>
                <w:kern w:val="0"/>
                <w:sz w:val="22"/>
              </w:rPr>
              <w:t>产品零件、易损件、备品备件报价表（附件四）。</w:t>
            </w:r>
          </w:p>
        </w:tc>
      </w:tr>
    </w:tbl>
    <w:p>
      <w:pPr>
        <w:autoSpaceDE w:val="0"/>
        <w:autoSpaceDN w:val="0"/>
        <w:adjustRightInd w:val="0"/>
        <w:snapToGrid w:val="0"/>
        <w:spacing w:line="430" w:lineRule="atLeast"/>
        <w:ind w:firstLine="440" w:firstLineChars="200"/>
        <w:textAlignment w:val="bottom"/>
        <w:rPr>
          <w:rFonts w:ascii="宋体" w:hAnsi="宋体" w:eastAsia="宋体" w:cs="Times New Roman"/>
          <w:kern w:val="0"/>
          <w:sz w:val="22"/>
          <w:szCs w:val="20"/>
        </w:rPr>
      </w:pPr>
      <w:r>
        <w:rPr>
          <w:rFonts w:hint="eastAsia" w:ascii="宋体" w:hAnsi="宋体" w:eastAsia="宋体" w:cs="Times New Roman"/>
          <w:kern w:val="0"/>
          <w:sz w:val="22"/>
          <w:szCs w:val="20"/>
        </w:rPr>
        <w:t>2.2</w:t>
      </w:r>
      <w:r>
        <w:rPr>
          <w:rFonts w:hint="eastAsia" w:ascii="宋体" w:hAnsi="宋体" w:eastAsia="宋体" w:cs="Times New Roman"/>
          <w:b/>
          <w:kern w:val="0"/>
          <w:sz w:val="22"/>
          <w:szCs w:val="20"/>
        </w:rPr>
        <w:t>技术资信部分组成</w:t>
      </w:r>
    </w:p>
    <w:tbl>
      <w:tblPr>
        <w:tblStyle w:val="22"/>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8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autoSpaceDE w:val="0"/>
              <w:autoSpaceDN w:val="0"/>
              <w:adjustRightInd w:val="0"/>
              <w:snapToGrid w:val="0"/>
              <w:spacing w:line="430" w:lineRule="atLeast"/>
              <w:rPr>
                <w:rFonts w:ascii="宋体" w:hAnsi="宋体" w:eastAsia="宋体" w:cs="Times New Roman"/>
                <w:kern w:val="0"/>
                <w:sz w:val="22"/>
                <w:lang w:val="zh-CN"/>
              </w:rPr>
            </w:pPr>
            <w:r>
              <w:rPr>
                <w:rFonts w:hint="eastAsia" w:ascii="宋体" w:hAnsi="宋体" w:eastAsia="宋体" w:cs="Times New Roman"/>
                <w:kern w:val="0"/>
                <w:sz w:val="22"/>
                <w:lang w:val="zh-CN"/>
              </w:rPr>
              <w:t>序号</w:t>
            </w: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lang w:val="zh-CN"/>
              </w:rPr>
            </w:pPr>
            <w:r>
              <w:rPr>
                <w:rFonts w:hint="eastAsia" w:ascii="宋体" w:hAnsi="宋体" w:eastAsia="宋体" w:cs="Times New Roman"/>
                <w:kern w:val="0"/>
                <w:sz w:val="22"/>
                <w:lang w:val="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0" w:type="dxa"/>
            <w:gridSpan w:val="2"/>
            <w:vAlign w:val="center"/>
          </w:tcPr>
          <w:p>
            <w:pPr>
              <w:autoSpaceDE w:val="0"/>
              <w:autoSpaceDN w:val="0"/>
              <w:adjustRightInd w:val="0"/>
              <w:snapToGrid w:val="0"/>
              <w:spacing w:line="430" w:lineRule="atLeast"/>
              <w:rPr>
                <w:rFonts w:ascii="宋体" w:hAnsi="宋体" w:eastAsia="宋体" w:cs="Times New Roman"/>
                <w:kern w:val="0"/>
                <w:sz w:val="22"/>
                <w:lang w:val="zh-CN"/>
              </w:rPr>
            </w:pPr>
            <w:r>
              <w:rPr>
                <w:rFonts w:hint="eastAsia" w:ascii="宋体" w:hAnsi="宋体" w:eastAsia="宋体" w:cs="Times New Roman"/>
                <w:kern w:val="0"/>
                <w:sz w:val="22"/>
                <w:lang w:val="zh-CN"/>
              </w:rPr>
              <w:t>资信部分</w:t>
            </w:r>
            <w:r>
              <w:rPr>
                <w:rFonts w:hint="eastAsia" w:ascii="宋体" w:hAnsi="宋体" w:eastAsia="宋体" w:cs="Times New Roman"/>
                <w:b/>
                <w:kern w:val="0"/>
                <w:sz w:val="22"/>
                <w:lang w:val="zh-CN"/>
              </w:rPr>
              <w:t>（▲序号1-</w:t>
            </w:r>
            <w:r>
              <w:rPr>
                <w:rFonts w:ascii="宋体" w:hAnsi="宋体" w:eastAsia="宋体" w:cs="Times New Roman"/>
                <w:b/>
                <w:kern w:val="0"/>
                <w:sz w:val="22"/>
                <w:lang w:val="zh-CN"/>
              </w:rPr>
              <w:t>5</w:t>
            </w:r>
            <w:r>
              <w:rPr>
                <w:rFonts w:hint="eastAsia" w:ascii="宋体" w:hAnsi="宋体" w:eastAsia="宋体" w:cs="Times New Roman"/>
                <w:b/>
                <w:kern w:val="0"/>
                <w:sz w:val="22"/>
                <w:lang w:val="zh-CN"/>
              </w:rPr>
              <w:t>项供应商必须提供，否则不能通过资格性审查的，责任自负）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lang w:val="zh-CN"/>
              </w:rPr>
            </w:pPr>
            <w:r>
              <w:rPr>
                <w:rFonts w:hint="eastAsia" w:ascii="宋体" w:hAnsi="宋体" w:eastAsia="宋体" w:cs="Times New Roman"/>
                <w:kern w:val="0"/>
                <w:sz w:val="22"/>
              </w:rPr>
              <w:t>投标函（附件五）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供应商法定代表人授权书（见附件六）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供应商参与政府采购活动投标资格声明（见附件七）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供应商的营业执照、税务登记证（如为多证合一仅需提供营业执照）；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供应商财务报表、依法缴纳税收的证明材料、依法缴纳社保的证明材料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供应商“信用中国”(</w:t>
            </w:r>
            <w:r>
              <w:fldChar w:fldCharType="begin"/>
            </w:r>
            <w:r>
              <w:instrText xml:space="preserve"> HYPERLINK "http://www.creditchina.gov.cn" </w:instrText>
            </w:r>
            <w:r>
              <w:fldChar w:fldCharType="separate"/>
            </w:r>
            <w:r>
              <w:rPr>
                <w:rFonts w:hint="eastAsia" w:ascii="宋体" w:hAnsi="宋体" w:eastAsia="宋体" w:cs="Times New Roman"/>
                <w:kern w:val="0"/>
                <w:sz w:val="22"/>
              </w:rPr>
              <w:t>www.creditchina.gov.cn</w:t>
            </w:r>
            <w:r>
              <w:rPr>
                <w:rFonts w:hint="eastAsia" w:ascii="宋体" w:hAnsi="宋体" w:eastAsia="宋体" w:cs="Times New Roman"/>
                <w:kern w:val="0"/>
                <w:sz w:val="22"/>
              </w:rPr>
              <w:fldChar w:fldCharType="end"/>
            </w:r>
            <w:r>
              <w:rPr>
                <w:rFonts w:hint="eastAsia" w:ascii="宋体" w:hAnsi="宋体" w:eastAsia="宋体" w:cs="Times New Roman"/>
                <w:kern w:val="0"/>
                <w:sz w:val="22"/>
              </w:rPr>
              <w:t>)；“中国政府采购网”（http://www.ccgp.gov.cn/）信用记录网页截图；“浙江省政府采购网”（</w:t>
            </w:r>
            <w:r>
              <w:rPr>
                <w:rFonts w:ascii="宋体" w:hAnsi="宋体" w:eastAsia="宋体" w:cs="Times New Roman"/>
                <w:kern w:val="0"/>
                <w:sz w:val="22"/>
              </w:rPr>
              <w:t>http://www.zjzfcg.gov.cn/</w:t>
            </w:r>
            <w:r>
              <w:rPr>
                <w:rFonts w:hint="eastAsia" w:ascii="宋体" w:hAnsi="宋体" w:eastAsia="宋体" w:cs="Times New Roman"/>
                <w:kern w:val="0"/>
                <w:sz w:val="22"/>
              </w:rPr>
              <w:t>）曝光台中查询网页截图；（招标公告发布之日至投标截止时间前均可）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b/>
                <w:kern w:val="0"/>
                <w:sz w:val="22"/>
              </w:rPr>
            </w:pPr>
            <w:r>
              <w:rPr>
                <w:rFonts w:hint="eastAsia" w:ascii="宋体" w:hAnsi="宋体" w:eastAsia="宋体" w:cs="Times New Roman"/>
                <w:b/>
                <w:kern w:val="0"/>
                <w:sz w:val="22"/>
              </w:rPr>
              <w:t>供应商特定资格条件证明（如供应商资格条件未要求特定资格条件的，不需要提供）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b/>
                <w:kern w:val="0"/>
                <w:sz w:val="22"/>
              </w:rPr>
            </w:pPr>
            <w:r>
              <w:rPr>
                <w:rFonts w:hint="eastAsia" w:ascii="宋体" w:hAnsi="宋体" w:eastAsia="宋体" w:cs="Times New Roman"/>
                <w:b/>
                <w:kern w:val="0"/>
                <w:sz w:val="22"/>
              </w:rPr>
              <w:t>法定代表人诚信投标承诺书（附件九）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供应商质量体系认证证书（如有则提供）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供应商环境体系认证证书（如有则提供）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供应商职业健康体系认证证书（如有则提供）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供应商资信等级证明等（如有则提供）；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供应商曾经获得的政府部门或行业协会颁发的荣誉证书（如有则提供）；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供应商具有的其它相关资质证书（如有则提供）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供应商提供2016年以来同类项目业绩；（以提供的加盖有效公章的中标(成交)通知书或合同复印件为准）（附件八）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宋体"/>
                <w:color w:val="000000"/>
                <w:szCs w:val="21"/>
              </w:rPr>
            </w:pPr>
            <w:r>
              <w:rPr>
                <w:rFonts w:hint="eastAsia" w:ascii="宋体" w:hAnsi="宋体" w:eastAsia="宋体" w:cs="宋体"/>
                <w:color w:val="000000"/>
                <w:szCs w:val="21"/>
              </w:rPr>
              <w:t>享受小微企业</w:t>
            </w:r>
            <w:r>
              <w:rPr>
                <w:rFonts w:hint="eastAsia" w:ascii="宋体" w:hAnsi="宋体" w:eastAsia="宋体" w:cs="宋体"/>
                <w:color w:val="000000"/>
                <w:sz w:val="22"/>
              </w:rPr>
              <w:t>（含监狱企业、残疾人福利性单位）</w:t>
            </w:r>
            <w:r>
              <w:rPr>
                <w:rFonts w:hint="eastAsia" w:ascii="宋体" w:hAnsi="宋体" w:eastAsia="宋体" w:cs="宋体"/>
                <w:color w:val="000000"/>
                <w:szCs w:val="21"/>
              </w:rPr>
              <w:t>价格折扣须按供应商单位性质提供以下相关的证明材料：</w:t>
            </w:r>
          </w:p>
          <w:p>
            <w:pPr>
              <w:autoSpaceDE w:val="0"/>
              <w:autoSpaceDN w:val="0"/>
              <w:adjustRightInd w:val="0"/>
              <w:snapToGrid w:val="0"/>
              <w:spacing w:line="430" w:lineRule="atLeast"/>
              <w:rPr>
                <w:rFonts w:ascii="宋体" w:hAnsi="宋体" w:eastAsia="宋体" w:cs="宋体"/>
                <w:color w:val="000000"/>
                <w:szCs w:val="21"/>
              </w:rPr>
            </w:pPr>
            <w:r>
              <w:rPr>
                <w:rFonts w:hint="eastAsia" w:ascii="宋体" w:hAnsi="宋体" w:eastAsia="宋体" w:cs="宋体"/>
                <w:color w:val="000000"/>
                <w:szCs w:val="21"/>
              </w:rPr>
              <w:t>（1）通过浙江政府采购网申请注册加入政府采购供应商库（不包括公示期内，提供浙江省政府采购网页面截图或其它入库证明材料，加盖供应商公章）</w:t>
            </w:r>
          </w:p>
          <w:p>
            <w:pPr>
              <w:autoSpaceDE w:val="0"/>
              <w:autoSpaceDN w:val="0"/>
              <w:adjustRightInd w:val="0"/>
              <w:snapToGrid w:val="0"/>
              <w:spacing w:line="430" w:lineRule="atLeast"/>
              <w:rPr>
                <w:rFonts w:ascii="宋体" w:hAnsi="宋体" w:eastAsia="宋体" w:cs="宋体"/>
                <w:color w:val="000000"/>
                <w:szCs w:val="21"/>
              </w:rPr>
            </w:pPr>
            <w:r>
              <w:rPr>
                <w:rFonts w:hint="eastAsia" w:ascii="宋体" w:hAnsi="宋体" w:eastAsia="宋体" w:cs="宋体"/>
                <w:color w:val="000000"/>
                <w:szCs w:val="21"/>
              </w:rPr>
              <w:t>（2）《中小企业声明函》（原件，加盖供应商公章，格式见招标文件第四部分附件</w:t>
            </w:r>
            <w:r>
              <w:rPr>
                <w:rFonts w:ascii="宋体" w:hAnsi="宋体" w:eastAsia="宋体" w:cs="宋体"/>
                <w:color w:val="000000"/>
                <w:szCs w:val="21"/>
              </w:rPr>
              <w:t>1</w:t>
            </w:r>
            <w:r>
              <w:rPr>
                <w:rFonts w:hint="eastAsia" w:ascii="宋体" w:hAnsi="宋体" w:eastAsia="宋体" w:cs="宋体"/>
                <w:color w:val="000000"/>
                <w:szCs w:val="21"/>
              </w:rPr>
              <w:t>）</w:t>
            </w:r>
          </w:p>
          <w:p>
            <w:pPr>
              <w:autoSpaceDE w:val="0"/>
              <w:autoSpaceDN w:val="0"/>
              <w:adjustRightInd w:val="0"/>
              <w:snapToGrid w:val="0"/>
              <w:spacing w:line="430" w:lineRule="atLeast"/>
              <w:rPr>
                <w:rFonts w:ascii="宋体" w:hAnsi="宋体" w:eastAsia="宋体" w:cs="宋体"/>
                <w:color w:val="000000"/>
                <w:szCs w:val="21"/>
              </w:rPr>
            </w:pPr>
            <w:r>
              <w:rPr>
                <w:rFonts w:hint="eastAsia" w:ascii="宋体" w:hAnsi="宋体" w:eastAsia="宋体" w:cs="宋体"/>
                <w:color w:val="000000"/>
                <w:szCs w:val="21"/>
              </w:rPr>
              <w:t>（3）</w:t>
            </w:r>
            <w:r>
              <w:rPr>
                <w:rFonts w:ascii="宋体" w:hAnsi="宋体" w:eastAsia="宋体" w:cs="宋体"/>
                <w:color w:val="000000"/>
                <w:szCs w:val="21"/>
              </w:rPr>
              <w:t>监狱企业参加政府采购活动时，应当提供由省级以上监狱管理局、戒毒管理局(含新疆生产建设兵团)出具的属于监狱企业的证明文件</w:t>
            </w:r>
            <w:r>
              <w:rPr>
                <w:rFonts w:hint="eastAsia" w:ascii="宋体" w:hAnsi="宋体" w:eastAsia="宋体" w:cs="宋体"/>
                <w:color w:val="000000"/>
                <w:szCs w:val="21"/>
              </w:rPr>
              <w:t>（原件或复印件加盖公章）</w:t>
            </w:r>
            <w:r>
              <w:rPr>
                <w:rFonts w:ascii="宋体" w:hAnsi="宋体" w:eastAsia="宋体" w:cs="宋体"/>
                <w:color w:val="000000"/>
                <w:szCs w:val="21"/>
              </w:rPr>
              <w:t>。在政府采购活动中，监狱企业视同小型、微型企业，享受评审中价格扣除政策</w:t>
            </w:r>
            <w:r>
              <w:rPr>
                <w:rFonts w:hint="eastAsia" w:ascii="宋体" w:hAnsi="宋体" w:eastAsia="宋体" w:cs="宋体"/>
                <w:color w:val="000000"/>
                <w:szCs w:val="21"/>
              </w:rPr>
              <w:t>。</w:t>
            </w:r>
          </w:p>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宋体"/>
                <w:color w:val="000000"/>
                <w:szCs w:val="21"/>
              </w:rPr>
              <w:t>（4）残疾人福利性单位声明函（原件，加盖供应商公章，格式见招标文件第四部分附件2）</w:t>
            </w:r>
            <w:r>
              <w:rPr>
                <w:rFonts w:ascii="宋体" w:hAnsi="宋体" w:eastAsia="宋体" w:cs="宋体"/>
                <w:color w:val="000000"/>
                <w:szCs w:val="21"/>
              </w:rPr>
              <w:t>在政府采购活动中，</w:t>
            </w:r>
            <w:r>
              <w:rPr>
                <w:rFonts w:hint="eastAsia" w:ascii="宋体" w:hAnsi="宋体" w:eastAsia="宋体" w:cs="宋体"/>
                <w:color w:val="000000"/>
                <w:szCs w:val="21"/>
              </w:rPr>
              <w:t>残疾人福利性单位</w:t>
            </w:r>
            <w:r>
              <w:rPr>
                <w:rFonts w:ascii="宋体" w:hAnsi="宋体" w:eastAsia="宋体" w:cs="宋体"/>
                <w:color w:val="000000"/>
                <w:szCs w:val="21"/>
              </w:rPr>
              <w:t>视同小型、微型企业，享受评审中价格扣除政策</w:t>
            </w:r>
            <w:r>
              <w:rPr>
                <w:rFonts w:hint="eastAsia" w:ascii="宋体" w:hAnsi="宋体" w:eastAsia="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20" w:type="dxa"/>
            <w:gridSpan w:val="2"/>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lang w:val="zh-CN"/>
              </w:rPr>
              <w:t>技术部分</w:t>
            </w:r>
            <w:r>
              <w:rPr>
                <w:rFonts w:hint="eastAsia" w:ascii="宋体" w:hAnsi="宋体" w:eastAsia="宋体" w:cs="Times New Roman"/>
                <w:b/>
                <w:kern w:val="0"/>
                <w:sz w:val="22"/>
                <w:lang w:val="zh-CN"/>
              </w:rPr>
              <w:t>（▲序号1</w:t>
            </w:r>
            <w:r>
              <w:rPr>
                <w:rFonts w:ascii="宋体" w:hAnsi="宋体" w:eastAsia="宋体" w:cs="Times New Roman"/>
                <w:b/>
                <w:kern w:val="0"/>
                <w:sz w:val="22"/>
                <w:lang w:val="zh-CN"/>
              </w:rPr>
              <w:t>8</w:t>
            </w:r>
            <w:r>
              <w:rPr>
                <w:rFonts w:hint="eastAsia" w:ascii="宋体" w:hAnsi="宋体" w:eastAsia="宋体" w:cs="Times New Roman"/>
                <w:b/>
                <w:kern w:val="0"/>
                <w:sz w:val="22"/>
                <w:lang w:val="zh-CN"/>
              </w:rPr>
              <w:t>-</w:t>
            </w:r>
            <w:r>
              <w:rPr>
                <w:rFonts w:ascii="宋体" w:hAnsi="宋体" w:eastAsia="宋体" w:cs="Times New Roman"/>
                <w:b/>
                <w:kern w:val="0"/>
                <w:sz w:val="22"/>
                <w:lang w:val="zh-CN"/>
              </w:rPr>
              <w:t>20</w:t>
            </w:r>
            <w:r>
              <w:rPr>
                <w:rFonts w:hint="eastAsia" w:ascii="宋体" w:hAnsi="宋体" w:eastAsia="宋体" w:cs="Times New Roman"/>
                <w:b/>
                <w:kern w:val="0"/>
                <w:sz w:val="22"/>
                <w:lang w:val="zh-CN"/>
              </w:rPr>
              <w:t>项供应商必须提供，否则不能通过符合性审查的，责任自负）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商务偏离表（附件十（一））、技术偏离表（附件十（二））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所投产品的主要部件配置清单（附件十一）；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详细的技术方案；所投产品详细技术规格书及所投产品的主要技术、设计、制造工艺、配置、性能、特点和结构质量水平的详细描述及彩色实物图片；（如果资料提供不全，可能导致对供应商不利的评定）；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tabs>
                <w:tab w:val="left" w:pos="5355"/>
              </w:tabs>
              <w:spacing w:line="360" w:lineRule="auto"/>
              <w:rPr>
                <w:rFonts w:ascii="宋体" w:hAnsi="宋体" w:eastAsia="宋体" w:cs="Times New Roman"/>
                <w:kern w:val="0"/>
                <w:sz w:val="22"/>
              </w:rPr>
            </w:pPr>
            <w:r>
              <w:rPr>
                <w:rFonts w:hint="eastAsia" w:ascii="宋体" w:hAnsi="宋体" w:eastAsia="宋体" w:cs="Times New Roman"/>
                <w:kern w:val="0"/>
                <w:sz w:val="22"/>
              </w:rPr>
              <w:t xml:space="preserve">节能环保产品声明函（附件十二）；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节能环保产品清单（附件十三）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相关所投产品的相关检测报告、</w:t>
            </w:r>
            <w:r>
              <w:rPr>
                <w:rFonts w:ascii="宋体" w:hAnsi="宋体" w:eastAsia="宋体" w:cs="Times New Roman"/>
                <w:kern w:val="0"/>
                <w:sz w:val="22"/>
              </w:rPr>
              <w:t>相关产品生产销售许可证</w:t>
            </w:r>
            <w:r>
              <w:rPr>
                <w:rFonts w:hint="eastAsia" w:ascii="宋体" w:hAnsi="宋体" w:eastAsia="宋体" w:cs="Times New Roman"/>
                <w:kern w:val="0"/>
                <w:sz w:val="22"/>
              </w:rPr>
              <w:t>；自主创新、节能、绿色环保方面认证等；（如有则提供，复印件加盖有效公章）；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项目服务人员汇总表（附件十四）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实施方案（含具备履行合同所必需的设备投入说明）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测试验收方案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kern w:val="0"/>
                <w:sz w:val="22"/>
              </w:rPr>
            </w:pPr>
            <w:r>
              <w:rPr>
                <w:rFonts w:hint="eastAsia" w:ascii="宋体" w:hAnsi="宋体" w:eastAsia="宋体" w:cs="Times New Roman"/>
                <w:kern w:val="0"/>
                <w:sz w:val="22"/>
              </w:rPr>
              <w:t xml:space="preserve">售后服务承诺：技术服务和售后服务的内容、措施、承诺，包括质保期、距采购人最近的服务网点的详细介绍，资质资格、技术力量、成立时间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b/>
                <w:kern w:val="0"/>
                <w:sz w:val="22"/>
              </w:rPr>
            </w:pPr>
            <w:r>
              <w:rPr>
                <w:rFonts w:hint="eastAsia" w:ascii="宋体" w:hAnsi="宋体" w:eastAsia="宋体" w:cs="Times New Roman"/>
                <w:kern w:val="0"/>
                <w:sz w:val="22"/>
              </w:rPr>
              <w:t>根据招标文件中的采购内容与技术要求、评标细则，需要提供的其它文件和资料。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numPr>
                <w:ilvl w:val="0"/>
                <w:numId w:val="24"/>
              </w:numPr>
              <w:autoSpaceDE w:val="0"/>
              <w:autoSpaceDN w:val="0"/>
              <w:adjustRightInd w:val="0"/>
              <w:snapToGrid w:val="0"/>
              <w:spacing w:line="430" w:lineRule="atLeast"/>
              <w:jc w:val="center"/>
              <w:rPr>
                <w:rFonts w:ascii="宋体" w:hAnsi="宋体" w:eastAsia="宋体" w:cs="Times New Roman"/>
                <w:kern w:val="0"/>
                <w:sz w:val="22"/>
                <w:lang w:val="zh-CN"/>
              </w:rPr>
            </w:pPr>
          </w:p>
        </w:tc>
        <w:tc>
          <w:tcPr>
            <w:tcW w:w="8386" w:type="dxa"/>
            <w:vAlign w:val="center"/>
          </w:tcPr>
          <w:p>
            <w:pPr>
              <w:autoSpaceDE w:val="0"/>
              <w:autoSpaceDN w:val="0"/>
              <w:adjustRightInd w:val="0"/>
              <w:snapToGrid w:val="0"/>
              <w:spacing w:line="430" w:lineRule="atLeast"/>
              <w:rPr>
                <w:rFonts w:ascii="宋体" w:hAnsi="宋体" w:eastAsia="宋体" w:cs="Times New Roman"/>
                <w:b/>
                <w:kern w:val="0"/>
                <w:sz w:val="22"/>
              </w:rPr>
            </w:pPr>
            <w:r>
              <w:rPr>
                <w:rFonts w:hint="eastAsia" w:ascii="宋体" w:hAnsi="宋体" w:eastAsia="宋体" w:cs="Times New Roman"/>
                <w:kern w:val="0"/>
                <w:sz w:val="22"/>
              </w:rPr>
              <w:t>供应商针对评分细则，编制目录索引，注明评标细则项目所在投标文件页码。</w:t>
            </w:r>
          </w:p>
        </w:tc>
      </w:tr>
    </w:tbl>
    <w:p>
      <w:pPr>
        <w:autoSpaceDE w:val="0"/>
        <w:autoSpaceDN w:val="0"/>
        <w:adjustRightInd w:val="0"/>
        <w:snapToGrid w:val="0"/>
        <w:spacing w:line="430" w:lineRule="atLeast"/>
        <w:ind w:firstLine="440" w:firstLineChars="200"/>
        <w:textAlignment w:val="bottom"/>
        <w:rPr>
          <w:rFonts w:ascii="宋体" w:hAnsi="宋体" w:eastAsia="宋体" w:cs="Times New Roman"/>
          <w:kern w:val="0"/>
          <w:sz w:val="22"/>
          <w:szCs w:val="20"/>
        </w:rPr>
      </w:pPr>
      <w:r>
        <w:rPr>
          <w:rFonts w:hint="eastAsia" w:ascii="宋体" w:hAnsi="宋体" w:eastAsia="宋体" w:cs="Times New Roman"/>
          <w:kern w:val="0"/>
          <w:sz w:val="22"/>
          <w:szCs w:val="20"/>
        </w:rPr>
        <w:t>3、投标内容填写说明</w:t>
      </w:r>
    </w:p>
    <w:p>
      <w:pPr>
        <w:autoSpaceDE w:val="0"/>
        <w:autoSpaceDN w:val="0"/>
        <w:adjustRightInd w:val="0"/>
        <w:snapToGrid w:val="0"/>
        <w:spacing w:line="430" w:lineRule="atLeast"/>
        <w:ind w:firstLine="440" w:firstLineChars="200"/>
        <w:textAlignment w:val="bottom"/>
        <w:rPr>
          <w:rFonts w:ascii="宋体" w:hAnsi="宋体" w:eastAsia="宋体" w:cs="Times New Roman"/>
          <w:kern w:val="0"/>
          <w:sz w:val="22"/>
          <w:szCs w:val="20"/>
        </w:rPr>
      </w:pPr>
      <w:r>
        <w:rPr>
          <w:rFonts w:hint="eastAsia" w:ascii="宋体" w:hAnsi="宋体" w:eastAsia="宋体" w:cs="Times New Roman"/>
          <w:kern w:val="0"/>
          <w:sz w:val="22"/>
          <w:szCs w:val="20"/>
        </w:rPr>
        <w:t>3.1投标文件格式</w:t>
      </w:r>
    </w:p>
    <w:p>
      <w:pPr>
        <w:autoSpaceDE w:val="0"/>
        <w:autoSpaceDN w:val="0"/>
        <w:adjustRightInd w:val="0"/>
        <w:snapToGrid w:val="0"/>
        <w:spacing w:line="430" w:lineRule="atLeast"/>
        <w:ind w:firstLine="440" w:firstLineChars="200"/>
        <w:textAlignment w:val="bottom"/>
        <w:rPr>
          <w:rFonts w:ascii="宋体" w:hAnsi="宋体" w:eastAsia="宋体" w:cs="Times New Roman"/>
          <w:kern w:val="0"/>
          <w:sz w:val="22"/>
          <w:szCs w:val="20"/>
        </w:rPr>
      </w:pPr>
      <w:r>
        <w:rPr>
          <w:rFonts w:hint="eastAsia" w:ascii="宋体" w:hAnsi="宋体" w:eastAsia="宋体" w:cs="Times New Roman"/>
          <w:kern w:val="0"/>
          <w:sz w:val="22"/>
          <w:szCs w:val="20"/>
        </w:rPr>
        <w:t>供应商应按照招标文件第三部分第三款第2条（上表）所列出的内容及格式</w:t>
      </w:r>
      <w:r>
        <w:rPr>
          <w:rFonts w:hint="eastAsia" w:ascii="宋体" w:hAnsi="宋体" w:eastAsia="宋体" w:cs="Times New Roman"/>
          <w:b/>
          <w:kern w:val="0"/>
          <w:sz w:val="22"/>
          <w:szCs w:val="20"/>
        </w:rPr>
        <w:t>逐一按顺序</w:t>
      </w:r>
      <w:r>
        <w:rPr>
          <w:rFonts w:hint="eastAsia" w:ascii="宋体" w:hAnsi="宋体" w:eastAsia="宋体" w:cs="Times New Roman"/>
          <w:kern w:val="0"/>
          <w:sz w:val="22"/>
          <w:szCs w:val="20"/>
        </w:rPr>
        <w:t>组成投标文件并装订成册</w:t>
      </w:r>
      <w:r>
        <w:rPr>
          <w:rFonts w:hint="eastAsia" w:ascii="宋体" w:hAnsi="宋体" w:eastAsia="宋体" w:cs="Times New Roman"/>
          <w:b/>
          <w:kern w:val="0"/>
          <w:sz w:val="22"/>
          <w:szCs w:val="20"/>
        </w:rPr>
        <w:t>(商务投标部分投标文件与技术资信部分投标文件分开装订分别密封)。</w:t>
      </w:r>
    </w:p>
    <w:p>
      <w:pPr>
        <w:autoSpaceDE w:val="0"/>
        <w:autoSpaceDN w:val="0"/>
        <w:adjustRightInd w:val="0"/>
        <w:snapToGrid w:val="0"/>
        <w:spacing w:line="430" w:lineRule="atLeast"/>
        <w:ind w:firstLine="440" w:firstLineChars="200"/>
        <w:textAlignment w:val="bottom"/>
        <w:rPr>
          <w:rFonts w:ascii="宋体" w:hAnsi="宋体" w:eastAsia="宋体" w:cs="Times New Roman"/>
          <w:kern w:val="0"/>
          <w:sz w:val="22"/>
          <w:szCs w:val="20"/>
        </w:rPr>
      </w:pPr>
      <w:r>
        <w:rPr>
          <w:rFonts w:hint="eastAsia" w:ascii="宋体" w:hAnsi="宋体" w:eastAsia="宋体" w:cs="Times New Roman"/>
          <w:kern w:val="0"/>
          <w:sz w:val="22"/>
          <w:szCs w:val="20"/>
        </w:rPr>
        <w:t>3.2开标一览表为在</w:t>
      </w:r>
      <w:r>
        <w:rPr>
          <w:rFonts w:hint="eastAsia" w:ascii="宋体" w:hAnsi="宋体" w:eastAsia="宋体" w:cs="Arial"/>
          <w:kern w:val="0"/>
          <w:sz w:val="22"/>
        </w:rPr>
        <w:t>商务标</w:t>
      </w:r>
      <w:r>
        <w:rPr>
          <w:rFonts w:hint="eastAsia" w:ascii="宋体" w:hAnsi="宋体" w:eastAsia="宋体" w:cs="Times New Roman"/>
          <w:kern w:val="0"/>
          <w:sz w:val="22"/>
          <w:szCs w:val="20"/>
        </w:rPr>
        <w:t>开标仪式上唱标的内容，供应商需按格式填写，统一规格，不得自行增减内容。</w:t>
      </w:r>
    </w:p>
    <w:p>
      <w:pPr>
        <w:autoSpaceDE w:val="0"/>
        <w:autoSpaceDN w:val="0"/>
        <w:adjustRightInd w:val="0"/>
        <w:snapToGrid w:val="0"/>
        <w:spacing w:line="454" w:lineRule="atLeast"/>
        <w:ind w:firstLine="431" w:firstLineChars="196"/>
        <w:textAlignment w:val="bottom"/>
        <w:rPr>
          <w:rFonts w:ascii="宋体" w:hAnsi="宋体" w:eastAsia="宋体" w:cs="Times New Roman"/>
          <w:kern w:val="0"/>
          <w:sz w:val="22"/>
        </w:rPr>
      </w:pPr>
      <w:bookmarkStart w:id="17" w:name="_Toc132122412"/>
      <w:bookmarkStart w:id="18" w:name="_Toc132122115"/>
      <w:bookmarkStart w:id="19" w:name="_Toc132122116"/>
      <w:bookmarkStart w:id="20" w:name="_Toc132122413"/>
      <w:r>
        <w:rPr>
          <w:rFonts w:hint="eastAsia" w:ascii="宋体" w:hAnsi="宋体" w:eastAsia="宋体" w:cs="Times New Roman"/>
          <w:kern w:val="0"/>
          <w:sz w:val="22"/>
        </w:rPr>
        <w:t>4、投标报价</w:t>
      </w:r>
      <w:bookmarkEnd w:id="17"/>
      <w:bookmarkEnd w:id="18"/>
    </w:p>
    <w:p>
      <w:pPr>
        <w:autoSpaceDE w:val="0"/>
        <w:autoSpaceDN w:val="0"/>
        <w:adjustRightInd w:val="0"/>
        <w:snapToGrid w:val="0"/>
        <w:spacing w:line="420" w:lineRule="atLeast"/>
        <w:ind w:firstLine="450"/>
        <w:textAlignment w:val="bottom"/>
        <w:rPr>
          <w:rFonts w:ascii="宋体" w:hAnsi="宋体" w:eastAsia="宋体" w:cs="Times New Roman"/>
          <w:kern w:val="0"/>
          <w:sz w:val="22"/>
          <w:szCs w:val="20"/>
        </w:rPr>
      </w:pPr>
      <w:r>
        <w:rPr>
          <w:rFonts w:hint="eastAsia" w:ascii="宋体" w:hAnsi="宋体" w:eastAsia="宋体" w:cs="Arial"/>
          <w:kern w:val="0"/>
          <w:sz w:val="22"/>
        </w:rPr>
        <w:t>4.1</w:t>
      </w:r>
      <w:r>
        <w:rPr>
          <w:rFonts w:hint="eastAsia" w:ascii="宋体" w:hAnsi="宋体" w:eastAsia="宋体" w:cs="Times New Roman"/>
          <w:kern w:val="0"/>
          <w:sz w:val="22"/>
        </w:rPr>
        <w:t>供应商应按招标文件中</w:t>
      </w:r>
      <w:r>
        <w:rPr>
          <w:rFonts w:hint="eastAsia" w:ascii="宋体" w:hAnsi="宋体" w:eastAsia="宋体" w:cs="Times New Roman"/>
          <w:kern w:val="0"/>
          <w:sz w:val="22"/>
          <w:szCs w:val="20"/>
        </w:rPr>
        <w:t>《</w:t>
      </w:r>
      <w:r>
        <w:rPr>
          <w:rFonts w:hint="eastAsia" w:ascii="宋体" w:hAnsi="宋体" w:eastAsia="宋体" w:cs="Times New Roman"/>
          <w:kern w:val="0"/>
          <w:sz w:val="22"/>
        </w:rPr>
        <w:t>投标货物数量价格表</w:t>
      </w:r>
      <w:r>
        <w:rPr>
          <w:rFonts w:hint="eastAsia" w:ascii="宋体" w:hAnsi="宋体" w:eastAsia="宋体" w:cs="Times New Roman"/>
          <w:kern w:val="0"/>
          <w:sz w:val="22"/>
          <w:szCs w:val="20"/>
        </w:rPr>
        <w:t>》填写投标货物数量、价格。</w:t>
      </w:r>
    </w:p>
    <w:p>
      <w:pPr>
        <w:autoSpaceDE w:val="0"/>
        <w:autoSpaceDN w:val="0"/>
        <w:adjustRightInd w:val="0"/>
        <w:snapToGrid w:val="0"/>
        <w:spacing w:line="420" w:lineRule="atLeast"/>
        <w:ind w:firstLine="450"/>
        <w:textAlignment w:val="bottom"/>
        <w:rPr>
          <w:rFonts w:ascii="宋体" w:hAnsi="宋体" w:eastAsia="宋体" w:cs="Arial"/>
          <w:kern w:val="0"/>
          <w:sz w:val="22"/>
        </w:rPr>
      </w:pPr>
      <w:r>
        <w:rPr>
          <w:rFonts w:hint="eastAsia" w:ascii="宋体" w:hAnsi="宋体" w:eastAsia="宋体" w:cs="Arial"/>
          <w:kern w:val="0"/>
          <w:sz w:val="22"/>
        </w:rPr>
        <w:t>4.2本次招标只允许有一个报价，有选择的报价将不予接受。</w:t>
      </w:r>
    </w:p>
    <w:p>
      <w:pPr>
        <w:autoSpaceDE w:val="0"/>
        <w:autoSpaceDN w:val="0"/>
        <w:adjustRightInd w:val="0"/>
        <w:snapToGrid w:val="0"/>
        <w:spacing w:line="420" w:lineRule="atLeast"/>
        <w:ind w:firstLine="450"/>
        <w:textAlignment w:val="bottom"/>
        <w:rPr>
          <w:rFonts w:ascii="宋体" w:hAnsi="宋体" w:eastAsia="宋体" w:cs="Times New Roman"/>
          <w:kern w:val="0"/>
          <w:sz w:val="22"/>
        </w:rPr>
      </w:pPr>
      <w:r>
        <w:rPr>
          <w:rFonts w:hint="eastAsia" w:ascii="宋体" w:hAnsi="宋体" w:eastAsia="宋体" w:cs="Times New Roman"/>
          <w:kern w:val="0"/>
          <w:sz w:val="22"/>
        </w:rPr>
        <w:t>4.3本次招标只有一次投标报价的机会，</w:t>
      </w:r>
      <w:r>
        <w:rPr>
          <w:rFonts w:hint="eastAsia" w:ascii="宋体" w:hAnsi="宋体" w:eastAsia="宋体" w:cs="Arial"/>
          <w:kern w:val="0"/>
          <w:sz w:val="22"/>
        </w:rPr>
        <w:t>投标报价为到货并送到最终用户</w:t>
      </w:r>
      <w:r>
        <w:rPr>
          <w:rFonts w:hint="eastAsia" w:ascii="宋体" w:hAnsi="宋体" w:eastAsia="宋体" w:cs="Times New Roman"/>
          <w:kern w:val="0"/>
          <w:sz w:val="22"/>
        </w:rPr>
        <w:t>安装调试</w:t>
      </w:r>
      <w:r>
        <w:rPr>
          <w:rFonts w:hint="eastAsia" w:ascii="宋体" w:hAnsi="宋体" w:eastAsia="宋体" w:cs="Arial"/>
          <w:kern w:val="0"/>
          <w:sz w:val="22"/>
        </w:rPr>
        <w:t>验收合格后的全部费用</w:t>
      </w:r>
      <w:r>
        <w:rPr>
          <w:rFonts w:hint="eastAsia" w:ascii="宋体" w:hAnsi="宋体" w:eastAsia="宋体" w:cs="Times New Roman"/>
          <w:kern w:val="0"/>
          <w:sz w:val="22"/>
        </w:rPr>
        <w:t>。供应商应在各自技术和商务占优势的基础上并充分考虑本项目的重要性，提供对采购人最优惠的报价。</w:t>
      </w:r>
    </w:p>
    <w:p>
      <w:pPr>
        <w:autoSpaceDE w:val="0"/>
        <w:autoSpaceDN w:val="0"/>
        <w:adjustRightInd w:val="0"/>
        <w:snapToGrid w:val="0"/>
        <w:spacing w:line="420" w:lineRule="atLeast"/>
        <w:ind w:firstLine="450"/>
        <w:textAlignment w:val="bottom"/>
        <w:rPr>
          <w:rFonts w:ascii="宋体" w:hAnsi="宋体" w:eastAsia="宋体" w:cs="Times New Roman"/>
          <w:kern w:val="0"/>
          <w:sz w:val="22"/>
        </w:rPr>
      </w:pPr>
      <w:r>
        <w:rPr>
          <w:rFonts w:hint="eastAsia" w:ascii="宋体" w:hAnsi="宋体" w:eastAsia="宋体" w:cs="Times New Roman"/>
          <w:kern w:val="0"/>
          <w:sz w:val="22"/>
        </w:rPr>
        <w:t>4.4投标报价应包含以下内容。</w:t>
      </w:r>
    </w:p>
    <w:p>
      <w:pPr>
        <w:numPr>
          <w:ilvl w:val="0"/>
          <w:numId w:val="25"/>
        </w:numPr>
        <w:tabs>
          <w:tab w:val="left" w:pos="1025"/>
          <w:tab w:val="clear" w:pos="1058"/>
        </w:tabs>
        <w:adjustRightInd w:val="0"/>
        <w:spacing w:line="450" w:lineRule="atLeast"/>
        <w:ind w:left="630" w:leftChars="300"/>
        <w:rPr>
          <w:rFonts w:ascii="宋体" w:hAnsi="宋体" w:eastAsia="宋体" w:cs="Arial"/>
          <w:kern w:val="0"/>
          <w:sz w:val="22"/>
        </w:rPr>
      </w:pPr>
      <w:r>
        <w:rPr>
          <w:rFonts w:hint="eastAsia" w:ascii="宋体" w:hAnsi="宋体" w:eastAsia="宋体" w:cs="Arial"/>
          <w:kern w:val="0"/>
          <w:sz w:val="22"/>
        </w:rPr>
        <w:t>产品价格</w:t>
      </w:r>
    </w:p>
    <w:p>
      <w:pPr>
        <w:numPr>
          <w:ilvl w:val="0"/>
          <w:numId w:val="25"/>
        </w:numPr>
        <w:tabs>
          <w:tab w:val="left" w:pos="1025"/>
          <w:tab w:val="clear" w:pos="1058"/>
        </w:tabs>
        <w:adjustRightInd w:val="0"/>
        <w:spacing w:line="450" w:lineRule="atLeast"/>
        <w:ind w:left="630" w:leftChars="300"/>
        <w:rPr>
          <w:rFonts w:ascii="宋体" w:hAnsi="宋体" w:eastAsia="宋体" w:cs="Arial"/>
          <w:kern w:val="0"/>
          <w:sz w:val="22"/>
        </w:rPr>
      </w:pPr>
      <w:r>
        <w:rPr>
          <w:rFonts w:hint="eastAsia" w:ascii="宋体" w:hAnsi="宋体" w:eastAsia="宋体" w:cs="Arial"/>
          <w:kern w:val="0"/>
          <w:sz w:val="22"/>
        </w:rPr>
        <w:t>关税、增值税、所得税、其它税与规费（包括产品报关、商检等）</w:t>
      </w:r>
    </w:p>
    <w:p>
      <w:pPr>
        <w:numPr>
          <w:ilvl w:val="0"/>
          <w:numId w:val="25"/>
        </w:numPr>
        <w:tabs>
          <w:tab w:val="left" w:pos="1025"/>
          <w:tab w:val="clear" w:pos="1058"/>
        </w:tabs>
        <w:adjustRightInd w:val="0"/>
        <w:spacing w:line="450" w:lineRule="atLeast"/>
        <w:ind w:left="630" w:leftChars="300"/>
        <w:rPr>
          <w:rFonts w:ascii="宋体" w:hAnsi="宋体" w:eastAsia="宋体" w:cs="Arial"/>
          <w:kern w:val="0"/>
          <w:sz w:val="22"/>
        </w:rPr>
      </w:pPr>
      <w:r>
        <w:rPr>
          <w:rFonts w:hint="eastAsia" w:ascii="宋体" w:hAnsi="宋体" w:eastAsia="宋体" w:cs="Arial"/>
          <w:kern w:val="0"/>
          <w:sz w:val="22"/>
        </w:rPr>
        <w:t>随机工具、随机易损件费（计入产品价格，单列报价清单）</w:t>
      </w:r>
    </w:p>
    <w:p>
      <w:pPr>
        <w:numPr>
          <w:ilvl w:val="0"/>
          <w:numId w:val="25"/>
        </w:numPr>
        <w:tabs>
          <w:tab w:val="left" w:pos="1025"/>
          <w:tab w:val="clear" w:pos="1058"/>
        </w:tabs>
        <w:adjustRightInd w:val="0"/>
        <w:spacing w:line="450" w:lineRule="atLeast"/>
        <w:ind w:left="630" w:leftChars="300"/>
        <w:rPr>
          <w:rFonts w:ascii="宋体" w:hAnsi="宋体" w:eastAsia="宋体" w:cs="Arial"/>
          <w:kern w:val="0"/>
          <w:sz w:val="22"/>
        </w:rPr>
      </w:pPr>
      <w:r>
        <w:rPr>
          <w:rFonts w:hint="eastAsia" w:ascii="宋体" w:hAnsi="宋体" w:eastAsia="宋体" w:cs="Arial"/>
          <w:kern w:val="0"/>
          <w:sz w:val="22"/>
        </w:rPr>
        <w:t>国内运杂费（包括产品到最终用户的装货、卸车、就位费等）</w:t>
      </w:r>
    </w:p>
    <w:p>
      <w:pPr>
        <w:numPr>
          <w:ilvl w:val="0"/>
          <w:numId w:val="25"/>
        </w:numPr>
        <w:tabs>
          <w:tab w:val="left" w:pos="1025"/>
          <w:tab w:val="clear" w:pos="1058"/>
        </w:tabs>
        <w:adjustRightInd w:val="0"/>
        <w:spacing w:line="450" w:lineRule="atLeast"/>
        <w:ind w:left="630" w:leftChars="300"/>
        <w:rPr>
          <w:rFonts w:ascii="宋体" w:hAnsi="宋体" w:eastAsia="宋体" w:cs="Arial"/>
          <w:kern w:val="0"/>
          <w:sz w:val="22"/>
        </w:rPr>
      </w:pPr>
      <w:r>
        <w:rPr>
          <w:rFonts w:hint="eastAsia" w:ascii="宋体" w:hAnsi="宋体" w:eastAsia="宋体" w:cs="Arial"/>
          <w:kern w:val="0"/>
          <w:sz w:val="22"/>
        </w:rPr>
        <w:t>国内运输保险费（是否保险由供应商负责）</w:t>
      </w:r>
    </w:p>
    <w:p>
      <w:pPr>
        <w:numPr>
          <w:ilvl w:val="0"/>
          <w:numId w:val="25"/>
        </w:numPr>
        <w:tabs>
          <w:tab w:val="left" w:pos="1025"/>
          <w:tab w:val="clear" w:pos="1058"/>
        </w:tabs>
        <w:adjustRightInd w:val="0"/>
        <w:spacing w:line="436" w:lineRule="atLeast"/>
        <w:ind w:left="630" w:leftChars="300"/>
        <w:rPr>
          <w:rFonts w:ascii="宋体" w:hAnsi="宋体" w:eastAsia="宋体" w:cs="Arial"/>
          <w:kern w:val="0"/>
          <w:sz w:val="22"/>
        </w:rPr>
      </w:pPr>
      <w:r>
        <w:rPr>
          <w:rFonts w:hint="eastAsia" w:ascii="宋体" w:hAnsi="宋体" w:eastAsia="宋体" w:cs="Times New Roman"/>
          <w:kern w:val="0"/>
          <w:sz w:val="22"/>
        </w:rPr>
        <w:t>产品安装</w:t>
      </w:r>
      <w:r>
        <w:rPr>
          <w:rFonts w:hint="eastAsia" w:ascii="宋体" w:hAnsi="宋体" w:eastAsia="宋体" w:cs="Arial"/>
          <w:kern w:val="0"/>
          <w:sz w:val="22"/>
        </w:rPr>
        <w:t>、</w:t>
      </w:r>
      <w:r>
        <w:rPr>
          <w:rFonts w:hint="eastAsia" w:ascii="宋体" w:hAnsi="宋体" w:eastAsia="宋体" w:cs="Times New Roman"/>
          <w:kern w:val="0"/>
          <w:sz w:val="22"/>
        </w:rPr>
        <w:t>调试、检验及验收费</w:t>
      </w:r>
      <w:r>
        <w:rPr>
          <w:rFonts w:hint="eastAsia" w:ascii="宋体" w:hAnsi="宋体" w:eastAsia="宋体" w:cs="Arial"/>
          <w:kern w:val="0"/>
          <w:sz w:val="22"/>
        </w:rPr>
        <w:t>（包括人员的食宿、交通等）</w:t>
      </w:r>
    </w:p>
    <w:p>
      <w:pPr>
        <w:numPr>
          <w:ilvl w:val="0"/>
          <w:numId w:val="25"/>
        </w:numPr>
        <w:tabs>
          <w:tab w:val="left" w:pos="1025"/>
          <w:tab w:val="clear" w:pos="1058"/>
        </w:tabs>
        <w:adjustRightInd w:val="0"/>
        <w:spacing w:line="450" w:lineRule="atLeast"/>
        <w:ind w:left="630" w:leftChars="300"/>
        <w:rPr>
          <w:rFonts w:ascii="宋体" w:hAnsi="宋体" w:eastAsia="宋体" w:cs="Arial"/>
          <w:kern w:val="0"/>
          <w:sz w:val="22"/>
          <w:u w:val="single"/>
        </w:rPr>
      </w:pPr>
      <w:r>
        <w:rPr>
          <w:rFonts w:hint="eastAsia" w:ascii="宋体" w:hAnsi="宋体" w:eastAsia="宋体" w:cs="Arial"/>
          <w:kern w:val="0"/>
          <w:sz w:val="22"/>
        </w:rPr>
        <w:t>服务及培训费</w:t>
      </w:r>
    </w:p>
    <w:p>
      <w:pPr>
        <w:numPr>
          <w:ilvl w:val="0"/>
          <w:numId w:val="25"/>
        </w:numPr>
        <w:tabs>
          <w:tab w:val="left" w:pos="1025"/>
          <w:tab w:val="clear" w:pos="1058"/>
        </w:tabs>
        <w:adjustRightInd w:val="0"/>
        <w:spacing w:line="450" w:lineRule="atLeast"/>
        <w:ind w:left="630" w:leftChars="300"/>
        <w:rPr>
          <w:rFonts w:ascii="宋体" w:hAnsi="宋体" w:eastAsia="宋体" w:cs="Arial"/>
          <w:kern w:val="0"/>
          <w:sz w:val="22"/>
        </w:rPr>
      </w:pPr>
      <w:r>
        <w:rPr>
          <w:rFonts w:hint="eastAsia" w:ascii="宋体" w:hAnsi="宋体" w:eastAsia="宋体" w:cs="Arial"/>
          <w:kern w:val="0"/>
          <w:sz w:val="22"/>
        </w:rPr>
        <w:t>招标代理服务费</w:t>
      </w:r>
    </w:p>
    <w:p>
      <w:pPr>
        <w:autoSpaceDE w:val="0"/>
        <w:autoSpaceDN w:val="0"/>
        <w:adjustRightInd w:val="0"/>
        <w:snapToGrid w:val="0"/>
        <w:spacing w:line="420" w:lineRule="atLeast"/>
        <w:ind w:firstLine="420" w:firstLineChars="190"/>
        <w:textAlignment w:val="bottom"/>
        <w:rPr>
          <w:rFonts w:ascii="宋体" w:hAnsi="宋体" w:eastAsia="宋体" w:cs="Times New Roman"/>
          <w:kern w:val="0"/>
          <w:sz w:val="22"/>
        </w:rPr>
      </w:pPr>
      <w:r>
        <w:rPr>
          <w:rFonts w:hint="eastAsia" w:ascii="宋体" w:hAnsi="宋体" w:eastAsia="宋体" w:cs="Times New Roman"/>
          <w:b/>
          <w:kern w:val="0"/>
          <w:sz w:val="22"/>
        </w:rPr>
        <w:t>供应商在投标报价中应充分考虑所有可能发生的费用，否则采购人将视投标总价中已包括所有费用。</w:t>
      </w:r>
    </w:p>
    <w:p>
      <w:pPr>
        <w:autoSpaceDE w:val="0"/>
        <w:autoSpaceDN w:val="0"/>
        <w:adjustRightInd w:val="0"/>
        <w:snapToGrid w:val="0"/>
        <w:spacing w:line="420" w:lineRule="atLeast"/>
        <w:ind w:firstLine="420" w:firstLineChars="190"/>
        <w:textAlignment w:val="bottom"/>
        <w:rPr>
          <w:rFonts w:ascii="宋体" w:hAnsi="宋体" w:eastAsia="宋体" w:cs="Times New Roman"/>
          <w:b/>
          <w:kern w:val="0"/>
          <w:sz w:val="22"/>
        </w:rPr>
      </w:pPr>
      <w:r>
        <w:rPr>
          <w:rFonts w:hint="eastAsia" w:ascii="宋体" w:hAnsi="宋体" w:eastAsia="宋体" w:cs="Times New Roman"/>
          <w:b/>
          <w:kern w:val="0"/>
          <w:sz w:val="22"/>
        </w:rPr>
        <w:t>投标供应商对在合同执行中，除上述费用及招标文件规定的由中标供应商负责的工作范围以外需要采购人协调或提供便利的工作应当在投标文件中说明。</w:t>
      </w:r>
    </w:p>
    <w:p>
      <w:pPr>
        <w:autoSpaceDE w:val="0"/>
        <w:autoSpaceDN w:val="0"/>
        <w:adjustRightInd w:val="0"/>
        <w:snapToGrid w:val="0"/>
        <w:spacing w:line="420" w:lineRule="atLeast"/>
        <w:ind w:firstLine="431" w:firstLineChars="196"/>
        <w:textAlignment w:val="bottom"/>
        <w:rPr>
          <w:rFonts w:ascii="宋体" w:hAnsi="宋体" w:eastAsia="宋体" w:cs="Times New Roman"/>
          <w:kern w:val="0"/>
          <w:sz w:val="22"/>
          <w:u w:val="single"/>
        </w:rPr>
      </w:pPr>
      <w:r>
        <w:rPr>
          <w:rFonts w:hint="eastAsia" w:ascii="宋体" w:hAnsi="宋体" w:eastAsia="宋体" w:cs="Times New Roman"/>
          <w:kern w:val="0"/>
          <w:sz w:val="22"/>
        </w:rPr>
        <w:t>填写报价表格时，各项费用应如实填写。</w:t>
      </w:r>
    </w:p>
    <w:p>
      <w:pPr>
        <w:autoSpaceDE w:val="0"/>
        <w:autoSpaceDN w:val="0"/>
        <w:adjustRightInd w:val="0"/>
        <w:snapToGrid w:val="0"/>
        <w:spacing w:line="420" w:lineRule="atLeast"/>
        <w:ind w:firstLine="440" w:firstLineChars="200"/>
        <w:textAlignment w:val="bottom"/>
        <w:rPr>
          <w:rFonts w:ascii="宋体" w:hAnsi="宋体" w:eastAsia="宋体" w:cs="Times New Roman"/>
          <w:kern w:val="0"/>
          <w:sz w:val="22"/>
          <w:szCs w:val="20"/>
        </w:rPr>
      </w:pPr>
      <w:r>
        <w:rPr>
          <w:rFonts w:hint="eastAsia" w:ascii="宋体" w:hAnsi="宋体" w:eastAsia="宋体" w:cs="Times New Roman"/>
          <w:kern w:val="0"/>
          <w:sz w:val="22"/>
          <w:szCs w:val="20"/>
        </w:rPr>
        <w:t>5、采购人要求分类报价是为了方便评标与合同执行，但在任何情况下不限制采购人以其认为最合适的条款签订合同的权利。</w:t>
      </w:r>
    </w:p>
    <w:bookmarkEnd w:id="19"/>
    <w:bookmarkEnd w:id="20"/>
    <w:p>
      <w:pPr>
        <w:adjustRightInd w:val="0"/>
        <w:snapToGrid w:val="0"/>
        <w:spacing w:line="430" w:lineRule="atLeast"/>
        <w:ind w:firstLine="440" w:firstLineChars="200"/>
        <w:rPr>
          <w:rFonts w:ascii="宋体" w:hAnsi="宋体" w:eastAsia="宋体" w:cs="Times New Roman"/>
          <w:kern w:val="0"/>
          <w:sz w:val="22"/>
          <w:szCs w:val="20"/>
        </w:rPr>
      </w:pPr>
      <w:bookmarkStart w:id="21" w:name="_Toc132122414"/>
      <w:bookmarkStart w:id="22" w:name="_Toc132122117"/>
      <w:r>
        <w:rPr>
          <w:rFonts w:hint="eastAsia" w:ascii="宋体" w:hAnsi="宋体" w:eastAsia="宋体" w:cs="Times New Roman"/>
          <w:kern w:val="0"/>
          <w:sz w:val="22"/>
          <w:szCs w:val="20"/>
        </w:rPr>
        <w:t>6、投标文件的有效期</w:t>
      </w:r>
      <w:bookmarkEnd w:id="21"/>
      <w:bookmarkEnd w:id="22"/>
    </w:p>
    <w:p>
      <w:pPr>
        <w:adjustRightInd w:val="0"/>
        <w:snapToGrid w:val="0"/>
        <w:spacing w:line="430" w:lineRule="atLeast"/>
        <w:ind w:firstLine="440" w:firstLineChars="200"/>
        <w:rPr>
          <w:rFonts w:ascii="宋体" w:hAnsi="宋体" w:eastAsia="宋体" w:cs="Times New Roman"/>
          <w:kern w:val="0"/>
          <w:sz w:val="22"/>
          <w:szCs w:val="20"/>
        </w:rPr>
      </w:pPr>
      <w:r>
        <w:rPr>
          <w:rFonts w:hint="eastAsia" w:ascii="宋体" w:hAnsi="宋体" w:eastAsia="宋体" w:cs="Times New Roman"/>
          <w:kern w:val="0"/>
          <w:sz w:val="22"/>
          <w:szCs w:val="20"/>
        </w:rPr>
        <w:t>6.1自投标截止时间起90天内，投标文件应保持有效。有效期短于这个规定期限的投标将被拒绝。</w:t>
      </w:r>
    </w:p>
    <w:p>
      <w:pPr>
        <w:adjustRightInd w:val="0"/>
        <w:snapToGrid w:val="0"/>
        <w:spacing w:line="430" w:lineRule="atLeast"/>
        <w:ind w:firstLine="440" w:firstLineChars="200"/>
        <w:rPr>
          <w:rFonts w:ascii="宋体" w:hAnsi="宋体" w:eastAsia="宋体" w:cs="Times New Roman"/>
          <w:kern w:val="0"/>
          <w:sz w:val="22"/>
          <w:szCs w:val="20"/>
        </w:rPr>
      </w:pPr>
      <w:r>
        <w:rPr>
          <w:rFonts w:hint="eastAsia" w:ascii="宋体" w:hAnsi="宋体" w:eastAsia="宋体" w:cs="Times New Roman"/>
          <w:kern w:val="0"/>
          <w:sz w:val="22"/>
          <w:szCs w:val="20"/>
        </w:rPr>
        <w:t>6.2在特殊情况下，采购人可与供应商协商延长投标文件的有效期，这种要求和答复均应以书面形式进行。</w:t>
      </w:r>
    </w:p>
    <w:p>
      <w:pPr>
        <w:adjustRightInd w:val="0"/>
        <w:snapToGrid w:val="0"/>
        <w:spacing w:line="430" w:lineRule="atLeast"/>
        <w:ind w:firstLine="440" w:firstLineChars="200"/>
        <w:rPr>
          <w:rFonts w:ascii="宋体" w:hAnsi="宋体" w:eastAsia="宋体" w:cs="Times New Roman"/>
          <w:kern w:val="0"/>
          <w:sz w:val="22"/>
          <w:szCs w:val="20"/>
        </w:rPr>
      </w:pPr>
      <w:r>
        <w:rPr>
          <w:rFonts w:hint="eastAsia" w:ascii="宋体" w:hAnsi="宋体" w:eastAsia="宋体" w:cs="Times New Roman"/>
          <w:kern w:val="0"/>
          <w:sz w:val="22"/>
          <w:szCs w:val="20"/>
        </w:rPr>
        <w:t>6.3供应商可拒绝接受延期。同意延长有效期的供应商不能修改投标文件。</w:t>
      </w:r>
    </w:p>
    <w:p>
      <w:pPr>
        <w:adjustRightInd w:val="0"/>
        <w:snapToGrid w:val="0"/>
        <w:spacing w:line="430" w:lineRule="atLeast"/>
        <w:ind w:firstLine="440" w:firstLineChars="200"/>
        <w:rPr>
          <w:rFonts w:ascii="宋体" w:hAnsi="宋体" w:eastAsia="宋体" w:cs="Times New Roman"/>
          <w:kern w:val="0"/>
          <w:sz w:val="22"/>
          <w:szCs w:val="20"/>
        </w:rPr>
      </w:pPr>
      <w:bookmarkStart w:id="23" w:name="_Toc132122415"/>
      <w:bookmarkStart w:id="24" w:name="_Toc132122118"/>
      <w:r>
        <w:rPr>
          <w:rFonts w:hint="eastAsia" w:ascii="宋体" w:hAnsi="宋体" w:eastAsia="宋体" w:cs="Times New Roman"/>
          <w:kern w:val="0"/>
          <w:sz w:val="22"/>
          <w:szCs w:val="20"/>
        </w:rPr>
        <w:t>7、投标文件的签署</w:t>
      </w:r>
      <w:bookmarkEnd w:id="23"/>
      <w:bookmarkEnd w:id="24"/>
    </w:p>
    <w:p>
      <w:pPr>
        <w:adjustRightInd w:val="0"/>
        <w:snapToGrid w:val="0"/>
        <w:spacing w:line="454" w:lineRule="atLeast"/>
        <w:ind w:firstLine="440" w:firstLineChars="200"/>
        <w:rPr>
          <w:rFonts w:ascii="宋体" w:hAnsi="宋体" w:eastAsia="宋体" w:cs="Arial"/>
          <w:kern w:val="0"/>
          <w:sz w:val="22"/>
        </w:rPr>
      </w:pPr>
      <w:r>
        <w:rPr>
          <w:rFonts w:hint="eastAsia" w:ascii="宋体" w:hAnsi="宋体" w:eastAsia="宋体" w:cs="Arial"/>
          <w:kern w:val="0"/>
          <w:sz w:val="22"/>
        </w:rPr>
        <w:t>7.1投标文件的正本需打印或用不退色的墨水填写，并注明“正本”字样。副本可以复印。投标文件不得涂改和增删，如有错漏必须修改，修改处须由同一签署人签字或盖章。由于字迹模糊或表达不清引起的后果由供应商负责。</w:t>
      </w:r>
    </w:p>
    <w:p>
      <w:pPr>
        <w:adjustRightInd w:val="0"/>
        <w:snapToGrid w:val="0"/>
        <w:spacing w:line="454" w:lineRule="atLeast"/>
        <w:rPr>
          <w:rFonts w:ascii="宋体" w:hAnsi="宋体" w:eastAsia="宋体" w:cs="Arial"/>
          <w:kern w:val="0"/>
          <w:sz w:val="22"/>
        </w:rPr>
      </w:pPr>
      <w:r>
        <w:rPr>
          <w:rFonts w:hint="eastAsia" w:ascii="宋体" w:hAnsi="宋体" w:eastAsia="宋体" w:cs="Arial"/>
          <w:kern w:val="0"/>
          <w:sz w:val="22"/>
        </w:rPr>
        <w:t xml:space="preserve">    7.2投标文件须由供应商盖章并由法定代表人或法定代表人授权代表签署，供应商应写全称。</w:t>
      </w:r>
    </w:p>
    <w:p>
      <w:pPr>
        <w:spacing w:line="400" w:lineRule="exact"/>
        <w:outlineLvl w:val="0"/>
        <w:rPr>
          <w:rFonts w:ascii="宋体" w:hAnsi="宋体" w:eastAsia="宋体" w:cs="Times New Roman"/>
          <w:b/>
          <w:kern w:val="0"/>
          <w:sz w:val="22"/>
        </w:rPr>
      </w:pPr>
      <w:bookmarkStart w:id="25" w:name="_Toc132125574"/>
      <w:bookmarkStart w:id="26" w:name="_Toc132655776"/>
      <w:bookmarkStart w:id="27" w:name="_Toc494407535"/>
      <w:bookmarkStart w:id="28" w:name="_Toc132122416"/>
      <w:bookmarkStart w:id="29" w:name="_Toc132125095"/>
      <w:bookmarkStart w:id="30" w:name="_Toc132123547"/>
      <w:bookmarkStart w:id="31" w:name="_Toc132123838"/>
      <w:bookmarkStart w:id="32" w:name="_Toc132123439"/>
      <w:bookmarkStart w:id="33" w:name="_Toc132126154"/>
      <w:bookmarkStart w:id="34" w:name="_Toc132125983"/>
      <w:bookmarkStart w:id="35" w:name="_Toc132123881"/>
      <w:bookmarkStart w:id="36" w:name="_Toc132123634"/>
      <w:bookmarkStart w:id="37" w:name="_Toc132125037"/>
      <w:bookmarkStart w:id="38" w:name="_Toc132124594"/>
      <w:bookmarkStart w:id="39" w:name="_Toc132125151"/>
      <w:bookmarkStart w:id="40" w:name="_Toc132122119"/>
      <w:r>
        <w:rPr>
          <w:rFonts w:hint="eastAsia" w:ascii="宋体" w:hAnsi="宋体" w:eastAsia="宋体" w:cs="Times New Roman"/>
          <w:b/>
          <w:kern w:val="0"/>
          <w:sz w:val="22"/>
        </w:rPr>
        <w:t>四、投标文件的密封与递交</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adjustRightInd w:val="0"/>
        <w:snapToGrid w:val="0"/>
        <w:spacing w:line="454" w:lineRule="atLeast"/>
        <w:ind w:firstLine="440" w:firstLineChars="200"/>
        <w:rPr>
          <w:rFonts w:ascii="宋体" w:hAnsi="宋体" w:eastAsia="宋体" w:cs="Arial"/>
          <w:kern w:val="0"/>
          <w:sz w:val="22"/>
        </w:rPr>
      </w:pPr>
      <w:r>
        <w:rPr>
          <w:rFonts w:hint="eastAsia" w:ascii="宋体" w:hAnsi="宋体" w:eastAsia="宋体" w:cs="Arial"/>
          <w:kern w:val="0"/>
          <w:sz w:val="22"/>
        </w:rPr>
        <w:t>1、投标文件的密封及标记</w:t>
      </w:r>
    </w:p>
    <w:p>
      <w:pPr>
        <w:adjustRightInd w:val="0"/>
        <w:snapToGrid w:val="0"/>
        <w:spacing w:line="454" w:lineRule="atLeast"/>
        <w:rPr>
          <w:rFonts w:ascii="宋体" w:hAnsi="宋体" w:eastAsia="宋体" w:cs="Arial"/>
          <w:kern w:val="0"/>
          <w:sz w:val="22"/>
        </w:rPr>
      </w:pPr>
      <w:r>
        <w:rPr>
          <w:rFonts w:hint="eastAsia" w:ascii="宋体" w:hAnsi="宋体" w:eastAsia="宋体" w:cs="Arial"/>
          <w:kern w:val="0"/>
          <w:sz w:val="22"/>
        </w:rPr>
        <w:t xml:space="preserve">    1.1投标文件应按以下方法装袋密封</w:t>
      </w:r>
    </w:p>
    <w:p>
      <w:pPr>
        <w:adjustRightInd w:val="0"/>
        <w:snapToGrid w:val="0"/>
        <w:spacing w:line="454" w:lineRule="atLeast"/>
        <w:ind w:firstLine="440" w:firstLineChars="200"/>
        <w:rPr>
          <w:rFonts w:ascii="宋体" w:hAnsi="宋体" w:eastAsia="宋体" w:cs="Arial"/>
          <w:kern w:val="0"/>
          <w:sz w:val="22"/>
          <w:u w:val="single"/>
        </w:rPr>
      </w:pPr>
      <w:r>
        <w:rPr>
          <w:rFonts w:hint="eastAsia" w:ascii="宋体" w:hAnsi="宋体" w:eastAsia="宋体" w:cs="Times New Roman"/>
          <w:kern w:val="0"/>
          <w:sz w:val="22"/>
        </w:rPr>
        <w:t>▲</w:t>
      </w:r>
      <w:r>
        <w:rPr>
          <w:rFonts w:hint="eastAsia" w:ascii="宋体" w:hAnsi="宋体" w:eastAsia="宋体" w:cs="Arial"/>
          <w:kern w:val="0"/>
          <w:sz w:val="22"/>
          <w:u w:val="single"/>
        </w:rPr>
        <w:t>投标文件</w:t>
      </w:r>
      <w:r>
        <w:rPr>
          <w:rFonts w:hint="eastAsia" w:ascii="宋体" w:hAnsi="宋体" w:eastAsia="宋体" w:cs="Arial"/>
          <w:bCs/>
          <w:kern w:val="0"/>
          <w:sz w:val="22"/>
          <w:u w:val="single"/>
        </w:rPr>
        <w:t>商务报价部分和技术资信部分须分别装订成册，且分别密封。</w:t>
      </w:r>
      <w:r>
        <w:rPr>
          <w:rFonts w:hint="eastAsia" w:ascii="宋体" w:hAnsi="宋体" w:eastAsia="宋体" w:cs="Arial"/>
          <w:kern w:val="0"/>
          <w:sz w:val="22"/>
        </w:rPr>
        <w:t>所有投标文件资料</w:t>
      </w:r>
      <w:r>
        <w:rPr>
          <w:rFonts w:hint="eastAsia" w:ascii="宋体" w:hAnsi="宋体" w:eastAsia="宋体" w:cs="Arial"/>
          <w:kern w:val="0"/>
          <w:sz w:val="22"/>
          <w:u w:val="single"/>
        </w:rPr>
        <w:t>按顺序</w:t>
      </w:r>
      <w:r>
        <w:rPr>
          <w:rFonts w:hint="eastAsia" w:ascii="宋体" w:hAnsi="宋体" w:eastAsia="宋体" w:cs="Arial"/>
          <w:kern w:val="0"/>
          <w:sz w:val="22"/>
        </w:rPr>
        <w:t>装订成册，并注明正、副本字样后装入密封袋内。注明需盖公章及签字（签章）处，应有供应商公章及投标授权代表签字（签章）。封皮上写明</w:t>
      </w:r>
      <w:r>
        <w:rPr>
          <w:rFonts w:hint="eastAsia" w:ascii="宋体" w:hAnsi="宋体" w:eastAsia="宋体" w:cs="Times New Roman"/>
          <w:bCs/>
          <w:kern w:val="0"/>
          <w:sz w:val="22"/>
          <w:u w:val="single"/>
        </w:rPr>
        <w:t>采购人名称，招标编号、招标项目名称、供应商名称</w:t>
      </w:r>
      <w:r>
        <w:rPr>
          <w:rFonts w:hint="eastAsia" w:ascii="宋体" w:hAnsi="宋体" w:eastAsia="宋体" w:cs="Arial"/>
          <w:kern w:val="0"/>
          <w:sz w:val="22"/>
        </w:rPr>
        <w:t>。</w:t>
      </w:r>
      <w:r>
        <w:rPr>
          <w:rFonts w:hint="eastAsia" w:ascii="宋体" w:hAnsi="宋体" w:eastAsia="宋体" w:cs="Arial"/>
          <w:kern w:val="0"/>
          <w:sz w:val="22"/>
          <w:u w:val="single"/>
        </w:rPr>
        <w:t>并分别注明 “商务报价投标文件”、“技术资信投标文件”、“开标时启封”字样。</w:t>
      </w:r>
    </w:p>
    <w:p>
      <w:pPr>
        <w:adjustRightInd w:val="0"/>
        <w:snapToGrid w:val="0"/>
        <w:spacing w:line="454" w:lineRule="atLeast"/>
        <w:rPr>
          <w:rFonts w:ascii="宋体" w:hAnsi="宋体" w:eastAsia="宋体" w:cs="Arial"/>
          <w:kern w:val="0"/>
          <w:sz w:val="22"/>
        </w:rPr>
      </w:pPr>
      <w:r>
        <w:rPr>
          <w:rFonts w:hint="eastAsia" w:ascii="宋体" w:hAnsi="宋体" w:eastAsia="宋体" w:cs="Arial"/>
          <w:kern w:val="0"/>
          <w:sz w:val="22"/>
        </w:rPr>
        <w:t xml:space="preserve">    1.2如果供应商未按上述要求密封及加写标记，导致投标文件被拒绝接收的责任自负。</w:t>
      </w:r>
    </w:p>
    <w:p>
      <w:pPr>
        <w:adjustRightInd w:val="0"/>
        <w:snapToGrid w:val="0"/>
        <w:spacing w:line="454" w:lineRule="atLeast"/>
        <w:rPr>
          <w:rFonts w:ascii="宋体" w:hAnsi="宋体" w:eastAsia="宋体" w:cs="Arial"/>
          <w:kern w:val="0"/>
          <w:sz w:val="22"/>
        </w:rPr>
      </w:pPr>
      <w:r>
        <w:rPr>
          <w:rFonts w:hint="eastAsia" w:ascii="宋体" w:hAnsi="宋体" w:eastAsia="宋体" w:cs="Arial"/>
          <w:kern w:val="0"/>
          <w:sz w:val="22"/>
        </w:rPr>
        <w:t xml:space="preserve">    2、投标截止时间</w:t>
      </w:r>
    </w:p>
    <w:p>
      <w:pPr>
        <w:adjustRightInd w:val="0"/>
        <w:snapToGrid w:val="0"/>
        <w:spacing w:line="440" w:lineRule="atLeast"/>
        <w:rPr>
          <w:rFonts w:ascii="宋体" w:hAnsi="宋体" w:eastAsia="宋体" w:cs="Arial"/>
          <w:kern w:val="0"/>
          <w:sz w:val="22"/>
        </w:rPr>
      </w:pPr>
      <w:r>
        <w:rPr>
          <w:rFonts w:hint="eastAsia" w:ascii="宋体" w:hAnsi="宋体" w:eastAsia="宋体" w:cs="Arial"/>
          <w:kern w:val="0"/>
          <w:sz w:val="22"/>
        </w:rPr>
        <w:t xml:space="preserve">    2.1投标文件必须在投标文件递交截止时间前送达指定的投标地点。</w:t>
      </w:r>
    </w:p>
    <w:p>
      <w:pPr>
        <w:adjustRightInd w:val="0"/>
        <w:snapToGrid w:val="0"/>
        <w:spacing w:beforeLines="50" w:after="50" w:line="40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2.2采购机构如因故推迟投标截止时间，应在投标截止前以更正公告形式通知所有供应商。在这种情况下，供应商的权利和义务将受到新的截止时间的约束。</w:t>
      </w:r>
    </w:p>
    <w:p>
      <w:pPr>
        <w:adjustRightInd w:val="0"/>
        <w:snapToGrid w:val="0"/>
        <w:spacing w:beforeLines="50" w:after="50" w:line="40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3、投标文件的修改和撤回</w:t>
      </w:r>
    </w:p>
    <w:p>
      <w:pPr>
        <w:adjustRightInd w:val="0"/>
        <w:snapToGrid w:val="0"/>
        <w:spacing w:beforeLines="50" w:after="50" w:line="40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3.1</w:t>
      </w:r>
      <w:r>
        <w:rPr>
          <w:rFonts w:ascii="宋体" w:hAnsi="宋体" w:eastAsia="宋体" w:cs="Times New Roman"/>
          <w:kern w:val="0"/>
          <w:sz w:val="22"/>
        </w:rPr>
        <w:t>投标人在投标截止时间前，可以对所递交的投标文件进行补充、修改或者撤回，并书面通知采购人或者采购代理机构。补充、修改的内容应当按照招标文件要求签署、盖章、密封后，作为投标文件的组成部分</w:t>
      </w:r>
    </w:p>
    <w:p>
      <w:pPr>
        <w:adjustRightInd w:val="0"/>
        <w:snapToGrid w:val="0"/>
        <w:spacing w:line="400" w:lineRule="exact"/>
        <w:ind w:firstLine="433" w:firstLineChars="196"/>
        <w:rPr>
          <w:rFonts w:ascii="宋体" w:hAnsi="宋体" w:eastAsia="宋体" w:cs="Times New Roman"/>
          <w:b/>
          <w:kern w:val="0"/>
          <w:sz w:val="22"/>
        </w:rPr>
      </w:pPr>
      <w:r>
        <w:rPr>
          <w:rFonts w:hint="eastAsia" w:ascii="宋体" w:hAnsi="宋体" w:eastAsia="宋体" w:cs="Times New Roman"/>
          <w:b/>
          <w:kern w:val="0"/>
          <w:sz w:val="22"/>
        </w:rPr>
        <w:t>4、投标文件的递交</w:t>
      </w:r>
    </w:p>
    <w:p>
      <w:pPr>
        <w:adjustRightInd w:val="0"/>
        <w:snapToGrid w:val="0"/>
        <w:spacing w:after="50" w:line="400" w:lineRule="exact"/>
        <w:ind w:firstLine="442" w:firstLineChars="200"/>
        <w:rPr>
          <w:rFonts w:ascii="宋体" w:hAnsi="宋体" w:eastAsia="宋体" w:cs="Times New Roman"/>
          <w:b/>
          <w:sz w:val="22"/>
        </w:rPr>
      </w:pPr>
      <w:r>
        <w:rPr>
          <w:rFonts w:hint="eastAsia" w:ascii="宋体" w:hAnsi="宋体" w:eastAsia="宋体" w:cs="Times New Roman"/>
          <w:b/>
          <w:sz w:val="22"/>
        </w:rPr>
        <w:t>递交投标文件时，需满足以下要求，否则该投标文件予以拒绝：</w:t>
      </w:r>
    </w:p>
    <w:p>
      <w:pPr>
        <w:adjustRightInd w:val="0"/>
        <w:spacing w:line="400" w:lineRule="exact"/>
        <w:ind w:firstLine="442" w:firstLineChars="200"/>
        <w:rPr>
          <w:rFonts w:ascii="宋体" w:hAnsi="宋体" w:eastAsia="宋体" w:cs="Times New Roman"/>
          <w:b/>
          <w:kern w:val="0"/>
          <w:sz w:val="22"/>
        </w:rPr>
      </w:pPr>
      <w:r>
        <w:rPr>
          <w:rFonts w:hint="eastAsia" w:ascii="宋体" w:hAnsi="宋体" w:eastAsia="宋体" w:cs="Times New Roman"/>
          <w:b/>
          <w:kern w:val="0"/>
          <w:sz w:val="22"/>
        </w:rPr>
        <w:t>4.1在投标截止时间之前递交。</w:t>
      </w:r>
    </w:p>
    <w:p>
      <w:pPr>
        <w:adjustRightInd w:val="0"/>
        <w:spacing w:line="400" w:lineRule="exact"/>
        <w:ind w:firstLine="442" w:firstLineChars="200"/>
        <w:rPr>
          <w:rFonts w:ascii="宋体" w:hAnsi="宋体" w:eastAsia="宋体" w:cs="Times New Roman"/>
          <w:b/>
          <w:kern w:val="0"/>
          <w:sz w:val="22"/>
        </w:rPr>
      </w:pPr>
      <w:r>
        <w:rPr>
          <w:rFonts w:hint="eastAsia" w:ascii="宋体" w:hAnsi="宋体" w:eastAsia="宋体" w:cs="Times New Roman"/>
          <w:b/>
          <w:kern w:val="0"/>
          <w:sz w:val="22"/>
        </w:rPr>
        <w:t>4.2包装与密封符合招标文件要求。</w:t>
      </w:r>
    </w:p>
    <w:p>
      <w:pPr>
        <w:adjustRightInd w:val="0"/>
        <w:spacing w:line="400" w:lineRule="exact"/>
        <w:ind w:firstLine="442" w:firstLineChars="200"/>
        <w:rPr>
          <w:rFonts w:ascii="宋体" w:hAnsi="宋体" w:eastAsia="宋体" w:cs="Times New Roman"/>
          <w:b/>
          <w:kern w:val="0"/>
          <w:sz w:val="22"/>
        </w:rPr>
      </w:pPr>
      <w:r>
        <w:rPr>
          <w:rFonts w:hint="eastAsia" w:ascii="宋体" w:hAnsi="宋体" w:eastAsia="宋体" w:cs="Times New Roman"/>
          <w:b/>
          <w:kern w:val="0"/>
          <w:sz w:val="22"/>
        </w:rPr>
        <w:t>4</w:t>
      </w:r>
      <w:r>
        <w:rPr>
          <w:rFonts w:ascii="宋体" w:hAnsi="宋体" w:eastAsia="宋体" w:cs="Times New Roman"/>
          <w:b/>
          <w:kern w:val="0"/>
          <w:sz w:val="22"/>
        </w:rPr>
        <w:t>.</w:t>
      </w:r>
      <w:r>
        <w:rPr>
          <w:rFonts w:hint="eastAsia" w:ascii="宋体" w:hAnsi="宋体" w:eastAsia="宋体" w:cs="Times New Roman"/>
          <w:b/>
          <w:kern w:val="0"/>
          <w:sz w:val="22"/>
        </w:rPr>
        <w:t>3</w:t>
      </w:r>
      <w:r>
        <w:rPr>
          <w:rFonts w:ascii="宋体" w:hAnsi="宋体" w:eastAsia="宋体" w:cs="Times New Roman"/>
          <w:b/>
          <w:kern w:val="0"/>
          <w:sz w:val="22"/>
        </w:rPr>
        <w:t>投标文件递交到指定的投标地点。</w:t>
      </w:r>
    </w:p>
    <w:p>
      <w:pPr>
        <w:adjustRightInd w:val="0"/>
        <w:snapToGrid w:val="0"/>
        <w:spacing w:line="340" w:lineRule="exact"/>
        <w:ind w:firstLine="442" w:firstLineChars="200"/>
        <w:rPr>
          <w:rFonts w:ascii="宋体" w:hAnsi="宋体" w:eastAsia="宋体" w:cs="Times New Roman"/>
          <w:b/>
          <w:kern w:val="0"/>
          <w:sz w:val="22"/>
        </w:rPr>
      </w:pPr>
      <w:r>
        <w:rPr>
          <w:rFonts w:hint="eastAsia" w:ascii="宋体" w:hAnsi="宋体" w:eastAsia="宋体" w:cs="Times New Roman"/>
          <w:b/>
          <w:kern w:val="0"/>
          <w:sz w:val="22"/>
        </w:rPr>
        <w:t>4.4投标供应商法定代表人或其授权代表必须携合法有效身份证明原件、投标文件等相关资料，按招标文件规定本人亲自递交，并签字签到。</w:t>
      </w:r>
    </w:p>
    <w:p>
      <w:pPr>
        <w:adjustRightInd w:val="0"/>
        <w:snapToGrid w:val="0"/>
        <w:spacing w:line="340" w:lineRule="exact"/>
        <w:ind w:firstLine="435" w:firstLineChars="197"/>
        <w:outlineLvl w:val="0"/>
        <w:rPr>
          <w:rFonts w:ascii="宋体" w:hAnsi="宋体" w:eastAsia="宋体" w:cs="Times New Roman"/>
          <w:b/>
          <w:kern w:val="0"/>
          <w:sz w:val="22"/>
        </w:rPr>
      </w:pPr>
      <w:bookmarkStart w:id="41" w:name="_Toc494407536"/>
      <w:r>
        <w:rPr>
          <w:rFonts w:hint="eastAsia" w:ascii="宋体" w:hAnsi="宋体" w:eastAsia="宋体" w:cs="Times New Roman"/>
          <w:b/>
          <w:kern w:val="0"/>
          <w:sz w:val="22"/>
        </w:rPr>
        <w:t>五、开标和评标</w:t>
      </w:r>
      <w:bookmarkEnd w:id="41"/>
    </w:p>
    <w:p>
      <w:pPr>
        <w:adjustRightInd w:val="0"/>
        <w:snapToGrid w:val="0"/>
        <w:spacing w:line="340" w:lineRule="exact"/>
        <w:ind w:firstLine="435" w:firstLineChars="197"/>
        <w:rPr>
          <w:rFonts w:ascii="宋体" w:hAnsi="宋体" w:eastAsia="宋体" w:cs="Times New Roman"/>
          <w:b/>
          <w:kern w:val="0"/>
          <w:sz w:val="22"/>
        </w:rPr>
      </w:pPr>
      <w:r>
        <w:rPr>
          <w:rFonts w:hint="eastAsia" w:ascii="宋体" w:hAnsi="宋体" w:eastAsia="宋体" w:cs="Times New Roman"/>
          <w:b/>
          <w:kern w:val="0"/>
          <w:sz w:val="22"/>
        </w:rPr>
        <w:t>1、开标</w:t>
      </w:r>
    </w:p>
    <w:p>
      <w:pPr>
        <w:adjustRightInd w:val="0"/>
        <w:snapToGrid w:val="0"/>
        <w:spacing w:line="340" w:lineRule="exact"/>
        <w:ind w:firstLine="435" w:firstLineChars="197"/>
        <w:rPr>
          <w:rFonts w:ascii="宋体" w:hAnsi="宋体" w:eastAsia="宋体" w:cs="Times New Roman"/>
          <w:b/>
          <w:kern w:val="0"/>
          <w:sz w:val="22"/>
        </w:rPr>
      </w:pPr>
      <w:r>
        <w:rPr>
          <w:rFonts w:hint="eastAsia" w:ascii="宋体" w:hAnsi="宋体" w:eastAsia="宋体" w:cs="Times New Roman"/>
          <w:b/>
          <w:kern w:val="0"/>
          <w:sz w:val="22"/>
        </w:rPr>
        <w:t>1.1采购代理机构按招标文件规定的时间、地点截标、开标。</w:t>
      </w:r>
    </w:p>
    <w:p>
      <w:pPr>
        <w:adjustRightInd w:val="0"/>
        <w:spacing w:line="340" w:lineRule="exact"/>
        <w:ind w:firstLine="435" w:firstLineChars="197"/>
        <w:rPr>
          <w:rFonts w:ascii="宋体" w:hAnsi="宋体" w:eastAsia="宋体" w:cs="Times New Roman"/>
          <w:b/>
          <w:kern w:val="0"/>
          <w:sz w:val="22"/>
        </w:rPr>
      </w:pPr>
      <w:r>
        <w:rPr>
          <w:rFonts w:hint="eastAsia" w:ascii="宋体" w:hAnsi="宋体" w:eastAsia="宋体" w:cs="Times New Roman"/>
          <w:b/>
          <w:kern w:val="0"/>
          <w:sz w:val="22"/>
        </w:rPr>
        <w:t>1.2供应商的授权代表必须出席开标签到，并积极配合可能的询标。</w:t>
      </w:r>
    </w:p>
    <w:p>
      <w:pPr>
        <w:adjustRightInd w:val="0"/>
        <w:spacing w:line="340" w:lineRule="exact"/>
        <w:ind w:firstLine="435" w:firstLineChars="197"/>
        <w:rPr>
          <w:rFonts w:ascii="宋体" w:hAnsi="宋体" w:eastAsia="宋体" w:cs="Times New Roman"/>
          <w:b/>
          <w:kern w:val="0"/>
          <w:sz w:val="22"/>
        </w:rPr>
      </w:pPr>
      <w:r>
        <w:rPr>
          <w:rFonts w:hint="eastAsia" w:ascii="宋体" w:hAnsi="宋体" w:eastAsia="宋体" w:cs="Times New Roman"/>
          <w:b/>
          <w:kern w:val="0"/>
          <w:sz w:val="22"/>
        </w:rPr>
        <w:t>1.3开启技术资信标时，供应商法定代表人授权代表必须出示并递交法定代表人授权书原件（密封在技术资信部分投标文件中也为有效）、合法有效的身份证明原件；法定代表人直接作为投标代表的必须出示并递交营业执照复印件（密封在技术资信部分投标文件中也为有效）、合法有效的身份证明原件。</w:t>
      </w:r>
    </w:p>
    <w:p>
      <w:pPr>
        <w:adjustRightInd w:val="0"/>
        <w:spacing w:line="340" w:lineRule="exact"/>
        <w:ind w:firstLine="435" w:firstLineChars="197"/>
        <w:rPr>
          <w:rFonts w:ascii="宋体" w:hAnsi="宋体" w:eastAsia="宋体" w:cs="Times New Roman"/>
          <w:b/>
          <w:kern w:val="0"/>
          <w:sz w:val="22"/>
        </w:rPr>
      </w:pPr>
      <w:r>
        <w:rPr>
          <w:rFonts w:hint="eastAsia" w:ascii="宋体" w:hAnsi="宋体" w:eastAsia="宋体" w:cs="Times New Roman"/>
          <w:b/>
          <w:kern w:val="0"/>
          <w:sz w:val="22"/>
        </w:rPr>
        <w:t>未提供以上证明的投标文件将拒收。</w:t>
      </w:r>
    </w:p>
    <w:p>
      <w:pPr>
        <w:widowControl/>
        <w:adjustRightInd w:val="0"/>
        <w:snapToGrid w:val="0"/>
        <w:spacing w:before="100" w:after="50" w:line="340" w:lineRule="exact"/>
        <w:ind w:firstLine="433" w:firstLineChars="197"/>
        <w:rPr>
          <w:rFonts w:ascii="宋体" w:hAnsi="宋体" w:eastAsia="宋体" w:cs="Times New Roman"/>
          <w:kern w:val="0"/>
          <w:sz w:val="22"/>
        </w:rPr>
      </w:pPr>
      <w:r>
        <w:rPr>
          <w:rFonts w:ascii="宋体" w:hAnsi="宋体" w:eastAsia="宋体" w:cs="Times New Roman"/>
          <w:kern w:val="0"/>
          <w:sz w:val="22"/>
        </w:rPr>
        <w:t>1.4开标</w:t>
      </w:r>
    </w:p>
    <w:p>
      <w:pPr>
        <w:widowControl/>
        <w:adjustRightInd w:val="0"/>
        <w:snapToGrid w:val="0"/>
        <w:spacing w:before="100" w:after="50" w:line="340" w:lineRule="exact"/>
        <w:ind w:firstLine="433" w:firstLineChars="197"/>
        <w:rPr>
          <w:rFonts w:ascii="宋体" w:hAnsi="宋体" w:eastAsia="宋体" w:cs="Times New Roman"/>
          <w:kern w:val="0"/>
          <w:sz w:val="22"/>
        </w:rPr>
      </w:pPr>
      <w:r>
        <w:rPr>
          <w:rFonts w:ascii="宋体" w:hAnsi="宋体" w:eastAsia="宋体" w:cs="Times New Roman"/>
          <w:kern w:val="0"/>
          <w:sz w:val="22"/>
        </w:rPr>
        <w:t xml:space="preserve">1）首先当众开启供应商技术资信标。 </w:t>
      </w:r>
    </w:p>
    <w:p>
      <w:pPr>
        <w:widowControl/>
        <w:adjustRightInd w:val="0"/>
        <w:snapToGrid w:val="0"/>
        <w:spacing w:before="100" w:after="50"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▲按招标文件规定的开标时间，采购组织机构审查投标供应商代表合法身份证明、法定代表人授权书原件。</w:t>
      </w:r>
    </w:p>
    <w:p>
      <w:pPr>
        <w:widowControl/>
        <w:adjustRightInd w:val="0"/>
        <w:snapToGrid w:val="0"/>
        <w:spacing w:before="100" w:after="50"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为方便供应商投标，供应商法定代表人授权书原件密封在技术资信部分投标文件中的，开启其技术资信标后再进行投标资格审查，但对于其技术资信标的启封，采购人及采购组织机构不承担任何责任。</w:t>
      </w:r>
    </w:p>
    <w:p>
      <w:pPr>
        <w:widowControl/>
        <w:adjustRightInd w:val="0"/>
        <w:snapToGrid w:val="0"/>
        <w:spacing w:before="100" w:after="50"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szCs w:val="20"/>
        </w:rPr>
        <w:t>通过资格性审查的供应商，进入其技术资信标评审。不通过的，退还未拆封的相关投标文件。</w:t>
      </w:r>
      <w:r>
        <w:rPr>
          <w:rFonts w:hint="eastAsia" w:ascii="宋体" w:hAnsi="宋体" w:eastAsia="宋体" w:cs="Times New Roman"/>
          <w:kern w:val="0"/>
          <w:sz w:val="22"/>
        </w:rPr>
        <w:t>。</w:t>
      </w:r>
    </w:p>
    <w:p>
      <w:pPr>
        <w:widowControl/>
        <w:adjustRightInd w:val="0"/>
        <w:snapToGrid w:val="0"/>
        <w:spacing w:before="100" w:after="50" w:line="340" w:lineRule="exact"/>
        <w:ind w:firstLine="433" w:firstLineChars="197"/>
        <w:rPr>
          <w:rFonts w:ascii="宋体" w:hAnsi="宋体" w:eastAsia="宋体" w:cs="Times New Roman"/>
          <w:b/>
          <w:kern w:val="0"/>
          <w:sz w:val="22"/>
        </w:rPr>
      </w:pPr>
      <w:r>
        <w:rPr>
          <w:rFonts w:ascii="宋体" w:hAnsi="宋体" w:eastAsia="宋体" w:cs="Times New Roman"/>
          <w:kern w:val="0"/>
          <w:sz w:val="22"/>
        </w:rPr>
        <w:t>2）由评标委员会对供应商资信、资质、资格及技术进行</w:t>
      </w:r>
      <w:r>
        <w:rPr>
          <w:rFonts w:hint="eastAsia" w:ascii="宋体" w:hAnsi="宋体" w:eastAsia="宋体" w:cs="Times New Roman"/>
          <w:kern w:val="0"/>
          <w:sz w:val="22"/>
        </w:rPr>
        <w:t>符合性审查</w:t>
      </w:r>
      <w:r>
        <w:rPr>
          <w:rFonts w:ascii="宋体" w:hAnsi="宋体" w:eastAsia="宋体" w:cs="Times New Roman"/>
          <w:kern w:val="0"/>
          <w:sz w:val="22"/>
        </w:rPr>
        <w:t>。技术资信标</w:t>
      </w:r>
      <w:r>
        <w:rPr>
          <w:rFonts w:hint="eastAsia" w:ascii="宋体" w:hAnsi="宋体" w:eastAsia="宋体" w:cs="Times New Roman"/>
          <w:kern w:val="0"/>
          <w:sz w:val="22"/>
        </w:rPr>
        <w:t>符合性审查</w:t>
      </w:r>
      <w:r>
        <w:rPr>
          <w:rFonts w:ascii="宋体" w:hAnsi="宋体" w:eastAsia="宋体" w:cs="Times New Roman"/>
          <w:kern w:val="0"/>
          <w:sz w:val="22"/>
        </w:rPr>
        <w:t>通过的供应商，进入商务报价标开标。不通过的，退还其商务报价部分投标文件。</w:t>
      </w:r>
    </w:p>
    <w:p>
      <w:pPr>
        <w:spacing w:line="340" w:lineRule="exact"/>
        <w:ind w:firstLine="433" w:firstLineChars="197"/>
        <w:rPr>
          <w:rFonts w:ascii="宋体" w:hAnsi="宋体" w:eastAsia="宋体" w:cs="Times New Roman"/>
          <w:bCs/>
          <w:kern w:val="0"/>
          <w:sz w:val="22"/>
        </w:rPr>
      </w:pPr>
      <w:r>
        <w:rPr>
          <w:rFonts w:hint="eastAsia" w:ascii="宋体" w:hAnsi="宋体" w:eastAsia="宋体" w:cs="Times New Roman"/>
          <w:bCs/>
          <w:kern w:val="0"/>
          <w:sz w:val="22"/>
        </w:rPr>
        <w:t>3）商务报价标开标</w:t>
      </w:r>
    </w:p>
    <w:p>
      <w:pPr>
        <w:spacing w:line="340" w:lineRule="exact"/>
        <w:ind w:firstLine="404" w:firstLineChars="183"/>
        <w:rPr>
          <w:rFonts w:ascii="宋体" w:hAnsi="宋体" w:eastAsia="宋体" w:cs="Times New Roman"/>
          <w:b/>
          <w:bCs/>
          <w:kern w:val="0"/>
          <w:sz w:val="22"/>
        </w:rPr>
      </w:pPr>
      <w:r>
        <w:rPr>
          <w:rFonts w:hint="eastAsia" w:ascii="宋体" w:hAnsi="宋体" w:eastAsia="宋体" w:cs="Times New Roman"/>
          <w:b/>
          <w:bCs/>
          <w:kern w:val="0"/>
          <w:sz w:val="22"/>
        </w:rPr>
        <w:t>（1）开商务报价标时邀请所有供应商代表参加，参加开标的代表应准时出席并签名报到以证明其出席。供应商代表未及时参加商务报价标开标的，事后不得对开标过程和开标结果提出异议。</w:t>
      </w:r>
    </w:p>
    <w:p>
      <w:pPr>
        <w:spacing w:line="340" w:lineRule="exact"/>
        <w:ind w:firstLine="404" w:firstLineChars="183"/>
        <w:rPr>
          <w:rFonts w:ascii="宋体" w:hAnsi="宋体" w:eastAsia="宋体" w:cs="Times New Roman"/>
          <w:b/>
          <w:bCs/>
          <w:kern w:val="0"/>
          <w:sz w:val="22"/>
        </w:rPr>
      </w:pPr>
      <w:r>
        <w:rPr>
          <w:rFonts w:hint="eastAsia" w:ascii="宋体" w:hAnsi="宋体" w:eastAsia="宋体" w:cs="Times New Roman"/>
          <w:b/>
          <w:bCs/>
          <w:kern w:val="0"/>
          <w:sz w:val="22"/>
        </w:rPr>
        <w:t>（2）宣布对各供应商有效身份证件等审查结果和技术、资信标得分情况。</w:t>
      </w:r>
    </w:p>
    <w:p>
      <w:pPr>
        <w:spacing w:line="340" w:lineRule="exact"/>
        <w:ind w:firstLine="404" w:firstLineChars="183"/>
        <w:rPr>
          <w:rFonts w:ascii="宋体" w:hAnsi="宋体" w:eastAsia="宋体" w:cs="Times New Roman"/>
          <w:b/>
          <w:bCs/>
          <w:kern w:val="0"/>
          <w:sz w:val="22"/>
        </w:rPr>
      </w:pPr>
      <w:r>
        <w:rPr>
          <w:rFonts w:hint="eastAsia" w:ascii="宋体" w:hAnsi="宋体" w:eastAsia="宋体" w:cs="Times New Roman"/>
          <w:b/>
          <w:bCs/>
          <w:kern w:val="0"/>
          <w:sz w:val="22"/>
        </w:rPr>
        <w:t>（3）检查有效供应商“商务报价标”的密封情况，确认无误后开启“商务报价标”，唱读“开标一览表”全部内容。唱读结束后，供应商代表应对唱读内容及记录结果当场进行校核和签字确认，如有异议应当场提出，否则视为默许同意。</w:t>
      </w:r>
    </w:p>
    <w:p>
      <w:pPr>
        <w:spacing w:line="340" w:lineRule="exact"/>
        <w:ind w:firstLine="404" w:firstLineChars="183"/>
        <w:rPr>
          <w:rFonts w:ascii="宋体" w:hAnsi="宋体" w:eastAsia="宋体" w:cs="Times New Roman"/>
          <w:b/>
          <w:bCs/>
          <w:kern w:val="0"/>
          <w:sz w:val="22"/>
        </w:rPr>
      </w:pPr>
      <w:r>
        <w:rPr>
          <w:rFonts w:hint="eastAsia" w:ascii="宋体" w:hAnsi="宋体" w:eastAsia="宋体" w:cs="Times New Roman"/>
          <w:b/>
          <w:bCs/>
          <w:kern w:val="0"/>
          <w:sz w:val="22"/>
        </w:rPr>
        <w:t>（4）开标时没有启封和宣读的投标文件，原封退回给供应商。</w:t>
      </w:r>
    </w:p>
    <w:p>
      <w:pPr>
        <w:spacing w:line="340" w:lineRule="exact"/>
        <w:ind w:firstLine="404" w:firstLineChars="183"/>
        <w:rPr>
          <w:rFonts w:ascii="宋体" w:hAnsi="宋体" w:eastAsia="宋体" w:cs="Times New Roman"/>
          <w:b/>
          <w:kern w:val="0"/>
          <w:szCs w:val="20"/>
        </w:rPr>
      </w:pPr>
      <w:r>
        <w:rPr>
          <w:rFonts w:hint="eastAsia" w:ascii="宋体" w:hAnsi="宋体" w:eastAsia="宋体" w:cs="Times New Roman"/>
          <w:b/>
          <w:bCs/>
          <w:kern w:val="0"/>
          <w:sz w:val="22"/>
        </w:rPr>
        <w:t>（5）开商务标时，采购人指定专人作好记录，存档备查。</w:t>
      </w:r>
    </w:p>
    <w:p>
      <w:pPr>
        <w:spacing w:line="340" w:lineRule="exact"/>
        <w:ind w:firstLine="435" w:firstLineChars="197"/>
        <w:rPr>
          <w:rFonts w:ascii="宋体" w:hAnsi="宋体" w:eastAsia="宋体" w:cs="Times New Roman"/>
          <w:b/>
          <w:kern w:val="0"/>
          <w:sz w:val="22"/>
        </w:rPr>
      </w:pPr>
      <w:r>
        <w:rPr>
          <w:rFonts w:hint="eastAsia" w:ascii="宋体" w:hAnsi="宋体" w:eastAsia="宋体" w:cs="Times New Roman"/>
          <w:b/>
          <w:kern w:val="0"/>
          <w:sz w:val="22"/>
        </w:rPr>
        <w:t>4）商务报价标开标时，投标文件中《开标一览表》(报价表)内容与投标文件中明细表内容不一致的，以开标一览表(报价表)为准。投标报价明细表计算错误的，由供应商自负责任。</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投标文件的大写金额和小写金额不一致的，以大写金额为准；总价金额与按单价汇总金额不一致的，以单价金额计算结果为准；单价金额小数点有明显错位的，应以总价为准，并修改单价；以文字表示的数据与数字表示的有差别，以文字为准修正数字；对不同文字文本投标文件的解释发生异议的，以中文文本为准。</w:t>
      </w:r>
    </w:p>
    <w:p>
      <w:pPr>
        <w:adjustRightInd w:val="0"/>
        <w:snapToGrid w:val="0"/>
        <w:spacing w:line="340" w:lineRule="exact"/>
        <w:ind w:firstLine="435" w:firstLineChars="197"/>
        <w:rPr>
          <w:rFonts w:ascii="宋体" w:hAnsi="宋体" w:eastAsia="宋体" w:cs="Arial"/>
          <w:b/>
          <w:kern w:val="0"/>
          <w:sz w:val="22"/>
        </w:rPr>
      </w:pPr>
      <w:r>
        <w:rPr>
          <w:rFonts w:hint="eastAsia" w:ascii="宋体" w:hAnsi="宋体" w:eastAsia="宋体" w:cs="Arial"/>
          <w:b/>
          <w:kern w:val="0"/>
          <w:sz w:val="22"/>
        </w:rPr>
        <w:t>2、评标</w:t>
      </w:r>
    </w:p>
    <w:p>
      <w:pPr>
        <w:adjustRightInd w:val="0"/>
        <w:snapToGrid w:val="0"/>
        <w:spacing w:line="340" w:lineRule="exact"/>
        <w:ind w:firstLine="435" w:firstLineChars="197"/>
        <w:rPr>
          <w:rFonts w:ascii="宋体" w:hAnsi="宋体" w:eastAsia="宋体" w:cs="Arial"/>
          <w:b/>
          <w:kern w:val="0"/>
          <w:sz w:val="22"/>
        </w:rPr>
      </w:pPr>
      <w:r>
        <w:rPr>
          <w:rFonts w:hint="eastAsia" w:ascii="宋体" w:hAnsi="宋体" w:eastAsia="宋体" w:cs="Arial"/>
          <w:b/>
          <w:kern w:val="0"/>
          <w:sz w:val="22"/>
        </w:rPr>
        <w:t>2.1评标由采购人依法组建的评标委员会负责</w:t>
      </w:r>
      <w:r>
        <w:rPr>
          <w:rFonts w:hint="eastAsia" w:ascii="宋体" w:hAnsi="宋体" w:eastAsia="宋体" w:cs="Times New Roman"/>
          <w:b/>
          <w:kern w:val="0"/>
          <w:sz w:val="22"/>
        </w:rPr>
        <w:t>，并独立履行下列职责：</w:t>
      </w:r>
    </w:p>
    <w:p>
      <w:pPr>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1）审查投标文件是否符合招标文件要求，并做出评价；</w:t>
      </w:r>
    </w:p>
    <w:p>
      <w:pPr>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2）要求供应商对投标文件有关事项做出解释或者澄清；</w:t>
      </w:r>
    </w:p>
    <w:p>
      <w:pPr>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3）按照招标文件确定的评标办法确定中标人，并对其排序；综合得分最高的供应商推荐为中标人；</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4）向采购人或者有关部门报告非法干预评标工作的行为。</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5）根据采购人的授权确定中标人名单；</w:t>
      </w:r>
    </w:p>
    <w:p>
      <w:pPr>
        <w:snapToGrid w:val="0"/>
        <w:spacing w:line="340" w:lineRule="exact"/>
        <w:ind w:firstLine="435" w:firstLineChars="197"/>
        <w:rPr>
          <w:rFonts w:ascii="宋体" w:hAnsi="宋体" w:eastAsia="宋体" w:cs="Times New Roman"/>
          <w:b/>
          <w:kern w:val="0"/>
          <w:sz w:val="22"/>
        </w:rPr>
      </w:pPr>
      <w:r>
        <w:rPr>
          <w:rFonts w:hint="eastAsia" w:ascii="宋体" w:hAnsi="宋体" w:eastAsia="宋体" w:cs="Times New Roman"/>
          <w:b/>
          <w:kern w:val="0"/>
          <w:sz w:val="22"/>
        </w:rPr>
        <w:t>2.2评标应当遵循下列工作程序：</w:t>
      </w:r>
    </w:p>
    <w:p>
      <w:pPr>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1）投标文件初审。初审分为资格性检查和符合性检查。</w:t>
      </w:r>
    </w:p>
    <w:p>
      <w:pPr>
        <w:snapToGrid w:val="0"/>
        <w:spacing w:line="340" w:lineRule="exact"/>
        <w:ind w:firstLine="323" w:firstLineChars="147"/>
        <w:rPr>
          <w:rFonts w:ascii="宋体" w:hAnsi="宋体" w:eastAsia="宋体" w:cs="Times New Roman"/>
          <w:kern w:val="0"/>
          <w:sz w:val="22"/>
        </w:rPr>
      </w:pPr>
      <w:r>
        <w:rPr>
          <w:rFonts w:hint="eastAsia" w:ascii="宋体" w:hAnsi="宋体" w:eastAsia="宋体" w:cs="Times New Roman"/>
          <w:kern w:val="0"/>
          <w:sz w:val="22"/>
        </w:rPr>
        <w:t>（1)资格性检查。依据法律法规和招标文件的规定，对投标文件中的资格证明文件等进行审查，以确定供应商是否具备投标资格。</w:t>
      </w:r>
    </w:p>
    <w:p>
      <w:pPr>
        <w:snapToGrid w:val="0"/>
        <w:spacing w:line="340" w:lineRule="exact"/>
        <w:ind w:firstLine="323" w:firstLineChars="147"/>
        <w:rPr>
          <w:rFonts w:ascii="宋体" w:hAnsi="宋体" w:eastAsia="宋体" w:cs="Times New Roman"/>
          <w:kern w:val="0"/>
          <w:sz w:val="22"/>
        </w:rPr>
      </w:pPr>
      <w:r>
        <w:rPr>
          <w:rFonts w:hint="eastAsia" w:ascii="宋体" w:hAnsi="宋体" w:eastAsia="宋体" w:cs="Times New Roman"/>
          <w:kern w:val="0"/>
          <w:sz w:val="22"/>
        </w:rPr>
        <w:t>（2)符合性检查。依据招标文件的规定，从投标文件的有效性、完整性和对招标文件的响应程度进行审查，以确定是否对招标文件的实质性要求做出响应。</w:t>
      </w:r>
    </w:p>
    <w:p>
      <w:pPr>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2）澄清有关问题。对投标文件中含义不明确、同类问题表述不一致或者有明显文字和计算错误的内容，评标委员会可以书面形式要求供应商做出必要的澄清、说明或者纠正。供应商的澄清、说明或者补正应当采用书面形式，由其授权的代表签字，并不得超出投标文件的范围或者改变投标文件的实质性内容。</w:t>
      </w:r>
    </w:p>
    <w:p>
      <w:pPr>
        <w:adjustRightInd w:val="0"/>
        <w:snapToGrid w:val="0"/>
        <w:spacing w:line="340" w:lineRule="exact"/>
        <w:ind w:firstLine="433" w:firstLineChars="197"/>
        <w:rPr>
          <w:rFonts w:ascii="宋体" w:hAnsi="宋体" w:eastAsia="宋体" w:cs="Arial"/>
          <w:kern w:val="0"/>
          <w:sz w:val="22"/>
        </w:rPr>
      </w:pPr>
      <w:r>
        <w:rPr>
          <w:rFonts w:hint="eastAsia" w:ascii="宋体" w:hAnsi="宋体" w:eastAsia="宋体" w:cs="Arial"/>
          <w:kern w:val="0"/>
          <w:sz w:val="22"/>
        </w:rPr>
        <w:t>实质上没有响应招标文件要求的投标将被拒绝。供应商不得通过修正或撤消不合要求的偏离从而使其投标成为实质上响应的投标。</w:t>
      </w:r>
    </w:p>
    <w:p>
      <w:pPr>
        <w:snapToGrid w:val="0"/>
        <w:spacing w:line="340" w:lineRule="exact"/>
        <w:ind w:firstLine="433" w:firstLineChars="197"/>
        <w:rPr>
          <w:rFonts w:ascii="宋体" w:hAnsi="宋体" w:eastAsia="宋体" w:cs="Times New Roman"/>
          <w:kern w:val="0"/>
          <w:sz w:val="22"/>
        </w:rPr>
      </w:pPr>
      <w:r>
        <w:rPr>
          <w:rFonts w:hint="eastAsia" w:ascii="宋体" w:hAnsi="宋体" w:eastAsia="宋体" w:cs="Arial"/>
          <w:kern w:val="0"/>
          <w:sz w:val="22"/>
        </w:rPr>
        <w:t>评标委员会对投标文件的判定，只依据投标文件内容本身，不依靠开标后的任何外来证明。</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3）比较与评价。按招标文件中规定的评标方法和标准，对资格性检查和符合性检查合格的投标文件进行商务和技术评估，综合比较与评价。</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4）推荐中标人候选人名单，并根据采购人的授权确定中标人。</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Times New Roman"/>
          <w:b/>
          <w:kern w:val="0"/>
          <w:sz w:val="22"/>
        </w:rPr>
        <w:t xml:space="preserve">2.3 </w:t>
      </w:r>
      <w:r>
        <w:rPr>
          <w:rFonts w:hint="eastAsia" w:ascii="宋体" w:hAnsi="宋体" w:eastAsia="宋体" w:cs="Times New Roman"/>
          <w:b/>
          <w:kern w:val="0"/>
          <w:sz w:val="22"/>
          <w:u w:val="single"/>
        </w:rPr>
        <w:t>▲</w:t>
      </w:r>
      <w:r>
        <w:rPr>
          <w:rFonts w:ascii="宋体" w:hAnsi="宋体" w:eastAsia="宋体" w:cs="Arial"/>
          <w:b/>
          <w:kern w:val="0"/>
          <w:sz w:val="22"/>
          <w:u w:val="single"/>
        </w:rPr>
        <w:t>投标人存在下列情况之一的，投标无效:</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Arial"/>
          <w:b/>
          <w:kern w:val="0"/>
          <w:sz w:val="22"/>
          <w:u w:val="single"/>
        </w:rPr>
        <w:t>1）</w:t>
      </w:r>
      <w:r>
        <w:rPr>
          <w:rFonts w:ascii="宋体" w:hAnsi="宋体" w:eastAsia="宋体" w:cs="Arial"/>
          <w:b/>
          <w:kern w:val="0"/>
          <w:sz w:val="22"/>
          <w:u w:val="single"/>
        </w:rPr>
        <w:t>投标文件</w:t>
      </w:r>
      <w:r>
        <w:rPr>
          <w:rFonts w:hint="eastAsia" w:ascii="宋体" w:hAnsi="宋体" w:eastAsia="宋体" w:cs="Arial"/>
          <w:b/>
          <w:kern w:val="0"/>
          <w:sz w:val="22"/>
          <w:u w:val="single"/>
        </w:rPr>
        <w:t>正本</w:t>
      </w:r>
      <w:r>
        <w:rPr>
          <w:rFonts w:ascii="宋体" w:hAnsi="宋体" w:eastAsia="宋体" w:cs="Arial"/>
          <w:b/>
          <w:kern w:val="0"/>
          <w:sz w:val="22"/>
          <w:u w:val="single"/>
        </w:rPr>
        <w:t>未按招标文件要求签署、盖章的；</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Arial"/>
          <w:b/>
          <w:kern w:val="0"/>
          <w:sz w:val="22"/>
          <w:u w:val="single"/>
        </w:rPr>
        <w:t>2）</w:t>
      </w:r>
      <w:r>
        <w:rPr>
          <w:rFonts w:ascii="宋体" w:hAnsi="宋体" w:eastAsia="宋体" w:cs="Arial"/>
          <w:b/>
          <w:kern w:val="0"/>
          <w:sz w:val="22"/>
          <w:u w:val="single"/>
        </w:rPr>
        <w:t>不具备招标文件中规定的资格要求的；</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Arial"/>
          <w:b/>
          <w:kern w:val="0"/>
          <w:sz w:val="22"/>
          <w:u w:val="single"/>
        </w:rPr>
        <w:t>3）</w:t>
      </w:r>
      <w:r>
        <w:rPr>
          <w:rFonts w:ascii="宋体" w:hAnsi="宋体" w:eastAsia="宋体" w:cs="Arial"/>
          <w:b/>
          <w:kern w:val="0"/>
          <w:sz w:val="22"/>
          <w:u w:val="single"/>
        </w:rPr>
        <w:t>报价超过招标文件中规定的预算金额或者最高限价的；</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Arial"/>
          <w:b/>
          <w:kern w:val="0"/>
          <w:sz w:val="22"/>
          <w:u w:val="single"/>
        </w:rPr>
        <w:t>4）</w:t>
      </w:r>
      <w:r>
        <w:rPr>
          <w:rFonts w:ascii="宋体" w:hAnsi="宋体" w:eastAsia="宋体" w:cs="Arial"/>
          <w:b/>
          <w:kern w:val="0"/>
          <w:sz w:val="22"/>
          <w:u w:val="single"/>
        </w:rPr>
        <w:t>投标文件含有采购人不能接受的附加条件的</w:t>
      </w:r>
      <w:r>
        <w:rPr>
          <w:rFonts w:hint="eastAsia" w:ascii="宋体" w:hAnsi="宋体" w:eastAsia="宋体" w:cs="Arial"/>
          <w:b/>
          <w:kern w:val="0"/>
          <w:sz w:val="22"/>
          <w:u w:val="single"/>
        </w:rPr>
        <w:t>（包括招标文件中明确要求不得偏离的招标要求，存在负偏离的）</w:t>
      </w:r>
      <w:r>
        <w:rPr>
          <w:rFonts w:ascii="宋体" w:hAnsi="宋体" w:eastAsia="宋体" w:cs="Arial"/>
          <w:b/>
          <w:kern w:val="0"/>
          <w:sz w:val="22"/>
          <w:u w:val="single"/>
        </w:rPr>
        <w:t>;</w:t>
      </w:r>
    </w:p>
    <w:p>
      <w:pPr>
        <w:adjustRightInd w:val="0"/>
        <w:snapToGrid w:val="0"/>
        <w:spacing w:line="340" w:lineRule="exact"/>
        <w:ind w:firstLine="435" w:firstLineChars="197"/>
        <w:rPr>
          <w:rFonts w:ascii="宋体" w:hAnsi="宋体" w:eastAsia="宋体" w:cs="Arial"/>
          <w:b/>
          <w:kern w:val="0"/>
          <w:sz w:val="22"/>
          <w:u w:val="single"/>
        </w:rPr>
      </w:pPr>
      <w:r>
        <w:rPr>
          <w:rFonts w:ascii="宋体" w:hAnsi="宋体" w:eastAsia="宋体" w:cs="Arial"/>
          <w:b/>
          <w:kern w:val="0"/>
          <w:sz w:val="22"/>
          <w:u w:val="single"/>
        </w:rPr>
        <w:t>6</w:t>
      </w:r>
      <w:r>
        <w:rPr>
          <w:rFonts w:hint="eastAsia" w:ascii="宋体" w:hAnsi="宋体" w:eastAsia="宋体" w:cs="Arial"/>
          <w:b/>
          <w:kern w:val="0"/>
          <w:sz w:val="22"/>
          <w:u w:val="single"/>
        </w:rPr>
        <w:t>）供应商递交两份或两份以上内容不同的投标文件，未声明哪一份有效的；</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Arial"/>
          <w:b/>
          <w:kern w:val="0"/>
          <w:sz w:val="22"/>
          <w:u w:val="single"/>
        </w:rPr>
        <w:t>7）对关键条文的偏离、保留或反对，例如关于付款方式、完工期、免费质保期、适用法律法规、标准、税费等其他内容；</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Arial"/>
          <w:b/>
          <w:kern w:val="0"/>
          <w:sz w:val="22"/>
          <w:u w:val="single"/>
        </w:rPr>
        <w:t>8）存在串标、抬标或弄虚作假情况的；</w:t>
      </w:r>
    </w:p>
    <w:p>
      <w:pPr>
        <w:adjustRightInd w:val="0"/>
        <w:snapToGrid w:val="0"/>
        <w:spacing w:line="340" w:lineRule="exact"/>
        <w:ind w:firstLine="435" w:firstLineChars="197"/>
        <w:rPr>
          <w:rFonts w:ascii="宋体" w:hAnsi="宋体" w:eastAsia="宋体" w:cs="Arial"/>
          <w:b/>
          <w:kern w:val="0"/>
          <w:sz w:val="22"/>
          <w:u w:val="single"/>
        </w:rPr>
      </w:pPr>
      <w:r>
        <w:rPr>
          <w:rFonts w:ascii="宋体" w:hAnsi="宋体" w:eastAsia="宋体" w:cs="Arial"/>
          <w:b/>
          <w:kern w:val="0"/>
          <w:sz w:val="22"/>
          <w:u w:val="single"/>
        </w:rPr>
        <w:t>9</w:t>
      </w:r>
      <w:r>
        <w:rPr>
          <w:rFonts w:hint="eastAsia" w:ascii="宋体" w:hAnsi="宋体" w:eastAsia="宋体" w:cs="Arial"/>
          <w:b/>
          <w:kern w:val="0"/>
          <w:sz w:val="22"/>
          <w:u w:val="single"/>
        </w:rPr>
        <w:t>）</w:t>
      </w:r>
      <w:r>
        <w:rPr>
          <w:rFonts w:ascii="宋体" w:hAnsi="宋体" w:eastAsia="宋体" w:cs="Arial"/>
          <w:b/>
          <w:kern w:val="0"/>
          <w:sz w:val="22"/>
          <w:u w:val="single"/>
        </w:rPr>
        <w:t>法律、法规和招标文件规定的其他无效情形</w:t>
      </w:r>
      <w:r>
        <w:rPr>
          <w:rFonts w:hint="eastAsia" w:ascii="宋体" w:hAnsi="宋体" w:eastAsia="宋体" w:cs="Arial"/>
          <w:b/>
          <w:kern w:val="0"/>
          <w:sz w:val="22"/>
          <w:u w:val="single"/>
        </w:rPr>
        <w:t>（或出现重大偏差）</w:t>
      </w:r>
      <w:r>
        <w:rPr>
          <w:rFonts w:ascii="宋体" w:hAnsi="宋体" w:eastAsia="宋体" w:cs="Arial"/>
          <w:b/>
          <w:kern w:val="0"/>
          <w:sz w:val="22"/>
          <w:u w:val="single"/>
        </w:rPr>
        <w:t>。</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Times New Roman"/>
          <w:b/>
          <w:kern w:val="0"/>
          <w:sz w:val="22"/>
        </w:rPr>
        <w:t>2.4</w:t>
      </w:r>
      <w:r>
        <w:rPr>
          <w:rFonts w:hint="eastAsia" w:ascii="宋体" w:hAnsi="宋体" w:eastAsia="宋体" w:cs="Times New Roman"/>
          <w:b/>
          <w:kern w:val="0"/>
          <w:sz w:val="22"/>
          <w:u w:val="single"/>
        </w:rPr>
        <w:t>▲</w:t>
      </w:r>
      <w:r>
        <w:rPr>
          <w:rFonts w:hint="eastAsia" w:ascii="宋体" w:hAnsi="宋体" w:eastAsia="宋体" w:cs="Arial"/>
          <w:b/>
          <w:kern w:val="0"/>
          <w:sz w:val="22"/>
          <w:u w:val="single"/>
        </w:rPr>
        <w:t>评标委员会发现投标文件有下列情形之一的属于重大偏差(评标委员会按少数服从多数原则认定),按照无效投标处理：</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Arial"/>
          <w:b/>
          <w:kern w:val="0"/>
          <w:sz w:val="22"/>
          <w:u w:val="single"/>
        </w:rPr>
        <w:t>1）未按招标文件要求编制或字迹模糊、辨认不清的投标文件；</w:t>
      </w:r>
    </w:p>
    <w:p>
      <w:pPr>
        <w:adjustRightInd w:val="0"/>
        <w:snapToGrid w:val="0"/>
        <w:spacing w:line="340" w:lineRule="exact"/>
        <w:ind w:firstLine="435" w:firstLineChars="197"/>
        <w:rPr>
          <w:rFonts w:ascii="宋体" w:hAnsi="宋体" w:eastAsia="宋体" w:cs="Arial"/>
          <w:b/>
          <w:kern w:val="0"/>
          <w:sz w:val="22"/>
          <w:u w:val="single"/>
        </w:rPr>
      </w:pPr>
      <w:r>
        <w:rPr>
          <w:rFonts w:hint="eastAsia" w:ascii="宋体" w:hAnsi="宋体" w:eastAsia="宋体" w:cs="Arial"/>
          <w:b/>
          <w:kern w:val="0"/>
          <w:sz w:val="22"/>
          <w:u w:val="single"/>
        </w:rPr>
        <w:t>2）供应商技术资信投标文件中出现投标报价；</w:t>
      </w:r>
    </w:p>
    <w:p>
      <w:pPr>
        <w:adjustRightInd w:val="0"/>
        <w:snapToGrid w:val="0"/>
        <w:spacing w:line="340" w:lineRule="exact"/>
        <w:ind w:firstLine="435" w:firstLineChars="197"/>
        <w:rPr>
          <w:rFonts w:ascii="宋体" w:hAnsi="宋体" w:eastAsia="宋体" w:cs="Arial"/>
          <w:b/>
          <w:kern w:val="0"/>
          <w:sz w:val="22"/>
          <w:u w:val="single"/>
        </w:rPr>
      </w:pPr>
      <w:r>
        <w:rPr>
          <w:rFonts w:ascii="宋体" w:hAnsi="宋体" w:eastAsia="宋体" w:cs="Arial"/>
          <w:b/>
          <w:kern w:val="0"/>
          <w:sz w:val="22"/>
          <w:u w:val="single"/>
        </w:rPr>
        <w:t>3</w:t>
      </w:r>
      <w:r>
        <w:rPr>
          <w:rFonts w:hint="eastAsia" w:ascii="宋体" w:hAnsi="宋体" w:eastAsia="宋体" w:cs="Arial"/>
          <w:b/>
          <w:kern w:val="0"/>
          <w:sz w:val="22"/>
          <w:u w:val="single"/>
        </w:rPr>
        <w:t>）除2.3条款以外，出现其它明显不符合技术规格、技术标准的要求或不满足招标文件技术规格书中的主要参数的投标文件；</w:t>
      </w:r>
    </w:p>
    <w:p>
      <w:pPr>
        <w:adjustRightInd w:val="0"/>
        <w:snapToGrid w:val="0"/>
        <w:spacing w:line="340" w:lineRule="exact"/>
        <w:ind w:firstLine="435" w:firstLineChars="197"/>
        <w:rPr>
          <w:rFonts w:ascii="宋体" w:hAnsi="宋体" w:eastAsia="宋体" w:cs="Arial"/>
          <w:b/>
          <w:kern w:val="0"/>
          <w:sz w:val="22"/>
          <w:u w:val="single"/>
        </w:rPr>
      </w:pPr>
      <w:r>
        <w:rPr>
          <w:rFonts w:ascii="宋体" w:hAnsi="宋体" w:eastAsia="宋体" w:cs="Arial"/>
          <w:b/>
          <w:kern w:val="0"/>
          <w:sz w:val="22"/>
          <w:u w:val="single"/>
        </w:rPr>
        <w:t>4</w:t>
      </w:r>
      <w:r>
        <w:rPr>
          <w:rFonts w:hint="eastAsia" w:ascii="宋体" w:hAnsi="宋体" w:eastAsia="宋体" w:cs="Arial"/>
          <w:b/>
          <w:kern w:val="0"/>
          <w:sz w:val="22"/>
          <w:u w:val="single"/>
        </w:rPr>
        <w:t>）除2.3条款以外，出现投标货物数量与招标文件对比出现较大偏差；商务报价明细表计算错误，出现较大差错；</w:t>
      </w:r>
    </w:p>
    <w:p>
      <w:pPr>
        <w:adjustRightInd w:val="0"/>
        <w:snapToGrid w:val="0"/>
        <w:spacing w:line="340" w:lineRule="exact"/>
        <w:ind w:firstLine="435" w:firstLineChars="197"/>
        <w:rPr>
          <w:rFonts w:ascii="宋体" w:hAnsi="宋体" w:eastAsia="宋体" w:cs="Arial"/>
          <w:b/>
          <w:kern w:val="0"/>
          <w:sz w:val="22"/>
          <w:u w:val="single"/>
        </w:rPr>
      </w:pPr>
      <w:r>
        <w:rPr>
          <w:rFonts w:ascii="宋体" w:hAnsi="宋体" w:eastAsia="宋体" w:cs="Arial"/>
          <w:b/>
          <w:kern w:val="0"/>
          <w:sz w:val="22"/>
          <w:u w:val="single"/>
        </w:rPr>
        <w:t>5</w:t>
      </w:r>
      <w:r>
        <w:rPr>
          <w:rFonts w:hint="eastAsia" w:ascii="宋体" w:hAnsi="宋体" w:eastAsia="宋体" w:cs="Arial"/>
          <w:b/>
          <w:kern w:val="0"/>
          <w:sz w:val="22"/>
          <w:u w:val="single"/>
        </w:rPr>
        <w:t>）除2.3条款以外，出现其它不符合招标文件中规定的实质性要求的投标文件，是否为偏离实质性要求由评标委员会认定。</w:t>
      </w:r>
    </w:p>
    <w:p>
      <w:pPr>
        <w:adjustRightInd w:val="0"/>
        <w:snapToGrid w:val="0"/>
        <w:spacing w:line="340" w:lineRule="exact"/>
        <w:ind w:firstLine="435" w:firstLineChars="197"/>
        <w:rPr>
          <w:rFonts w:ascii="宋体" w:hAnsi="宋体" w:eastAsia="宋体" w:cs="Arial"/>
          <w:b/>
          <w:kern w:val="0"/>
          <w:sz w:val="22"/>
        </w:rPr>
      </w:pPr>
      <w:r>
        <w:rPr>
          <w:rFonts w:ascii="宋体" w:hAnsi="宋体" w:eastAsia="宋体" w:cs="Arial"/>
          <w:b/>
          <w:kern w:val="0"/>
          <w:sz w:val="22"/>
        </w:rPr>
        <w:t xml:space="preserve">2.5 </w:t>
      </w:r>
      <w:r>
        <w:rPr>
          <w:rFonts w:hint="eastAsia" w:ascii="宋体" w:hAnsi="宋体" w:eastAsia="宋体" w:cs="Arial"/>
          <w:b/>
          <w:kern w:val="0"/>
          <w:sz w:val="22"/>
        </w:rPr>
        <w:t>开启供应商商务报价文件后发现价格、数量有误，其投标价将按下述原则处理：</w:t>
      </w:r>
    </w:p>
    <w:p>
      <w:pPr>
        <w:adjustRightInd w:val="0"/>
        <w:snapToGrid w:val="0"/>
        <w:spacing w:line="340" w:lineRule="exact"/>
        <w:ind w:firstLine="433" w:firstLineChars="197"/>
        <w:rPr>
          <w:rFonts w:ascii="宋体" w:hAnsi="宋体" w:eastAsia="宋体" w:cs="Times New Roman"/>
          <w:kern w:val="0"/>
          <w:sz w:val="22"/>
          <w:szCs w:val="20"/>
        </w:rPr>
      </w:pPr>
      <w:r>
        <w:rPr>
          <w:rFonts w:ascii="宋体" w:hAnsi="宋体" w:eastAsia="宋体" w:cs="Times New Roman"/>
          <w:kern w:val="0"/>
          <w:sz w:val="22"/>
          <w:szCs w:val="20"/>
        </w:rPr>
        <w:t>1) 任何有漏去一些小项货物或服务的投标将被视为其费用已包含在投标总价中，投标价格不予调整。如果供应商不接受上述处理方式，将</w:t>
      </w:r>
      <w:r>
        <w:rPr>
          <w:rFonts w:hint="eastAsia" w:ascii="宋体" w:hAnsi="宋体" w:eastAsia="宋体" w:cs="Times New Roman"/>
          <w:kern w:val="0"/>
          <w:sz w:val="22"/>
          <w:szCs w:val="20"/>
        </w:rPr>
        <w:t>作为</w:t>
      </w:r>
      <w:r>
        <w:rPr>
          <w:rFonts w:ascii="宋体" w:hAnsi="宋体" w:eastAsia="宋体" w:cs="Times New Roman"/>
          <w:kern w:val="0"/>
          <w:sz w:val="22"/>
          <w:szCs w:val="20"/>
        </w:rPr>
        <w:t>无效投标。</w:t>
      </w:r>
    </w:p>
    <w:p>
      <w:pPr>
        <w:adjustRightInd w:val="0"/>
        <w:snapToGrid w:val="0"/>
        <w:spacing w:line="340" w:lineRule="exact"/>
        <w:ind w:firstLine="433" w:firstLineChars="197"/>
        <w:rPr>
          <w:rFonts w:ascii="宋体" w:hAnsi="宋体" w:eastAsia="宋体" w:cs="Times New Roman"/>
          <w:kern w:val="0"/>
          <w:sz w:val="22"/>
          <w:szCs w:val="20"/>
        </w:rPr>
      </w:pPr>
      <w:r>
        <w:rPr>
          <w:rFonts w:ascii="宋体" w:hAnsi="宋体" w:eastAsia="宋体" w:cs="Times New Roman"/>
          <w:kern w:val="0"/>
          <w:sz w:val="22"/>
          <w:szCs w:val="20"/>
        </w:rPr>
        <w:t>2) 任何有多报一些小项工程或货物的投标其投标价不予调整，如果该供应商中标，则合同价格必须为核减掉多报的一些小项工程或货物后的价格。如果供应商不接受上述处理方式，将</w:t>
      </w:r>
      <w:r>
        <w:rPr>
          <w:rFonts w:hint="eastAsia" w:ascii="宋体" w:hAnsi="宋体" w:eastAsia="宋体" w:cs="Times New Roman"/>
          <w:kern w:val="0"/>
          <w:sz w:val="22"/>
          <w:szCs w:val="20"/>
        </w:rPr>
        <w:t>作为</w:t>
      </w:r>
      <w:r>
        <w:rPr>
          <w:rFonts w:ascii="宋体" w:hAnsi="宋体" w:eastAsia="宋体" w:cs="Times New Roman"/>
          <w:kern w:val="0"/>
          <w:sz w:val="22"/>
          <w:szCs w:val="20"/>
        </w:rPr>
        <w:t>无效投标。</w:t>
      </w:r>
    </w:p>
    <w:p>
      <w:pPr>
        <w:adjustRightInd w:val="0"/>
        <w:snapToGrid w:val="0"/>
        <w:spacing w:line="340" w:lineRule="exact"/>
        <w:ind w:firstLine="433" w:firstLineChars="197"/>
        <w:rPr>
          <w:rFonts w:ascii="宋体" w:hAnsi="宋体" w:eastAsia="宋体" w:cs="Times New Roman"/>
          <w:kern w:val="0"/>
          <w:sz w:val="22"/>
          <w:szCs w:val="20"/>
        </w:rPr>
      </w:pPr>
      <w:r>
        <w:rPr>
          <w:rFonts w:ascii="宋体" w:hAnsi="宋体" w:eastAsia="宋体" w:cs="Times New Roman"/>
          <w:kern w:val="0"/>
          <w:sz w:val="22"/>
          <w:szCs w:val="20"/>
        </w:rPr>
        <w:t>3）</w:t>
      </w:r>
      <w:r>
        <w:rPr>
          <w:rFonts w:hint="eastAsia" w:ascii="宋体" w:hAnsi="宋体" w:eastAsia="宋体" w:cs="Times New Roman"/>
          <w:kern w:val="0"/>
          <w:sz w:val="22"/>
          <w:szCs w:val="20"/>
        </w:rPr>
        <w:t>对于计算错误的其投标价不予调整，如果该供应商中标，如其投标价格计算错误导致多报者合同价格予以据实核减，少报者合同价格不予调整。如果供应商不接受上述处理方式，将作为无效投标</w:t>
      </w:r>
      <w:r>
        <w:rPr>
          <w:rFonts w:ascii="宋体" w:hAnsi="宋体" w:eastAsia="宋体" w:cs="Times New Roman"/>
          <w:kern w:val="0"/>
          <w:sz w:val="22"/>
          <w:szCs w:val="20"/>
        </w:rPr>
        <w:t>。</w:t>
      </w:r>
    </w:p>
    <w:p>
      <w:pPr>
        <w:adjustRightInd w:val="0"/>
        <w:snapToGrid w:val="0"/>
        <w:spacing w:line="340" w:lineRule="exact"/>
        <w:ind w:firstLine="433" w:firstLineChars="197"/>
        <w:rPr>
          <w:rFonts w:ascii="宋体" w:hAnsi="宋体" w:eastAsia="宋体" w:cs="Times New Roman"/>
          <w:b/>
          <w:kern w:val="0"/>
          <w:sz w:val="22"/>
          <w:szCs w:val="20"/>
          <w:u w:val="single"/>
        </w:rPr>
      </w:pPr>
      <w:r>
        <w:rPr>
          <w:rFonts w:ascii="宋体" w:hAnsi="宋体" w:eastAsia="宋体" w:cs="Times New Roman"/>
          <w:kern w:val="0"/>
          <w:sz w:val="22"/>
          <w:szCs w:val="20"/>
          <w:u w:val="single"/>
        </w:rPr>
        <w:t>4）对于计算错误，多报或漏报的一些小项工程或货物、服务的仅仅为非实质性重大偏差范围内的偏离，并经过评标委员会按少数服从多数原则认定为细微偏差，评审时其投标价不予调整。</w:t>
      </w:r>
      <w:r>
        <w:rPr>
          <w:rFonts w:hint="eastAsia" w:ascii="宋体" w:hAnsi="宋体" w:eastAsia="宋体" w:cs="Times New Roman"/>
          <w:b/>
          <w:kern w:val="0"/>
          <w:sz w:val="22"/>
          <w:szCs w:val="20"/>
          <w:u w:val="single"/>
        </w:rPr>
        <w:t>如认定为重大偏差的，做无效投标处理。</w:t>
      </w:r>
    </w:p>
    <w:p>
      <w:pPr>
        <w:adjustRightInd w:val="0"/>
        <w:snapToGrid w:val="0"/>
        <w:spacing w:line="340" w:lineRule="exact"/>
        <w:ind w:firstLine="435" w:firstLineChars="197"/>
        <w:rPr>
          <w:rFonts w:ascii="宋体" w:hAnsi="宋体" w:eastAsia="宋体" w:cs="Arial"/>
          <w:kern w:val="0"/>
          <w:sz w:val="22"/>
        </w:rPr>
      </w:pPr>
      <w:r>
        <w:rPr>
          <w:rFonts w:ascii="宋体" w:hAnsi="宋体" w:eastAsia="宋体" w:cs="Times New Roman"/>
          <w:b/>
          <w:kern w:val="0"/>
          <w:sz w:val="22"/>
          <w:szCs w:val="20"/>
          <w:u w:val="single"/>
        </w:rPr>
        <w:t xml:space="preserve">2.6 </w:t>
      </w:r>
      <w:r>
        <w:rPr>
          <w:rFonts w:hint="eastAsia" w:ascii="宋体" w:hAnsi="宋体" w:eastAsia="宋体" w:cs="Times New Roman"/>
          <w:b/>
          <w:kern w:val="0"/>
          <w:sz w:val="22"/>
          <w:szCs w:val="20"/>
          <w:u w:val="single"/>
        </w:rPr>
        <w:t>▲</w:t>
      </w:r>
      <w:r>
        <w:rPr>
          <w:rFonts w:ascii="宋体" w:hAnsi="宋体" w:eastAsia="宋体" w:cs="Times New Roman"/>
          <w:b/>
          <w:kern w:val="0"/>
          <w:sz w:val="22"/>
          <w:szCs w:val="20"/>
          <w:u w:val="singl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Arial"/>
          <w:kern w:val="0"/>
          <w:sz w:val="22"/>
        </w:rPr>
        <w:t>2.7 评标委员会</w:t>
      </w:r>
      <w:r>
        <w:rPr>
          <w:rFonts w:hint="eastAsia" w:ascii="宋体" w:hAnsi="宋体" w:eastAsia="宋体" w:cs="Times New Roman"/>
          <w:kern w:val="0"/>
          <w:sz w:val="22"/>
        </w:rPr>
        <w:t>在评标中，不得改变招标文件中规定的评标标准、方法和中标条件。</w:t>
      </w:r>
    </w:p>
    <w:p>
      <w:pPr>
        <w:adjustRightInd w:val="0"/>
        <w:snapToGrid w:val="0"/>
        <w:spacing w:line="340" w:lineRule="exact"/>
        <w:ind w:firstLine="435" w:firstLineChars="197"/>
        <w:rPr>
          <w:rFonts w:ascii="宋体" w:hAnsi="宋体" w:eastAsia="宋体" w:cs="Times New Roman"/>
          <w:b/>
          <w:kern w:val="0"/>
          <w:sz w:val="22"/>
          <w:u w:val="single"/>
        </w:rPr>
      </w:pPr>
      <w:r>
        <w:rPr>
          <w:rFonts w:hint="eastAsia" w:ascii="宋体" w:hAnsi="宋体" w:eastAsia="宋体" w:cs="Times New Roman"/>
          <w:b/>
          <w:kern w:val="0"/>
          <w:sz w:val="22"/>
          <w:u w:val="single"/>
        </w:rPr>
        <w:t>2.8 评标时如遇到招标文件未规定的特殊情况，由评标委员会按少数服从多数原则集体决定处理。</w:t>
      </w:r>
    </w:p>
    <w:p>
      <w:pPr>
        <w:adjustRightInd w:val="0"/>
        <w:snapToGrid w:val="0"/>
        <w:spacing w:line="340" w:lineRule="exact"/>
        <w:ind w:firstLine="435" w:firstLineChars="197"/>
        <w:rPr>
          <w:rFonts w:ascii="宋体" w:hAnsi="宋体" w:eastAsia="宋体" w:cs="Times New Roman"/>
          <w:b/>
          <w:kern w:val="0"/>
          <w:sz w:val="22"/>
          <w:u w:val="single"/>
        </w:rPr>
      </w:pPr>
      <w:r>
        <w:rPr>
          <w:rFonts w:hint="eastAsia" w:ascii="宋体" w:hAnsi="宋体" w:eastAsia="宋体" w:cs="Times New Roman"/>
          <w:b/>
          <w:kern w:val="0"/>
          <w:sz w:val="22"/>
          <w:u w:val="single"/>
        </w:rPr>
        <w:t>2.9评标委员会对未中标的供应商不作解释。同时根据政府采购法实施条例第四十条规定，本项目不对供应商公布详细的评审情况，不公布具体评标细则中小项得分。</w:t>
      </w:r>
    </w:p>
    <w:p>
      <w:pPr>
        <w:adjustRightInd w:val="0"/>
        <w:snapToGrid w:val="0"/>
        <w:spacing w:line="340" w:lineRule="exact"/>
        <w:ind w:firstLine="433" w:firstLineChars="197"/>
        <w:rPr>
          <w:rFonts w:ascii="宋体" w:hAnsi="宋体" w:eastAsia="宋体" w:cs="Arial"/>
          <w:kern w:val="0"/>
          <w:sz w:val="22"/>
        </w:rPr>
      </w:pPr>
      <w:r>
        <w:rPr>
          <w:rFonts w:hint="eastAsia" w:ascii="宋体" w:hAnsi="宋体" w:eastAsia="宋体" w:cs="Arial"/>
          <w:kern w:val="0"/>
          <w:sz w:val="22"/>
        </w:rPr>
        <w:t>3、投标文件的澄清</w:t>
      </w:r>
    </w:p>
    <w:p>
      <w:pPr>
        <w:adjustRightInd w:val="0"/>
        <w:snapToGrid w:val="0"/>
        <w:spacing w:line="340" w:lineRule="exact"/>
        <w:ind w:firstLine="433" w:firstLineChars="197"/>
        <w:rPr>
          <w:rFonts w:ascii="宋体" w:hAnsi="宋体" w:eastAsia="宋体" w:cs="Arial"/>
          <w:kern w:val="0"/>
          <w:sz w:val="22"/>
        </w:rPr>
      </w:pPr>
      <w:r>
        <w:rPr>
          <w:rFonts w:hint="eastAsia" w:ascii="宋体" w:hAnsi="宋体" w:eastAsia="宋体" w:cs="Arial"/>
          <w:kern w:val="0"/>
          <w:sz w:val="22"/>
        </w:rPr>
        <w:t>3.1 为有利于对投标文件的比较和评议，必要时采购人及评标委员会可要求供应商对投标文件及合同条款进行澄清，并做出书面答复。书面答复须有投标授权代表签字并作为投标内容的一部分。</w:t>
      </w:r>
    </w:p>
    <w:p>
      <w:pPr>
        <w:adjustRightInd w:val="0"/>
        <w:snapToGrid w:val="0"/>
        <w:spacing w:line="340" w:lineRule="exact"/>
        <w:ind w:firstLine="433" w:firstLineChars="197"/>
        <w:rPr>
          <w:rFonts w:ascii="宋体" w:hAnsi="宋体" w:eastAsia="宋体" w:cs="Arial"/>
          <w:kern w:val="0"/>
          <w:sz w:val="22"/>
        </w:rPr>
      </w:pPr>
      <w:r>
        <w:rPr>
          <w:rFonts w:hint="eastAsia" w:ascii="宋体" w:hAnsi="宋体" w:eastAsia="宋体" w:cs="Arial"/>
          <w:kern w:val="0"/>
          <w:sz w:val="22"/>
        </w:rPr>
        <w:t xml:space="preserve">3.2 供应商对投标文件的澄清不得寻求、提供或允许改变投标价格等实质性内容。 </w:t>
      </w:r>
    </w:p>
    <w:p>
      <w:pPr>
        <w:adjustRightInd w:val="0"/>
        <w:snapToGrid w:val="0"/>
        <w:spacing w:line="340" w:lineRule="exact"/>
        <w:ind w:left="414" w:leftChars="197"/>
        <w:rPr>
          <w:rFonts w:ascii="宋体" w:hAnsi="宋体" w:eastAsia="宋体" w:cs="Times New Roman"/>
          <w:kern w:val="0"/>
          <w:sz w:val="22"/>
        </w:rPr>
      </w:pPr>
      <w:r>
        <w:rPr>
          <w:rFonts w:hint="eastAsia" w:ascii="宋体" w:hAnsi="宋体" w:eastAsia="宋体" w:cs="Arial"/>
          <w:kern w:val="0"/>
          <w:sz w:val="22"/>
        </w:rPr>
        <w:t>4、禁止供应商相互串通投标。</w:t>
      </w:r>
      <w:r>
        <w:rPr>
          <w:rFonts w:hint="eastAsia" w:ascii="宋体" w:hAnsi="宋体" w:eastAsia="宋体" w:cs="Arial"/>
          <w:kern w:val="0"/>
          <w:sz w:val="22"/>
        </w:rPr>
        <w:br w:type="textWrapping"/>
      </w:r>
      <w:r>
        <w:rPr>
          <w:rFonts w:hint="eastAsia" w:ascii="宋体" w:hAnsi="宋体" w:eastAsia="宋体" w:cs="Arial"/>
          <w:kern w:val="0"/>
          <w:sz w:val="22"/>
        </w:rPr>
        <w:t>4</w:t>
      </w:r>
      <w:r>
        <w:rPr>
          <w:rFonts w:ascii="宋体" w:hAnsi="宋体" w:eastAsia="宋体" w:cs="Arial"/>
          <w:kern w:val="0"/>
          <w:sz w:val="22"/>
        </w:rPr>
        <w:t>.1、</w:t>
      </w:r>
      <w:r>
        <w:rPr>
          <w:rFonts w:hint="eastAsia" w:ascii="宋体" w:hAnsi="宋体" w:eastAsia="宋体" w:cs="Arial"/>
          <w:kern w:val="0"/>
          <w:sz w:val="22"/>
        </w:rPr>
        <w:t>有下列情形之一的，视为供应商相互串通投标：</w:t>
      </w:r>
      <w:r>
        <w:rPr>
          <w:rFonts w:hint="eastAsia" w:ascii="宋体" w:hAnsi="宋体" w:eastAsia="宋体" w:cs="Arial"/>
          <w:kern w:val="0"/>
          <w:sz w:val="22"/>
        </w:rPr>
        <w:br w:type="textWrapping"/>
      </w:r>
      <w:r>
        <w:rPr>
          <w:rFonts w:hint="eastAsia" w:ascii="宋体" w:hAnsi="宋体" w:eastAsia="宋体" w:cs="Arial"/>
          <w:kern w:val="0"/>
          <w:sz w:val="22"/>
        </w:rPr>
        <w:t>（一）不同供应商的投标文件由同一单位或者个人编制；</w:t>
      </w:r>
      <w:r>
        <w:rPr>
          <w:rFonts w:hint="eastAsia" w:ascii="宋体" w:hAnsi="宋体" w:eastAsia="宋体" w:cs="Arial"/>
          <w:kern w:val="0"/>
          <w:sz w:val="22"/>
        </w:rPr>
        <w:br w:type="textWrapping"/>
      </w:r>
      <w:r>
        <w:rPr>
          <w:rFonts w:hint="eastAsia" w:ascii="宋体" w:hAnsi="宋体" w:eastAsia="宋体" w:cs="Arial"/>
          <w:kern w:val="0"/>
          <w:sz w:val="22"/>
        </w:rPr>
        <w:t>（二）不同供应商委托同一单位或者个人办理投标事宜；</w:t>
      </w:r>
      <w:r>
        <w:rPr>
          <w:rFonts w:hint="eastAsia" w:ascii="宋体" w:hAnsi="宋体" w:eastAsia="宋体" w:cs="Arial"/>
          <w:kern w:val="0"/>
          <w:sz w:val="22"/>
        </w:rPr>
        <w:br w:type="textWrapping"/>
      </w:r>
      <w:r>
        <w:rPr>
          <w:rFonts w:hint="eastAsia" w:ascii="宋体" w:hAnsi="宋体" w:eastAsia="宋体" w:cs="Arial"/>
          <w:kern w:val="0"/>
          <w:sz w:val="22"/>
        </w:rPr>
        <w:t>（三）不同供应商的投标文件载明的项目管理成员为同一人；</w:t>
      </w:r>
      <w:r>
        <w:rPr>
          <w:rFonts w:hint="eastAsia" w:ascii="宋体" w:hAnsi="宋体" w:eastAsia="宋体" w:cs="Arial"/>
          <w:kern w:val="0"/>
          <w:sz w:val="22"/>
        </w:rPr>
        <w:br w:type="textWrapping"/>
      </w:r>
      <w:r>
        <w:rPr>
          <w:rFonts w:hint="eastAsia" w:ascii="宋体" w:hAnsi="宋体" w:eastAsia="宋体" w:cs="Arial"/>
          <w:kern w:val="0"/>
          <w:sz w:val="22"/>
        </w:rPr>
        <w:t>（四）不同供应商的投标文件异常一致或者投标报价呈规律性差异；</w:t>
      </w:r>
      <w:r>
        <w:rPr>
          <w:rFonts w:hint="eastAsia" w:ascii="宋体" w:hAnsi="宋体" w:eastAsia="宋体" w:cs="Arial"/>
          <w:kern w:val="0"/>
          <w:sz w:val="22"/>
        </w:rPr>
        <w:br w:type="textWrapping"/>
      </w:r>
      <w:r>
        <w:rPr>
          <w:rFonts w:hint="eastAsia" w:ascii="宋体" w:hAnsi="宋体" w:eastAsia="宋体" w:cs="Arial"/>
          <w:kern w:val="0"/>
          <w:sz w:val="22"/>
        </w:rPr>
        <w:t>（五）不同供应商的投标文件相互混装；</w:t>
      </w:r>
      <w:r>
        <w:rPr>
          <w:rFonts w:hint="eastAsia" w:ascii="宋体" w:hAnsi="宋体" w:eastAsia="宋体" w:cs="Arial"/>
          <w:kern w:val="0"/>
          <w:sz w:val="22"/>
        </w:rPr>
        <w:br w:type="textWrapping"/>
      </w:r>
      <w:r>
        <w:rPr>
          <w:rFonts w:hint="eastAsia" w:ascii="宋体" w:hAnsi="宋体" w:eastAsia="宋体" w:cs="Arial"/>
          <w:kern w:val="0"/>
          <w:sz w:val="22"/>
        </w:rPr>
        <w:t>4.2、经评标委员会认定供应商进行串通投标的，评标委员会可以对相关供应商做出无效投标处理，并上报政府采购管理部门进行进一步处理。</w:t>
      </w:r>
    </w:p>
    <w:p>
      <w:pPr>
        <w:adjustRightInd w:val="0"/>
        <w:snapToGrid w:val="0"/>
        <w:spacing w:line="340" w:lineRule="exact"/>
        <w:ind w:firstLine="433" w:firstLineChars="197"/>
        <w:rPr>
          <w:rFonts w:ascii="宋体" w:hAnsi="宋体" w:eastAsia="宋体" w:cs="Arial"/>
          <w:kern w:val="0"/>
          <w:sz w:val="22"/>
        </w:rPr>
      </w:pPr>
      <w:r>
        <w:rPr>
          <w:rFonts w:hint="eastAsia" w:ascii="宋体" w:hAnsi="宋体" w:eastAsia="宋体" w:cs="Arial"/>
          <w:kern w:val="0"/>
          <w:sz w:val="22"/>
        </w:rPr>
        <w:t>5、评标原则</w:t>
      </w:r>
    </w:p>
    <w:p>
      <w:pPr>
        <w:adjustRightInd w:val="0"/>
        <w:snapToGrid w:val="0"/>
        <w:spacing w:line="340" w:lineRule="exact"/>
        <w:ind w:firstLine="435" w:firstLineChars="197"/>
        <w:rPr>
          <w:rFonts w:ascii="宋体" w:hAnsi="宋体" w:eastAsia="宋体" w:cs="Arial"/>
          <w:b/>
          <w:kern w:val="0"/>
          <w:sz w:val="22"/>
        </w:rPr>
      </w:pPr>
      <w:r>
        <w:rPr>
          <w:rFonts w:hint="eastAsia" w:ascii="宋体" w:hAnsi="宋体" w:eastAsia="宋体" w:cs="Arial"/>
          <w:b/>
          <w:kern w:val="0"/>
          <w:sz w:val="22"/>
        </w:rPr>
        <w:t>▲投标截止时或评审过程中有效投标供应商不足三家的，不予开标或评标。</w:t>
      </w:r>
    </w:p>
    <w:p>
      <w:pPr>
        <w:adjustRightInd w:val="0"/>
        <w:snapToGrid w:val="0"/>
        <w:spacing w:line="340" w:lineRule="exact"/>
        <w:ind w:firstLine="433" w:firstLineChars="197"/>
        <w:rPr>
          <w:rFonts w:ascii="宋体" w:hAnsi="宋体" w:eastAsia="宋体" w:cs="Arial"/>
          <w:kern w:val="0"/>
          <w:sz w:val="22"/>
        </w:rPr>
      </w:pPr>
      <w:r>
        <w:rPr>
          <w:rFonts w:hint="eastAsia" w:ascii="宋体" w:hAnsi="宋体" w:eastAsia="宋体" w:cs="Arial"/>
          <w:kern w:val="0"/>
          <w:sz w:val="22"/>
        </w:rPr>
        <w:t>评标委员会按照招标文件的要求和条件对投标文件进行商务和技术评估，综合比较与评价。</w:t>
      </w:r>
    </w:p>
    <w:p>
      <w:pPr>
        <w:adjustRightInd w:val="0"/>
        <w:snapToGrid w:val="0"/>
        <w:spacing w:line="340" w:lineRule="exact"/>
        <w:ind w:firstLine="433" w:firstLineChars="197"/>
        <w:rPr>
          <w:rFonts w:ascii="宋体" w:hAnsi="宋体" w:eastAsia="宋体" w:cs="Arial"/>
          <w:b/>
          <w:kern w:val="0"/>
          <w:sz w:val="22"/>
        </w:rPr>
      </w:pPr>
      <w:r>
        <w:rPr>
          <w:rFonts w:hint="eastAsia" w:ascii="宋体" w:hAnsi="宋体" w:eastAsia="宋体" w:cs="Arial"/>
          <w:kern w:val="0"/>
          <w:sz w:val="22"/>
        </w:rPr>
        <w:t>评标办法具体见本招标文件第七部分。</w:t>
      </w:r>
    </w:p>
    <w:p>
      <w:pPr>
        <w:adjustRightInd w:val="0"/>
        <w:snapToGrid w:val="0"/>
        <w:spacing w:line="340" w:lineRule="exact"/>
        <w:ind w:firstLine="435" w:firstLineChars="197"/>
        <w:outlineLvl w:val="0"/>
        <w:rPr>
          <w:rFonts w:ascii="宋体" w:hAnsi="宋体" w:eastAsia="宋体" w:cs="Times New Roman"/>
          <w:b/>
          <w:kern w:val="0"/>
          <w:sz w:val="22"/>
        </w:rPr>
      </w:pPr>
      <w:bookmarkStart w:id="42" w:name="_Toc494407537"/>
      <w:r>
        <w:rPr>
          <w:rFonts w:hint="eastAsia" w:ascii="宋体" w:hAnsi="宋体" w:eastAsia="宋体" w:cs="Times New Roman"/>
          <w:b/>
          <w:kern w:val="0"/>
          <w:sz w:val="22"/>
        </w:rPr>
        <w:t>六、授予合同</w:t>
      </w:r>
      <w:bookmarkEnd w:id="42"/>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1、决标</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评标结束后，评标委员会按照招标文件确定的评标办法推荐中标供应商。</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2、中标通知书</w:t>
      </w:r>
    </w:p>
    <w:p>
      <w:pPr>
        <w:spacing w:line="340" w:lineRule="exact"/>
        <w:ind w:firstLine="435" w:firstLineChars="197"/>
        <w:rPr>
          <w:rFonts w:ascii="宋体" w:hAnsi="宋体" w:eastAsia="宋体" w:cs="Times New Roman"/>
          <w:b/>
          <w:kern w:val="0"/>
          <w:sz w:val="22"/>
        </w:rPr>
      </w:pPr>
      <w:r>
        <w:rPr>
          <w:rFonts w:hint="eastAsia" w:ascii="宋体" w:hAnsi="宋体" w:eastAsia="宋体" w:cs="Times New Roman"/>
          <w:b/>
          <w:kern w:val="0"/>
          <w:sz w:val="22"/>
        </w:rPr>
        <w:t>2.1、采购人依法确认中标供应商后，代理机构在浙江省政府采购网上公告中标结果，公告期限为1个工作日。同时向中标供应商发出中标通知书。</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2.2、中标通知书对采购人和中标人具有法律约束力。中标通知书发出后，采购人改变中标结果或者中标人放弃中标的，应当承担法律责任。</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2.3、中标无效</w:t>
      </w:r>
    </w:p>
    <w:p>
      <w:pPr>
        <w:adjustRightInd w:val="0"/>
        <w:snapToGrid w:val="0"/>
        <w:spacing w:line="340" w:lineRule="exact"/>
        <w:ind w:firstLine="433" w:firstLineChars="197"/>
        <w:rPr>
          <w:rFonts w:ascii="宋体" w:hAnsi="宋体" w:eastAsia="宋体" w:cs="Times New Roman"/>
          <w:kern w:val="0"/>
          <w:sz w:val="22"/>
        </w:rPr>
      </w:pPr>
      <w:r>
        <w:rPr>
          <w:rFonts w:ascii="宋体" w:hAnsi="宋体" w:eastAsia="宋体" w:cs="Times New Roman"/>
          <w:kern w:val="0"/>
          <w:sz w:val="22"/>
        </w:rPr>
        <w:t>1）发现中标供应商资格无效或中标供应商放弃中标或拒绝与采购人签订合同的,采购人可以按照评审报告推荐的中标候选人名单排序，确定下一候选人为中标供应商，也可以重新开展政府采购活动。</w:t>
      </w:r>
      <w:r>
        <w:rPr>
          <w:rFonts w:ascii="宋体" w:hAnsi="宋体" w:eastAsia="宋体" w:cs="Times New Roman"/>
          <w:kern w:val="0"/>
          <w:sz w:val="22"/>
        </w:rPr>
        <w:br w:type="textWrapping"/>
      </w:r>
      <w:r>
        <w:rPr>
          <w:rFonts w:ascii="宋体" w:hAnsi="宋体" w:eastAsia="宋体" w:cs="Times New Roman"/>
          <w:kern w:val="0"/>
          <w:sz w:val="22"/>
        </w:rPr>
        <w:t xml:space="preserve">    2）有《中华人民共和国政府采购法实施条例》第七十一条、第七十二条、第七十三条、第七十四条规定的违法行为之一，由政府采购监管部门依法处理。</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4、签订合同</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 xml:space="preserve">4.1 </w:t>
      </w:r>
      <w:r>
        <w:rPr>
          <w:rFonts w:ascii="宋体" w:hAnsi="宋体" w:eastAsia="宋体" w:cs="Times New Roman"/>
          <w:kern w:val="0"/>
          <w:sz w:val="22"/>
        </w:rPr>
        <w:t>中标供应商须主动联系采购人或采购机构领取中标通知书。中标供应商应当在中标通知书发出之日起30日内与采购人签订合同。中标供应商未经采购人许可，在规定时间内未到采购人处与采购人签订合同，则视为拒签合同。</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4.2 招标文件、中标供应商的投标文件及投标修改文件、评标过程中有关澄清文件及经双方签字的询标纪要（承诺）和中标通知书均作为合同附件。</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4.3 拒签合同的责任</w:t>
      </w:r>
    </w:p>
    <w:p>
      <w:pPr>
        <w:adjustRightInd w:val="0"/>
        <w:snapToGrid w:val="0"/>
        <w:spacing w:line="340" w:lineRule="exact"/>
        <w:ind w:firstLine="433" w:firstLineChars="197"/>
        <w:rPr>
          <w:rFonts w:ascii="宋体" w:hAnsi="宋体" w:eastAsia="宋体" w:cs="Times New Roman"/>
          <w:kern w:val="0"/>
          <w:sz w:val="22"/>
        </w:rPr>
      </w:pPr>
      <w:r>
        <w:rPr>
          <w:rFonts w:hint="eastAsia" w:ascii="宋体" w:hAnsi="宋体" w:eastAsia="宋体" w:cs="Times New Roman"/>
          <w:kern w:val="0"/>
          <w:sz w:val="22"/>
        </w:rPr>
        <w:t>中标供应商在规定时间内（30日历天）借故否认已经承诺的条件、拒签合同或拒交履约保证金者，以投标违约处理，并赔偿采购人由此造成的直接经济损失；采购人重新组织招标的，所需费用由原中标供应商承担。</w:t>
      </w:r>
    </w:p>
    <w:p>
      <w:pPr>
        <w:adjustRightInd w:val="0"/>
        <w:snapToGrid w:val="0"/>
        <w:spacing w:line="340" w:lineRule="exact"/>
        <w:ind w:firstLine="435" w:firstLineChars="197"/>
        <w:rPr>
          <w:rFonts w:ascii="宋体" w:hAnsi="宋体" w:eastAsia="宋体" w:cs="Times New Roman"/>
          <w:b/>
          <w:kern w:val="0"/>
          <w:sz w:val="22"/>
        </w:rPr>
      </w:pPr>
      <w:r>
        <w:rPr>
          <w:rFonts w:hint="eastAsia" w:ascii="宋体" w:hAnsi="宋体" w:eastAsia="宋体" w:cs="Times New Roman"/>
          <w:b/>
          <w:kern w:val="0"/>
          <w:sz w:val="22"/>
        </w:rPr>
        <w:t>5、履约保证金</w:t>
      </w:r>
    </w:p>
    <w:p>
      <w:pPr>
        <w:autoSpaceDE w:val="0"/>
        <w:autoSpaceDN w:val="0"/>
        <w:adjustRightInd w:val="0"/>
        <w:snapToGrid w:val="0"/>
        <w:spacing w:line="340" w:lineRule="exact"/>
        <w:ind w:firstLine="433" w:firstLineChars="197"/>
        <w:textAlignment w:val="bottom"/>
        <w:rPr>
          <w:rFonts w:ascii="宋体" w:hAnsi="宋体" w:eastAsia="宋体" w:cs="Times New Roman"/>
          <w:kern w:val="0"/>
          <w:sz w:val="22"/>
          <w:u w:val="single"/>
        </w:rPr>
      </w:pPr>
      <w:r>
        <w:rPr>
          <w:rFonts w:hint="eastAsia" w:ascii="宋体" w:hAnsi="宋体" w:eastAsia="宋体" w:cs="Times New Roman"/>
          <w:kern w:val="0"/>
          <w:sz w:val="22"/>
          <w:u w:val="single"/>
        </w:rPr>
        <w:t>履约保证金按招标文件规定，在中标人与采购人合同签订前递交。</w:t>
      </w:r>
    </w:p>
    <w:p>
      <w:pPr>
        <w:autoSpaceDE w:val="0"/>
        <w:autoSpaceDN w:val="0"/>
        <w:adjustRightInd w:val="0"/>
        <w:snapToGrid w:val="0"/>
        <w:spacing w:line="340" w:lineRule="exact"/>
        <w:ind w:firstLine="435" w:firstLineChars="197"/>
        <w:textAlignment w:val="bottom"/>
        <w:rPr>
          <w:rFonts w:ascii="宋体" w:hAnsi="宋体" w:eastAsia="宋体" w:cs="Times New Roman"/>
          <w:b/>
          <w:kern w:val="0"/>
          <w:sz w:val="22"/>
        </w:rPr>
      </w:pPr>
      <w:r>
        <w:rPr>
          <w:rFonts w:hint="eastAsia" w:ascii="宋体" w:hAnsi="宋体" w:eastAsia="宋体" w:cs="Times New Roman"/>
          <w:b/>
          <w:kern w:val="0"/>
          <w:sz w:val="22"/>
        </w:rPr>
        <w:t>6</w:t>
      </w:r>
      <w:r>
        <w:rPr>
          <w:rFonts w:hint="eastAsia" w:ascii="宋体" w:hAnsi="宋体" w:eastAsia="宋体" w:cs="仿宋_GB2312"/>
          <w:b/>
          <w:kern w:val="0"/>
          <w:sz w:val="22"/>
          <w:lang w:val="zh-CN"/>
        </w:rPr>
        <w:t>、</w:t>
      </w:r>
      <w:r>
        <w:rPr>
          <w:rFonts w:hint="eastAsia" w:ascii="宋体" w:hAnsi="宋体" w:eastAsia="宋体" w:cs="Times New Roman"/>
          <w:b/>
          <w:kern w:val="0"/>
          <w:sz w:val="22"/>
        </w:rPr>
        <w:t>招标代理服务费</w:t>
      </w:r>
    </w:p>
    <w:p>
      <w:pPr>
        <w:adjustRightInd w:val="0"/>
        <w:snapToGrid w:val="0"/>
        <w:spacing w:line="340" w:lineRule="exact"/>
        <w:ind w:firstLine="433" w:firstLineChars="197"/>
        <w:rPr>
          <w:rFonts w:ascii="宋体" w:hAnsi="宋体" w:eastAsia="宋体" w:cs="Times New Roman"/>
          <w:kern w:val="0"/>
          <w:sz w:val="36"/>
          <w:szCs w:val="20"/>
        </w:rPr>
      </w:pPr>
      <w:r>
        <w:rPr>
          <w:rFonts w:hint="eastAsia" w:ascii="宋体" w:hAnsi="宋体" w:eastAsia="宋体" w:cs="Times New Roman"/>
          <w:kern w:val="0"/>
          <w:sz w:val="22"/>
        </w:rPr>
        <w:t>中标供应商在领取中标通知书前向招标代理咨询机构支付招标代理咨询费（根据国家计委印发的《招标代理服务收费管理暂行办法》(计价格【2002】1980号文)服务类收费标准计取），招标代理咨询费包含在投标总价中，招标代理咨询服务费不需在报价中单列。</w:t>
      </w:r>
    </w:p>
    <w:p>
      <w:pPr>
        <w:snapToGrid w:val="0"/>
        <w:spacing w:line="440" w:lineRule="atLeast"/>
        <w:jc w:val="both"/>
        <w:rPr>
          <w:rFonts w:ascii="宋体" w:hAnsi="宋体" w:eastAsia="宋体" w:cs="Times New Roman"/>
          <w:kern w:val="0"/>
          <w:sz w:val="36"/>
          <w:szCs w:val="20"/>
        </w:rPr>
      </w:pPr>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8"/>
          <w:szCs w:val="28"/>
        </w:rPr>
      </w:pPr>
      <w:bookmarkStart w:id="43" w:name="_Toc494407538"/>
      <w:r>
        <w:rPr>
          <w:rFonts w:hint="eastAsia" w:ascii="宋体" w:hAnsi="宋体" w:eastAsia="宋体" w:cs="Times New Roman"/>
          <w:b/>
          <w:kern w:val="0"/>
          <w:sz w:val="28"/>
          <w:szCs w:val="28"/>
        </w:rPr>
        <w:t>第四部分   政府采购政策功能相关说明</w:t>
      </w:r>
      <w:bookmarkEnd w:id="43"/>
    </w:p>
    <w:p>
      <w:pPr>
        <w:jc w:val="left"/>
        <w:rPr>
          <w:rFonts w:ascii="宋体" w:hAnsi="宋体" w:eastAsia="宋体" w:cs="Times New Roman"/>
          <w:kern w:val="0"/>
          <w:sz w:val="22"/>
        </w:rPr>
      </w:pPr>
    </w:p>
    <w:p>
      <w:pPr>
        <w:jc w:val="left"/>
        <w:rPr>
          <w:rFonts w:ascii="宋体" w:hAnsi="宋体" w:eastAsia="宋体" w:cs="Times New Roman"/>
          <w:kern w:val="0"/>
          <w:sz w:val="22"/>
        </w:rPr>
      </w:pPr>
      <w:r>
        <w:rPr>
          <w:rFonts w:hint="eastAsia" w:ascii="宋体" w:hAnsi="宋体" w:eastAsia="宋体" w:cs="Times New Roman"/>
          <w:kern w:val="0"/>
          <w:sz w:val="22"/>
        </w:rPr>
        <w:t>一、小、微企业（含监狱企业、残疾人福利性单位）扶持政策说明</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1、文件依据</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（1）关于印发《政府采购促进中小企业发展暂行办法》的通知（财库[2011]181号）</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（2）浙江省财政厅转发财政部 工业和信息化部关于印发《政府采购促进中小企业发展暂行办法》的通知（浙财采监[2012]11号）</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（3）浙江省省财政厅《关于开展政府采购供应商网上注册登记和诚信管理工作的通知》（浙财采监〔2010〕8号)</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（4）《工业和信息化部、国家统计局、国家发展和改革委员会、财政部关于印发中小企业划型标准规定的通知》（</w:t>
      </w:r>
      <w:r>
        <w:rPr>
          <w:rFonts w:ascii="宋体" w:hAnsi="宋体" w:eastAsia="宋体" w:cs="Times New Roman"/>
          <w:kern w:val="0"/>
          <w:sz w:val="22"/>
        </w:rPr>
        <w:t>工信部联企业[2011]300号</w:t>
      </w:r>
      <w:r>
        <w:rPr>
          <w:rFonts w:hint="eastAsia" w:ascii="宋体" w:hAnsi="宋体" w:eastAsia="宋体" w:cs="Times New Roman"/>
          <w:kern w:val="0"/>
          <w:sz w:val="22"/>
        </w:rPr>
        <w:t>）</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（5）财政部、司法部《关于政府采购支持监狱企业发展有关问题的通知》（财库〔2014〕68号）</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（6）《财政部 民政部 中国残疾人联合会关于促进残疾人就业政府采购政策的通知》（财库〔2017〕 141号）</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w:t>
      </w:r>
      <w:r>
        <w:rPr>
          <w:rFonts w:ascii="宋体" w:hAnsi="宋体" w:eastAsia="宋体" w:cs="Times New Roman"/>
          <w:kern w:val="0"/>
          <w:sz w:val="22"/>
        </w:rPr>
        <w:t>7）《浙江省财政厅  浙江省经济和信息化委员会关于简化中小企业类别确认流程有关事项的通知》（浙财采监〔2018〕2号)</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2、享受小微企业价格折扣应具备的条件与价格折扣比例</w:t>
      </w:r>
    </w:p>
    <w:p>
      <w:pPr>
        <w:spacing w:line="440" w:lineRule="atLeast"/>
        <w:jc w:val="left"/>
        <w:rPr>
          <w:rFonts w:ascii="宋体" w:hAnsi="宋体" w:eastAsia="宋体" w:cs="Times New Roman"/>
          <w:b/>
          <w:kern w:val="0"/>
          <w:sz w:val="22"/>
        </w:rPr>
      </w:pPr>
      <w:r>
        <w:rPr>
          <w:rFonts w:hint="eastAsia" w:ascii="宋体" w:hAnsi="宋体" w:eastAsia="宋体" w:cs="Times New Roman"/>
          <w:b/>
          <w:kern w:val="0"/>
          <w:sz w:val="22"/>
        </w:rPr>
        <w:t>（1）符合中小企业划分标准；</w:t>
      </w:r>
      <w:r>
        <w:rPr>
          <w:rFonts w:hint="eastAsia" w:ascii="宋体" w:hAnsi="宋体" w:eastAsia="宋体" w:cs="Times New Roman"/>
          <w:b/>
          <w:kern w:val="0"/>
          <w:sz w:val="22"/>
        </w:rPr>
        <w:br w:type="textWrapping"/>
      </w:r>
      <w:r>
        <w:rPr>
          <w:rFonts w:hint="eastAsia" w:ascii="宋体" w:hAnsi="宋体" w:eastAsia="宋体" w:cs="Times New Roman"/>
          <w:b/>
          <w:kern w:val="0"/>
          <w:sz w:val="22"/>
        </w:rPr>
        <w:t>（2）提供本企业制造的货物、承担的工程或者服务，或者提供其他中小企业制造的货物。本项所称货物不包括使用大型企业注册商标的货物。</w:t>
      </w:r>
      <w:r>
        <w:rPr>
          <w:rFonts w:hint="eastAsia" w:ascii="宋体" w:hAnsi="宋体" w:eastAsia="宋体" w:cs="Times New Roman"/>
          <w:b/>
          <w:kern w:val="0"/>
          <w:sz w:val="22"/>
        </w:rPr>
        <w:br w:type="textWrapping"/>
      </w:r>
      <w:r>
        <w:rPr>
          <w:rFonts w:hint="eastAsia" w:ascii="宋体" w:hAnsi="宋体" w:eastAsia="宋体" w:cs="Times New Roman"/>
          <w:b/>
          <w:kern w:val="0"/>
          <w:sz w:val="22"/>
        </w:rPr>
        <w:t>  中小企业划分标准，是指国务院有关部门根据企业从业人员、营业收入、资产总额等指标制定的中小企业划型标准。</w:t>
      </w:r>
      <w:r>
        <w:rPr>
          <w:rFonts w:hint="eastAsia" w:ascii="宋体" w:hAnsi="宋体" w:eastAsia="宋体" w:cs="Times New Roman"/>
          <w:b/>
          <w:kern w:val="0"/>
          <w:sz w:val="22"/>
        </w:rPr>
        <w:br w:type="textWrapping"/>
      </w:r>
      <w:r>
        <w:rPr>
          <w:rFonts w:hint="eastAsia" w:ascii="宋体" w:hAnsi="宋体" w:eastAsia="宋体" w:cs="Times New Roman"/>
          <w:b/>
          <w:kern w:val="0"/>
          <w:sz w:val="22"/>
        </w:rPr>
        <w:t>  小型、微型企业提供中型企业制造的货物的，视同为中型企业。</w:t>
      </w:r>
    </w:p>
    <w:p>
      <w:pPr>
        <w:spacing w:line="440" w:lineRule="atLeast"/>
        <w:jc w:val="left"/>
        <w:rPr>
          <w:rFonts w:ascii="宋体" w:hAnsi="宋体" w:eastAsia="宋体" w:cs="Times New Roman"/>
          <w:b/>
          <w:kern w:val="0"/>
          <w:sz w:val="22"/>
          <w:u w:val="single"/>
        </w:rPr>
      </w:pPr>
      <w:r>
        <w:rPr>
          <w:rFonts w:hint="eastAsia" w:ascii="宋体" w:hAnsi="宋体" w:eastAsia="宋体" w:cs="Times New Roman"/>
          <w:b/>
          <w:kern w:val="0"/>
          <w:sz w:val="22"/>
          <w:u w:val="single"/>
        </w:rPr>
        <w:t>（3）本项目对小型和微型企业产品的价格给予6%的扣除，用扣除后的价格参与评审。</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u w:val="single"/>
        </w:rPr>
        <w:t>3、享受小微企业价格折扣应提供以下证明材料（投标文件技术资信标中，缺一不可）</w:t>
      </w:r>
      <w:r>
        <w:rPr>
          <w:rFonts w:hint="eastAsia" w:ascii="宋体" w:hAnsi="宋体" w:eastAsia="宋体" w:cs="Times New Roman"/>
          <w:kern w:val="0"/>
          <w:sz w:val="22"/>
        </w:rPr>
        <w:t>：</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（1）通过浙江政府采购网申请注册加入政府采购供应商库（不包括公示期内，提供浙江省政府采购网页面截图或其它入库证明材料，加盖供应商公章）</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（2）《中小企业声明函》（原件，加盖供应商公章，格式见附件1）</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4、</w:t>
      </w:r>
      <w:r>
        <w:rPr>
          <w:rFonts w:hint="eastAsia" w:ascii="宋体" w:hAnsi="宋体" w:eastAsia="宋体" w:cs="Times New Roman"/>
          <w:kern w:val="0"/>
          <w:sz w:val="22"/>
          <w:u w:val="single"/>
        </w:rPr>
        <w:t>享受监狱企业价格折扣应提供以下证明材料（投标文件技术资信标中，不提供的不享受价格折扣）</w:t>
      </w:r>
      <w:r>
        <w:rPr>
          <w:rFonts w:hint="eastAsia" w:ascii="宋体" w:hAnsi="宋体" w:eastAsia="宋体" w:cs="Times New Roman"/>
          <w:kern w:val="0"/>
          <w:sz w:val="22"/>
        </w:rPr>
        <w:t>：</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w:t>
      </w:r>
      <w:r>
        <w:rPr>
          <w:rFonts w:ascii="宋体" w:hAnsi="宋体" w:eastAsia="宋体" w:cs="Times New Roman"/>
          <w:kern w:val="0"/>
          <w:sz w:val="22"/>
        </w:rPr>
        <w:t>1</w:t>
      </w:r>
      <w:r>
        <w:rPr>
          <w:rFonts w:hint="eastAsia" w:ascii="宋体" w:hAnsi="宋体" w:eastAsia="宋体" w:cs="Times New Roman"/>
          <w:kern w:val="0"/>
          <w:sz w:val="22"/>
        </w:rPr>
        <w:t>）</w:t>
      </w:r>
      <w:r>
        <w:rPr>
          <w:rFonts w:ascii="宋体" w:hAnsi="宋体" w:eastAsia="宋体" w:cs="Times New Roman"/>
          <w:kern w:val="0"/>
          <w:sz w:val="22"/>
        </w:rPr>
        <w:t>监狱企业参加政府采购活动时，应当提供由省级以上监狱管理局、戒毒管理局(含新疆生产建设兵团)出具的属于监狱企业的证明文件</w:t>
      </w:r>
      <w:r>
        <w:rPr>
          <w:rFonts w:hint="eastAsia" w:ascii="宋体" w:hAnsi="宋体" w:eastAsia="宋体" w:cs="Times New Roman"/>
          <w:kern w:val="0"/>
          <w:sz w:val="22"/>
        </w:rPr>
        <w:t>（原件或复印件加盖公章）</w:t>
      </w:r>
      <w:r>
        <w:rPr>
          <w:rFonts w:ascii="宋体" w:hAnsi="宋体" w:eastAsia="宋体" w:cs="Times New Roman"/>
          <w:kern w:val="0"/>
          <w:sz w:val="22"/>
        </w:rPr>
        <w:t>。在政府采购活动中，监狱企业视同小型、微型企业，享受评审中价格扣除政策</w:t>
      </w:r>
      <w:r>
        <w:rPr>
          <w:rFonts w:hint="eastAsia" w:ascii="宋体" w:hAnsi="宋体" w:eastAsia="宋体" w:cs="Times New Roman"/>
          <w:kern w:val="0"/>
          <w:sz w:val="22"/>
        </w:rPr>
        <w:t>。</w:t>
      </w:r>
    </w:p>
    <w:p>
      <w:pPr>
        <w:spacing w:line="440" w:lineRule="atLeast"/>
        <w:jc w:val="left"/>
        <w:rPr>
          <w:rFonts w:ascii="宋体" w:hAnsi="宋体" w:eastAsia="宋体" w:cs="Times New Roman"/>
          <w:kern w:val="0"/>
          <w:sz w:val="22"/>
        </w:rPr>
      </w:pPr>
      <w:r>
        <w:rPr>
          <w:rFonts w:ascii="宋体" w:hAnsi="宋体" w:eastAsia="宋体" w:cs="Times New Roman"/>
          <w:kern w:val="0"/>
          <w:sz w:val="22"/>
        </w:rPr>
        <w:t>5</w:t>
      </w:r>
      <w:r>
        <w:rPr>
          <w:rFonts w:hint="eastAsia" w:ascii="宋体" w:hAnsi="宋体" w:eastAsia="宋体" w:cs="Times New Roman"/>
          <w:kern w:val="0"/>
          <w:sz w:val="22"/>
        </w:rPr>
        <w:t>、</w:t>
      </w:r>
      <w:r>
        <w:rPr>
          <w:rFonts w:hint="eastAsia" w:ascii="宋体" w:hAnsi="宋体" w:eastAsia="宋体" w:cs="Times New Roman"/>
          <w:kern w:val="0"/>
          <w:sz w:val="22"/>
          <w:u w:val="single"/>
        </w:rPr>
        <w:t>享受残疾人福利性单位格折扣应提供以下证明材料（投标文件技术资信标中，不提供的不享受价格折扣）</w:t>
      </w:r>
      <w:r>
        <w:rPr>
          <w:rFonts w:hint="eastAsia" w:ascii="宋体" w:hAnsi="宋体" w:eastAsia="宋体" w:cs="Times New Roman"/>
          <w:kern w:val="0"/>
          <w:sz w:val="22"/>
        </w:rPr>
        <w:t>：</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w:t>
      </w:r>
      <w:r>
        <w:rPr>
          <w:rFonts w:ascii="宋体" w:hAnsi="宋体" w:eastAsia="宋体" w:cs="Times New Roman"/>
          <w:kern w:val="0"/>
          <w:sz w:val="22"/>
        </w:rPr>
        <w:t>1</w:t>
      </w:r>
      <w:r>
        <w:rPr>
          <w:rFonts w:hint="eastAsia" w:ascii="宋体" w:hAnsi="宋体" w:eastAsia="宋体" w:cs="Times New Roman"/>
          <w:kern w:val="0"/>
          <w:sz w:val="22"/>
        </w:rPr>
        <w:t>）残疾人福利性单位声明函；</w:t>
      </w:r>
    </w:p>
    <w:p>
      <w:pPr>
        <w:spacing w:line="440" w:lineRule="atLeast"/>
        <w:jc w:val="left"/>
        <w:rPr>
          <w:rFonts w:ascii="宋体" w:hAnsi="宋体" w:eastAsia="宋体" w:cs="Times New Roman"/>
          <w:kern w:val="0"/>
          <w:sz w:val="22"/>
        </w:rPr>
      </w:pPr>
      <w:r>
        <w:rPr>
          <w:rFonts w:ascii="宋体" w:hAnsi="宋体" w:eastAsia="宋体" w:cs="Times New Roman"/>
          <w:kern w:val="0"/>
          <w:sz w:val="22"/>
        </w:rPr>
        <w:t>6</w:t>
      </w:r>
      <w:r>
        <w:rPr>
          <w:rFonts w:hint="eastAsia" w:ascii="宋体" w:hAnsi="宋体" w:eastAsia="宋体" w:cs="Times New Roman"/>
          <w:kern w:val="0"/>
          <w:sz w:val="22"/>
        </w:rPr>
        <w:t>、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w:t>
      </w: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pStyle w:val="2"/>
        <w:rPr>
          <w:rFonts w:ascii="宋体" w:hAnsi="宋体" w:eastAsia="宋体" w:cs="Times New Roman"/>
          <w:kern w:val="0"/>
          <w:sz w:val="22"/>
        </w:rPr>
      </w:pPr>
    </w:p>
    <w:p>
      <w:pPr>
        <w:pStyle w:val="3"/>
        <w:rPr>
          <w:rFonts w:ascii="宋体" w:hAnsi="宋体" w:eastAsia="宋体" w:cs="Times New Roman"/>
          <w:kern w:val="0"/>
          <w:sz w:val="22"/>
        </w:rPr>
      </w:pPr>
    </w:p>
    <w:p>
      <w:pPr>
        <w:pStyle w:val="3"/>
        <w:rPr>
          <w:rFonts w:ascii="宋体" w:hAnsi="宋体" w:eastAsia="宋体" w:cs="Times New Roman"/>
          <w:kern w:val="0"/>
          <w:sz w:val="22"/>
        </w:rPr>
      </w:pPr>
    </w:p>
    <w:p>
      <w:pPr>
        <w:pStyle w:val="3"/>
        <w:rPr>
          <w:rFonts w:ascii="宋体" w:hAnsi="宋体" w:eastAsia="宋体" w:cs="Times New Roman"/>
          <w:kern w:val="0"/>
          <w:sz w:val="22"/>
        </w:rPr>
      </w:pPr>
    </w:p>
    <w:p>
      <w:pPr>
        <w:pStyle w:val="3"/>
        <w:rPr>
          <w:rFonts w:ascii="宋体" w:hAnsi="宋体" w:eastAsia="宋体" w:cs="Times New Roman"/>
          <w:kern w:val="0"/>
          <w:sz w:val="22"/>
        </w:rPr>
      </w:pPr>
    </w:p>
    <w:p>
      <w:pPr>
        <w:spacing w:line="440" w:lineRule="atLeast"/>
        <w:jc w:val="left"/>
        <w:rPr>
          <w:rFonts w:ascii="宋体" w:hAnsi="宋体" w:eastAsia="宋体" w:cs="Times New Roman"/>
          <w:kern w:val="0"/>
          <w:sz w:val="22"/>
        </w:rPr>
      </w:pPr>
    </w:p>
    <w:p>
      <w:pPr>
        <w:spacing w:line="440" w:lineRule="atLeast"/>
        <w:rPr>
          <w:rFonts w:ascii="宋体" w:hAnsi="宋体" w:eastAsia="宋体" w:cs="Times New Roman"/>
          <w:kern w:val="0"/>
          <w:sz w:val="22"/>
        </w:rPr>
      </w:pPr>
      <w:r>
        <w:rPr>
          <w:rFonts w:hint="eastAsia" w:ascii="宋体" w:hAnsi="宋体" w:eastAsia="宋体" w:cs="Times New Roman"/>
          <w:kern w:val="0"/>
          <w:sz w:val="22"/>
        </w:rPr>
        <w:t>附件1：</w:t>
      </w:r>
    </w:p>
    <w:p>
      <w:pPr>
        <w:spacing w:line="440" w:lineRule="atLeast"/>
        <w:jc w:val="center"/>
        <w:rPr>
          <w:rFonts w:ascii="宋体" w:hAnsi="宋体" w:eastAsia="宋体" w:cs="Times New Roman"/>
          <w:kern w:val="0"/>
          <w:sz w:val="22"/>
        </w:rPr>
      </w:pPr>
      <w:r>
        <w:rPr>
          <w:rFonts w:hint="eastAsia" w:ascii="宋体" w:hAnsi="宋体" w:eastAsia="宋体" w:cs="Times New Roman"/>
          <w:kern w:val="0"/>
          <w:sz w:val="22"/>
        </w:rPr>
        <w:t>中小企业声明函</w:t>
      </w:r>
    </w:p>
    <w:p>
      <w:pPr>
        <w:spacing w:beforeLines="10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本公司郑重声明，根据《政府采购促进中小企业发展暂行办法》（财库[2011]181号）的规定，本公司为______（请填写：中型、小型、微型）企业。即，本公司同时满足以下条件：</w:t>
      </w:r>
      <w:r>
        <w:rPr>
          <w:rFonts w:hint="eastAsia" w:ascii="宋体" w:hAnsi="宋体" w:eastAsia="宋体" w:cs="Times New Roman"/>
          <w:kern w:val="0"/>
          <w:sz w:val="22"/>
        </w:rPr>
        <w:br w:type="textWrapping"/>
      </w:r>
      <w:r>
        <w:rPr>
          <w:rFonts w:hint="eastAsia" w:ascii="宋体" w:hAnsi="宋体" w:eastAsia="宋体" w:cs="Times New Roman"/>
          <w:kern w:val="0"/>
          <w:sz w:val="22"/>
        </w:rPr>
        <w:t>    1.根据《工业和信息化部、国家统计局、国家发展和改革委员会、财政部关于印发中小企业划型标准规定的通知》（工信部联企业[2011]300号）规定的划分标准，本公司为______（请填写：中型、小型、微型）企业。</w:t>
      </w:r>
      <w:r>
        <w:rPr>
          <w:rFonts w:hint="eastAsia" w:ascii="宋体" w:hAnsi="宋体" w:eastAsia="宋体" w:cs="Times New Roman"/>
          <w:kern w:val="0"/>
          <w:sz w:val="22"/>
        </w:rPr>
        <w:br w:type="textWrapping"/>
      </w:r>
      <w:r>
        <w:rPr>
          <w:rFonts w:hint="eastAsia" w:ascii="宋体" w:hAnsi="宋体" w:eastAsia="宋体" w:cs="Times New Roman"/>
          <w:kern w:val="0"/>
          <w:sz w:val="22"/>
        </w:rPr>
        <w:t>    2.本公司参加______单位的______项目采购活动提供本企业制造的货物，由本企业承担工程、提供服务，或者提供其他______（请填写：中型、小型、微型）企业制造的货物。本条所称货物不包括使用大型企业注册商标的货物。</w:t>
      </w:r>
      <w:r>
        <w:rPr>
          <w:rFonts w:hint="eastAsia" w:ascii="宋体" w:hAnsi="宋体" w:eastAsia="宋体" w:cs="Times New Roman"/>
          <w:kern w:val="0"/>
          <w:sz w:val="22"/>
        </w:rPr>
        <w:br w:type="textWrapping"/>
      </w:r>
      <w:r>
        <w:rPr>
          <w:rFonts w:hint="eastAsia" w:ascii="宋体" w:hAnsi="宋体" w:eastAsia="宋体" w:cs="Times New Roman"/>
          <w:kern w:val="0"/>
          <w:sz w:val="22"/>
        </w:rPr>
        <w:t>    本公司对上述声明的真实性负责。如有虚假，将依法承担相应责任。</w:t>
      </w:r>
    </w:p>
    <w:p>
      <w:pPr>
        <w:spacing w:beforeLines="100" w:line="440" w:lineRule="atLeast"/>
        <w:ind w:firstLine="440" w:firstLineChars="200"/>
        <w:rPr>
          <w:rFonts w:ascii="宋体" w:hAnsi="宋体" w:eastAsia="宋体" w:cs="Times New Roman"/>
          <w:kern w:val="0"/>
          <w:sz w:val="22"/>
        </w:rPr>
      </w:pPr>
    </w:p>
    <w:p>
      <w:pPr>
        <w:spacing w:beforeLines="100" w:line="440" w:lineRule="atLeast"/>
        <w:ind w:firstLine="440" w:firstLineChars="200"/>
        <w:jc w:val="right"/>
        <w:rPr>
          <w:rFonts w:ascii="宋体" w:hAnsi="宋体" w:eastAsia="宋体" w:cs="Times New Roman"/>
          <w:kern w:val="0"/>
          <w:sz w:val="22"/>
        </w:rPr>
      </w:pPr>
      <w:r>
        <w:rPr>
          <w:rFonts w:hint="eastAsia" w:ascii="宋体" w:hAnsi="宋体" w:eastAsia="宋体" w:cs="Times New Roman"/>
          <w:kern w:val="0"/>
          <w:sz w:val="22"/>
        </w:rPr>
        <w:t>投标供应商名称（盖章）：                </w:t>
      </w:r>
      <w:r>
        <w:rPr>
          <w:rFonts w:hint="eastAsia" w:ascii="宋体" w:hAnsi="宋体" w:eastAsia="宋体" w:cs="Times New Roman"/>
          <w:kern w:val="0"/>
          <w:sz w:val="22"/>
        </w:rPr>
        <w:br w:type="textWrapping"/>
      </w:r>
      <w:r>
        <w:rPr>
          <w:rFonts w:hint="eastAsia" w:ascii="宋体" w:hAnsi="宋体" w:eastAsia="宋体" w:cs="Times New Roman"/>
          <w:kern w:val="0"/>
          <w:sz w:val="22"/>
        </w:rPr>
        <w:t xml:space="preserve">      日期：                             　　　　　</w:t>
      </w: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p>
    <w:p>
      <w:pPr>
        <w:pStyle w:val="2"/>
      </w:pPr>
    </w:p>
    <w:p>
      <w:pPr>
        <w:spacing w:line="440" w:lineRule="atLeast"/>
        <w:rPr>
          <w:rFonts w:ascii="宋体" w:hAnsi="宋体" w:eastAsia="宋体" w:cs="Times New Roman"/>
          <w:kern w:val="0"/>
          <w:sz w:val="22"/>
        </w:rPr>
      </w:pPr>
    </w:p>
    <w:p>
      <w:pPr>
        <w:spacing w:line="440" w:lineRule="atLeast"/>
        <w:rPr>
          <w:rFonts w:ascii="宋体" w:hAnsi="宋体" w:eastAsia="宋体" w:cs="Times New Roman"/>
          <w:kern w:val="0"/>
          <w:sz w:val="22"/>
        </w:rPr>
      </w:pPr>
      <w:r>
        <w:rPr>
          <w:rFonts w:hint="eastAsia" w:ascii="宋体" w:hAnsi="宋体" w:eastAsia="宋体" w:cs="Times New Roman"/>
          <w:kern w:val="0"/>
          <w:sz w:val="22"/>
        </w:rPr>
        <w:t>附件2</w:t>
      </w:r>
    </w:p>
    <w:p>
      <w:pPr>
        <w:spacing w:line="588" w:lineRule="exact"/>
        <w:jc w:val="center"/>
        <w:rPr>
          <w:rFonts w:ascii="宋体" w:hAnsi="宋体" w:eastAsia="宋体" w:cs="Times New Roman"/>
          <w:spacing w:val="6"/>
          <w:kern w:val="0"/>
          <w:sz w:val="22"/>
        </w:rPr>
      </w:pPr>
      <w:bookmarkStart w:id="44" w:name="OLE_LINK14"/>
      <w:bookmarkStart w:id="45" w:name="OLE_LINK13"/>
      <w:r>
        <w:rPr>
          <w:rFonts w:hint="eastAsia" w:ascii="宋体" w:hAnsi="宋体" w:eastAsia="宋体" w:cs="Times New Roman"/>
          <w:spacing w:val="6"/>
          <w:kern w:val="0"/>
          <w:sz w:val="22"/>
        </w:rPr>
        <w:t>残疾人福利性单位声明函</w:t>
      </w:r>
    </w:p>
    <w:bookmarkEnd w:id="44"/>
    <w:bookmarkEnd w:id="45"/>
    <w:p>
      <w:pPr>
        <w:spacing w:line="588" w:lineRule="exact"/>
        <w:rPr>
          <w:rFonts w:ascii="宋体" w:hAnsi="宋体" w:eastAsia="宋体" w:cs="Times New Roman"/>
          <w:spacing w:val="6"/>
          <w:kern w:val="0"/>
          <w:sz w:val="22"/>
        </w:rPr>
      </w:pPr>
    </w:p>
    <w:p>
      <w:pPr>
        <w:spacing w:line="588" w:lineRule="exact"/>
        <w:ind w:firstLine="464" w:firstLineChars="200"/>
        <w:rPr>
          <w:rFonts w:ascii="宋体" w:hAnsi="宋体" w:eastAsia="宋体" w:cs="Times New Roman"/>
          <w:spacing w:val="6"/>
          <w:kern w:val="0"/>
          <w:sz w:val="22"/>
        </w:rPr>
      </w:pPr>
      <w:r>
        <w:rPr>
          <w:rFonts w:hint="eastAsia" w:ascii="宋体" w:hAnsi="宋体" w:eastAsia="宋体" w:cs="Times New Roman"/>
          <w:spacing w:val="6"/>
          <w:kern w:val="0"/>
          <w:sz w:val="22"/>
        </w:rPr>
        <w:t>本单位郑重声明，根据《财政部 民政部 中国残疾人联合会关于促进残疾人就业政府采购政策的通知》（财库</w:t>
      </w:r>
      <w:r>
        <w:rPr>
          <w:rFonts w:hint="eastAsia" w:ascii="宋体" w:hAnsi="宋体" w:eastAsia="宋体" w:cs="Times New Roman"/>
          <w:kern w:val="0"/>
          <w:sz w:val="22"/>
        </w:rPr>
        <w:t>〔2017〕 141</w:t>
      </w:r>
      <w:r>
        <w:rPr>
          <w:rFonts w:hint="eastAsia" w:ascii="宋体" w:hAnsi="宋体" w:eastAsia="宋体" w:cs="Times New Roman"/>
          <w:spacing w:val="6"/>
          <w:kern w:val="0"/>
          <w:sz w:val="22"/>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64" w:firstLineChars="200"/>
        <w:rPr>
          <w:rFonts w:ascii="宋体" w:hAnsi="宋体" w:eastAsia="宋体" w:cs="Times New Roman"/>
          <w:spacing w:val="6"/>
          <w:kern w:val="0"/>
          <w:sz w:val="22"/>
        </w:rPr>
      </w:pPr>
      <w:r>
        <w:rPr>
          <w:rFonts w:hint="eastAsia" w:ascii="宋体" w:hAnsi="宋体" w:eastAsia="宋体" w:cs="Times New Roman"/>
          <w:spacing w:val="6"/>
          <w:kern w:val="0"/>
          <w:sz w:val="22"/>
        </w:rPr>
        <w:t>本单位对上述声明的真实性负责。如有虚假，将依法承担相应责任。</w:t>
      </w:r>
    </w:p>
    <w:p>
      <w:pPr>
        <w:spacing w:line="588" w:lineRule="exact"/>
        <w:ind w:firstLine="464" w:firstLineChars="200"/>
        <w:rPr>
          <w:rFonts w:ascii="宋体" w:hAnsi="宋体" w:eastAsia="宋体" w:cs="Times New Roman"/>
          <w:spacing w:val="6"/>
          <w:kern w:val="0"/>
          <w:sz w:val="22"/>
        </w:rPr>
      </w:pPr>
    </w:p>
    <w:p>
      <w:pPr>
        <w:spacing w:line="588" w:lineRule="exact"/>
        <w:ind w:firstLine="464" w:firstLineChars="200"/>
        <w:rPr>
          <w:rFonts w:ascii="宋体" w:hAnsi="宋体" w:eastAsia="宋体" w:cs="Times New Roman"/>
          <w:spacing w:val="6"/>
          <w:kern w:val="0"/>
          <w:sz w:val="22"/>
        </w:rPr>
      </w:pPr>
    </w:p>
    <w:p>
      <w:pPr>
        <w:tabs>
          <w:tab w:val="left" w:pos="4860"/>
        </w:tabs>
        <w:spacing w:line="588" w:lineRule="exact"/>
        <w:ind w:right="1560" w:firstLine="464" w:firstLineChars="200"/>
        <w:jc w:val="center"/>
        <w:rPr>
          <w:rFonts w:ascii="宋体" w:hAnsi="宋体" w:eastAsia="宋体" w:cs="Times New Roman"/>
          <w:spacing w:val="6"/>
          <w:kern w:val="0"/>
          <w:sz w:val="22"/>
        </w:rPr>
      </w:pPr>
      <w:r>
        <w:rPr>
          <w:rFonts w:hint="eastAsia" w:ascii="宋体" w:hAnsi="宋体" w:eastAsia="宋体" w:cs="Times New Roman"/>
          <w:spacing w:val="6"/>
          <w:kern w:val="0"/>
          <w:sz w:val="22"/>
        </w:rPr>
        <w:t xml:space="preserve">               单位名称（盖章）：</w:t>
      </w:r>
    </w:p>
    <w:p>
      <w:pPr>
        <w:tabs>
          <w:tab w:val="left" w:pos="4860"/>
        </w:tabs>
        <w:spacing w:line="588" w:lineRule="exact"/>
        <w:ind w:right="1560" w:firstLine="464" w:firstLineChars="200"/>
        <w:jc w:val="center"/>
        <w:rPr>
          <w:rFonts w:ascii="宋体" w:hAnsi="宋体" w:eastAsia="宋体" w:cs="Times New Roman"/>
          <w:spacing w:val="6"/>
          <w:kern w:val="0"/>
          <w:sz w:val="22"/>
        </w:rPr>
      </w:pPr>
      <w:r>
        <w:rPr>
          <w:rFonts w:hint="eastAsia" w:ascii="宋体" w:hAnsi="宋体" w:eastAsia="宋体" w:cs="Times New Roman"/>
          <w:spacing w:val="6"/>
          <w:kern w:val="0"/>
          <w:sz w:val="22"/>
        </w:rPr>
        <w:t xml:space="preserve">       日  期：</w:t>
      </w:r>
    </w:p>
    <w:p>
      <w:pPr>
        <w:tabs>
          <w:tab w:val="left" w:pos="4860"/>
        </w:tabs>
        <w:spacing w:line="588" w:lineRule="exact"/>
        <w:ind w:right="1560" w:firstLine="464" w:firstLineChars="200"/>
        <w:jc w:val="center"/>
        <w:rPr>
          <w:rFonts w:ascii="宋体" w:hAnsi="宋体" w:eastAsia="宋体" w:cs="Times New Roman"/>
          <w:spacing w:val="6"/>
          <w:kern w:val="0"/>
          <w:sz w:val="22"/>
        </w:rPr>
      </w:pPr>
    </w:p>
    <w:p>
      <w:pPr>
        <w:tabs>
          <w:tab w:val="left" w:pos="4860"/>
        </w:tabs>
        <w:spacing w:line="588" w:lineRule="exact"/>
        <w:ind w:right="1560" w:firstLine="466" w:firstLineChars="200"/>
        <w:jc w:val="center"/>
        <w:rPr>
          <w:rFonts w:ascii="宋体" w:hAnsi="宋体" w:eastAsia="宋体" w:cs="Times New Roman"/>
          <w:b/>
          <w:spacing w:val="6"/>
          <w:kern w:val="0"/>
          <w:sz w:val="22"/>
        </w:rPr>
      </w:pPr>
    </w:p>
    <w:p>
      <w:pPr>
        <w:tabs>
          <w:tab w:val="left" w:pos="4860"/>
        </w:tabs>
        <w:spacing w:line="588" w:lineRule="exact"/>
        <w:ind w:right="1560"/>
        <w:jc w:val="left"/>
        <w:rPr>
          <w:rFonts w:ascii="宋体" w:hAnsi="宋体" w:eastAsia="宋体" w:cs="Times New Roman"/>
          <w:kern w:val="0"/>
          <w:sz w:val="22"/>
        </w:rPr>
      </w:pPr>
      <w:r>
        <w:rPr>
          <w:rFonts w:hint="eastAsia" w:ascii="宋体" w:hAnsi="宋体" w:eastAsia="宋体" w:cs="Times New Roman"/>
          <w:kern w:val="0"/>
          <w:sz w:val="22"/>
        </w:rPr>
        <w:t>备注说明：</w:t>
      </w:r>
    </w:p>
    <w:p>
      <w:pPr>
        <w:tabs>
          <w:tab w:val="left" w:pos="4860"/>
        </w:tabs>
        <w:spacing w:line="588" w:lineRule="exact"/>
        <w:ind w:right="1560"/>
        <w:jc w:val="left"/>
        <w:rPr>
          <w:rFonts w:ascii="宋体" w:hAnsi="宋体" w:eastAsia="宋体" w:cs="Times New Roman"/>
          <w:kern w:val="0"/>
          <w:sz w:val="22"/>
        </w:rPr>
      </w:pPr>
      <w:r>
        <w:rPr>
          <w:rFonts w:hint="eastAsia" w:ascii="宋体" w:hAnsi="宋体" w:eastAsia="宋体" w:cs="Times New Roman"/>
          <w:kern w:val="0"/>
          <w:sz w:val="22"/>
        </w:rPr>
        <w:t>1、如中标，将在中标公示中将此残疾人福利性单位声明函予以公示，接受社会监督；</w:t>
      </w:r>
    </w:p>
    <w:p>
      <w:pPr>
        <w:tabs>
          <w:tab w:val="left" w:pos="4860"/>
        </w:tabs>
        <w:spacing w:line="588" w:lineRule="exact"/>
        <w:ind w:right="1560"/>
        <w:jc w:val="left"/>
        <w:rPr>
          <w:rFonts w:ascii="宋体" w:hAnsi="宋体" w:eastAsia="宋体" w:cs="Times New Roman"/>
          <w:b/>
          <w:spacing w:val="6"/>
          <w:kern w:val="0"/>
          <w:sz w:val="22"/>
        </w:rPr>
      </w:pPr>
      <w:r>
        <w:rPr>
          <w:rFonts w:ascii="宋体" w:hAnsi="宋体" w:eastAsia="宋体" w:cs="Times New Roman"/>
          <w:kern w:val="0"/>
          <w:sz w:val="22"/>
        </w:rPr>
        <w:t>2</w:t>
      </w:r>
      <w:r>
        <w:rPr>
          <w:rFonts w:hint="eastAsia" w:ascii="宋体" w:hAnsi="宋体" w:eastAsia="宋体" w:cs="Times New Roman"/>
          <w:kern w:val="0"/>
          <w:sz w:val="22"/>
        </w:rPr>
        <w:t>、供应商提供的《残疾人福利性单位声明函》与事实不符的，依照《政府采购法》第七十七条第一款的规定追究法律责任。</w:t>
      </w:r>
    </w:p>
    <w:p>
      <w:pPr>
        <w:spacing w:line="588" w:lineRule="exact"/>
        <w:ind w:firstLine="464" w:firstLineChars="200"/>
        <w:rPr>
          <w:rFonts w:ascii="宋体" w:hAnsi="宋体" w:eastAsia="宋体" w:cs="Times New Roman"/>
          <w:spacing w:val="6"/>
          <w:kern w:val="0"/>
          <w:sz w:val="22"/>
        </w:rPr>
      </w:pPr>
    </w:p>
    <w:p>
      <w:pPr>
        <w:jc w:val="left"/>
        <w:rPr>
          <w:rFonts w:ascii="宋体" w:hAnsi="宋体" w:eastAsia="宋体" w:cs="Times New Roman"/>
          <w:kern w:val="0"/>
          <w:sz w:val="22"/>
        </w:rPr>
      </w:pPr>
    </w:p>
    <w:p>
      <w:pPr>
        <w:jc w:val="left"/>
        <w:rPr>
          <w:rFonts w:ascii="宋体" w:hAnsi="宋体" w:eastAsia="宋体" w:cs="Times New Roman"/>
          <w:kern w:val="0"/>
          <w:sz w:val="22"/>
        </w:rPr>
      </w:pPr>
    </w:p>
    <w:p>
      <w:pPr>
        <w:jc w:val="left"/>
        <w:rPr>
          <w:rFonts w:ascii="宋体" w:hAnsi="宋体" w:eastAsia="宋体" w:cs="Times New Roman"/>
          <w:kern w:val="0"/>
          <w:sz w:val="22"/>
        </w:rPr>
      </w:pPr>
    </w:p>
    <w:p>
      <w:pPr>
        <w:jc w:val="left"/>
        <w:rPr>
          <w:rFonts w:ascii="宋体" w:hAnsi="宋体" w:eastAsia="宋体" w:cs="Times New Roman"/>
          <w:kern w:val="0"/>
          <w:sz w:val="22"/>
        </w:rPr>
      </w:pPr>
    </w:p>
    <w:p>
      <w:pPr>
        <w:jc w:val="left"/>
        <w:rPr>
          <w:rFonts w:ascii="宋体" w:hAnsi="宋体" w:eastAsia="宋体" w:cs="Times New Roman"/>
          <w:kern w:val="0"/>
          <w:sz w:val="22"/>
        </w:rPr>
      </w:pPr>
    </w:p>
    <w:p>
      <w:pPr>
        <w:pStyle w:val="2"/>
        <w:rPr>
          <w:rFonts w:ascii="宋体" w:hAnsi="宋体" w:eastAsia="宋体" w:cs="Times New Roman"/>
          <w:kern w:val="0"/>
          <w:sz w:val="22"/>
        </w:rPr>
      </w:pPr>
    </w:p>
    <w:p>
      <w:pPr>
        <w:pStyle w:val="3"/>
        <w:rPr>
          <w:rFonts w:ascii="宋体" w:hAnsi="宋体" w:eastAsia="宋体" w:cs="Times New Roman"/>
          <w:kern w:val="0"/>
          <w:sz w:val="22"/>
        </w:rPr>
      </w:pPr>
    </w:p>
    <w:p>
      <w:pPr>
        <w:pStyle w:val="3"/>
        <w:rPr>
          <w:rFonts w:ascii="宋体" w:hAnsi="宋体" w:eastAsia="宋体" w:cs="Times New Roman"/>
          <w:kern w:val="0"/>
          <w:sz w:val="22"/>
        </w:rPr>
      </w:pPr>
    </w:p>
    <w:p>
      <w:pPr>
        <w:pStyle w:val="3"/>
        <w:rPr>
          <w:rFonts w:ascii="宋体" w:hAnsi="宋体" w:eastAsia="宋体" w:cs="Times New Roman"/>
          <w:kern w:val="0"/>
          <w:sz w:val="22"/>
        </w:rPr>
      </w:pPr>
    </w:p>
    <w:p>
      <w:pPr>
        <w:jc w:val="left"/>
        <w:rPr>
          <w:rFonts w:ascii="宋体" w:hAnsi="宋体" w:eastAsia="宋体" w:cs="Times New Roman"/>
          <w:kern w:val="0"/>
          <w:sz w:val="22"/>
        </w:rPr>
      </w:pPr>
    </w:p>
    <w:p>
      <w:pPr>
        <w:jc w:val="left"/>
        <w:rPr>
          <w:rFonts w:ascii="宋体" w:hAnsi="宋体" w:eastAsia="宋体" w:cs="Times New Roman"/>
          <w:kern w:val="0"/>
          <w:sz w:val="22"/>
        </w:rPr>
      </w:pPr>
    </w:p>
    <w:p>
      <w:pPr>
        <w:jc w:val="left"/>
        <w:rPr>
          <w:rFonts w:ascii="宋体" w:hAnsi="宋体" w:eastAsia="宋体" w:cs="Times New Roman"/>
          <w:kern w:val="0"/>
          <w:sz w:val="22"/>
        </w:rPr>
      </w:pPr>
      <w:r>
        <w:rPr>
          <w:rFonts w:hint="eastAsia" w:ascii="宋体" w:hAnsi="宋体" w:eastAsia="宋体" w:cs="Times New Roman"/>
          <w:kern w:val="0"/>
          <w:sz w:val="22"/>
        </w:rPr>
        <w:t>二、节能、环保产品优先（强制）采购政策说明</w:t>
      </w:r>
    </w:p>
    <w:p>
      <w:pPr>
        <w:spacing w:line="440" w:lineRule="atLeast"/>
        <w:jc w:val="left"/>
        <w:rPr>
          <w:rFonts w:ascii="宋体" w:hAnsi="宋体" w:eastAsia="宋体" w:cs="Times New Roman"/>
          <w:kern w:val="0"/>
          <w:sz w:val="22"/>
        </w:rPr>
      </w:pPr>
      <w:r>
        <w:rPr>
          <w:rFonts w:hint="eastAsia" w:ascii="宋体" w:hAnsi="宋体" w:eastAsia="宋体" w:cs="Times New Roman"/>
          <w:kern w:val="0"/>
          <w:sz w:val="22"/>
        </w:rPr>
        <w:t>1、政策依据</w:t>
      </w:r>
    </w:p>
    <w:p>
      <w:pPr>
        <w:snapToGrid w:val="0"/>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（一）《国务院办公厅关于建立政府强制采购节能产品制度的通知》</w:t>
      </w:r>
      <w:r>
        <w:rPr>
          <w:rFonts w:ascii="宋体" w:hAnsi="宋体" w:eastAsia="宋体" w:cs="Times New Roman"/>
          <w:color w:val="000000"/>
          <w:kern w:val="0"/>
          <w:sz w:val="22"/>
        </w:rPr>
        <w:t>(国办发[2007]51号)</w:t>
      </w:r>
    </w:p>
    <w:p>
      <w:pPr>
        <w:snapToGrid w:val="0"/>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（二）财政部、发展改革委发布的《节能产品政府采购实施意见》</w:t>
      </w:r>
      <w:r>
        <w:rPr>
          <w:rFonts w:ascii="宋体" w:hAnsi="宋体" w:eastAsia="宋体" w:cs="Times New Roman"/>
          <w:color w:val="000000"/>
          <w:kern w:val="0"/>
          <w:sz w:val="22"/>
        </w:rPr>
        <w:t>(财库[2004]185号)</w:t>
      </w:r>
    </w:p>
    <w:p>
      <w:pPr>
        <w:snapToGrid w:val="0"/>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（三）财政部、原环保总局印发的《环境标志产品政府采购实施的意见》（财库</w:t>
      </w:r>
      <w:r>
        <w:rPr>
          <w:rFonts w:ascii="宋体" w:hAnsi="宋体" w:eastAsia="宋体" w:cs="Times New Roman"/>
          <w:color w:val="000000"/>
          <w:kern w:val="0"/>
          <w:sz w:val="22"/>
        </w:rPr>
        <w:t xml:space="preserve"> [2006]90号）</w:t>
      </w:r>
    </w:p>
    <w:p>
      <w:pPr>
        <w:snapToGrid w:val="0"/>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（四）《关于调整优化节能产品、环境标志产品政府采购执行机制的通知》（财库〔</w:t>
      </w:r>
      <w:r>
        <w:rPr>
          <w:rFonts w:ascii="宋体" w:hAnsi="宋体" w:eastAsia="宋体" w:cs="Times New Roman"/>
          <w:color w:val="000000"/>
          <w:kern w:val="0"/>
          <w:sz w:val="22"/>
        </w:rPr>
        <w:t>2019〕9号</w:t>
      </w:r>
      <w:r>
        <w:rPr>
          <w:rFonts w:hint="eastAsia" w:ascii="宋体" w:hAnsi="宋体" w:eastAsia="宋体" w:cs="Times New Roman"/>
          <w:color w:val="000000"/>
          <w:kern w:val="0"/>
          <w:sz w:val="22"/>
        </w:rPr>
        <w:t>）</w:t>
      </w:r>
    </w:p>
    <w:p>
      <w:pPr>
        <w:snapToGrid w:val="0"/>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（五）《关于印发节能产品政府采购品目清单的通知》（财库〔</w:t>
      </w:r>
      <w:r>
        <w:rPr>
          <w:rFonts w:ascii="宋体" w:hAnsi="宋体" w:eastAsia="宋体" w:cs="Times New Roman"/>
          <w:color w:val="000000"/>
          <w:kern w:val="0"/>
          <w:sz w:val="22"/>
        </w:rPr>
        <w:t>2019〕1</w:t>
      </w:r>
      <w:r>
        <w:rPr>
          <w:rFonts w:hint="eastAsia" w:ascii="宋体" w:hAnsi="宋体" w:eastAsia="宋体" w:cs="Times New Roman"/>
          <w:color w:val="000000"/>
          <w:kern w:val="0"/>
          <w:sz w:val="22"/>
        </w:rPr>
        <w:t>9</w:t>
      </w:r>
      <w:r>
        <w:rPr>
          <w:rFonts w:ascii="宋体" w:hAnsi="宋体" w:eastAsia="宋体" w:cs="Times New Roman"/>
          <w:color w:val="000000"/>
          <w:kern w:val="0"/>
          <w:sz w:val="22"/>
        </w:rPr>
        <w:t>号</w:t>
      </w:r>
      <w:r>
        <w:rPr>
          <w:rFonts w:hint="eastAsia" w:ascii="宋体" w:hAnsi="宋体" w:eastAsia="宋体" w:cs="Times New Roman"/>
          <w:color w:val="000000"/>
          <w:kern w:val="0"/>
          <w:sz w:val="22"/>
        </w:rPr>
        <w:t>）</w:t>
      </w:r>
    </w:p>
    <w:p>
      <w:pPr>
        <w:snapToGrid w:val="0"/>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（六）《关于印发环境标志产品政府采购品目清单的通知》（财库〔</w:t>
      </w:r>
      <w:r>
        <w:rPr>
          <w:rFonts w:ascii="宋体" w:hAnsi="宋体" w:eastAsia="宋体" w:cs="Times New Roman"/>
          <w:color w:val="000000"/>
          <w:kern w:val="0"/>
          <w:sz w:val="22"/>
        </w:rPr>
        <w:t>2019〕18号</w:t>
      </w:r>
      <w:r>
        <w:rPr>
          <w:rFonts w:hint="eastAsia" w:ascii="宋体" w:hAnsi="宋体" w:eastAsia="宋体" w:cs="Times New Roman"/>
          <w:color w:val="000000"/>
          <w:kern w:val="0"/>
          <w:sz w:val="22"/>
        </w:rPr>
        <w:t>）</w:t>
      </w:r>
    </w:p>
    <w:p>
      <w:pPr>
        <w:snapToGrid w:val="0"/>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（七）《市场监管总局关于发布参与实施政府采购节能产品、环境标志产品认证机构名录的公告》（</w:t>
      </w:r>
      <w:r>
        <w:rPr>
          <w:rFonts w:ascii="宋体" w:hAnsi="宋体" w:eastAsia="宋体" w:cs="Times New Roman"/>
          <w:color w:val="000000"/>
          <w:kern w:val="0"/>
          <w:sz w:val="22"/>
        </w:rPr>
        <w:t>2019年第16号</w:t>
      </w:r>
      <w:r>
        <w:rPr>
          <w:rFonts w:hint="eastAsia" w:ascii="宋体" w:hAnsi="宋体" w:eastAsia="宋体" w:cs="Times New Roman"/>
          <w:color w:val="000000"/>
          <w:kern w:val="0"/>
          <w:sz w:val="22"/>
        </w:rPr>
        <w:t>）</w:t>
      </w:r>
    </w:p>
    <w:p>
      <w:pPr>
        <w:snapToGrid w:val="0"/>
        <w:spacing w:line="460" w:lineRule="atLeast"/>
        <w:ind w:firstLine="440" w:firstLineChars="200"/>
        <w:jc w:val="center"/>
        <w:rPr>
          <w:rFonts w:ascii="宋体" w:hAnsi="宋体" w:eastAsia="宋体" w:cs="宋体"/>
          <w:color w:val="000000"/>
          <w:kern w:val="0"/>
          <w:sz w:val="22"/>
          <w:szCs w:val="20"/>
        </w:rPr>
      </w:pPr>
      <w:r>
        <w:rPr>
          <w:rFonts w:hint="eastAsia" w:ascii="宋体" w:hAnsi="宋体" w:eastAsia="宋体" w:cs="Times New Roman"/>
          <w:color w:val="000000"/>
          <w:kern w:val="0"/>
          <w:sz w:val="22"/>
        </w:rPr>
        <w:t>2</w:t>
      </w:r>
      <w:r>
        <w:rPr>
          <w:rFonts w:ascii="宋体" w:hAnsi="宋体" w:eastAsia="宋体" w:cs="Times New Roman"/>
          <w:color w:val="000000"/>
          <w:kern w:val="0"/>
          <w:sz w:val="22"/>
        </w:rPr>
        <w:t>、供应商投标货物属于节能、环保优先（强制）采购范围的，须提供相关证明材料。</w:t>
      </w:r>
    </w:p>
    <w:p>
      <w:pPr>
        <w:spacing w:line="440" w:lineRule="atLeast"/>
        <w:ind w:firstLine="480"/>
        <w:rPr>
          <w:rFonts w:ascii="宋体" w:hAnsi="宋体" w:eastAsia="宋体" w:cs="Times New Roman"/>
          <w:b/>
          <w:kern w:val="0"/>
          <w:sz w:val="24"/>
          <w:szCs w:val="24"/>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40" w:lineRule="atLeast"/>
        <w:jc w:val="both"/>
        <w:rPr>
          <w:rFonts w:ascii="宋体" w:hAnsi="宋体" w:eastAsia="宋体" w:cs="Times New Roman"/>
          <w:b/>
          <w:kern w:val="0"/>
          <w:sz w:val="32"/>
          <w:szCs w:val="32"/>
        </w:rPr>
      </w:pPr>
    </w:p>
    <w:p>
      <w:pPr>
        <w:pStyle w:val="2"/>
        <w:rPr>
          <w:rFonts w:ascii="宋体" w:hAnsi="宋体" w:eastAsia="宋体" w:cs="Times New Roman"/>
          <w:b/>
          <w:kern w:val="0"/>
          <w:sz w:val="32"/>
          <w:szCs w:val="32"/>
        </w:rPr>
      </w:pPr>
    </w:p>
    <w:p>
      <w:pPr>
        <w:pStyle w:val="3"/>
        <w:rPr>
          <w:rFonts w:ascii="宋体" w:hAnsi="宋体" w:eastAsia="宋体" w:cs="Times New Roman"/>
          <w:b/>
          <w:kern w:val="0"/>
          <w:sz w:val="32"/>
          <w:szCs w:val="32"/>
        </w:rPr>
      </w:pPr>
    </w:p>
    <w:p>
      <w:pPr>
        <w:pStyle w:val="3"/>
        <w:rPr>
          <w:rFonts w:ascii="宋体" w:hAnsi="宋体" w:eastAsia="宋体" w:cs="Times New Roman"/>
          <w:b/>
          <w:kern w:val="0"/>
          <w:sz w:val="32"/>
          <w:szCs w:val="32"/>
        </w:rPr>
      </w:pPr>
    </w:p>
    <w:p>
      <w:pPr>
        <w:pStyle w:val="3"/>
        <w:rPr>
          <w:rFonts w:ascii="宋体" w:hAnsi="宋体" w:eastAsia="宋体" w:cs="Times New Roman"/>
          <w:b/>
          <w:kern w:val="0"/>
          <w:sz w:val="32"/>
          <w:szCs w:val="32"/>
        </w:rPr>
      </w:pPr>
    </w:p>
    <w:p>
      <w:pPr>
        <w:pStyle w:val="3"/>
        <w:rPr>
          <w:rFonts w:ascii="宋体" w:hAnsi="宋体" w:eastAsia="宋体" w:cs="Times New Roman"/>
          <w:b/>
          <w:kern w:val="0"/>
          <w:sz w:val="32"/>
          <w:szCs w:val="32"/>
        </w:rPr>
      </w:pPr>
    </w:p>
    <w:p>
      <w:pPr>
        <w:spacing w:line="440" w:lineRule="atLeast"/>
        <w:ind w:firstLine="480"/>
        <w:jc w:val="center"/>
        <w:rPr>
          <w:rFonts w:ascii="宋体" w:hAnsi="宋体" w:eastAsia="宋体" w:cs="Times New Roman"/>
          <w:b/>
          <w:kern w:val="0"/>
          <w:sz w:val="32"/>
          <w:szCs w:val="32"/>
        </w:rPr>
      </w:pPr>
    </w:p>
    <w:p>
      <w:pPr>
        <w:spacing w:line="460" w:lineRule="exact"/>
        <w:jc w:val="center"/>
        <w:rPr>
          <w:rFonts w:ascii="宋体" w:hAnsi="宋体" w:eastAsia="宋体" w:cs="Times New Roman"/>
          <w:b/>
          <w:bCs/>
          <w:color w:val="000000"/>
          <w:sz w:val="36"/>
          <w:szCs w:val="36"/>
        </w:rPr>
      </w:pPr>
      <w:bookmarkStart w:id="46" w:name="_Toc494407539"/>
      <w:r>
        <w:rPr>
          <w:rFonts w:hint="eastAsia" w:ascii="宋体" w:hAnsi="宋体" w:eastAsia="宋体" w:cs="Times New Roman"/>
          <w:b/>
          <w:kern w:val="0"/>
          <w:sz w:val="28"/>
          <w:szCs w:val="28"/>
        </w:rPr>
        <w:t xml:space="preserve">第五部分  </w:t>
      </w:r>
      <w:bookmarkEnd w:id="46"/>
      <w:r>
        <w:rPr>
          <w:rFonts w:hint="eastAsia" w:ascii="宋体" w:hAnsi="宋体" w:eastAsia="宋体" w:cs="Times New Roman"/>
          <w:b/>
          <w:kern w:val="0"/>
          <w:sz w:val="28"/>
          <w:szCs w:val="28"/>
        </w:rPr>
        <w:t>合同主要条款</w:t>
      </w:r>
    </w:p>
    <w:p>
      <w:pPr>
        <w:spacing w:line="460" w:lineRule="exact"/>
        <w:jc w:val="center"/>
        <w:rPr>
          <w:rFonts w:ascii="宋体" w:hAnsi="宋体" w:eastAsia="宋体" w:cs="Times New Roman"/>
          <w:b/>
          <w:bCs/>
          <w:color w:val="000000"/>
          <w:szCs w:val="21"/>
        </w:rPr>
      </w:pPr>
    </w:p>
    <w:p>
      <w:pPr>
        <w:spacing w:line="360" w:lineRule="auto"/>
        <w:outlineLvl w:val="0"/>
        <w:rPr>
          <w:rFonts w:ascii="宋体" w:hAnsi="宋体" w:eastAsia="宋体" w:cs="Times New Roman"/>
          <w:bCs/>
          <w:color w:val="000000"/>
          <w:szCs w:val="21"/>
        </w:rPr>
      </w:pPr>
      <w:r>
        <w:rPr>
          <w:rFonts w:hint="eastAsia" w:ascii="宋体" w:hAnsi="宋体" w:eastAsia="宋体" w:cs="Times New Roman"/>
          <w:bCs/>
          <w:color w:val="000000"/>
          <w:szCs w:val="21"/>
        </w:rPr>
        <w:t>1.    定义：</w:t>
      </w:r>
    </w:p>
    <w:p>
      <w:pPr>
        <w:spacing w:line="360" w:lineRule="auto"/>
        <w:ind w:firstLine="630" w:firstLineChars="300"/>
        <w:rPr>
          <w:rFonts w:ascii="宋体" w:hAnsi="宋体" w:eastAsia="宋体" w:cs="Times New Roman"/>
          <w:color w:val="000000"/>
          <w:szCs w:val="21"/>
        </w:rPr>
      </w:pPr>
      <w:r>
        <w:rPr>
          <w:rFonts w:hint="eastAsia" w:ascii="宋体" w:hAnsi="宋体" w:eastAsia="宋体" w:cs="Times New Roman"/>
          <w:color w:val="000000"/>
          <w:szCs w:val="21"/>
        </w:rPr>
        <w:t>本合同下列述语应解释为：</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1.1 “合同”系指买卖双方签署的，合同格式中载明的买卖双方所达成的协议，包括所有的附件和构成合同的其它文件。</w:t>
      </w:r>
    </w:p>
    <w:p>
      <w:pPr>
        <w:tabs>
          <w:tab w:val="left" w:pos="720"/>
        </w:tabs>
        <w:adjustRightInd w:val="0"/>
        <w:snapToGrid w:val="0"/>
        <w:spacing w:line="360" w:lineRule="auto"/>
        <w:ind w:left="617" w:hanging="617" w:hangingChars="294"/>
        <w:rPr>
          <w:rFonts w:ascii="宋体" w:hAnsi="宋体" w:eastAsia="宋体" w:cs="Arial"/>
          <w:color w:val="000000"/>
          <w:szCs w:val="21"/>
        </w:rPr>
      </w:pPr>
      <w:r>
        <w:rPr>
          <w:rFonts w:hint="eastAsia" w:ascii="宋体" w:hAnsi="宋体" w:eastAsia="宋体" w:cs="Times New Roman"/>
          <w:bCs/>
          <w:color w:val="000000"/>
          <w:szCs w:val="21"/>
        </w:rPr>
        <w:t xml:space="preserve">1.2  </w:t>
      </w:r>
      <w:r>
        <w:rPr>
          <w:rFonts w:ascii="宋体" w:hAnsi="宋体" w:eastAsia="宋体" w:cs="Arial"/>
          <w:color w:val="000000"/>
          <w:szCs w:val="21"/>
        </w:rPr>
        <w:t>“合同价”是指根据本合同规定，卖方在正确地完全履行合同义务后买方应支付给卖方的价款（工地价）。即：货物的供货、税金、包装、运输、保险、装卸、安装调试、检验、配合验收、技术服务、售后服务、质保期保障、材料等全部费用、实行固定费用总包干。</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1.3 “货物”是指根据合同规定须向买方提供的一切设备、机械和其它材料。</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1.4 “服务”是指根据合同规定卖方承担与供货有关的辅助服务，如运输、保险以及其它的伴随服务，例如安装、调试、提供技术协助、培训和合同中规定卖方应承担的其它义务。</w:t>
      </w:r>
    </w:p>
    <w:p>
      <w:pPr>
        <w:spacing w:line="360" w:lineRule="auto"/>
        <w:ind w:left="420" w:hanging="420" w:hangingChars="200"/>
        <w:rPr>
          <w:rFonts w:ascii="宋体" w:hAnsi="宋体" w:eastAsia="宋体" w:cs="Times New Roman"/>
          <w:color w:val="000000"/>
          <w:szCs w:val="21"/>
        </w:rPr>
      </w:pPr>
      <w:r>
        <w:rPr>
          <w:rFonts w:hint="eastAsia" w:ascii="宋体" w:hAnsi="宋体" w:eastAsia="宋体" w:cs="Times New Roman"/>
          <w:color w:val="000000"/>
          <w:szCs w:val="21"/>
        </w:rPr>
        <w:t>1.5 “现场”是指合同项下货物将要进行安装运行的地点。</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1.6 “验收”是指合同双方依据规定的程序和条件确认合同项下的货物符合技术规范的要求。</w:t>
      </w:r>
    </w:p>
    <w:p>
      <w:pPr>
        <w:spacing w:line="360" w:lineRule="auto"/>
        <w:ind w:left="210" w:hanging="210" w:hangingChars="100"/>
        <w:outlineLvl w:val="0"/>
        <w:rPr>
          <w:rFonts w:ascii="宋体" w:hAnsi="宋体" w:eastAsia="宋体" w:cs="Times New Roman"/>
          <w:bCs/>
          <w:color w:val="000000"/>
          <w:szCs w:val="21"/>
        </w:rPr>
      </w:pPr>
      <w:r>
        <w:rPr>
          <w:rFonts w:hint="eastAsia" w:ascii="宋体" w:hAnsi="宋体" w:eastAsia="宋体" w:cs="Times New Roman"/>
          <w:bCs/>
          <w:color w:val="000000"/>
          <w:szCs w:val="21"/>
        </w:rPr>
        <w:t>2.    标准</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2.1   本合同项下交付的货物应符合技术规格所述的标准。如在招标文件中无相应说明，则以国家颁布的最新版本标准或行业（部）标准或相应的国际标准执行，没有国家或行业（部）标准的则按企业标准执行。</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2.2   除非技术规格中另有规定，计量单位均采用中华人民共和国法定计量单位。</w:t>
      </w:r>
    </w:p>
    <w:p>
      <w:pPr>
        <w:spacing w:line="360" w:lineRule="auto"/>
        <w:ind w:left="420" w:hanging="420" w:hangingChars="200"/>
        <w:outlineLvl w:val="0"/>
        <w:rPr>
          <w:rFonts w:ascii="宋体" w:hAnsi="宋体" w:eastAsia="宋体" w:cs="Times New Roman"/>
          <w:bCs/>
          <w:color w:val="000000"/>
          <w:szCs w:val="21"/>
        </w:rPr>
      </w:pPr>
      <w:r>
        <w:rPr>
          <w:rFonts w:hint="eastAsia" w:ascii="宋体" w:hAnsi="宋体" w:eastAsia="宋体" w:cs="Times New Roman"/>
          <w:bCs/>
          <w:color w:val="000000"/>
          <w:szCs w:val="21"/>
        </w:rPr>
        <w:t>3.    专利权</w:t>
      </w:r>
    </w:p>
    <w:p>
      <w:pPr>
        <w:spacing w:line="360" w:lineRule="auto"/>
        <w:ind w:left="594" w:hanging="594" w:hangingChars="283"/>
        <w:rPr>
          <w:rFonts w:ascii="宋体" w:hAnsi="宋体" w:eastAsia="宋体" w:cs="Times New Roman"/>
          <w:color w:val="000000"/>
          <w:szCs w:val="21"/>
        </w:rPr>
      </w:pPr>
      <w:r>
        <w:rPr>
          <w:rFonts w:hint="eastAsia" w:ascii="宋体" w:hAnsi="宋体" w:eastAsia="宋体" w:cs="Times New Roman"/>
          <w:color w:val="000000"/>
          <w:szCs w:val="21"/>
        </w:rPr>
        <w:t>3.1   卖方应保证，买方在使用该货物或货物的任何一部分时，免受第三方提出的侵犯其专利权、商标权、著作权或其它知识产权的起诉。卖方应承担由此可能产生的一切法律责任和费用。</w:t>
      </w:r>
    </w:p>
    <w:p>
      <w:pPr>
        <w:spacing w:line="360" w:lineRule="auto"/>
        <w:ind w:left="210" w:hanging="210" w:hangingChars="100"/>
        <w:outlineLvl w:val="0"/>
        <w:rPr>
          <w:rFonts w:ascii="宋体" w:hAnsi="宋体" w:eastAsia="宋体" w:cs="Times New Roman"/>
          <w:bCs/>
          <w:color w:val="000000"/>
          <w:szCs w:val="21"/>
        </w:rPr>
      </w:pPr>
      <w:r>
        <w:rPr>
          <w:rFonts w:hint="eastAsia" w:ascii="宋体" w:hAnsi="宋体" w:eastAsia="宋体" w:cs="Times New Roman"/>
          <w:bCs/>
          <w:color w:val="000000"/>
          <w:szCs w:val="21"/>
        </w:rPr>
        <w:t>4.    包装要求</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4.1   除合同另有规定外，卖方应提供货物运至合同规定的最终目的地所需要的包装，以防止货物在转运中损坏或变质。这类包装应采取防潮、防晒、防锈、防腐蚀、防震动及防止其他损坏的必要保护措施，从而保护货物能够经受多次搬运、装卸储存等并充分考虑到运输途中的各种复杂情况（例如恶劣天气）和温州地区气候特点、以及露天存放问题。卖方应承担由于其包装或其防护措施不妥而引起货物锈蚀、损坏和丢失的任何损失的责任或费用。</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4.2   每一包装箱内必须附有装箱清单、合格证和齐全的技术资料等。</w:t>
      </w:r>
    </w:p>
    <w:p>
      <w:pPr>
        <w:spacing w:line="360" w:lineRule="auto"/>
        <w:ind w:left="420" w:hanging="420" w:hangingChars="200"/>
        <w:outlineLvl w:val="0"/>
        <w:rPr>
          <w:rFonts w:ascii="宋体" w:hAnsi="宋体" w:eastAsia="宋体" w:cs="Times New Roman"/>
          <w:bCs/>
          <w:color w:val="000000"/>
          <w:szCs w:val="21"/>
        </w:rPr>
      </w:pPr>
      <w:r>
        <w:rPr>
          <w:rFonts w:hint="eastAsia" w:ascii="宋体" w:hAnsi="宋体" w:eastAsia="宋体" w:cs="Times New Roman"/>
          <w:bCs/>
          <w:color w:val="000000"/>
          <w:szCs w:val="21"/>
        </w:rPr>
        <w:t>5.    装运标记</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5.1   卖方应在每一包装箱相邻的四侧用不可擦除的油漆以醒目的中文字样标注下列标记：</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   收货人</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2）   货物名称和箱号</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3）   合同号</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4）   发货标记（唛头）</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5）   到达站或到货地点</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6）   外型尺寸（长×宽×高用厘米表示）</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7）   毛重/净重（用公斤表示）</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5.2   如果货物单件重量在2吨或2吨以上，卖方应在包装箱的两侧用中文和国际贸易通用的运输标记标注，“重心”和“吊装点”以便装卸和搬运。同时根据货物的特点和运输的不同要求，卖方还应在包装箱上清楚地标注“小心轻放”、“防潮”、“此端向上”、“请勿倒置”“保持干燥”等字样和其他国际贸易中使用的适当标志。</w:t>
      </w:r>
    </w:p>
    <w:p>
      <w:pPr>
        <w:spacing w:line="360" w:lineRule="auto"/>
        <w:ind w:left="420" w:hanging="420" w:hangingChars="200"/>
        <w:outlineLvl w:val="0"/>
        <w:rPr>
          <w:rFonts w:ascii="宋体" w:hAnsi="宋体" w:eastAsia="宋体" w:cs="Times New Roman"/>
          <w:bCs/>
          <w:color w:val="000000"/>
          <w:szCs w:val="21"/>
        </w:rPr>
      </w:pPr>
      <w:r>
        <w:rPr>
          <w:rFonts w:hint="eastAsia" w:ascii="宋体" w:hAnsi="宋体" w:eastAsia="宋体" w:cs="Times New Roman"/>
          <w:bCs/>
          <w:color w:val="000000"/>
          <w:szCs w:val="21"/>
        </w:rPr>
        <w:t>6.    交货方式：</w:t>
      </w:r>
    </w:p>
    <w:p>
      <w:pPr>
        <w:spacing w:line="360" w:lineRule="auto"/>
        <w:ind w:left="594" w:hanging="594" w:hangingChars="283"/>
        <w:rPr>
          <w:rFonts w:ascii="宋体" w:hAnsi="宋体" w:eastAsia="宋体" w:cs="Times New Roman"/>
          <w:color w:val="000000"/>
          <w:szCs w:val="21"/>
        </w:rPr>
      </w:pPr>
      <w:r>
        <w:rPr>
          <w:rFonts w:hint="eastAsia" w:ascii="宋体" w:hAnsi="宋体" w:eastAsia="宋体" w:cs="Times New Roman"/>
          <w:color w:val="000000"/>
          <w:szCs w:val="21"/>
        </w:rPr>
        <w:t>6.1   现场交货：卖方负责办理运输和保险，将货物运抵买方指定的现场并落地就位。有关运输和保险的一切费用由卖方承担。所有货物运抵现场的日期为交货日期。</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6.2   再现场交货条件下，卖方在货物发运前15天，将要发运货物的合同号、货物名称、规格、数量、包装箱件数、重量、包装箱尺寸（长×宽×高）和货物的卸车，贮存的特殊要求以及运输工具名称以及启运日期，以传真形式通知买方。</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6.3   如因卖方延误将上述内容用传真形式通知买方，由此引起的一切损失应由卖方承担。</w:t>
      </w:r>
    </w:p>
    <w:p>
      <w:pPr>
        <w:spacing w:line="360" w:lineRule="auto"/>
        <w:ind w:left="630" w:hanging="630" w:hangingChars="300"/>
        <w:outlineLvl w:val="0"/>
        <w:rPr>
          <w:rFonts w:ascii="宋体" w:hAnsi="宋体" w:eastAsia="宋体" w:cs="Times New Roman"/>
          <w:b/>
          <w:color w:val="000000"/>
          <w:szCs w:val="21"/>
        </w:rPr>
      </w:pPr>
      <w:r>
        <w:rPr>
          <w:rFonts w:hint="eastAsia" w:ascii="宋体" w:hAnsi="宋体" w:eastAsia="宋体" w:cs="Times New Roman"/>
          <w:color w:val="000000"/>
          <w:szCs w:val="21"/>
        </w:rPr>
        <w:t xml:space="preserve">7.    </w:t>
      </w:r>
      <w:r>
        <w:rPr>
          <w:rFonts w:hint="eastAsia" w:ascii="宋体" w:hAnsi="宋体" w:eastAsia="宋体" w:cs="Times New Roman"/>
          <w:b/>
          <w:color w:val="000000"/>
          <w:szCs w:val="21"/>
        </w:rPr>
        <w:t>交货地点：业主指定地点。</w:t>
      </w:r>
    </w:p>
    <w:p>
      <w:pPr>
        <w:spacing w:line="360" w:lineRule="auto"/>
        <w:ind w:left="632" w:hanging="632" w:hangingChars="300"/>
        <w:rPr>
          <w:rFonts w:ascii="宋体" w:hAnsi="宋体" w:eastAsia="宋体" w:cs="Times New Roman"/>
          <w:b/>
          <w:color w:val="000000"/>
          <w:szCs w:val="21"/>
        </w:rPr>
      </w:pPr>
      <w:r>
        <w:rPr>
          <w:rFonts w:hint="eastAsia" w:ascii="宋体" w:hAnsi="宋体" w:eastAsia="宋体" w:cs="Times New Roman"/>
          <w:b/>
          <w:color w:val="000000"/>
          <w:szCs w:val="21"/>
        </w:rPr>
        <w:t>8．   交货时间：合同</w:t>
      </w:r>
      <w:r>
        <w:rPr>
          <w:rFonts w:hint="eastAsia" w:ascii="宋体" w:hAnsi="宋体" w:eastAsia="宋体" w:cs="Times New Roman"/>
          <w:b/>
          <w:szCs w:val="21"/>
        </w:rPr>
        <w:t>生效后</w:t>
      </w:r>
      <w:r>
        <w:rPr>
          <w:rFonts w:hint="eastAsia" w:ascii="宋体" w:hAnsi="宋体" w:eastAsia="宋体" w:cs="Times New Roman"/>
          <w:b/>
          <w:szCs w:val="21"/>
          <w:lang w:val="en-US" w:eastAsia="zh-CN"/>
        </w:rPr>
        <w:t>30</w:t>
      </w:r>
      <w:r>
        <w:rPr>
          <w:rFonts w:hint="eastAsia" w:ascii="宋体" w:hAnsi="宋体" w:eastAsia="宋体" w:cs="Times New Roman"/>
          <w:b/>
          <w:szCs w:val="21"/>
        </w:rPr>
        <w:t>天内完成安装调试。</w:t>
      </w:r>
      <w:r>
        <w:rPr>
          <w:rFonts w:hint="eastAsia" w:ascii="宋体" w:hAnsi="宋体" w:eastAsia="宋体" w:cs="Times New Roman"/>
          <w:b/>
          <w:color w:val="000000"/>
          <w:szCs w:val="21"/>
        </w:rPr>
        <w:t>具体在签订合同时买方确定。货物送至采购人指定的现场地点，并负责卸货、安装调试完毕。</w:t>
      </w:r>
    </w:p>
    <w:p>
      <w:pPr>
        <w:spacing w:line="360" w:lineRule="auto"/>
        <w:ind w:left="422" w:hanging="422" w:hangingChars="200"/>
        <w:outlineLvl w:val="0"/>
        <w:rPr>
          <w:rFonts w:ascii="宋体" w:hAnsi="宋体" w:eastAsia="宋体" w:cs="Times New Roman"/>
          <w:b/>
          <w:bCs/>
          <w:color w:val="000000"/>
          <w:szCs w:val="21"/>
        </w:rPr>
      </w:pPr>
      <w:r>
        <w:rPr>
          <w:rFonts w:hint="eastAsia" w:ascii="宋体" w:hAnsi="宋体" w:eastAsia="宋体" w:cs="Times New Roman"/>
          <w:b/>
          <w:bCs/>
          <w:color w:val="000000"/>
          <w:szCs w:val="21"/>
        </w:rPr>
        <w:t>8.    付款方式</w:t>
      </w:r>
    </w:p>
    <w:p>
      <w:pPr>
        <w:spacing w:line="360" w:lineRule="auto"/>
        <w:ind w:left="628" w:leftChars="299" w:firstLine="310" w:firstLineChars="147"/>
        <w:rPr>
          <w:rFonts w:ascii="宋体" w:hAnsi="宋体" w:eastAsia="宋体" w:cs="Times New Roman"/>
          <w:b/>
          <w:color w:val="000000"/>
          <w:szCs w:val="21"/>
          <w:u w:val="single"/>
        </w:rPr>
      </w:pPr>
      <w:r>
        <w:rPr>
          <w:rFonts w:hint="eastAsia" w:ascii="宋体" w:hAnsi="宋体" w:eastAsia="宋体" w:cs="Times New Roman"/>
          <w:b/>
          <w:color w:val="000000"/>
          <w:szCs w:val="21"/>
          <w:u w:val="single"/>
        </w:rPr>
        <w:t>▲在合同签订前卖方提供合同总金额5%的履约保证金；在设备供应齐全且安装、调试完毕，经验收合格后，七日内由甲方向乙方一次性支付合同总金额100%货款；履约保证金自动转为产品质量保证金，质量保证期满24个月后无质量问题7天内一次付清（无息）。</w:t>
      </w:r>
    </w:p>
    <w:p>
      <w:pPr>
        <w:adjustRightInd w:val="0"/>
        <w:snapToGrid w:val="0"/>
        <w:spacing w:line="360" w:lineRule="auto"/>
        <w:outlineLvl w:val="0"/>
        <w:rPr>
          <w:rFonts w:ascii="宋体" w:hAnsi="宋体" w:eastAsia="宋体" w:cs="Times New Roman"/>
          <w:bCs/>
          <w:color w:val="000000"/>
          <w:szCs w:val="21"/>
        </w:rPr>
      </w:pPr>
      <w:r>
        <w:rPr>
          <w:rFonts w:hint="eastAsia" w:ascii="宋体" w:hAnsi="宋体" w:eastAsia="宋体" w:cs="Times New Roman"/>
          <w:bCs/>
          <w:color w:val="000000"/>
          <w:szCs w:val="21"/>
        </w:rPr>
        <w:t>9.    技术文件和资料</w:t>
      </w:r>
    </w:p>
    <w:p>
      <w:pPr>
        <w:spacing w:line="360" w:lineRule="auto"/>
        <w:ind w:left="630" w:hanging="630" w:hangingChars="300"/>
        <w:rPr>
          <w:rFonts w:ascii="宋体" w:hAnsi="宋体" w:eastAsia="宋体" w:cs="Times New Roman"/>
          <w:b/>
          <w:bCs/>
          <w:color w:val="000000"/>
          <w:szCs w:val="21"/>
        </w:rPr>
      </w:pPr>
      <w:r>
        <w:rPr>
          <w:rFonts w:hint="eastAsia" w:ascii="宋体" w:hAnsi="宋体" w:eastAsia="宋体" w:cs="Times New Roman"/>
          <w:color w:val="000000"/>
          <w:szCs w:val="21"/>
        </w:rPr>
        <w:t>9.1   提供技术文件和资料的种类和数量在本招标文件第五部分《招标内容及要求》中规定，买卖双方可根据采购要求和需要订立具体的技术文件和资料交付时间和数量。</w:t>
      </w:r>
    </w:p>
    <w:p>
      <w:pPr>
        <w:spacing w:line="360" w:lineRule="auto"/>
        <w:ind w:left="630" w:hanging="630" w:hangingChars="300"/>
        <w:rPr>
          <w:rFonts w:ascii="宋体" w:hAnsi="宋体" w:eastAsia="宋体" w:cs="Times New Roman"/>
          <w:b/>
          <w:bCs/>
          <w:color w:val="000000"/>
          <w:szCs w:val="21"/>
        </w:rPr>
      </w:pPr>
      <w:r>
        <w:rPr>
          <w:rFonts w:hint="eastAsia" w:ascii="宋体" w:hAnsi="宋体" w:eastAsia="宋体" w:cs="Times New Roman"/>
          <w:color w:val="000000"/>
          <w:szCs w:val="21"/>
        </w:rPr>
        <w:t>9.2   如果买方确认卖方提供的技术文件和资料不完整，或在运输途中丢失，卖方应在收到买方通知后3天内将这些文件、资料补齐。</w:t>
      </w:r>
    </w:p>
    <w:p>
      <w:pPr>
        <w:spacing w:line="360" w:lineRule="auto"/>
        <w:ind w:left="267" w:hanging="266" w:hangingChars="127"/>
        <w:outlineLvl w:val="0"/>
        <w:rPr>
          <w:rFonts w:ascii="宋体" w:hAnsi="宋体" w:eastAsia="宋体" w:cs="Times New Roman"/>
          <w:bCs/>
          <w:color w:val="000000"/>
          <w:szCs w:val="21"/>
        </w:rPr>
      </w:pPr>
      <w:r>
        <w:rPr>
          <w:rFonts w:hint="eastAsia" w:ascii="宋体" w:hAnsi="宋体" w:eastAsia="宋体" w:cs="Times New Roman"/>
          <w:bCs/>
          <w:color w:val="000000"/>
          <w:szCs w:val="21"/>
        </w:rPr>
        <w:t>10.   质量保证</w:t>
      </w:r>
    </w:p>
    <w:p>
      <w:pPr>
        <w:spacing w:line="360" w:lineRule="auto"/>
        <w:ind w:left="630" w:hanging="630" w:hangingChars="300"/>
        <w:rPr>
          <w:rFonts w:ascii="宋体" w:hAnsi="宋体" w:eastAsia="宋体" w:cs="Times New Roman"/>
          <w:b/>
          <w:bCs/>
          <w:color w:val="000000"/>
          <w:szCs w:val="21"/>
        </w:rPr>
      </w:pPr>
      <w:r>
        <w:rPr>
          <w:rFonts w:hint="eastAsia" w:ascii="宋体" w:hAnsi="宋体" w:eastAsia="宋体" w:cs="Times New Roman"/>
          <w:color w:val="000000"/>
          <w:szCs w:val="21"/>
        </w:rPr>
        <w:t>10.1  卖方所提供的货物应保证是企业原厂生产的产品而不是其他地方生产的、全新的、未使用过的，是原包装未拆封的，是用一流的工艺和最佳材料制造而成的，并完全符合合同规定的质量、规格和性能要求。卖方应保证所提供的货物经正确安装、正常运转和保养，在其使用寿命期内应具有使买方满意的性能，并且确保一次性通过各项检验和测试。在货物质量保证期内，卖方应对由于设计、工艺、材料和配套件的缺陷所产生的任何不足或故障负责。</w:t>
      </w:r>
    </w:p>
    <w:p>
      <w:pPr>
        <w:spacing w:line="360" w:lineRule="auto"/>
        <w:ind w:left="630" w:hanging="630" w:hangingChars="300"/>
        <w:rPr>
          <w:rFonts w:ascii="宋体" w:hAnsi="宋体" w:eastAsia="宋体" w:cs="Times New Roman"/>
          <w:b/>
          <w:bCs/>
          <w:color w:val="000000"/>
          <w:szCs w:val="21"/>
        </w:rPr>
      </w:pPr>
      <w:r>
        <w:rPr>
          <w:rFonts w:hint="eastAsia" w:ascii="宋体" w:hAnsi="宋体" w:eastAsia="宋体" w:cs="Times New Roman"/>
          <w:color w:val="000000"/>
          <w:szCs w:val="21"/>
        </w:rPr>
        <w:t>10.2  根据买方按检验标准检验的结果或当地质检部门检验的结果，或者在质量保证期内，如果货物的数量、质量或规格与合同不符，或证实货物是有缺陷的，包括潜在的缺陷或使用不符合要求的材料等，买方应尽快以书面形式通知卖方，提出索赔。卖方在收到通知后，应在规定期限内，用与投标时采用的零件、部件或材料来更换有缺陷的或不符合要求的零件、部件或材料，同时相应延长质量保证期。</w:t>
      </w:r>
    </w:p>
    <w:p>
      <w:pPr>
        <w:spacing w:line="360" w:lineRule="auto"/>
        <w:ind w:left="630" w:hanging="630" w:hangingChars="300"/>
        <w:rPr>
          <w:rFonts w:ascii="宋体" w:hAnsi="宋体" w:eastAsia="宋体" w:cs="Times New Roman"/>
          <w:color w:val="000000"/>
          <w:szCs w:val="21"/>
          <w:u w:val="single"/>
        </w:rPr>
      </w:pPr>
      <w:r>
        <w:rPr>
          <w:rFonts w:hint="eastAsia" w:ascii="宋体" w:hAnsi="宋体" w:eastAsia="宋体" w:cs="Times New Roman"/>
          <w:color w:val="000000"/>
          <w:szCs w:val="21"/>
        </w:rPr>
        <w:t xml:space="preserve">10.3  </w:t>
      </w:r>
      <w:r>
        <w:rPr>
          <w:rFonts w:hint="eastAsia" w:ascii="宋体" w:hAnsi="宋体" w:eastAsia="宋体" w:cs="Times New Roman"/>
          <w:bCs/>
          <w:color w:val="000000"/>
          <w:szCs w:val="21"/>
          <w:u w:val="single"/>
        </w:rPr>
        <w:t>▲</w:t>
      </w:r>
      <w:r>
        <w:rPr>
          <w:rFonts w:hint="eastAsia" w:ascii="宋体" w:hAnsi="宋体" w:eastAsia="宋体" w:cs="Times New Roman"/>
          <w:color w:val="000000"/>
          <w:szCs w:val="21"/>
          <w:u w:val="single"/>
        </w:rPr>
        <w:t>本合同项下货物质量保证期为向买方移交，通过最终验收之日起2年（24个月）（设备另有超过质保期规定的按原规定执行），在保修期内所产生的相关费用由卖方承担，合同内的所有产品要求卖方提供上门服务（招标文件另有规定除外）。</w:t>
      </w:r>
    </w:p>
    <w:p>
      <w:pPr>
        <w:spacing w:line="360" w:lineRule="auto"/>
        <w:ind w:left="630" w:hanging="630" w:hangingChars="300"/>
        <w:outlineLvl w:val="0"/>
        <w:rPr>
          <w:rFonts w:ascii="宋体" w:hAnsi="宋体" w:eastAsia="宋体" w:cs="Times New Roman"/>
          <w:bCs/>
          <w:color w:val="000000"/>
          <w:szCs w:val="21"/>
        </w:rPr>
      </w:pPr>
      <w:r>
        <w:rPr>
          <w:rFonts w:hint="eastAsia" w:ascii="宋体" w:hAnsi="宋体" w:eastAsia="宋体" w:cs="Times New Roman"/>
          <w:bCs/>
          <w:color w:val="000000"/>
          <w:szCs w:val="21"/>
        </w:rPr>
        <w:t>11.   卖方履约延误</w:t>
      </w:r>
    </w:p>
    <w:p>
      <w:pPr>
        <w:spacing w:line="360" w:lineRule="auto"/>
        <w:ind w:left="420" w:hanging="420" w:hangingChars="200"/>
        <w:rPr>
          <w:rFonts w:ascii="宋体" w:hAnsi="宋体" w:eastAsia="宋体" w:cs="Times New Roman"/>
          <w:color w:val="000000"/>
          <w:szCs w:val="21"/>
        </w:rPr>
      </w:pPr>
      <w:r>
        <w:rPr>
          <w:rFonts w:hint="eastAsia" w:ascii="宋体" w:hAnsi="宋体" w:eastAsia="宋体" w:cs="Times New Roman"/>
          <w:color w:val="000000"/>
          <w:szCs w:val="21"/>
        </w:rPr>
        <w:t>11.1  卖方应按照合同规定的时间交货和提供服务。</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11.2  在履行合同过程中，如果卖方遇到妨碍按时交货和提供服务的情况时，应及时以书面形式将延误的事实、可能拖延的时间和原因通知买方。买方在收到卖方通知后，应尽快对情况进行分析评价，并确定是否同意延长交货时间以及是否收取误期赔偿费。延期应通过 修改合同的方式由双方认可。</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11.3  除了合同条款中不可抗力的情况外，除买方同意延误并不收赔偿费外，卖方延误交货或提供服务将按合同条款12条规定被收取误期赔偿费。</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11.4  所有提供的设备交货、安装、调试及验收都应服从买方的统一安排。</w:t>
      </w:r>
    </w:p>
    <w:p>
      <w:pPr>
        <w:spacing w:line="360" w:lineRule="auto"/>
        <w:ind w:left="420" w:hanging="420" w:hangingChars="200"/>
        <w:outlineLvl w:val="0"/>
        <w:rPr>
          <w:rFonts w:ascii="宋体" w:hAnsi="宋体" w:eastAsia="宋体" w:cs="Times New Roman"/>
          <w:bCs/>
          <w:color w:val="000000"/>
          <w:szCs w:val="21"/>
        </w:rPr>
      </w:pPr>
      <w:r>
        <w:rPr>
          <w:rFonts w:hint="eastAsia" w:ascii="宋体" w:hAnsi="宋体" w:eastAsia="宋体" w:cs="Times New Roman"/>
          <w:bCs/>
          <w:color w:val="000000"/>
          <w:szCs w:val="21"/>
        </w:rPr>
        <w:t>12.   误期赔偿费</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12.1  除不可抗力外，如果卖方没有按照合同规定的时间交货和提供服务，买方应在不影响合同项下的其他补救措施的情况下，从合同价款中扣除误期赔偿费。每延误一周的赔偿费按迟交货物交货价或未提供服务的服务费用的百分之零点五（0.5%</w:t>
      </w:r>
      <w:r>
        <w:rPr>
          <w:rFonts w:ascii="宋体" w:hAnsi="宋体" w:eastAsia="宋体" w:cs="Times New Roman"/>
          <w:color w:val="000000"/>
          <w:szCs w:val="21"/>
        </w:rPr>
        <w:t>）</w:t>
      </w:r>
      <w:r>
        <w:rPr>
          <w:rFonts w:hint="eastAsia" w:ascii="宋体" w:hAnsi="宋体" w:eastAsia="宋体" w:cs="Times New Roman"/>
          <w:color w:val="000000"/>
          <w:szCs w:val="21"/>
        </w:rPr>
        <w:t>计收，直至交货或提供服务为止。误期赔偿费最高限额为合同价的百分之五（5%）。一旦延到误期赔偿费的最高限额，买方可考虑终止合同。</w:t>
      </w:r>
    </w:p>
    <w:p>
      <w:pPr>
        <w:spacing w:line="360" w:lineRule="auto"/>
        <w:ind w:left="420" w:hanging="420" w:hangingChars="200"/>
        <w:outlineLvl w:val="0"/>
        <w:rPr>
          <w:rFonts w:ascii="宋体" w:hAnsi="宋体" w:eastAsia="宋体" w:cs="Times New Roman"/>
          <w:bCs/>
          <w:color w:val="000000"/>
          <w:szCs w:val="21"/>
        </w:rPr>
      </w:pPr>
      <w:r>
        <w:rPr>
          <w:rFonts w:hint="eastAsia" w:ascii="宋体" w:hAnsi="宋体" w:eastAsia="宋体" w:cs="Times New Roman"/>
          <w:bCs/>
          <w:color w:val="000000"/>
          <w:szCs w:val="21"/>
        </w:rPr>
        <w:t>13.   不可抗力</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13.1  如果双方中任何一方由于战争、严重火灾、水灾、破坏性台风和地震以及其它经双方同意属不可抗力的事故，致使合同履行受阻时，履行合同期限应予延长，延长时限应相当于事故所影响的时间，或双方协商解决。</w:t>
      </w:r>
    </w:p>
    <w:p>
      <w:pPr>
        <w:spacing w:line="360" w:lineRule="auto"/>
        <w:ind w:left="420" w:hanging="420" w:hangingChars="200"/>
        <w:outlineLvl w:val="0"/>
        <w:rPr>
          <w:rFonts w:ascii="宋体" w:hAnsi="宋体" w:eastAsia="宋体" w:cs="Times New Roman"/>
          <w:bCs/>
          <w:color w:val="000000"/>
          <w:szCs w:val="21"/>
        </w:rPr>
      </w:pPr>
      <w:r>
        <w:rPr>
          <w:rFonts w:hint="eastAsia" w:ascii="宋体" w:hAnsi="宋体" w:eastAsia="宋体" w:cs="Times New Roman"/>
          <w:bCs/>
          <w:color w:val="000000"/>
          <w:szCs w:val="21"/>
        </w:rPr>
        <w:t>14.   税费</w:t>
      </w:r>
    </w:p>
    <w:p>
      <w:pPr>
        <w:spacing w:line="360" w:lineRule="auto"/>
        <w:ind w:left="420" w:hanging="420" w:hangingChars="200"/>
        <w:rPr>
          <w:rFonts w:ascii="宋体" w:hAnsi="宋体" w:eastAsia="宋体" w:cs="Times New Roman"/>
          <w:color w:val="000000"/>
          <w:szCs w:val="21"/>
        </w:rPr>
      </w:pPr>
      <w:r>
        <w:rPr>
          <w:rFonts w:hint="eastAsia" w:ascii="宋体" w:hAnsi="宋体" w:eastAsia="宋体" w:cs="Times New Roman"/>
          <w:color w:val="000000"/>
          <w:szCs w:val="21"/>
        </w:rPr>
        <w:t>14.1  根据国家现行税法对买方征收的与本合同有关的一切费用由买方承担。</w:t>
      </w:r>
    </w:p>
    <w:p>
      <w:pPr>
        <w:spacing w:line="360" w:lineRule="auto"/>
        <w:ind w:left="462" w:hanging="462" w:hangingChars="220"/>
        <w:rPr>
          <w:rFonts w:ascii="宋体" w:hAnsi="宋体" w:eastAsia="宋体" w:cs="Times New Roman"/>
          <w:color w:val="000000"/>
          <w:szCs w:val="21"/>
        </w:rPr>
      </w:pPr>
      <w:r>
        <w:rPr>
          <w:rFonts w:hint="eastAsia" w:ascii="宋体" w:hAnsi="宋体" w:eastAsia="宋体" w:cs="Times New Roman"/>
          <w:color w:val="000000"/>
          <w:szCs w:val="21"/>
        </w:rPr>
        <w:t>14.2  根据现行税法对卖方征收的与本合同有关的一切税费均由卖方承担。</w:t>
      </w:r>
    </w:p>
    <w:p>
      <w:pPr>
        <w:spacing w:line="360" w:lineRule="auto"/>
        <w:ind w:left="420" w:hanging="420" w:hangingChars="200"/>
        <w:rPr>
          <w:rFonts w:ascii="宋体" w:hAnsi="宋体" w:eastAsia="宋体" w:cs="Times New Roman"/>
          <w:color w:val="000000"/>
          <w:szCs w:val="21"/>
        </w:rPr>
      </w:pPr>
      <w:r>
        <w:rPr>
          <w:rFonts w:hint="eastAsia" w:ascii="宋体" w:hAnsi="宋体" w:eastAsia="宋体" w:cs="Times New Roman"/>
          <w:color w:val="000000"/>
          <w:szCs w:val="21"/>
        </w:rPr>
        <w:t>14.3  在中国境外发生的与本合同执行有关的一切税费由卖方承担。</w:t>
      </w:r>
    </w:p>
    <w:p>
      <w:pPr>
        <w:spacing w:line="360" w:lineRule="auto"/>
        <w:outlineLvl w:val="0"/>
        <w:rPr>
          <w:rFonts w:ascii="宋体" w:hAnsi="宋体" w:eastAsia="宋体" w:cs="Times New Roman"/>
          <w:bCs/>
          <w:color w:val="000000"/>
          <w:szCs w:val="21"/>
        </w:rPr>
      </w:pPr>
      <w:r>
        <w:rPr>
          <w:rFonts w:hint="eastAsia" w:ascii="宋体" w:hAnsi="宋体" w:eastAsia="宋体" w:cs="Times New Roman"/>
          <w:bCs/>
          <w:color w:val="000000"/>
          <w:szCs w:val="21"/>
        </w:rPr>
        <w:t>15.   违约终止合同</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15.1  买方在卖方违约的情况下，如果发生下列情况之一，可考虑终止部分或全部合同：</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 卖方未能在合同规定的期限内或买方同意延长的期限内提供全部或部分货物；</w:t>
      </w:r>
    </w:p>
    <w:p>
      <w:pPr>
        <w:spacing w:line="360" w:lineRule="auto"/>
        <w:ind w:left="647" w:leftChars="8" w:hanging="630" w:hangingChars="300"/>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pacing w:val="40"/>
          <w:szCs w:val="21"/>
        </w:rPr>
        <w:t>）</w:t>
      </w:r>
      <w:r>
        <w:rPr>
          <w:rFonts w:hint="eastAsia" w:ascii="宋体" w:hAnsi="宋体" w:eastAsia="宋体" w:cs="Times New Roman"/>
          <w:color w:val="000000"/>
          <w:szCs w:val="21"/>
        </w:rPr>
        <w:t>卖方未能履行合同规定的任何其他义务。卖方在收到买方发出的违约通知后30天内，或经买方书面认可延长的时间内未能纠正其过失。买方可向卖方发出书面通知，终止部分或合同全部，通知到达卖方时合同即行解除。在这种情况下，并不影响买方向卖方提出的索赔。</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15.2  如果买方根据上述第15.1条的规定，终止了全部或部分合同，买方可以依其认为适当的条件和方法购买与未交货物类似的货物或服务，卖方应承担买方因购买类似货物或服务而产生的额外支出。但是，卖方应继续执行合同中未终止的部分。</w:t>
      </w:r>
    </w:p>
    <w:p>
      <w:pPr>
        <w:spacing w:line="360" w:lineRule="auto"/>
        <w:ind w:left="420" w:hanging="420" w:hangingChars="200"/>
        <w:outlineLvl w:val="0"/>
        <w:rPr>
          <w:rFonts w:ascii="宋体" w:hAnsi="宋体" w:eastAsia="宋体" w:cs="Times New Roman"/>
          <w:color w:val="000000"/>
          <w:szCs w:val="21"/>
        </w:rPr>
      </w:pPr>
      <w:r>
        <w:rPr>
          <w:rFonts w:hint="eastAsia" w:ascii="宋体" w:hAnsi="宋体" w:eastAsia="宋体" w:cs="Times New Roman"/>
          <w:color w:val="000000"/>
          <w:szCs w:val="21"/>
        </w:rPr>
        <w:t>16.   双方责任</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16.1  买方</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 按合同规定向卖方支付货款。</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（2） 组织对货物的验收。</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16.2  卖方</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 按合同要求提供货物和服务。</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（2） 对所提供的货物和服务质量问题无条件负责处理。</w:t>
      </w:r>
    </w:p>
    <w:p>
      <w:pPr>
        <w:spacing w:line="360" w:lineRule="auto"/>
        <w:ind w:left="420" w:hanging="420" w:hangingChars="200"/>
        <w:outlineLvl w:val="0"/>
        <w:rPr>
          <w:rFonts w:ascii="宋体" w:hAnsi="宋体" w:eastAsia="宋体" w:cs="Times New Roman"/>
          <w:color w:val="000000"/>
          <w:szCs w:val="21"/>
        </w:rPr>
      </w:pPr>
      <w:r>
        <w:rPr>
          <w:rFonts w:hint="eastAsia" w:ascii="宋体" w:hAnsi="宋体" w:eastAsia="宋体" w:cs="Times New Roman"/>
          <w:color w:val="000000"/>
          <w:szCs w:val="21"/>
        </w:rPr>
        <w:t>17.   争端的解决</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17.1  合同实施或与合同有关的一切争端，买卖双方应通过友好协商解决，如果协商仍得不到解决，任何一方可向履行合同所在地或合同签约地的仲裁机构申请调解或仲裁。</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17.2  仲裁裁决应为最终裁决，对双方均有约束力。</w:t>
      </w:r>
    </w:p>
    <w:p>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17.3  仲裁费用除仲裁机构另有裁决外应由败诉方承担。</w:t>
      </w:r>
    </w:p>
    <w:p>
      <w:pPr>
        <w:spacing w:line="360" w:lineRule="auto"/>
        <w:ind w:left="525" w:hanging="525" w:hangingChars="250"/>
        <w:rPr>
          <w:rFonts w:ascii="宋体" w:hAnsi="宋体" w:eastAsia="宋体" w:cs="Times New Roman"/>
          <w:color w:val="000000"/>
          <w:szCs w:val="21"/>
        </w:rPr>
      </w:pPr>
      <w:r>
        <w:rPr>
          <w:rFonts w:hint="eastAsia" w:ascii="宋体" w:hAnsi="宋体" w:eastAsia="宋体" w:cs="Times New Roman"/>
          <w:color w:val="000000"/>
          <w:szCs w:val="21"/>
        </w:rPr>
        <w:t>17.4  在仲裁期间，除正在执行仲裁的部分外，本合同的其他部分应继续执行。</w:t>
      </w:r>
    </w:p>
    <w:p>
      <w:pPr>
        <w:spacing w:line="360" w:lineRule="auto"/>
        <w:outlineLvl w:val="0"/>
        <w:rPr>
          <w:rFonts w:ascii="宋体" w:hAnsi="宋体" w:eastAsia="宋体" w:cs="Times New Roman"/>
          <w:bCs/>
          <w:color w:val="000000"/>
          <w:szCs w:val="21"/>
        </w:rPr>
      </w:pPr>
      <w:r>
        <w:rPr>
          <w:rFonts w:hint="eastAsia" w:ascii="宋体" w:hAnsi="宋体" w:eastAsia="宋体" w:cs="Times New Roman"/>
          <w:bCs/>
          <w:color w:val="000000"/>
          <w:szCs w:val="21"/>
        </w:rPr>
        <w:t>18.   转让和分包及产品不可替代</w:t>
      </w:r>
    </w:p>
    <w:p>
      <w:pPr>
        <w:spacing w:line="360" w:lineRule="auto"/>
        <w:ind w:left="683" w:hanging="682" w:hangingChars="325"/>
        <w:rPr>
          <w:rFonts w:ascii="宋体" w:hAnsi="宋体" w:eastAsia="宋体" w:cs="Times New Roman"/>
          <w:color w:val="000000"/>
          <w:szCs w:val="21"/>
        </w:rPr>
      </w:pPr>
      <w:r>
        <w:rPr>
          <w:rFonts w:hint="eastAsia" w:ascii="宋体" w:hAnsi="宋体" w:eastAsia="宋体" w:cs="Times New Roman"/>
          <w:color w:val="000000"/>
          <w:szCs w:val="21"/>
        </w:rPr>
        <w:t>18.1  未经买方事先书面同意，卖方不得部分转让或全部转让和分包其履行合同的义务。</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18.2  产品不可替代，卖方在没有取得买方的书面授权的情况下，不得将合同货物的生产制造转交其他生产厂商或以其他厂商的产品替代。</w:t>
      </w:r>
    </w:p>
    <w:p>
      <w:pPr>
        <w:spacing w:line="360" w:lineRule="auto"/>
        <w:ind w:left="420" w:hanging="420" w:hangingChars="200"/>
        <w:outlineLvl w:val="0"/>
        <w:rPr>
          <w:rFonts w:ascii="宋体" w:hAnsi="宋体" w:eastAsia="宋体" w:cs="Times New Roman"/>
          <w:bCs/>
          <w:color w:val="000000"/>
          <w:szCs w:val="21"/>
        </w:rPr>
      </w:pPr>
      <w:r>
        <w:rPr>
          <w:rFonts w:hint="eastAsia" w:ascii="宋体" w:hAnsi="宋体" w:eastAsia="宋体" w:cs="Times New Roman"/>
          <w:bCs/>
          <w:color w:val="000000"/>
          <w:szCs w:val="21"/>
        </w:rPr>
        <w:t>19.   适用法律</w:t>
      </w:r>
    </w:p>
    <w:p>
      <w:pPr>
        <w:spacing w:line="360" w:lineRule="auto"/>
        <w:ind w:firstLine="630" w:firstLineChars="300"/>
        <w:rPr>
          <w:rFonts w:ascii="宋体" w:hAnsi="宋体" w:eastAsia="宋体" w:cs="Times New Roman"/>
          <w:color w:val="000000"/>
          <w:szCs w:val="21"/>
        </w:rPr>
      </w:pPr>
      <w:r>
        <w:rPr>
          <w:rFonts w:hint="eastAsia" w:ascii="宋体" w:hAnsi="宋体" w:eastAsia="宋体" w:cs="Times New Roman"/>
          <w:color w:val="000000"/>
          <w:szCs w:val="21"/>
        </w:rPr>
        <w:t>本合同按照中华人民共和国的法律进行解释。</w:t>
      </w:r>
    </w:p>
    <w:p>
      <w:pPr>
        <w:spacing w:line="360" w:lineRule="auto"/>
        <w:ind w:left="420" w:hanging="420" w:hangingChars="200"/>
        <w:outlineLvl w:val="0"/>
        <w:rPr>
          <w:rFonts w:ascii="宋体" w:hAnsi="宋体" w:eastAsia="宋体" w:cs="Times New Roman"/>
          <w:bCs/>
          <w:color w:val="000000"/>
          <w:szCs w:val="21"/>
        </w:rPr>
      </w:pPr>
      <w:r>
        <w:rPr>
          <w:rFonts w:hint="eastAsia" w:ascii="宋体" w:hAnsi="宋体" w:eastAsia="宋体" w:cs="Times New Roman"/>
          <w:bCs/>
          <w:color w:val="000000"/>
          <w:szCs w:val="21"/>
        </w:rPr>
        <w:t>20.   合同生效及其他</w:t>
      </w:r>
    </w:p>
    <w:p>
      <w:pPr>
        <w:spacing w:line="360" w:lineRule="auto"/>
        <w:ind w:left="535" w:hanging="535" w:hangingChars="255"/>
        <w:rPr>
          <w:rFonts w:ascii="宋体" w:hAnsi="宋体" w:eastAsia="宋体" w:cs="Times New Roman"/>
          <w:color w:val="000000"/>
          <w:szCs w:val="21"/>
        </w:rPr>
      </w:pPr>
      <w:r>
        <w:rPr>
          <w:rFonts w:hint="eastAsia" w:ascii="宋体" w:hAnsi="宋体" w:eastAsia="宋体" w:cs="Times New Roman"/>
          <w:color w:val="000000"/>
          <w:szCs w:val="21"/>
        </w:rPr>
        <w:t>20.1  合同应在双方签字盖章后开始生效。</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20.2  合同一式肆份，（其中正本贰份，副本贰份）双方各执贰份，具有同等效力，合同签订后，卖方应将合同发送至代理公司进行网上备案。</w:t>
      </w:r>
    </w:p>
    <w:p>
      <w:pPr>
        <w:spacing w:line="360" w:lineRule="auto"/>
        <w:ind w:left="630" w:hanging="630" w:hangingChars="300"/>
        <w:rPr>
          <w:rFonts w:ascii="宋体" w:hAnsi="宋体" w:eastAsia="宋体" w:cs="Times New Roman"/>
          <w:color w:val="000000"/>
          <w:szCs w:val="21"/>
        </w:rPr>
      </w:pPr>
      <w:r>
        <w:rPr>
          <w:rFonts w:hint="eastAsia" w:ascii="宋体" w:hAnsi="宋体" w:eastAsia="宋体" w:cs="Times New Roman"/>
          <w:color w:val="000000"/>
          <w:szCs w:val="21"/>
        </w:rPr>
        <w:t>20.3  如需修改或补充合同内容，经协商，双方应签署书面修改或补充协议，该协议将作为本合同的一个组成部分。</w:t>
      </w:r>
    </w:p>
    <w:p>
      <w:pPr>
        <w:autoSpaceDE w:val="0"/>
        <w:autoSpaceDN w:val="0"/>
        <w:adjustRightInd w:val="0"/>
        <w:snapToGrid w:val="0"/>
        <w:spacing w:line="454" w:lineRule="atLeast"/>
        <w:jc w:val="center"/>
        <w:textAlignment w:val="bottom"/>
        <w:outlineLvl w:val="0"/>
        <w:rPr>
          <w:rFonts w:ascii="宋体" w:hAnsi="宋体" w:eastAsia="宋体" w:cs="Times New Roman"/>
          <w:kern w:val="0"/>
          <w:sz w:val="28"/>
          <w:szCs w:val="28"/>
          <w:lang w:val="zh-CN"/>
        </w:rPr>
      </w:pPr>
    </w:p>
    <w:p>
      <w:pPr>
        <w:autoSpaceDE w:val="0"/>
        <w:autoSpaceDN w:val="0"/>
        <w:adjustRightInd w:val="0"/>
        <w:spacing w:line="360" w:lineRule="exact"/>
        <w:jc w:val="center"/>
        <w:rPr>
          <w:rFonts w:ascii="宋体" w:hAnsi="宋体" w:eastAsia="宋体" w:cs="Times New Roman"/>
          <w:kern w:val="0"/>
          <w:sz w:val="36"/>
          <w:szCs w:val="20"/>
          <w:lang w:val="zh-CN"/>
        </w:rPr>
      </w:pPr>
    </w:p>
    <w:p>
      <w:pPr>
        <w:autoSpaceDE w:val="0"/>
        <w:autoSpaceDN w:val="0"/>
        <w:adjustRightInd w:val="0"/>
        <w:spacing w:line="360" w:lineRule="exact"/>
        <w:jc w:val="center"/>
        <w:rPr>
          <w:rFonts w:hint="eastAsia" w:ascii="宋体" w:hAnsi="宋体" w:eastAsia="宋体" w:cs="Times New Roman"/>
          <w:kern w:val="0"/>
          <w:sz w:val="36"/>
          <w:szCs w:val="20"/>
          <w:lang w:val="zh-CN"/>
        </w:rPr>
      </w:pPr>
    </w:p>
    <w:p>
      <w:pPr>
        <w:autoSpaceDE w:val="0"/>
        <w:autoSpaceDN w:val="0"/>
        <w:adjustRightInd w:val="0"/>
        <w:spacing w:line="360" w:lineRule="exact"/>
        <w:jc w:val="center"/>
        <w:rPr>
          <w:rFonts w:ascii="宋体" w:hAnsi="宋体" w:eastAsia="宋体" w:cs="Times New Roman"/>
          <w:kern w:val="0"/>
          <w:sz w:val="36"/>
          <w:szCs w:val="20"/>
          <w:lang w:val="zh-CN"/>
        </w:rPr>
      </w:pPr>
    </w:p>
    <w:p>
      <w:pPr>
        <w:autoSpaceDE w:val="0"/>
        <w:autoSpaceDN w:val="0"/>
        <w:adjustRightInd w:val="0"/>
        <w:spacing w:line="360" w:lineRule="exact"/>
        <w:jc w:val="center"/>
        <w:rPr>
          <w:rFonts w:ascii="宋体" w:hAnsi="宋体" w:eastAsia="宋体" w:cs="Times New Roman"/>
          <w:kern w:val="0"/>
          <w:sz w:val="36"/>
          <w:szCs w:val="20"/>
          <w:lang w:val="zh-CN"/>
        </w:rPr>
      </w:pPr>
    </w:p>
    <w:p>
      <w:pPr>
        <w:autoSpaceDE w:val="0"/>
        <w:autoSpaceDN w:val="0"/>
        <w:adjustRightInd w:val="0"/>
        <w:spacing w:line="360" w:lineRule="exact"/>
        <w:jc w:val="center"/>
        <w:rPr>
          <w:rFonts w:ascii="宋体" w:hAnsi="宋体" w:eastAsia="宋体" w:cs="Times New Roman"/>
          <w:kern w:val="0"/>
          <w:sz w:val="36"/>
          <w:szCs w:val="20"/>
          <w:lang w:val="zh-CN"/>
        </w:rPr>
      </w:pPr>
    </w:p>
    <w:p>
      <w:pPr>
        <w:autoSpaceDE w:val="0"/>
        <w:autoSpaceDN w:val="0"/>
        <w:adjustRightInd w:val="0"/>
        <w:spacing w:line="360" w:lineRule="exact"/>
        <w:jc w:val="center"/>
        <w:rPr>
          <w:rFonts w:ascii="宋体" w:hAnsi="宋体" w:eastAsia="宋体" w:cs="Times New Roman"/>
          <w:kern w:val="0"/>
          <w:sz w:val="36"/>
          <w:szCs w:val="20"/>
          <w:lang w:val="zh-CN"/>
        </w:rPr>
      </w:pPr>
    </w:p>
    <w:p>
      <w:pPr>
        <w:autoSpaceDE w:val="0"/>
        <w:autoSpaceDN w:val="0"/>
        <w:adjustRightInd w:val="0"/>
        <w:spacing w:line="360" w:lineRule="exact"/>
        <w:jc w:val="center"/>
        <w:rPr>
          <w:rFonts w:ascii="宋体" w:hAnsi="宋体" w:eastAsia="宋体" w:cs="Times New Roman"/>
          <w:kern w:val="0"/>
          <w:sz w:val="36"/>
          <w:szCs w:val="20"/>
          <w:lang w:val="zh-CN"/>
        </w:rPr>
      </w:pPr>
    </w:p>
    <w:p>
      <w:pPr>
        <w:pStyle w:val="2"/>
        <w:rPr>
          <w:rFonts w:ascii="宋体" w:hAnsi="宋体" w:eastAsia="宋体" w:cs="Times New Roman"/>
          <w:kern w:val="0"/>
          <w:sz w:val="36"/>
          <w:szCs w:val="20"/>
          <w:lang w:val="zh-CN"/>
        </w:rPr>
      </w:pPr>
    </w:p>
    <w:p>
      <w:pPr>
        <w:pStyle w:val="3"/>
        <w:rPr>
          <w:rFonts w:ascii="宋体" w:hAnsi="宋体" w:eastAsia="宋体" w:cs="Times New Roman"/>
          <w:kern w:val="0"/>
          <w:sz w:val="36"/>
          <w:szCs w:val="20"/>
          <w:lang w:val="zh-CN"/>
        </w:rPr>
      </w:pPr>
    </w:p>
    <w:p>
      <w:pPr>
        <w:pStyle w:val="3"/>
        <w:rPr>
          <w:rFonts w:ascii="宋体" w:hAnsi="宋体" w:eastAsia="宋体" w:cs="Times New Roman"/>
          <w:kern w:val="0"/>
          <w:sz w:val="36"/>
          <w:szCs w:val="20"/>
          <w:lang w:val="zh-CN"/>
        </w:rPr>
      </w:pPr>
    </w:p>
    <w:p>
      <w:pPr>
        <w:pStyle w:val="3"/>
        <w:rPr>
          <w:rFonts w:ascii="宋体" w:hAnsi="宋体" w:eastAsia="宋体" w:cs="Times New Roman"/>
          <w:kern w:val="0"/>
          <w:sz w:val="36"/>
          <w:szCs w:val="20"/>
          <w:lang w:val="zh-CN"/>
        </w:rPr>
      </w:pPr>
    </w:p>
    <w:p>
      <w:pPr>
        <w:pStyle w:val="3"/>
        <w:rPr>
          <w:rFonts w:ascii="宋体" w:hAnsi="宋体" w:eastAsia="宋体" w:cs="Times New Roman"/>
          <w:kern w:val="0"/>
          <w:sz w:val="36"/>
          <w:szCs w:val="20"/>
          <w:lang w:val="zh-CN"/>
        </w:rPr>
      </w:pPr>
    </w:p>
    <w:p>
      <w:pPr>
        <w:autoSpaceDE w:val="0"/>
        <w:autoSpaceDN w:val="0"/>
        <w:adjustRightInd w:val="0"/>
        <w:spacing w:line="360" w:lineRule="exact"/>
        <w:jc w:val="center"/>
        <w:rPr>
          <w:rFonts w:ascii="宋体" w:hAnsi="宋体" w:eastAsia="宋体" w:cs="Times New Roman"/>
          <w:kern w:val="0"/>
          <w:sz w:val="36"/>
          <w:szCs w:val="20"/>
          <w:lang w:val="zh-CN"/>
        </w:rPr>
      </w:pPr>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8"/>
          <w:szCs w:val="28"/>
        </w:rPr>
      </w:pPr>
      <w:bookmarkStart w:id="47" w:name="_Toc494407540"/>
      <w:r>
        <w:rPr>
          <w:rFonts w:hint="eastAsia" w:ascii="宋体" w:hAnsi="宋体" w:eastAsia="宋体" w:cs="Times New Roman"/>
          <w:b/>
          <w:kern w:val="0"/>
          <w:sz w:val="28"/>
          <w:szCs w:val="28"/>
        </w:rPr>
        <w:t>第六部分  附件—投标文件格式</w:t>
      </w:r>
      <w:bookmarkEnd w:id="47"/>
    </w:p>
    <w:p>
      <w:pPr>
        <w:autoSpaceDE w:val="0"/>
        <w:autoSpaceDN w:val="0"/>
        <w:adjustRightInd w:val="0"/>
        <w:spacing w:line="360" w:lineRule="exact"/>
        <w:jc w:val="center"/>
        <w:rPr>
          <w:rFonts w:ascii="宋体" w:hAnsi="宋体" w:eastAsia="宋体" w:cs="Times New Roman"/>
          <w:kern w:val="0"/>
          <w:sz w:val="36"/>
          <w:szCs w:val="20"/>
          <w:lang w:val="zh-CN"/>
        </w:rPr>
      </w:pPr>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4"/>
          <w:szCs w:val="24"/>
        </w:rPr>
      </w:pPr>
      <w:bookmarkStart w:id="48" w:name="_Toc494407541"/>
      <w:r>
        <w:rPr>
          <w:rFonts w:hint="eastAsia" w:ascii="宋体" w:hAnsi="宋体" w:eastAsia="宋体" w:cs="Times New Roman"/>
          <w:b/>
          <w:kern w:val="0"/>
          <w:sz w:val="24"/>
          <w:szCs w:val="24"/>
        </w:rPr>
        <w:t>一、商务报价标部分格式</w:t>
      </w:r>
      <w:bookmarkEnd w:id="48"/>
    </w:p>
    <w:p>
      <w:pPr>
        <w:autoSpaceDE w:val="0"/>
        <w:autoSpaceDN w:val="0"/>
        <w:adjustRightInd w:val="0"/>
        <w:snapToGrid w:val="0"/>
        <w:spacing w:line="454" w:lineRule="atLeast"/>
        <w:jc w:val="left"/>
        <w:textAlignment w:val="bottom"/>
        <w:outlineLvl w:val="0"/>
        <w:rPr>
          <w:rFonts w:ascii="宋体" w:hAnsi="宋体" w:eastAsia="宋体" w:cs="Times New Roman"/>
          <w:b/>
          <w:kern w:val="0"/>
          <w:sz w:val="24"/>
          <w:szCs w:val="24"/>
        </w:rPr>
      </w:pPr>
      <w:bookmarkStart w:id="49" w:name="_Toc494407542"/>
      <w:r>
        <w:rPr>
          <w:rFonts w:hint="eastAsia" w:ascii="宋体" w:hAnsi="宋体" w:eastAsia="宋体" w:cs="Times New Roman"/>
          <w:b/>
          <w:kern w:val="0"/>
          <w:sz w:val="24"/>
          <w:szCs w:val="24"/>
        </w:rPr>
        <w:t>附件一  开标一览表</w:t>
      </w:r>
      <w:bookmarkEnd w:id="49"/>
    </w:p>
    <w:p>
      <w:pPr>
        <w:autoSpaceDE w:val="0"/>
        <w:autoSpaceDN w:val="0"/>
        <w:adjustRightInd w:val="0"/>
        <w:spacing w:line="360" w:lineRule="atLeast"/>
        <w:jc w:val="center"/>
        <w:textAlignment w:val="baseline"/>
        <w:rPr>
          <w:rFonts w:ascii="宋体" w:hAnsi="宋体" w:eastAsia="宋体" w:cs="Times New Roman"/>
          <w:b/>
          <w:kern w:val="0"/>
          <w:sz w:val="28"/>
          <w:szCs w:val="28"/>
          <w:lang w:val="zh-CN"/>
        </w:rPr>
      </w:pPr>
      <w:r>
        <w:rPr>
          <w:rFonts w:hint="eastAsia" w:ascii="宋体" w:hAnsi="宋体" w:eastAsia="宋体" w:cs="Times New Roman"/>
          <w:b/>
          <w:kern w:val="0"/>
          <w:sz w:val="28"/>
          <w:szCs w:val="28"/>
          <w:lang w:val="zh-CN"/>
        </w:rPr>
        <w:t>开标一览表</w:t>
      </w:r>
    </w:p>
    <w:p>
      <w:pPr>
        <w:autoSpaceDE w:val="0"/>
        <w:autoSpaceDN w:val="0"/>
        <w:adjustRightInd w:val="0"/>
        <w:rPr>
          <w:rFonts w:ascii="宋体" w:hAnsi="宋体" w:eastAsia="宋体" w:cs="Times New Roman"/>
          <w:kern w:val="0"/>
          <w:sz w:val="22"/>
          <w:szCs w:val="20"/>
          <w:u w:val="single"/>
        </w:rPr>
      </w:pPr>
      <w:r>
        <w:rPr>
          <w:rFonts w:hint="eastAsia" w:ascii="宋体" w:hAnsi="宋体" w:eastAsia="宋体" w:cs="Times New Roman"/>
          <w:kern w:val="0"/>
          <w:sz w:val="22"/>
          <w:lang w:val="zh-CN"/>
        </w:rPr>
        <w:t>供应商名称：     招标编号：</w:t>
      </w:r>
      <w:r>
        <w:rPr>
          <w:rFonts w:hint="eastAsia" w:ascii="宋体" w:hAnsi="宋体" w:eastAsia="宋体" w:cs="Times New Roman"/>
          <w:kern w:val="0"/>
          <w:sz w:val="22"/>
          <w:szCs w:val="20"/>
        </w:rPr>
        <w:t>价格单位：</w:t>
      </w:r>
      <w:r>
        <w:rPr>
          <w:rFonts w:hint="eastAsia" w:ascii="宋体" w:hAnsi="宋体" w:eastAsia="宋体" w:cs="Times New Roman"/>
          <w:kern w:val="0"/>
          <w:sz w:val="22"/>
          <w:szCs w:val="20"/>
          <w:u w:val="single"/>
        </w:rPr>
        <w:t xml:space="preserve">   元   </w:t>
      </w:r>
    </w:p>
    <w:tbl>
      <w:tblPr>
        <w:tblStyle w:val="2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3185"/>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trPr>
        <w:tc>
          <w:tcPr>
            <w:tcW w:w="4140" w:type="dxa"/>
            <w:vAlign w:val="center"/>
          </w:tcPr>
          <w:p>
            <w:pPr>
              <w:jc w:val="center"/>
              <w:rPr>
                <w:rFonts w:ascii="宋体" w:hAnsi="宋体" w:eastAsia="宋体" w:cs="Times New Roman"/>
                <w:kern w:val="0"/>
                <w:sz w:val="22"/>
              </w:rPr>
            </w:pPr>
            <w:r>
              <w:rPr>
                <w:rFonts w:hint="eastAsia" w:ascii="宋体" w:hAnsi="宋体" w:eastAsia="宋体" w:cs="Times New Roman"/>
                <w:kern w:val="0"/>
                <w:sz w:val="22"/>
              </w:rPr>
              <w:t>项目名称</w:t>
            </w:r>
          </w:p>
        </w:tc>
        <w:tc>
          <w:tcPr>
            <w:tcW w:w="3185" w:type="dxa"/>
            <w:tcBorders>
              <w:left w:val="single" w:color="000000" w:sz="4" w:space="0"/>
            </w:tcBorders>
            <w:vAlign w:val="center"/>
          </w:tcPr>
          <w:p>
            <w:pPr>
              <w:jc w:val="center"/>
              <w:rPr>
                <w:rFonts w:ascii="宋体" w:hAnsi="宋体" w:eastAsia="宋体" w:cs="Times New Roman"/>
                <w:kern w:val="0"/>
                <w:sz w:val="22"/>
              </w:rPr>
            </w:pPr>
            <w:r>
              <w:rPr>
                <w:rFonts w:hint="eastAsia" w:ascii="宋体" w:hAnsi="宋体" w:eastAsia="宋体" w:cs="Times New Roman"/>
                <w:kern w:val="0"/>
                <w:sz w:val="22"/>
              </w:rPr>
              <w:t>投标价（元人民币）</w:t>
            </w:r>
          </w:p>
        </w:tc>
        <w:tc>
          <w:tcPr>
            <w:tcW w:w="2303" w:type="dxa"/>
            <w:vAlign w:val="center"/>
          </w:tcPr>
          <w:p>
            <w:pPr>
              <w:jc w:val="center"/>
              <w:rPr>
                <w:rFonts w:ascii="宋体" w:hAnsi="宋体" w:eastAsia="宋体" w:cs="Times New Roman"/>
                <w:kern w:val="0"/>
                <w:sz w:val="22"/>
              </w:rPr>
            </w:pPr>
            <w:r>
              <w:rPr>
                <w:rFonts w:hint="eastAsia" w:ascii="宋体" w:hAnsi="宋体" w:eastAsia="宋体" w:cs="Times New Roman"/>
                <w:kern w:val="0"/>
                <w:sz w:val="22"/>
              </w:rPr>
              <w:t>采购预算（元）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84" w:hRule="atLeast"/>
        </w:trPr>
        <w:tc>
          <w:tcPr>
            <w:tcW w:w="4140" w:type="dxa"/>
            <w:vAlign w:val="center"/>
          </w:tcPr>
          <w:p>
            <w:pPr>
              <w:jc w:val="center"/>
              <w:rPr>
                <w:rFonts w:hint="eastAsia" w:ascii="宋体" w:hAnsi="宋体" w:eastAsia="宋体" w:cs="Times New Roman"/>
                <w:kern w:val="0"/>
                <w:sz w:val="22"/>
                <w:lang w:eastAsia="zh-CN"/>
              </w:rPr>
            </w:pPr>
            <w:r>
              <w:rPr>
                <w:rFonts w:hint="eastAsia" w:ascii="宋体" w:hAnsi="宋体" w:eastAsia="宋体" w:cs="Times New Roman"/>
                <w:kern w:val="0"/>
                <w:sz w:val="22"/>
                <w:lang w:eastAsia="zh-CN"/>
              </w:rPr>
              <w:t>天河中学新建教学综合楼功能室设备</w:t>
            </w:r>
          </w:p>
        </w:tc>
        <w:tc>
          <w:tcPr>
            <w:tcW w:w="3185" w:type="dxa"/>
            <w:tcBorders>
              <w:left w:val="single" w:color="000000" w:sz="4" w:space="0"/>
            </w:tcBorders>
            <w:vAlign w:val="center"/>
          </w:tcPr>
          <w:p>
            <w:pPr>
              <w:rPr>
                <w:rFonts w:ascii="宋体" w:hAnsi="宋体" w:eastAsia="宋体" w:cs="Times New Roman"/>
                <w:kern w:val="0"/>
                <w:sz w:val="22"/>
              </w:rPr>
            </w:pPr>
            <w:r>
              <w:rPr>
                <w:rFonts w:hint="eastAsia" w:ascii="宋体" w:hAnsi="宋体" w:eastAsia="宋体" w:cs="Times New Roman"/>
                <w:kern w:val="0"/>
                <w:sz w:val="22"/>
              </w:rPr>
              <w:t>大写：</w:t>
            </w:r>
          </w:p>
          <w:p>
            <w:pPr>
              <w:rPr>
                <w:rFonts w:ascii="宋体" w:hAnsi="宋体" w:eastAsia="宋体" w:cs="Times New Roman"/>
                <w:kern w:val="0"/>
                <w:sz w:val="22"/>
              </w:rPr>
            </w:pPr>
            <w:r>
              <w:rPr>
                <w:rFonts w:hint="eastAsia" w:ascii="宋体" w:hAnsi="宋体" w:eastAsia="宋体" w:cs="Times New Roman"/>
                <w:kern w:val="0"/>
                <w:sz w:val="22"/>
              </w:rPr>
              <w:t>小写：</w:t>
            </w:r>
          </w:p>
        </w:tc>
        <w:tc>
          <w:tcPr>
            <w:tcW w:w="2303" w:type="dxa"/>
            <w:vAlign w:val="center"/>
          </w:tcPr>
          <w:p>
            <w:pPr>
              <w:jc w:val="center"/>
              <w:rPr>
                <w:rFonts w:ascii="宋体" w:hAnsi="宋体" w:eastAsia="宋体" w:cs="Times New Roman"/>
                <w:kern w:val="0"/>
                <w:sz w:val="22"/>
              </w:rPr>
            </w:pPr>
            <w:r>
              <w:rPr>
                <w:rFonts w:hint="eastAsia" w:ascii="宋体" w:hAnsi="宋体" w:eastAsia="宋体" w:cs="Times New Roman"/>
                <w:kern w:val="0"/>
                <w:sz w:val="22"/>
                <w:lang w:val="en-US" w:eastAsia="zh-CN"/>
              </w:rPr>
              <w:t>176.8</w:t>
            </w:r>
            <w:r>
              <w:rPr>
                <w:rFonts w:hint="eastAsia" w:ascii="宋体" w:hAnsi="宋体" w:eastAsia="宋体" w:cs="Times New Roman"/>
                <w:kern w:val="0"/>
                <w:sz w:val="22"/>
              </w:rPr>
              <w:t>万元人民币</w:t>
            </w:r>
          </w:p>
        </w:tc>
      </w:tr>
    </w:tbl>
    <w:p>
      <w:pPr>
        <w:spacing w:line="440" w:lineRule="atLeast"/>
        <w:rPr>
          <w:rFonts w:ascii="宋体" w:hAnsi="宋体" w:eastAsia="宋体" w:cs="Times New Roman"/>
          <w:kern w:val="0"/>
          <w:sz w:val="22"/>
        </w:rPr>
      </w:pPr>
      <w:r>
        <w:rPr>
          <w:rFonts w:hint="eastAsia" w:ascii="宋体" w:hAnsi="宋体" w:eastAsia="宋体" w:cs="Times New Roman"/>
          <w:kern w:val="0"/>
          <w:sz w:val="22"/>
        </w:rPr>
        <w:t>★开标一览表中投标价为符合招标文件要求的货物总价（含税、运保、随机工具、随机附件等费用），同时包括货物技术服务费（含货物安装调试直至能够正常使用的费用）、材料费、税金、调试费、人工费、运杂费、装卸费、运输保险费、技术培训费、验收费、招标代理服务费等。</w:t>
      </w:r>
    </w:p>
    <w:p>
      <w:pPr>
        <w:spacing w:line="440" w:lineRule="atLeast"/>
        <w:rPr>
          <w:rFonts w:ascii="宋体" w:hAnsi="宋体" w:eastAsia="宋体" w:cs="Times New Roman"/>
          <w:kern w:val="0"/>
          <w:sz w:val="22"/>
        </w:rPr>
      </w:pPr>
      <w:r>
        <w:rPr>
          <w:rFonts w:hint="eastAsia" w:ascii="宋体" w:hAnsi="宋体" w:eastAsia="宋体" w:cs="Times New Roman"/>
          <w:kern w:val="0"/>
          <w:sz w:val="22"/>
        </w:rPr>
        <w:t>★不提供此表格的将视为没有实质性响应招标文件。</w:t>
      </w:r>
    </w:p>
    <w:p>
      <w:pPr>
        <w:spacing w:line="440" w:lineRule="atLeast"/>
        <w:rPr>
          <w:rFonts w:ascii="宋体" w:hAnsi="宋体" w:eastAsia="宋体" w:cs="Times New Roman"/>
          <w:kern w:val="0"/>
          <w:sz w:val="22"/>
          <w:szCs w:val="20"/>
        </w:rPr>
      </w:pPr>
    </w:p>
    <w:p>
      <w:pPr>
        <w:spacing w:line="440" w:lineRule="atLeast"/>
        <w:rPr>
          <w:rFonts w:ascii="宋体" w:hAnsi="宋体" w:eastAsia="宋体" w:cs="Times New Roman"/>
          <w:kern w:val="0"/>
          <w:sz w:val="22"/>
          <w:szCs w:val="20"/>
        </w:rPr>
      </w:pPr>
    </w:p>
    <w:p>
      <w:pPr>
        <w:spacing w:line="360" w:lineRule="exact"/>
        <w:rPr>
          <w:rFonts w:ascii="宋体" w:hAnsi="宋体" w:eastAsia="宋体" w:cs="Arial"/>
          <w:kern w:val="0"/>
          <w:sz w:val="22"/>
        </w:rPr>
      </w:pPr>
      <w:r>
        <w:rPr>
          <w:rFonts w:hint="eastAsia" w:ascii="宋体" w:hAnsi="宋体" w:eastAsia="宋体" w:cs="Arial"/>
          <w:kern w:val="0"/>
          <w:sz w:val="22"/>
        </w:rPr>
        <w:t>投标供应商全称（公章）：</w:t>
      </w:r>
    </w:p>
    <w:p>
      <w:pPr>
        <w:spacing w:line="360" w:lineRule="exact"/>
        <w:rPr>
          <w:rFonts w:ascii="宋体" w:hAnsi="宋体" w:eastAsia="宋体" w:cs="Arial"/>
          <w:kern w:val="0"/>
          <w:sz w:val="22"/>
        </w:rPr>
      </w:pPr>
      <w:r>
        <w:rPr>
          <w:rFonts w:hint="eastAsia" w:ascii="宋体" w:hAnsi="宋体" w:eastAsia="宋体" w:cs="Arial"/>
          <w:kern w:val="0"/>
          <w:sz w:val="22"/>
        </w:rPr>
        <w:t>法定代表人或授权代表（签字或盖章）：</w:t>
      </w:r>
    </w:p>
    <w:p>
      <w:pPr>
        <w:spacing w:line="360" w:lineRule="exact"/>
        <w:rPr>
          <w:rFonts w:ascii="宋体" w:hAnsi="宋体" w:eastAsia="宋体" w:cs="Arial"/>
          <w:kern w:val="0"/>
          <w:sz w:val="22"/>
        </w:rPr>
      </w:pPr>
      <w:r>
        <w:rPr>
          <w:rFonts w:hint="eastAsia" w:ascii="宋体" w:hAnsi="宋体" w:eastAsia="宋体" w:cs="Arial"/>
          <w:kern w:val="0"/>
          <w:sz w:val="22"/>
        </w:rPr>
        <w:t>日期：  年  月  日</w:t>
      </w:r>
    </w:p>
    <w:p>
      <w:pPr>
        <w:spacing w:line="440" w:lineRule="atLeast"/>
        <w:rPr>
          <w:rFonts w:ascii="宋体" w:hAnsi="宋体" w:eastAsia="宋体" w:cs="Times New Roman"/>
          <w:kern w:val="0"/>
          <w:sz w:val="22"/>
        </w:rPr>
      </w:pPr>
    </w:p>
    <w:p>
      <w:pPr>
        <w:spacing w:line="360" w:lineRule="exact"/>
        <w:rPr>
          <w:rFonts w:ascii="宋体" w:hAnsi="宋体" w:eastAsia="宋体" w:cs="Times New Roman"/>
          <w:kern w:val="0"/>
          <w:sz w:val="30"/>
          <w:szCs w:val="20"/>
        </w:rPr>
      </w:pPr>
    </w:p>
    <w:p>
      <w:pPr>
        <w:pStyle w:val="2"/>
        <w:rPr>
          <w:rFonts w:ascii="宋体" w:hAnsi="宋体" w:eastAsia="宋体" w:cs="Times New Roman"/>
          <w:kern w:val="0"/>
          <w:sz w:val="30"/>
          <w:szCs w:val="20"/>
        </w:rPr>
      </w:pPr>
    </w:p>
    <w:p>
      <w:pPr>
        <w:pStyle w:val="3"/>
        <w:rPr>
          <w:rFonts w:ascii="宋体" w:hAnsi="宋体" w:eastAsia="宋体" w:cs="Times New Roman"/>
          <w:kern w:val="0"/>
          <w:sz w:val="30"/>
          <w:szCs w:val="20"/>
        </w:rPr>
      </w:pPr>
    </w:p>
    <w:p>
      <w:pPr>
        <w:pStyle w:val="3"/>
        <w:rPr>
          <w:rFonts w:ascii="宋体" w:hAnsi="宋体" w:eastAsia="宋体" w:cs="Times New Roman"/>
          <w:kern w:val="0"/>
          <w:sz w:val="30"/>
          <w:szCs w:val="20"/>
        </w:rPr>
      </w:pPr>
    </w:p>
    <w:p>
      <w:pPr>
        <w:pStyle w:val="3"/>
        <w:rPr>
          <w:rFonts w:ascii="宋体" w:hAnsi="宋体" w:eastAsia="宋体" w:cs="Times New Roman"/>
          <w:kern w:val="0"/>
          <w:sz w:val="30"/>
          <w:szCs w:val="20"/>
        </w:rPr>
      </w:pPr>
    </w:p>
    <w:p>
      <w:pPr>
        <w:pStyle w:val="3"/>
        <w:rPr>
          <w:rFonts w:ascii="宋体" w:hAnsi="宋体" w:eastAsia="宋体" w:cs="Times New Roman"/>
          <w:kern w:val="0"/>
          <w:sz w:val="30"/>
          <w:szCs w:val="20"/>
        </w:rPr>
      </w:pPr>
    </w:p>
    <w:p>
      <w:pPr>
        <w:pStyle w:val="3"/>
        <w:rPr>
          <w:rFonts w:ascii="宋体" w:hAnsi="宋体" w:eastAsia="宋体" w:cs="Times New Roman"/>
          <w:kern w:val="0"/>
          <w:sz w:val="30"/>
          <w:szCs w:val="20"/>
        </w:rPr>
      </w:pPr>
    </w:p>
    <w:p>
      <w:pPr>
        <w:pStyle w:val="3"/>
        <w:rPr>
          <w:rFonts w:ascii="宋体" w:hAnsi="宋体" w:eastAsia="宋体" w:cs="Times New Roman"/>
          <w:kern w:val="0"/>
          <w:sz w:val="30"/>
          <w:szCs w:val="20"/>
        </w:rPr>
        <w:sectPr>
          <w:footerReference r:id="rId7" w:type="first"/>
          <w:headerReference r:id="rId3" w:type="default"/>
          <w:footerReference r:id="rId5" w:type="default"/>
          <w:headerReference r:id="rId4" w:type="even"/>
          <w:footerReference r:id="rId6" w:type="even"/>
          <w:pgSz w:w="11906" w:h="16838"/>
          <w:pgMar w:top="578" w:right="624" w:bottom="590" w:left="624" w:header="851" w:footer="992" w:gutter="0"/>
          <w:pgNumType w:fmt="decimal"/>
          <w:cols w:space="720" w:num="1"/>
          <w:titlePg/>
          <w:docGrid w:linePitch="312" w:charSpace="0"/>
        </w:sectPr>
      </w:pPr>
    </w:p>
    <w:p>
      <w:pPr>
        <w:autoSpaceDE w:val="0"/>
        <w:autoSpaceDN w:val="0"/>
        <w:adjustRightInd w:val="0"/>
        <w:snapToGrid w:val="0"/>
        <w:spacing w:line="454" w:lineRule="atLeast"/>
        <w:jc w:val="left"/>
        <w:textAlignment w:val="bottom"/>
        <w:outlineLvl w:val="0"/>
        <w:rPr>
          <w:rFonts w:ascii="宋体" w:hAnsi="宋体" w:eastAsia="宋体" w:cs="Times New Roman"/>
          <w:b/>
          <w:kern w:val="0"/>
          <w:sz w:val="24"/>
          <w:szCs w:val="24"/>
          <w:lang w:val="zh-CN"/>
        </w:rPr>
      </w:pPr>
      <w:bookmarkStart w:id="50" w:name="_Toc494407543"/>
      <w:r>
        <w:rPr>
          <w:rFonts w:hint="eastAsia" w:ascii="宋体" w:hAnsi="宋体" w:eastAsia="宋体" w:cs="Times New Roman"/>
          <w:b/>
          <w:kern w:val="0"/>
          <w:sz w:val="24"/>
          <w:szCs w:val="24"/>
        </w:rPr>
        <w:t xml:space="preserve">附件二  </w:t>
      </w:r>
      <w:r>
        <w:rPr>
          <w:rFonts w:hint="eastAsia" w:ascii="宋体" w:hAnsi="宋体" w:eastAsia="宋体" w:cs="Times New Roman"/>
          <w:b/>
          <w:kern w:val="0"/>
          <w:sz w:val="24"/>
          <w:szCs w:val="24"/>
          <w:lang w:val="zh-CN"/>
        </w:rPr>
        <w:t>投标货物数量、价格表</w:t>
      </w:r>
      <w:bookmarkEnd w:id="50"/>
    </w:p>
    <w:p>
      <w:pPr>
        <w:autoSpaceDE w:val="0"/>
        <w:autoSpaceDN w:val="0"/>
        <w:adjustRightInd w:val="0"/>
        <w:spacing w:line="360" w:lineRule="atLeast"/>
        <w:jc w:val="center"/>
        <w:textAlignment w:val="baseline"/>
        <w:rPr>
          <w:rFonts w:ascii="宋体" w:hAnsi="宋体" w:eastAsia="宋体" w:cs="Times New Roman"/>
          <w:b/>
          <w:kern w:val="0"/>
          <w:sz w:val="28"/>
          <w:szCs w:val="28"/>
          <w:lang w:val="zh-CN"/>
        </w:rPr>
      </w:pPr>
      <w:r>
        <w:rPr>
          <w:rFonts w:hint="eastAsia" w:ascii="宋体" w:hAnsi="宋体" w:eastAsia="宋体" w:cs="Times New Roman"/>
          <w:b/>
          <w:kern w:val="0"/>
          <w:sz w:val="28"/>
          <w:szCs w:val="28"/>
          <w:lang w:val="zh-CN"/>
        </w:rPr>
        <w:t>投标货物数量、价格表</w:t>
      </w:r>
    </w:p>
    <w:p>
      <w:pPr>
        <w:spacing w:line="360" w:lineRule="exact"/>
        <w:jc w:val="right"/>
        <w:rPr>
          <w:rFonts w:ascii="宋体" w:hAnsi="宋体" w:eastAsia="宋体" w:cs="Times New Roman"/>
          <w:kern w:val="0"/>
          <w:sz w:val="22"/>
          <w:szCs w:val="20"/>
        </w:rPr>
      </w:pPr>
      <w:r>
        <w:rPr>
          <w:rFonts w:hint="eastAsia" w:ascii="宋体" w:hAnsi="宋体" w:eastAsia="宋体" w:cs="Times New Roman"/>
          <w:kern w:val="0"/>
          <w:sz w:val="22"/>
          <w:szCs w:val="20"/>
        </w:rPr>
        <w:t>（价格单位：元）</w:t>
      </w:r>
    </w:p>
    <w:tbl>
      <w:tblPr>
        <w:tblStyle w:val="22"/>
        <w:tblW w:w="9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608"/>
        <w:gridCol w:w="1484"/>
        <w:gridCol w:w="1573"/>
        <w:gridCol w:w="709"/>
        <w:gridCol w:w="1145"/>
        <w:gridCol w:w="1002"/>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625" w:type="dxa"/>
            <w:tcBorders>
              <w:top w:val="single" w:color="auto" w:sz="12" w:space="0"/>
              <w:left w:val="single" w:color="auto" w:sz="12" w:space="0"/>
              <w:bottom w:val="single" w:color="auto" w:sz="12" w:space="0"/>
            </w:tcBorders>
            <w:vAlign w:val="center"/>
          </w:tcPr>
          <w:p>
            <w:pPr>
              <w:ind w:right="-11"/>
              <w:jc w:val="center"/>
              <w:rPr>
                <w:rFonts w:ascii="宋体" w:hAnsi="宋体" w:eastAsia="宋体" w:cs="Arial"/>
                <w:bCs/>
                <w:kern w:val="0"/>
                <w:szCs w:val="20"/>
              </w:rPr>
            </w:pPr>
            <w:r>
              <w:rPr>
                <w:rFonts w:hint="eastAsia" w:ascii="宋体" w:hAnsi="宋体" w:eastAsia="宋体" w:cs="Arial"/>
                <w:bCs/>
                <w:kern w:val="0"/>
                <w:szCs w:val="20"/>
              </w:rPr>
              <w:t>项目</w:t>
            </w:r>
          </w:p>
        </w:tc>
        <w:tc>
          <w:tcPr>
            <w:tcW w:w="1608" w:type="dxa"/>
            <w:tcBorders>
              <w:top w:val="single" w:color="auto" w:sz="12" w:space="0"/>
              <w:bottom w:val="single" w:color="auto" w:sz="12" w:space="0"/>
            </w:tcBorders>
            <w:vAlign w:val="center"/>
          </w:tcPr>
          <w:p>
            <w:pPr>
              <w:ind w:right="-11"/>
              <w:jc w:val="center"/>
              <w:rPr>
                <w:rFonts w:ascii="宋体" w:hAnsi="宋体" w:eastAsia="宋体" w:cs="Arial"/>
                <w:bCs/>
                <w:kern w:val="0"/>
                <w:szCs w:val="20"/>
              </w:rPr>
            </w:pPr>
            <w:r>
              <w:rPr>
                <w:rFonts w:hint="eastAsia" w:ascii="宋体" w:hAnsi="宋体" w:eastAsia="宋体" w:cs="Arial"/>
                <w:bCs/>
                <w:kern w:val="0"/>
                <w:szCs w:val="20"/>
              </w:rPr>
              <w:t>货物名称</w:t>
            </w:r>
          </w:p>
        </w:tc>
        <w:tc>
          <w:tcPr>
            <w:tcW w:w="1484" w:type="dxa"/>
            <w:tcBorders>
              <w:top w:val="single" w:color="auto" w:sz="12" w:space="0"/>
              <w:bottom w:val="single" w:color="auto" w:sz="12" w:space="0"/>
            </w:tcBorders>
            <w:vAlign w:val="center"/>
          </w:tcPr>
          <w:p>
            <w:pPr>
              <w:ind w:right="-11"/>
              <w:jc w:val="center"/>
              <w:rPr>
                <w:rFonts w:ascii="宋体" w:hAnsi="宋体" w:eastAsia="宋体" w:cs="Arial"/>
                <w:bCs/>
                <w:kern w:val="0"/>
                <w:szCs w:val="20"/>
              </w:rPr>
            </w:pPr>
            <w:r>
              <w:rPr>
                <w:rFonts w:hint="eastAsia" w:ascii="宋体" w:hAnsi="宋体" w:eastAsia="宋体" w:cs="Arial"/>
                <w:bCs/>
                <w:kern w:val="0"/>
                <w:szCs w:val="20"/>
              </w:rPr>
              <w:t>品牌、型号规格、产地</w:t>
            </w:r>
          </w:p>
        </w:tc>
        <w:tc>
          <w:tcPr>
            <w:tcW w:w="1573" w:type="dxa"/>
            <w:tcBorders>
              <w:top w:val="single" w:color="auto" w:sz="12" w:space="0"/>
              <w:bottom w:val="single" w:color="auto" w:sz="12" w:space="0"/>
            </w:tcBorders>
            <w:vAlign w:val="center"/>
          </w:tcPr>
          <w:p>
            <w:pPr>
              <w:ind w:right="-11"/>
              <w:jc w:val="center"/>
              <w:rPr>
                <w:rFonts w:ascii="宋体" w:hAnsi="宋体" w:eastAsia="宋体" w:cs="Arial"/>
                <w:bCs/>
                <w:kern w:val="0"/>
                <w:szCs w:val="20"/>
              </w:rPr>
            </w:pPr>
            <w:r>
              <w:rPr>
                <w:rFonts w:hint="eastAsia" w:ascii="宋体" w:hAnsi="宋体" w:eastAsia="宋体" w:cs="Arial"/>
                <w:bCs/>
                <w:kern w:val="0"/>
                <w:szCs w:val="20"/>
              </w:rPr>
              <w:t>制造厂商名称</w:t>
            </w:r>
          </w:p>
        </w:tc>
        <w:tc>
          <w:tcPr>
            <w:tcW w:w="709" w:type="dxa"/>
            <w:tcBorders>
              <w:top w:val="single" w:color="auto" w:sz="12" w:space="0"/>
              <w:bottom w:val="single" w:color="auto" w:sz="12" w:space="0"/>
            </w:tcBorders>
            <w:vAlign w:val="center"/>
          </w:tcPr>
          <w:p>
            <w:pPr>
              <w:ind w:right="-11"/>
              <w:jc w:val="center"/>
              <w:rPr>
                <w:rFonts w:ascii="宋体" w:hAnsi="宋体" w:eastAsia="宋体" w:cs="Arial"/>
                <w:bCs/>
                <w:kern w:val="0"/>
                <w:szCs w:val="20"/>
              </w:rPr>
            </w:pPr>
            <w:r>
              <w:rPr>
                <w:rFonts w:hint="eastAsia" w:ascii="宋体" w:hAnsi="宋体" w:eastAsia="宋体" w:cs="Arial"/>
                <w:bCs/>
                <w:kern w:val="0"/>
                <w:szCs w:val="20"/>
              </w:rPr>
              <w:t>数量</w:t>
            </w:r>
          </w:p>
        </w:tc>
        <w:tc>
          <w:tcPr>
            <w:tcW w:w="1145" w:type="dxa"/>
            <w:tcBorders>
              <w:top w:val="single" w:color="auto" w:sz="12" w:space="0"/>
              <w:bottom w:val="single" w:color="auto" w:sz="12" w:space="0"/>
            </w:tcBorders>
            <w:vAlign w:val="center"/>
          </w:tcPr>
          <w:p>
            <w:pPr>
              <w:ind w:right="-11"/>
              <w:jc w:val="center"/>
              <w:rPr>
                <w:rFonts w:ascii="宋体" w:hAnsi="宋体" w:eastAsia="宋体" w:cs="Arial"/>
                <w:bCs/>
                <w:kern w:val="0"/>
                <w:szCs w:val="20"/>
              </w:rPr>
            </w:pPr>
            <w:r>
              <w:rPr>
                <w:rFonts w:hint="eastAsia" w:ascii="宋体" w:hAnsi="宋体" w:eastAsia="宋体" w:cs="Arial"/>
                <w:bCs/>
                <w:kern w:val="0"/>
                <w:szCs w:val="20"/>
              </w:rPr>
              <w:t>出厂单价</w:t>
            </w:r>
          </w:p>
          <w:p>
            <w:pPr>
              <w:ind w:right="-11"/>
              <w:jc w:val="center"/>
              <w:rPr>
                <w:rFonts w:ascii="宋体" w:hAnsi="宋体" w:eastAsia="宋体" w:cs="Arial"/>
                <w:kern w:val="0"/>
                <w:szCs w:val="20"/>
              </w:rPr>
            </w:pPr>
            <w:r>
              <w:rPr>
                <w:rFonts w:hint="eastAsia" w:ascii="宋体" w:hAnsi="宋体" w:eastAsia="宋体" w:cs="Arial"/>
                <w:kern w:val="0"/>
                <w:szCs w:val="20"/>
              </w:rPr>
              <w:t>（含税）</w:t>
            </w:r>
          </w:p>
        </w:tc>
        <w:tc>
          <w:tcPr>
            <w:tcW w:w="1002" w:type="dxa"/>
            <w:tcBorders>
              <w:top w:val="single" w:color="auto" w:sz="12" w:space="0"/>
              <w:bottom w:val="single" w:color="auto" w:sz="12" w:space="0"/>
            </w:tcBorders>
            <w:vAlign w:val="center"/>
          </w:tcPr>
          <w:p>
            <w:pPr>
              <w:ind w:right="-11"/>
              <w:jc w:val="center"/>
              <w:rPr>
                <w:rFonts w:ascii="宋体" w:hAnsi="宋体" w:eastAsia="宋体" w:cs="Arial"/>
                <w:bCs/>
                <w:kern w:val="0"/>
                <w:szCs w:val="20"/>
              </w:rPr>
            </w:pPr>
            <w:r>
              <w:rPr>
                <w:rFonts w:hint="eastAsia" w:ascii="宋体" w:hAnsi="宋体" w:eastAsia="宋体" w:cs="Arial"/>
                <w:bCs/>
                <w:kern w:val="0"/>
                <w:szCs w:val="20"/>
              </w:rPr>
              <w:t>总价</w:t>
            </w:r>
          </w:p>
          <w:p>
            <w:pPr>
              <w:ind w:right="-11"/>
              <w:jc w:val="center"/>
              <w:rPr>
                <w:rFonts w:ascii="宋体" w:hAnsi="宋体" w:eastAsia="宋体" w:cs="Arial"/>
                <w:kern w:val="0"/>
                <w:szCs w:val="20"/>
              </w:rPr>
            </w:pPr>
            <w:r>
              <w:rPr>
                <w:rFonts w:hint="eastAsia" w:ascii="宋体" w:hAnsi="宋体" w:eastAsia="宋体" w:cs="Arial"/>
                <w:kern w:val="0"/>
                <w:szCs w:val="20"/>
              </w:rPr>
              <w:t>（含税）</w:t>
            </w:r>
          </w:p>
        </w:tc>
        <w:tc>
          <w:tcPr>
            <w:tcW w:w="1487" w:type="dxa"/>
            <w:tcBorders>
              <w:top w:val="single" w:color="auto" w:sz="12" w:space="0"/>
              <w:bottom w:val="single" w:color="auto" w:sz="12" w:space="0"/>
              <w:right w:val="single" w:color="auto" w:sz="12" w:space="0"/>
            </w:tcBorders>
            <w:vAlign w:val="center"/>
          </w:tcPr>
          <w:p>
            <w:pPr>
              <w:ind w:right="-11"/>
              <w:jc w:val="center"/>
              <w:rPr>
                <w:rFonts w:ascii="宋体" w:hAnsi="宋体" w:eastAsia="宋体" w:cs="Arial"/>
                <w:bCs/>
                <w:kern w:val="0"/>
                <w:szCs w:val="20"/>
              </w:rPr>
            </w:pPr>
            <w:r>
              <w:rPr>
                <w:rFonts w:hint="eastAsia" w:ascii="宋体" w:hAnsi="宋体" w:eastAsia="宋体" w:cs="Arial"/>
                <w:bCs/>
                <w:kern w:val="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25" w:type="dxa"/>
            <w:tcBorders>
              <w:left w:val="single" w:color="auto" w:sz="12" w:space="0"/>
            </w:tcBorders>
            <w:vAlign w:val="center"/>
          </w:tcPr>
          <w:p>
            <w:pPr>
              <w:ind w:right="-11"/>
              <w:jc w:val="center"/>
              <w:rPr>
                <w:rFonts w:ascii="宋体" w:hAnsi="宋体" w:eastAsia="宋体" w:cs="Arial"/>
                <w:kern w:val="0"/>
                <w:szCs w:val="20"/>
              </w:rPr>
            </w:pPr>
          </w:p>
        </w:tc>
        <w:tc>
          <w:tcPr>
            <w:tcW w:w="1608" w:type="dxa"/>
            <w:vAlign w:val="center"/>
          </w:tcPr>
          <w:p>
            <w:pPr>
              <w:rPr>
                <w:rFonts w:ascii="宋体" w:hAnsi="宋体" w:eastAsia="宋体" w:cs="Arial"/>
                <w:kern w:val="0"/>
                <w:szCs w:val="20"/>
              </w:rPr>
            </w:pPr>
          </w:p>
        </w:tc>
        <w:tc>
          <w:tcPr>
            <w:tcW w:w="1484" w:type="dxa"/>
            <w:vAlign w:val="center"/>
          </w:tcPr>
          <w:p>
            <w:pPr>
              <w:jc w:val="center"/>
              <w:rPr>
                <w:rFonts w:ascii="宋体" w:hAnsi="宋体" w:eastAsia="宋体" w:cs="Arial"/>
                <w:kern w:val="0"/>
                <w:szCs w:val="20"/>
              </w:rPr>
            </w:pPr>
          </w:p>
        </w:tc>
        <w:tc>
          <w:tcPr>
            <w:tcW w:w="1573" w:type="dxa"/>
            <w:vAlign w:val="center"/>
          </w:tcPr>
          <w:p>
            <w:pPr>
              <w:ind w:right="-11"/>
              <w:jc w:val="center"/>
              <w:rPr>
                <w:rFonts w:ascii="宋体" w:hAnsi="宋体" w:eastAsia="宋体" w:cs="Arial"/>
                <w:kern w:val="0"/>
                <w:szCs w:val="20"/>
              </w:rPr>
            </w:pPr>
          </w:p>
        </w:tc>
        <w:tc>
          <w:tcPr>
            <w:tcW w:w="709" w:type="dxa"/>
            <w:vAlign w:val="center"/>
          </w:tcPr>
          <w:p>
            <w:pPr>
              <w:jc w:val="center"/>
              <w:rPr>
                <w:rFonts w:ascii="宋体" w:hAnsi="宋体" w:eastAsia="宋体" w:cs="Arial"/>
                <w:kern w:val="0"/>
                <w:szCs w:val="20"/>
              </w:rPr>
            </w:pPr>
          </w:p>
        </w:tc>
        <w:tc>
          <w:tcPr>
            <w:tcW w:w="1145" w:type="dxa"/>
            <w:vAlign w:val="center"/>
          </w:tcPr>
          <w:p>
            <w:pPr>
              <w:ind w:right="-11"/>
              <w:jc w:val="center"/>
              <w:rPr>
                <w:rFonts w:ascii="宋体" w:hAnsi="宋体" w:eastAsia="宋体" w:cs="Arial"/>
                <w:kern w:val="0"/>
                <w:szCs w:val="20"/>
              </w:rPr>
            </w:pPr>
          </w:p>
        </w:tc>
        <w:tc>
          <w:tcPr>
            <w:tcW w:w="1002" w:type="dxa"/>
            <w:vAlign w:val="center"/>
          </w:tcPr>
          <w:p>
            <w:pPr>
              <w:ind w:right="-11"/>
              <w:jc w:val="center"/>
              <w:rPr>
                <w:rFonts w:ascii="宋体" w:hAnsi="宋体" w:eastAsia="宋体" w:cs="Arial"/>
                <w:kern w:val="0"/>
                <w:szCs w:val="20"/>
              </w:rPr>
            </w:pPr>
          </w:p>
        </w:tc>
        <w:tc>
          <w:tcPr>
            <w:tcW w:w="1487" w:type="dxa"/>
            <w:tcBorders>
              <w:right w:val="single" w:color="auto" w:sz="12" w:space="0"/>
            </w:tcBorders>
            <w:vAlign w:val="center"/>
          </w:tcPr>
          <w:p>
            <w:pPr>
              <w:ind w:right="-11"/>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25" w:type="dxa"/>
            <w:tcBorders>
              <w:left w:val="single" w:color="auto" w:sz="12" w:space="0"/>
            </w:tcBorders>
            <w:vAlign w:val="center"/>
          </w:tcPr>
          <w:p>
            <w:pPr>
              <w:ind w:right="-11"/>
              <w:jc w:val="center"/>
              <w:rPr>
                <w:rFonts w:ascii="宋体" w:hAnsi="宋体" w:eastAsia="宋体" w:cs="Arial"/>
                <w:kern w:val="0"/>
                <w:szCs w:val="20"/>
              </w:rPr>
            </w:pPr>
          </w:p>
        </w:tc>
        <w:tc>
          <w:tcPr>
            <w:tcW w:w="1608" w:type="dxa"/>
            <w:vAlign w:val="center"/>
          </w:tcPr>
          <w:p>
            <w:pPr>
              <w:rPr>
                <w:rFonts w:ascii="宋体" w:hAnsi="宋体" w:eastAsia="宋体" w:cs="Arial"/>
                <w:kern w:val="0"/>
                <w:szCs w:val="20"/>
              </w:rPr>
            </w:pPr>
          </w:p>
        </w:tc>
        <w:tc>
          <w:tcPr>
            <w:tcW w:w="1484" w:type="dxa"/>
            <w:vAlign w:val="center"/>
          </w:tcPr>
          <w:p>
            <w:pPr>
              <w:jc w:val="center"/>
              <w:rPr>
                <w:rFonts w:ascii="宋体" w:hAnsi="宋体" w:eastAsia="宋体" w:cs="Arial"/>
                <w:kern w:val="0"/>
                <w:szCs w:val="20"/>
              </w:rPr>
            </w:pPr>
          </w:p>
        </w:tc>
        <w:tc>
          <w:tcPr>
            <w:tcW w:w="1573" w:type="dxa"/>
            <w:vAlign w:val="center"/>
          </w:tcPr>
          <w:p>
            <w:pPr>
              <w:ind w:right="-11"/>
              <w:jc w:val="center"/>
              <w:rPr>
                <w:rFonts w:ascii="宋体" w:hAnsi="宋体" w:eastAsia="宋体" w:cs="Arial"/>
                <w:kern w:val="0"/>
                <w:szCs w:val="20"/>
              </w:rPr>
            </w:pPr>
          </w:p>
        </w:tc>
        <w:tc>
          <w:tcPr>
            <w:tcW w:w="709" w:type="dxa"/>
            <w:vAlign w:val="center"/>
          </w:tcPr>
          <w:p>
            <w:pPr>
              <w:jc w:val="center"/>
              <w:rPr>
                <w:rFonts w:ascii="宋体" w:hAnsi="宋体" w:eastAsia="宋体" w:cs="Arial"/>
                <w:kern w:val="0"/>
                <w:szCs w:val="20"/>
              </w:rPr>
            </w:pPr>
          </w:p>
        </w:tc>
        <w:tc>
          <w:tcPr>
            <w:tcW w:w="1145" w:type="dxa"/>
            <w:vAlign w:val="center"/>
          </w:tcPr>
          <w:p>
            <w:pPr>
              <w:ind w:right="-11"/>
              <w:jc w:val="center"/>
              <w:rPr>
                <w:rFonts w:ascii="宋体" w:hAnsi="宋体" w:eastAsia="宋体" w:cs="Arial"/>
                <w:kern w:val="0"/>
                <w:szCs w:val="20"/>
              </w:rPr>
            </w:pPr>
          </w:p>
        </w:tc>
        <w:tc>
          <w:tcPr>
            <w:tcW w:w="1002" w:type="dxa"/>
            <w:vAlign w:val="center"/>
          </w:tcPr>
          <w:p>
            <w:pPr>
              <w:ind w:right="-11"/>
              <w:jc w:val="center"/>
              <w:rPr>
                <w:rFonts w:ascii="宋体" w:hAnsi="宋体" w:eastAsia="宋体" w:cs="Arial"/>
                <w:kern w:val="0"/>
                <w:szCs w:val="20"/>
              </w:rPr>
            </w:pPr>
          </w:p>
        </w:tc>
        <w:tc>
          <w:tcPr>
            <w:tcW w:w="1487" w:type="dxa"/>
            <w:tcBorders>
              <w:right w:val="single" w:color="auto" w:sz="12" w:space="0"/>
            </w:tcBorders>
            <w:vAlign w:val="center"/>
          </w:tcPr>
          <w:p>
            <w:pPr>
              <w:ind w:right="-11"/>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25" w:type="dxa"/>
            <w:tcBorders>
              <w:left w:val="single" w:color="auto" w:sz="12" w:space="0"/>
            </w:tcBorders>
            <w:vAlign w:val="center"/>
          </w:tcPr>
          <w:p>
            <w:pPr>
              <w:ind w:right="-11"/>
              <w:jc w:val="center"/>
              <w:rPr>
                <w:rFonts w:ascii="宋体" w:hAnsi="宋体" w:eastAsia="宋体" w:cs="Arial"/>
                <w:kern w:val="0"/>
                <w:szCs w:val="20"/>
              </w:rPr>
            </w:pPr>
          </w:p>
        </w:tc>
        <w:tc>
          <w:tcPr>
            <w:tcW w:w="1608" w:type="dxa"/>
            <w:vAlign w:val="center"/>
          </w:tcPr>
          <w:p>
            <w:pPr>
              <w:rPr>
                <w:rFonts w:ascii="宋体" w:hAnsi="宋体" w:eastAsia="宋体" w:cs="Arial"/>
                <w:kern w:val="0"/>
                <w:szCs w:val="20"/>
              </w:rPr>
            </w:pPr>
          </w:p>
        </w:tc>
        <w:tc>
          <w:tcPr>
            <w:tcW w:w="1484" w:type="dxa"/>
            <w:vAlign w:val="center"/>
          </w:tcPr>
          <w:p>
            <w:pPr>
              <w:jc w:val="center"/>
              <w:rPr>
                <w:rFonts w:ascii="宋体" w:hAnsi="宋体" w:eastAsia="宋体" w:cs="Arial"/>
                <w:kern w:val="0"/>
                <w:szCs w:val="20"/>
              </w:rPr>
            </w:pPr>
          </w:p>
        </w:tc>
        <w:tc>
          <w:tcPr>
            <w:tcW w:w="1573" w:type="dxa"/>
            <w:vAlign w:val="center"/>
          </w:tcPr>
          <w:p>
            <w:pPr>
              <w:ind w:right="-11"/>
              <w:jc w:val="center"/>
              <w:rPr>
                <w:rFonts w:ascii="宋体" w:hAnsi="宋体" w:eastAsia="宋体" w:cs="Arial"/>
                <w:kern w:val="0"/>
                <w:szCs w:val="20"/>
              </w:rPr>
            </w:pPr>
          </w:p>
        </w:tc>
        <w:tc>
          <w:tcPr>
            <w:tcW w:w="709" w:type="dxa"/>
            <w:vAlign w:val="center"/>
          </w:tcPr>
          <w:p>
            <w:pPr>
              <w:jc w:val="center"/>
              <w:rPr>
                <w:rFonts w:ascii="宋体" w:hAnsi="宋体" w:eastAsia="宋体" w:cs="Arial"/>
                <w:kern w:val="0"/>
                <w:szCs w:val="20"/>
              </w:rPr>
            </w:pPr>
          </w:p>
        </w:tc>
        <w:tc>
          <w:tcPr>
            <w:tcW w:w="1145" w:type="dxa"/>
            <w:vAlign w:val="center"/>
          </w:tcPr>
          <w:p>
            <w:pPr>
              <w:ind w:right="-11"/>
              <w:jc w:val="center"/>
              <w:rPr>
                <w:rFonts w:ascii="宋体" w:hAnsi="宋体" w:eastAsia="宋体" w:cs="Arial"/>
                <w:kern w:val="0"/>
                <w:szCs w:val="20"/>
              </w:rPr>
            </w:pPr>
          </w:p>
        </w:tc>
        <w:tc>
          <w:tcPr>
            <w:tcW w:w="1002" w:type="dxa"/>
            <w:vAlign w:val="center"/>
          </w:tcPr>
          <w:p>
            <w:pPr>
              <w:ind w:right="-11"/>
              <w:jc w:val="center"/>
              <w:rPr>
                <w:rFonts w:ascii="宋体" w:hAnsi="宋体" w:eastAsia="宋体" w:cs="Arial"/>
                <w:kern w:val="0"/>
                <w:szCs w:val="20"/>
              </w:rPr>
            </w:pPr>
          </w:p>
        </w:tc>
        <w:tc>
          <w:tcPr>
            <w:tcW w:w="1487" w:type="dxa"/>
            <w:tcBorders>
              <w:right w:val="single" w:color="auto" w:sz="12" w:space="0"/>
            </w:tcBorders>
            <w:vAlign w:val="center"/>
          </w:tcPr>
          <w:p>
            <w:pPr>
              <w:ind w:right="-11"/>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25" w:type="dxa"/>
            <w:tcBorders>
              <w:left w:val="single" w:color="auto" w:sz="12" w:space="0"/>
            </w:tcBorders>
            <w:vAlign w:val="center"/>
          </w:tcPr>
          <w:p>
            <w:pPr>
              <w:ind w:right="-11"/>
              <w:jc w:val="center"/>
              <w:rPr>
                <w:rFonts w:ascii="宋体" w:hAnsi="宋体" w:eastAsia="宋体" w:cs="Arial"/>
                <w:kern w:val="0"/>
                <w:szCs w:val="20"/>
              </w:rPr>
            </w:pPr>
          </w:p>
        </w:tc>
        <w:tc>
          <w:tcPr>
            <w:tcW w:w="1608" w:type="dxa"/>
            <w:vAlign w:val="center"/>
          </w:tcPr>
          <w:p>
            <w:pPr>
              <w:rPr>
                <w:rFonts w:ascii="宋体" w:hAnsi="宋体" w:eastAsia="宋体" w:cs="Arial"/>
                <w:kern w:val="0"/>
                <w:szCs w:val="20"/>
              </w:rPr>
            </w:pPr>
          </w:p>
        </w:tc>
        <w:tc>
          <w:tcPr>
            <w:tcW w:w="1484" w:type="dxa"/>
            <w:vAlign w:val="center"/>
          </w:tcPr>
          <w:p>
            <w:pPr>
              <w:jc w:val="center"/>
              <w:rPr>
                <w:rFonts w:ascii="宋体" w:hAnsi="宋体" w:eastAsia="宋体" w:cs="Arial"/>
                <w:kern w:val="0"/>
                <w:szCs w:val="20"/>
              </w:rPr>
            </w:pPr>
          </w:p>
        </w:tc>
        <w:tc>
          <w:tcPr>
            <w:tcW w:w="1573" w:type="dxa"/>
            <w:vAlign w:val="center"/>
          </w:tcPr>
          <w:p>
            <w:pPr>
              <w:ind w:right="-11"/>
              <w:jc w:val="center"/>
              <w:rPr>
                <w:rFonts w:ascii="宋体" w:hAnsi="宋体" w:eastAsia="宋体" w:cs="Arial"/>
                <w:kern w:val="0"/>
                <w:szCs w:val="20"/>
              </w:rPr>
            </w:pPr>
          </w:p>
        </w:tc>
        <w:tc>
          <w:tcPr>
            <w:tcW w:w="709" w:type="dxa"/>
            <w:vAlign w:val="center"/>
          </w:tcPr>
          <w:p>
            <w:pPr>
              <w:rPr>
                <w:rFonts w:ascii="宋体" w:hAnsi="宋体" w:eastAsia="宋体" w:cs="Arial"/>
                <w:kern w:val="0"/>
                <w:szCs w:val="20"/>
              </w:rPr>
            </w:pPr>
          </w:p>
        </w:tc>
        <w:tc>
          <w:tcPr>
            <w:tcW w:w="1145" w:type="dxa"/>
            <w:vAlign w:val="center"/>
          </w:tcPr>
          <w:p>
            <w:pPr>
              <w:ind w:right="-11"/>
              <w:jc w:val="center"/>
              <w:rPr>
                <w:rFonts w:ascii="宋体" w:hAnsi="宋体" w:eastAsia="宋体" w:cs="Arial"/>
                <w:kern w:val="0"/>
                <w:szCs w:val="20"/>
              </w:rPr>
            </w:pPr>
          </w:p>
        </w:tc>
        <w:tc>
          <w:tcPr>
            <w:tcW w:w="1002" w:type="dxa"/>
            <w:vAlign w:val="center"/>
          </w:tcPr>
          <w:p>
            <w:pPr>
              <w:ind w:right="-11"/>
              <w:jc w:val="center"/>
              <w:rPr>
                <w:rFonts w:ascii="宋体" w:hAnsi="宋体" w:eastAsia="宋体" w:cs="Arial"/>
                <w:kern w:val="0"/>
                <w:szCs w:val="20"/>
              </w:rPr>
            </w:pPr>
          </w:p>
        </w:tc>
        <w:tc>
          <w:tcPr>
            <w:tcW w:w="1487" w:type="dxa"/>
            <w:tcBorders>
              <w:right w:val="single" w:color="auto" w:sz="12" w:space="0"/>
            </w:tcBorders>
            <w:vAlign w:val="center"/>
          </w:tcPr>
          <w:p>
            <w:pPr>
              <w:ind w:right="-11"/>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25" w:type="dxa"/>
            <w:tcBorders>
              <w:left w:val="single" w:color="auto" w:sz="12" w:space="0"/>
            </w:tcBorders>
            <w:vAlign w:val="center"/>
          </w:tcPr>
          <w:p>
            <w:pPr>
              <w:ind w:right="-11"/>
              <w:jc w:val="center"/>
              <w:rPr>
                <w:rFonts w:ascii="宋体" w:hAnsi="宋体" w:eastAsia="宋体" w:cs="Arial"/>
                <w:kern w:val="0"/>
                <w:szCs w:val="20"/>
              </w:rPr>
            </w:pPr>
          </w:p>
        </w:tc>
        <w:tc>
          <w:tcPr>
            <w:tcW w:w="1608" w:type="dxa"/>
            <w:vAlign w:val="center"/>
          </w:tcPr>
          <w:p>
            <w:pPr>
              <w:rPr>
                <w:rFonts w:ascii="宋体" w:hAnsi="宋体" w:eastAsia="宋体" w:cs="Arial"/>
                <w:kern w:val="0"/>
                <w:szCs w:val="20"/>
              </w:rPr>
            </w:pPr>
          </w:p>
        </w:tc>
        <w:tc>
          <w:tcPr>
            <w:tcW w:w="1484" w:type="dxa"/>
            <w:vAlign w:val="center"/>
          </w:tcPr>
          <w:p>
            <w:pPr>
              <w:jc w:val="center"/>
              <w:rPr>
                <w:rFonts w:ascii="宋体" w:hAnsi="宋体" w:eastAsia="宋体" w:cs="Arial"/>
                <w:kern w:val="0"/>
                <w:szCs w:val="20"/>
              </w:rPr>
            </w:pPr>
          </w:p>
        </w:tc>
        <w:tc>
          <w:tcPr>
            <w:tcW w:w="1573" w:type="dxa"/>
            <w:vAlign w:val="center"/>
          </w:tcPr>
          <w:p>
            <w:pPr>
              <w:ind w:right="-11"/>
              <w:jc w:val="center"/>
              <w:rPr>
                <w:rFonts w:ascii="宋体" w:hAnsi="宋体" w:eastAsia="宋体" w:cs="Arial"/>
                <w:kern w:val="0"/>
                <w:szCs w:val="20"/>
              </w:rPr>
            </w:pPr>
          </w:p>
        </w:tc>
        <w:tc>
          <w:tcPr>
            <w:tcW w:w="709" w:type="dxa"/>
            <w:vAlign w:val="center"/>
          </w:tcPr>
          <w:p>
            <w:pPr>
              <w:jc w:val="center"/>
              <w:rPr>
                <w:rFonts w:ascii="宋体" w:hAnsi="宋体" w:eastAsia="宋体" w:cs="Arial"/>
                <w:kern w:val="0"/>
                <w:szCs w:val="20"/>
              </w:rPr>
            </w:pPr>
          </w:p>
        </w:tc>
        <w:tc>
          <w:tcPr>
            <w:tcW w:w="1145" w:type="dxa"/>
            <w:vAlign w:val="center"/>
          </w:tcPr>
          <w:p>
            <w:pPr>
              <w:ind w:right="-11"/>
              <w:jc w:val="center"/>
              <w:rPr>
                <w:rFonts w:ascii="宋体" w:hAnsi="宋体" w:eastAsia="宋体" w:cs="Arial"/>
                <w:kern w:val="0"/>
                <w:szCs w:val="20"/>
              </w:rPr>
            </w:pPr>
          </w:p>
        </w:tc>
        <w:tc>
          <w:tcPr>
            <w:tcW w:w="1002" w:type="dxa"/>
            <w:vAlign w:val="center"/>
          </w:tcPr>
          <w:p>
            <w:pPr>
              <w:ind w:right="-11"/>
              <w:jc w:val="center"/>
              <w:rPr>
                <w:rFonts w:ascii="宋体" w:hAnsi="宋体" w:eastAsia="宋体" w:cs="Arial"/>
                <w:kern w:val="0"/>
                <w:szCs w:val="20"/>
              </w:rPr>
            </w:pPr>
          </w:p>
        </w:tc>
        <w:tc>
          <w:tcPr>
            <w:tcW w:w="1487" w:type="dxa"/>
            <w:tcBorders>
              <w:right w:val="single" w:color="auto" w:sz="12" w:space="0"/>
            </w:tcBorders>
            <w:vAlign w:val="center"/>
          </w:tcPr>
          <w:p>
            <w:pPr>
              <w:ind w:right="-11"/>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25" w:type="dxa"/>
            <w:tcBorders>
              <w:left w:val="single" w:color="auto" w:sz="12" w:space="0"/>
            </w:tcBorders>
            <w:vAlign w:val="center"/>
          </w:tcPr>
          <w:p>
            <w:pPr>
              <w:ind w:right="-11"/>
              <w:jc w:val="center"/>
              <w:rPr>
                <w:rFonts w:ascii="宋体" w:hAnsi="宋体" w:eastAsia="宋体" w:cs="Arial"/>
                <w:kern w:val="0"/>
                <w:szCs w:val="20"/>
              </w:rPr>
            </w:pPr>
          </w:p>
        </w:tc>
        <w:tc>
          <w:tcPr>
            <w:tcW w:w="1608" w:type="dxa"/>
            <w:vAlign w:val="center"/>
          </w:tcPr>
          <w:p>
            <w:pPr>
              <w:rPr>
                <w:rFonts w:ascii="宋体" w:hAnsi="宋体" w:eastAsia="宋体" w:cs="Arial"/>
                <w:kern w:val="0"/>
                <w:szCs w:val="20"/>
              </w:rPr>
            </w:pPr>
          </w:p>
        </w:tc>
        <w:tc>
          <w:tcPr>
            <w:tcW w:w="1484" w:type="dxa"/>
            <w:vAlign w:val="center"/>
          </w:tcPr>
          <w:p>
            <w:pPr>
              <w:jc w:val="center"/>
              <w:rPr>
                <w:rFonts w:ascii="宋体" w:hAnsi="宋体" w:eastAsia="宋体" w:cs="Arial"/>
                <w:kern w:val="0"/>
                <w:szCs w:val="20"/>
              </w:rPr>
            </w:pPr>
          </w:p>
        </w:tc>
        <w:tc>
          <w:tcPr>
            <w:tcW w:w="1573" w:type="dxa"/>
            <w:vAlign w:val="center"/>
          </w:tcPr>
          <w:p>
            <w:pPr>
              <w:ind w:right="-11"/>
              <w:jc w:val="center"/>
              <w:rPr>
                <w:rFonts w:ascii="宋体" w:hAnsi="宋体" w:eastAsia="宋体" w:cs="Arial"/>
                <w:kern w:val="0"/>
                <w:szCs w:val="20"/>
              </w:rPr>
            </w:pPr>
          </w:p>
        </w:tc>
        <w:tc>
          <w:tcPr>
            <w:tcW w:w="709" w:type="dxa"/>
            <w:vAlign w:val="center"/>
          </w:tcPr>
          <w:p>
            <w:pPr>
              <w:jc w:val="center"/>
              <w:rPr>
                <w:rFonts w:ascii="宋体" w:hAnsi="宋体" w:eastAsia="宋体" w:cs="Arial"/>
                <w:kern w:val="0"/>
                <w:szCs w:val="20"/>
              </w:rPr>
            </w:pPr>
          </w:p>
        </w:tc>
        <w:tc>
          <w:tcPr>
            <w:tcW w:w="1145" w:type="dxa"/>
            <w:vAlign w:val="center"/>
          </w:tcPr>
          <w:p>
            <w:pPr>
              <w:ind w:right="-11"/>
              <w:jc w:val="center"/>
              <w:rPr>
                <w:rFonts w:ascii="宋体" w:hAnsi="宋体" w:eastAsia="宋体" w:cs="Arial"/>
                <w:kern w:val="0"/>
                <w:szCs w:val="20"/>
              </w:rPr>
            </w:pPr>
          </w:p>
        </w:tc>
        <w:tc>
          <w:tcPr>
            <w:tcW w:w="1002" w:type="dxa"/>
            <w:vAlign w:val="center"/>
          </w:tcPr>
          <w:p>
            <w:pPr>
              <w:ind w:right="-11"/>
              <w:jc w:val="center"/>
              <w:rPr>
                <w:rFonts w:ascii="宋体" w:hAnsi="宋体" w:eastAsia="宋体" w:cs="Arial"/>
                <w:kern w:val="0"/>
                <w:szCs w:val="20"/>
              </w:rPr>
            </w:pPr>
          </w:p>
        </w:tc>
        <w:tc>
          <w:tcPr>
            <w:tcW w:w="1487" w:type="dxa"/>
            <w:tcBorders>
              <w:right w:val="single" w:color="auto" w:sz="12" w:space="0"/>
            </w:tcBorders>
            <w:vAlign w:val="center"/>
          </w:tcPr>
          <w:p>
            <w:pPr>
              <w:ind w:right="-11"/>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25" w:type="dxa"/>
            <w:tcBorders>
              <w:left w:val="single" w:color="auto" w:sz="12" w:space="0"/>
            </w:tcBorders>
            <w:vAlign w:val="center"/>
          </w:tcPr>
          <w:p>
            <w:pPr>
              <w:ind w:right="-11"/>
              <w:jc w:val="center"/>
              <w:rPr>
                <w:rFonts w:ascii="宋体" w:hAnsi="宋体" w:eastAsia="宋体" w:cs="Arial"/>
                <w:kern w:val="0"/>
                <w:szCs w:val="20"/>
              </w:rPr>
            </w:pPr>
          </w:p>
        </w:tc>
        <w:tc>
          <w:tcPr>
            <w:tcW w:w="1608" w:type="dxa"/>
            <w:vAlign w:val="center"/>
          </w:tcPr>
          <w:p>
            <w:pPr>
              <w:rPr>
                <w:rFonts w:ascii="宋体" w:hAnsi="宋体" w:eastAsia="宋体" w:cs="Arial"/>
                <w:kern w:val="0"/>
                <w:szCs w:val="20"/>
              </w:rPr>
            </w:pPr>
          </w:p>
        </w:tc>
        <w:tc>
          <w:tcPr>
            <w:tcW w:w="1484" w:type="dxa"/>
            <w:vAlign w:val="center"/>
          </w:tcPr>
          <w:p>
            <w:pPr>
              <w:jc w:val="center"/>
              <w:rPr>
                <w:rFonts w:ascii="宋体" w:hAnsi="宋体" w:eastAsia="宋体" w:cs="Arial"/>
                <w:kern w:val="0"/>
                <w:szCs w:val="20"/>
              </w:rPr>
            </w:pPr>
          </w:p>
        </w:tc>
        <w:tc>
          <w:tcPr>
            <w:tcW w:w="1573" w:type="dxa"/>
            <w:vAlign w:val="center"/>
          </w:tcPr>
          <w:p>
            <w:pPr>
              <w:ind w:right="-11"/>
              <w:jc w:val="center"/>
              <w:rPr>
                <w:rFonts w:ascii="宋体" w:hAnsi="宋体" w:eastAsia="宋体" w:cs="Arial"/>
                <w:kern w:val="0"/>
                <w:szCs w:val="20"/>
              </w:rPr>
            </w:pPr>
          </w:p>
        </w:tc>
        <w:tc>
          <w:tcPr>
            <w:tcW w:w="709" w:type="dxa"/>
            <w:vAlign w:val="center"/>
          </w:tcPr>
          <w:p>
            <w:pPr>
              <w:jc w:val="center"/>
              <w:rPr>
                <w:rFonts w:ascii="宋体" w:hAnsi="宋体" w:eastAsia="宋体" w:cs="Arial"/>
                <w:kern w:val="0"/>
                <w:szCs w:val="20"/>
              </w:rPr>
            </w:pPr>
          </w:p>
        </w:tc>
        <w:tc>
          <w:tcPr>
            <w:tcW w:w="1145" w:type="dxa"/>
            <w:vAlign w:val="center"/>
          </w:tcPr>
          <w:p>
            <w:pPr>
              <w:ind w:right="-11"/>
              <w:jc w:val="center"/>
              <w:rPr>
                <w:rFonts w:ascii="宋体" w:hAnsi="宋体" w:eastAsia="宋体" w:cs="Arial"/>
                <w:kern w:val="0"/>
                <w:szCs w:val="20"/>
              </w:rPr>
            </w:pPr>
          </w:p>
        </w:tc>
        <w:tc>
          <w:tcPr>
            <w:tcW w:w="1002" w:type="dxa"/>
            <w:vAlign w:val="center"/>
          </w:tcPr>
          <w:p>
            <w:pPr>
              <w:ind w:right="-11"/>
              <w:jc w:val="center"/>
              <w:rPr>
                <w:rFonts w:ascii="宋体" w:hAnsi="宋体" w:eastAsia="宋体" w:cs="Arial"/>
                <w:kern w:val="0"/>
                <w:szCs w:val="20"/>
              </w:rPr>
            </w:pPr>
          </w:p>
        </w:tc>
        <w:tc>
          <w:tcPr>
            <w:tcW w:w="1487" w:type="dxa"/>
            <w:tcBorders>
              <w:right w:val="single" w:color="auto" w:sz="12" w:space="0"/>
            </w:tcBorders>
            <w:vAlign w:val="center"/>
          </w:tcPr>
          <w:p>
            <w:pPr>
              <w:ind w:right="-11"/>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25" w:type="dxa"/>
            <w:tcBorders>
              <w:left w:val="single" w:color="auto" w:sz="12" w:space="0"/>
            </w:tcBorders>
            <w:vAlign w:val="center"/>
          </w:tcPr>
          <w:p>
            <w:pPr>
              <w:ind w:right="-11"/>
              <w:jc w:val="center"/>
              <w:rPr>
                <w:rFonts w:ascii="宋体" w:hAnsi="宋体" w:eastAsia="宋体" w:cs="Arial"/>
                <w:kern w:val="0"/>
                <w:szCs w:val="20"/>
              </w:rPr>
            </w:pPr>
          </w:p>
        </w:tc>
        <w:tc>
          <w:tcPr>
            <w:tcW w:w="1608" w:type="dxa"/>
            <w:vAlign w:val="center"/>
          </w:tcPr>
          <w:p>
            <w:pPr>
              <w:rPr>
                <w:rFonts w:ascii="宋体" w:hAnsi="宋体" w:eastAsia="宋体" w:cs="Arial"/>
                <w:kern w:val="0"/>
                <w:szCs w:val="20"/>
              </w:rPr>
            </w:pPr>
          </w:p>
        </w:tc>
        <w:tc>
          <w:tcPr>
            <w:tcW w:w="1484" w:type="dxa"/>
            <w:vAlign w:val="center"/>
          </w:tcPr>
          <w:p>
            <w:pPr>
              <w:jc w:val="center"/>
              <w:rPr>
                <w:rFonts w:ascii="宋体" w:hAnsi="宋体" w:eastAsia="宋体" w:cs="Arial"/>
                <w:kern w:val="0"/>
                <w:szCs w:val="20"/>
              </w:rPr>
            </w:pPr>
          </w:p>
        </w:tc>
        <w:tc>
          <w:tcPr>
            <w:tcW w:w="1573" w:type="dxa"/>
            <w:vAlign w:val="center"/>
          </w:tcPr>
          <w:p>
            <w:pPr>
              <w:ind w:right="-11"/>
              <w:jc w:val="center"/>
              <w:rPr>
                <w:rFonts w:ascii="宋体" w:hAnsi="宋体" w:eastAsia="宋体" w:cs="Arial"/>
                <w:kern w:val="0"/>
                <w:szCs w:val="20"/>
              </w:rPr>
            </w:pPr>
          </w:p>
        </w:tc>
        <w:tc>
          <w:tcPr>
            <w:tcW w:w="709" w:type="dxa"/>
            <w:vAlign w:val="center"/>
          </w:tcPr>
          <w:p>
            <w:pPr>
              <w:jc w:val="center"/>
              <w:rPr>
                <w:rFonts w:ascii="宋体" w:hAnsi="宋体" w:eastAsia="宋体" w:cs="Arial"/>
                <w:kern w:val="0"/>
                <w:szCs w:val="20"/>
              </w:rPr>
            </w:pPr>
          </w:p>
        </w:tc>
        <w:tc>
          <w:tcPr>
            <w:tcW w:w="1145" w:type="dxa"/>
            <w:vAlign w:val="center"/>
          </w:tcPr>
          <w:p>
            <w:pPr>
              <w:ind w:right="-11"/>
              <w:jc w:val="center"/>
              <w:rPr>
                <w:rFonts w:ascii="宋体" w:hAnsi="宋体" w:eastAsia="宋体" w:cs="Arial"/>
                <w:kern w:val="0"/>
                <w:szCs w:val="20"/>
              </w:rPr>
            </w:pPr>
          </w:p>
        </w:tc>
        <w:tc>
          <w:tcPr>
            <w:tcW w:w="1002" w:type="dxa"/>
            <w:vAlign w:val="center"/>
          </w:tcPr>
          <w:p>
            <w:pPr>
              <w:ind w:right="-11"/>
              <w:jc w:val="center"/>
              <w:rPr>
                <w:rFonts w:ascii="宋体" w:hAnsi="宋体" w:eastAsia="宋体" w:cs="Arial"/>
                <w:kern w:val="0"/>
                <w:szCs w:val="20"/>
              </w:rPr>
            </w:pPr>
          </w:p>
        </w:tc>
        <w:tc>
          <w:tcPr>
            <w:tcW w:w="1487" w:type="dxa"/>
            <w:tcBorders>
              <w:right w:val="single" w:color="auto" w:sz="12" w:space="0"/>
            </w:tcBorders>
            <w:vAlign w:val="center"/>
          </w:tcPr>
          <w:p>
            <w:pPr>
              <w:ind w:right="-11"/>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25" w:type="dxa"/>
            <w:tcBorders>
              <w:left w:val="single" w:color="auto" w:sz="12" w:space="0"/>
            </w:tcBorders>
            <w:vAlign w:val="center"/>
          </w:tcPr>
          <w:p>
            <w:pPr>
              <w:ind w:right="-11"/>
              <w:jc w:val="center"/>
              <w:rPr>
                <w:rFonts w:ascii="宋体" w:hAnsi="宋体" w:eastAsia="宋体" w:cs="Arial"/>
                <w:kern w:val="0"/>
                <w:szCs w:val="20"/>
              </w:rPr>
            </w:pPr>
          </w:p>
        </w:tc>
        <w:tc>
          <w:tcPr>
            <w:tcW w:w="1608" w:type="dxa"/>
            <w:vAlign w:val="center"/>
          </w:tcPr>
          <w:p>
            <w:pPr>
              <w:rPr>
                <w:rFonts w:ascii="宋体" w:hAnsi="宋体" w:eastAsia="宋体" w:cs="Arial"/>
                <w:kern w:val="0"/>
                <w:szCs w:val="20"/>
              </w:rPr>
            </w:pPr>
          </w:p>
        </w:tc>
        <w:tc>
          <w:tcPr>
            <w:tcW w:w="1484" w:type="dxa"/>
            <w:vAlign w:val="center"/>
          </w:tcPr>
          <w:p>
            <w:pPr>
              <w:jc w:val="center"/>
              <w:rPr>
                <w:rFonts w:ascii="宋体" w:hAnsi="宋体" w:eastAsia="宋体" w:cs="Arial"/>
                <w:kern w:val="0"/>
                <w:szCs w:val="20"/>
              </w:rPr>
            </w:pPr>
          </w:p>
        </w:tc>
        <w:tc>
          <w:tcPr>
            <w:tcW w:w="1573" w:type="dxa"/>
            <w:vAlign w:val="center"/>
          </w:tcPr>
          <w:p>
            <w:pPr>
              <w:ind w:right="-11"/>
              <w:jc w:val="center"/>
              <w:rPr>
                <w:rFonts w:ascii="宋体" w:hAnsi="宋体" w:eastAsia="宋体" w:cs="Arial"/>
                <w:kern w:val="0"/>
                <w:szCs w:val="20"/>
              </w:rPr>
            </w:pPr>
          </w:p>
        </w:tc>
        <w:tc>
          <w:tcPr>
            <w:tcW w:w="709" w:type="dxa"/>
            <w:vAlign w:val="center"/>
          </w:tcPr>
          <w:p>
            <w:pPr>
              <w:jc w:val="center"/>
              <w:rPr>
                <w:rFonts w:ascii="宋体" w:hAnsi="宋体" w:eastAsia="宋体" w:cs="Arial"/>
                <w:kern w:val="0"/>
                <w:szCs w:val="20"/>
              </w:rPr>
            </w:pPr>
          </w:p>
        </w:tc>
        <w:tc>
          <w:tcPr>
            <w:tcW w:w="1145" w:type="dxa"/>
            <w:vAlign w:val="center"/>
          </w:tcPr>
          <w:p>
            <w:pPr>
              <w:ind w:right="-11"/>
              <w:jc w:val="center"/>
              <w:rPr>
                <w:rFonts w:ascii="宋体" w:hAnsi="宋体" w:eastAsia="宋体" w:cs="Arial"/>
                <w:kern w:val="0"/>
                <w:szCs w:val="20"/>
              </w:rPr>
            </w:pPr>
          </w:p>
        </w:tc>
        <w:tc>
          <w:tcPr>
            <w:tcW w:w="1002" w:type="dxa"/>
            <w:vAlign w:val="center"/>
          </w:tcPr>
          <w:p>
            <w:pPr>
              <w:ind w:right="-11"/>
              <w:jc w:val="center"/>
              <w:rPr>
                <w:rFonts w:ascii="宋体" w:hAnsi="宋体" w:eastAsia="宋体" w:cs="Arial"/>
                <w:kern w:val="0"/>
                <w:szCs w:val="20"/>
              </w:rPr>
            </w:pPr>
          </w:p>
        </w:tc>
        <w:tc>
          <w:tcPr>
            <w:tcW w:w="1487" w:type="dxa"/>
            <w:tcBorders>
              <w:right w:val="single" w:color="auto" w:sz="12" w:space="0"/>
            </w:tcBorders>
            <w:vAlign w:val="center"/>
          </w:tcPr>
          <w:p>
            <w:pPr>
              <w:ind w:right="-11"/>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trPr>
        <w:tc>
          <w:tcPr>
            <w:tcW w:w="3717" w:type="dxa"/>
            <w:gridSpan w:val="3"/>
            <w:tcBorders>
              <w:left w:val="single" w:color="auto" w:sz="12" w:space="0"/>
              <w:bottom w:val="single" w:color="auto" w:sz="12" w:space="0"/>
            </w:tcBorders>
            <w:vAlign w:val="center"/>
          </w:tcPr>
          <w:p>
            <w:pPr>
              <w:ind w:right="-10"/>
              <w:jc w:val="center"/>
              <w:rPr>
                <w:rFonts w:ascii="宋体" w:hAnsi="宋体" w:eastAsia="宋体" w:cs="Arial"/>
                <w:bCs/>
                <w:kern w:val="0"/>
                <w:szCs w:val="20"/>
              </w:rPr>
            </w:pPr>
            <w:r>
              <w:rPr>
                <w:rFonts w:hint="eastAsia" w:ascii="宋体" w:hAnsi="宋体" w:eastAsia="宋体" w:cs="Arial"/>
                <w:bCs/>
                <w:kern w:val="0"/>
                <w:szCs w:val="20"/>
              </w:rPr>
              <w:t>设备总价</w:t>
            </w:r>
          </w:p>
        </w:tc>
        <w:tc>
          <w:tcPr>
            <w:tcW w:w="5916" w:type="dxa"/>
            <w:gridSpan w:val="5"/>
            <w:tcBorders>
              <w:bottom w:val="single" w:color="auto" w:sz="12" w:space="0"/>
              <w:right w:val="single" w:color="auto" w:sz="12" w:space="0"/>
            </w:tcBorders>
            <w:vAlign w:val="center"/>
          </w:tcPr>
          <w:p>
            <w:pPr>
              <w:ind w:right="-10"/>
              <w:jc w:val="center"/>
              <w:rPr>
                <w:rFonts w:ascii="宋体" w:hAnsi="宋体" w:eastAsia="宋体" w:cs="Arial"/>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trPr>
        <w:tc>
          <w:tcPr>
            <w:tcW w:w="3717" w:type="dxa"/>
            <w:gridSpan w:val="3"/>
            <w:tcBorders>
              <w:top w:val="single" w:color="auto" w:sz="12" w:space="0"/>
              <w:left w:val="single" w:color="auto" w:sz="12" w:space="0"/>
            </w:tcBorders>
            <w:vAlign w:val="center"/>
          </w:tcPr>
          <w:p>
            <w:pPr>
              <w:ind w:right="-11"/>
              <w:rPr>
                <w:rFonts w:ascii="宋体" w:hAnsi="宋体" w:eastAsia="宋体" w:cs="Arial"/>
                <w:kern w:val="0"/>
                <w:szCs w:val="20"/>
              </w:rPr>
            </w:pPr>
            <w:r>
              <w:rPr>
                <w:rFonts w:hint="eastAsia" w:ascii="宋体" w:hAnsi="宋体" w:eastAsia="宋体" w:cs="Arial"/>
                <w:kern w:val="0"/>
                <w:szCs w:val="20"/>
              </w:rPr>
              <w:t>运杂及保险费（含卸货）</w:t>
            </w:r>
          </w:p>
        </w:tc>
        <w:tc>
          <w:tcPr>
            <w:tcW w:w="5916" w:type="dxa"/>
            <w:gridSpan w:val="5"/>
            <w:tcBorders>
              <w:top w:val="single" w:color="auto" w:sz="12" w:space="0"/>
              <w:right w:val="single" w:color="auto" w:sz="12" w:space="0"/>
            </w:tcBorders>
          </w:tcPr>
          <w:p>
            <w:pPr>
              <w:spacing w:line="340" w:lineRule="exact"/>
              <w:rPr>
                <w:rFonts w:ascii="宋体" w:hAnsi="宋体" w:eastAsia="宋体" w:cs="Times New Roman"/>
                <w:bCs/>
                <w:kern w:val="0"/>
                <w:sz w:val="22"/>
                <w:szCs w:val="20"/>
              </w:rPr>
            </w:pPr>
            <w:r>
              <w:rPr>
                <w:rFonts w:hint="eastAsia" w:ascii="宋体" w:hAnsi="宋体" w:eastAsia="宋体" w:cs="Times New Roman"/>
                <w:bCs/>
                <w:kern w:val="0"/>
                <w:sz w:val="22"/>
                <w:szCs w:val="20"/>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trPr>
        <w:tc>
          <w:tcPr>
            <w:tcW w:w="3717" w:type="dxa"/>
            <w:gridSpan w:val="3"/>
            <w:tcBorders>
              <w:left w:val="single" w:color="auto" w:sz="12" w:space="0"/>
            </w:tcBorders>
            <w:vAlign w:val="center"/>
          </w:tcPr>
          <w:p>
            <w:pPr>
              <w:ind w:right="-11"/>
              <w:rPr>
                <w:rFonts w:ascii="宋体" w:hAnsi="宋体" w:eastAsia="宋体" w:cs="Arial"/>
                <w:kern w:val="0"/>
                <w:szCs w:val="20"/>
              </w:rPr>
            </w:pPr>
            <w:r>
              <w:rPr>
                <w:rFonts w:hint="eastAsia" w:ascii="宋体" w:hAnsi="宋体" w:eastAsia="宋体" w:cs="Times New Roman"/>
                <w:kern w:val="0"/>
                <w:szCs w:val="20"/>
              </w:rPr>
              <w:t>安装调试费（包括设备的测试、调试、验收等费用）</w:t>
            </w:r>
          </w:p>
        </w:tc>
        <w:tc>
          <w:tcPr>
            <w:tcW w:w="5916" w:type="dxa"/>
            <w:gridSpan w:val="5"/>
            <w:tcBorders>
              <w:right w:val="single" w:color="auto" w:sz="12" w:space="0"/>
            </w:tcBorders>
          </w:tcPr>
          <w:p>
            <w:pPr>
              <w:spacing w:line="340" w:lineRule="exact"/>
              <w:rPr>
                <w:rFonts w:ascii="宋体" w:hAnsi="宋体" w:eastAsia="宋体" w:cs="Times New Roman"/>
                <w:bCs/>
                <w:kern w:val="0"/>
                <w:sz w:val="22"/>
                <w:szCs w:val="20"/>
              </w:rPr>
            </w:pPr>
            <w:r>
              <w:rPr>
                <w:rFonts w:hint="eastAsia" w:ascii="宋体" w:hAnsi="宋体" w:eastAsia="宋体" w:cs="Times New Roman"/>
                <w:bCs/>
                <w:kern w:val="0"/>
                <w:sz w:val="22"/>
                <w:szCs w:val="20"/>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trPr>
        <w:tc>
          <w:tcPr>
            <w:tcW w:w="3717" w:type="dxa"/>
            <w:gridSpan w:val="3"/>
            <w:tcBorders>
              <w:left w:val="single" w:color="auto" w:sz="12" w:space="0"/>
            </w:tcBorders>
            <w:vAlign w:val="center"/>
          </w:tcPr>
          <w:p>
            <w:pPr>
              <w:ind w:right="-11"/>
              <w:rPr>
                <w:rFonts w:ascii="宋体" w:hAnsi="宋体" w:eastAsia="宋体" w:cs="Arial"/>
                <w:kern w:val="0"/>
                <w:szCs w:val="20"/>
              </w:rPr>
            </w:pPr>
            <w:r>
              <w:rPr>
                <w:rFonts w:hint="eastAsia" w:ascii="宋体" w:hAnsi="宋体" w:eastAsia="宋体" w:cs="Arial"/>
                <w:kern w:val="0"/>
                <w:szCs w:val="20"/>
              </w:rPr>
              <w:t>培训费、技术服务费、售后服务费等</w:t>
            </w:r>
          </w:p>
        </w:tc>
        <w:tc>
          <w:tcPr>
            <w:tcW w:w="5916" w:type="dxa"/>
            <w:gridSpan w:val="5"/>
            <w:tcBorders>
              <w:right w:val="single" w:color="auto" w:sz="12" w:space="0"/>
            </w:tcBorders>
          </w:tcPr>
          <w:p>
            <w:pPr>
              <w:rPr>
                <w:rFonts w:ascii="宋体" w:hAnsi="宋体" w:eastAsia="宋体" w:cs="Times New Roman"/>
                <w:kern w:val="0"/>
                <w:szCs w:val="20"/>
              </w:rPr>
            </w:pPr>
            <w:r>
              <w:rPr>
                <w:rFonts w:hint="eastAsia" w:ascii="宋体" w:hAnsi="宋体" w:eastAsia="宋体" w:cs="Times New Roman"/>
                <w:bCs/>
                <w:kern w:val="0"/>
                <w:sz w:val="22"/>
                <w:szCs w:val="20"/>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trPr>
        <w:tc>
          <w:tcPr>
            <w:tcW w:w="3717" w:type="dxa"/>
            <w:gridSpan w:val="3"/>
            <w:tcBorders>
              <w:left w:val="single" w:color="auto" w:sz="12" w:space="0"/>
            </w:tcBorders>
            <w:vAlign w:val="center"/>
          </w:tcPr>
          <w:p>
            <w:pPr>
              <w:ind w:right="-11"/>
              <w:rPr>
                <w:rFonts w:ascii="宋体" w:hAnsi="宋体" w:eastAsia="宋体" w:cs="Arial"/>
                <w:kern w:val="0"/>
                <w:szCs w:val="20"/>
              </w:rPr>
            </w:pPr>
            <w:r>
              <w:rPr>
                <w:rFonts w:hint="eastAsia" w:ascii="宋体" w:hAnsi="宋体" w:eastAsia="宋体" w:cs="Arial"/>
                <w:kern w:val="0"/>
                <w:szCs w:val="20"/>
              </w:rPr>
              <w:t>税金</w:t>
            </w:r>
          </w:p>
        </w:tc>
        <w:tc>
          <w:tcPr>
            <w:tcW w:w="5916" w:type="dxa"/>
            <w:gridSpan w:val="5"/>
            <w:tcBorders>
              <w:right w:val="single" w:color="auto" w:sz="12" w:space="0"/>
            </w:tcBorders>
          </w:tcPr>
          <w:p>
            <w:pPr>
              <w:rPr>
                <w:rFonts w:ascii="宋体" w:hAnsi="宋体" w:eastAsia="宋体" w:cs="Times New Roman"/>
                <w:kern w:val="0"/>
                <w:szCs w:val="20"/>
              </w:rPr>
            </w:pPr>
            <w:r>
              <w:rPr>
                <w:rFonts w:hint="eastAsia" w:ascii="宋体" w:hAnsi="宋体" w:eastAsia="宋体" w:cs="Times New Roman"/>
                <w:bCs/>
                <w:kern w:val="0"/>
                <w:sz w:val="22"/>
                <w:szCs w:val="20"/>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trPr>
        <w:tc>
          <w:tcPr>
            <w:tcW w:w="3717" w:type="dxa"/>
            <w:gridSpan w:val="3"/>
            <w:tcBorders>
              <w:left w:val="single" w:color="auto" w:sz="12" w:space="0"/>
            </w:tcBorders>
            <w:vAlign w:val="center"/>
          </w:tcPr>
          <w:p>
            <w:pPr>
              <w:ind w:right="-11"/>
              <w:rPr>
                <w:rFonts w:ascii="宋体" w:hAnsi="宋体" w:eastAsia="宋体" w:cs="Arial"/>
                <w:kern w:val="0"/>
                <w:szCs w:val="20"/>
              </w:rPr>
            </w:pPr>
            <w:r>
              <w:rPr>
                <w:rFonts w:hint="eastAsia" w:ascii="宋体" w:hAnsi="宋体" w:eastAsia="宋体" w:cs="Arial"/>
                <w:kern w:val="0"/>
                <w:szCs w:val="20"/>
              </w:rPr>
              <w:t>其他相关费用</w:t>
            </w:r>
          </w:p>
        </w:tc>
        <w:tc>
          <w:tcPr>
            <w:tcW w:w="5916" w:type="dxa"/>
            <w:gridSpan w:val="5"/>
            <w:tcBorders>
              <w:right w:val="single" w:color="auto" w:sz="12" w:space="0"/>
            </w:tcBorders>
          </w:tcPr>
          <w:p>
            <w:pPr>
              <w:rPr>
                <w:rFonts w:ascii="宋体" w:hAnsi="宋体" w:eastAsia="宋体" w:cs="Times New Roman"/>
                <w:kern w:val="0"/>
                <w:szCs w:val="20"/>
              </w:rPr>
            </w:pPr>
            <w:r>
              <w:rPr>
                <w:rFonts w:hint="eastAsia" w:ascii="宋体" w:hAnsi="宋体" w:eastAsia="宋体" w:cs="Times New Roman"/>
                <w:bCs/>
                <w:kern w:val="0"/>
                <w:sz w:val="22"/>
                <w:szCs w:val="20"/>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trPr>
        <w:tc>
          <w:tcPr>
            <w:tcW w:w="3717" w:type="dxa"/>
            <w:gridSpan w:val="3"/>
            <w:tcBorders>
              <w:left w:val="single" w:color="auto" w:sz="12" w:space="0"/>
              <w:bottom w:val="single" w:color="auto" w:sz="12" w:space="0"/>
            </w:tcBorders>
            <w:vAlign w:val="center"/>
          </w:tcPr>
          <w:p>
            <w:pPr>
              <w:ind w:right="-11"/>
              <w:rPr>
                <w:rFonts w:ascii="宋体" w:hAnsi="宋体" w:eastAsia="宋体" w:cs="Arial"/>
                <w:kern w:val="0"/>
                <w:szCs w:val="20"/>
              </w:rPr>
            </w:pPr>
            <w:r>
              <w:rPr>
                <w:rFonts w:hint="eastAsia" w:ascii="宋体" w:hAnsi="宋体" w:eastAsia="宋体" w:cs="Arial"/>
                <w:kern w:val="0"/>
                <w:szCs w:val="20"/>
              </w:rPr>
              <w:t>合计总价</w:t>
            </w:r>
          </w:p>
          <w:p>
            <w:pPr>
              <w:ind w:right="-11"/>
              <w:rPr>
                <w:rFonts w:ascii="宋体" w:hAnsi="宋体" w:eastAsia="宋体" w:cs="Arial"/>
                <w:kern w:val="0"/>
                <w:szCs w:val="20"/>
              </w:rPr>
            </w:pPr>
            <w:r>
              <w:rPr>
                <w:rFonts w:hint="eastAsia" w:ascii="宋体" w:hAnsi="宋体" w:eastAsia="宋体" w:cs="Arial"/>
                <w:kern w:val="0"/>
                <w:szCs w:val="20"/>
              </w:rPr>
              <w:t>（应与开标一览表中投标总价相一致）</w:t>
            </w:r>
          </w:p>
        </w:tc>
        <w:tc>
          <w:tcPr>
            <w:tcW w:w="5916" w:type="dxa"/>
            <w:gridSpan w:val="5"/>
            <w:tcBorders>
              <w:bottom w:val="single" w:color="auto" w:sz="12" w:space="0"/>
              <w:right w:val="single" w:color="auto" w:sz="12" w:space="0"/>
            </w:tcBorders>
          </w:tcPr>
          <w:p>
            <w:pPr>
              <w:spacing w:line="340" w:lineRule="exact"/>
              <w:rPr>
                <w:rFonts w:ascii="宋体" w:hAnsi="宋体" w:eastAsia="宋体" w:cs="Times New Roman"/>
                <w:bCs/>
                <w:kern w:val="0"/>
                <w:sz w:val="22"/>
                <w:szCs w:val="20"/>
              </w:rPr>
            </w:pPr>
          </w:p>
        </w:tc>
      </w:tr>
    </w:tbl>
    <w:p>
      <w:pPr>
        <w:rPr>
          <w:rFonts w:ascii="宋体" w:hAnsi="宋体" w:eastAsia="宋体" w:cs="Arial"/>
          <w:kern w:val="0"/>
          <w:szCs w:val="21"/>
        </w:rPr>
      </w:pPr>
      <w:r>
        <w:rPr>
          <w:rFonts w:hint="eastAsia" w:ascii="宋体" w:hAnsi="宋体" w:eastAsia="宋体" w:cs="Arial"/>
          <w:bCs/>
          <w:kern w:val="0"/>
          <w:szCs w:val="21"/>
        </w:rPr>
        <w:t>附注</w:t>
      </w:r>
      <w:r>
        <w:rPr>
          <w:rFonts w:ascii="宋体" w:hAnsi="宋体" w:eastAsia="宋体" w:cs="Arial"/>
          <w:bCs/>
          <w:kern w:val="0"/>
          <w:szCs w:val="21"/>
        </w:rPr>
        <w:t>：</w:t>
      </w:r>
      <w:r>
        <w:rPr>
          <w:rFonts w:ascii="宋体" w:hAnsi="宋体" w:eastAsia="宋体" w:cs="Arial"/>
          <w:kern w:val="0"/>
          <w:szCs w:val="21"/>
        </w:rPr>
        <w:t>1</w:t>
      </w:r>
      <w:r>
        <w:rPr>
          <w:rFonts w:hint="eastAsia" w:ascii="宋体" w:hAnsi="宋体" w:eastAsia="宋体" w:cs="Arial"/>
          <w:kern w:val="0"/>
          <w:szCs w:val="21"/>
        </w:rPr>
        <w:t xml:space="preserve">. </w:t>
      </w:r>
      <w:r>
        <w:rPr>
          <w:rFonts w:ascii="宋体" w:hAnsi="宋体" w:eastAsia="宋体" w:cs="Arial"/>
          <w:kern w:val="0"/>
          <w:szCs w:val="21"/>
        </w:rPr>
        <w:t>不提供详细分项报价表将视为没有实质性响应招标文件</w:t>
      </w:r>
      <w:r>
        <w:rPr>
          <w:rFonts w:hint="eastAsia" w:ascii="宋体" w:hAnsi="宋体" w:eastAsia="宋体" w:cs="Arial"/>
          <w:kern w:val="0"/>
          <w:szCs w:val="21"/>
        </w:rPr>
        <w:t>，货物名称按采购设备清单内容</w:t>
      </w:r>
      <w:r>
        <w:rPr>
          <w:rFonts w:ascii="宋体" w:hAnsi="宋体" w:eastAsia="宋体" w:cs="Arial"/>
          <w:kern w:val="0"/>
          <w:szCs w:val="21"/>
        </w:rPr>
        <w:t>。</w:t>
      </w:r>
    </w:p>
    <w:p>
      <w:pPr>
        <w:ind w:firstLine="630"/>
        <w:rPr>
          <w:rFonts w:ascii="宋体" w:hAnsi="宋体" w:eastAsia="宋体" w:cs="Arial"/>
          <w:kern w:val="0"/>
          <w:szCs w:val="21"/>
        </w:rPr>
      </w:pPr>
      <w:r>
        <w:rPr>
          <w:rFonts w:ascii="宋体" w:hAnsi="宋体" w:eastAsia="宋体" w:cs="Arial"/>
          <w:kern w:val="0"/>
          <w:szCs w:val="21"/>
        </w:rPr>
        <w:t>2</w:t>
      </w:r>
      <w:r>
        <w:rPr>
          <w:rFonts w:hint="eastAsia" w:ascii="宋体" w:hAnsi="宋体" w:eastAsia="宋体" w:cs="Arial"/>
          <w:kern w:val="0"/>
          <w:szCs w:val="21"/>
        </w:rPr>
        <w:t xml:space="preserve">. </w:t>
      </w:r>
      <w:r>
        <w:rPr>
          <w:rFonts w:ascii="宋体" w:hAnsi="宋体" w:eastAsia="宋体" w:cs="Arial"/>
          <w:kern w:val="0"/>
          <w:szCs w:val="21"/>
        </w:rPr>
        <w:t>此表的合</w:t>
      </w:r>
      <w:r>
        <w:rPr>
          <w:rFonts w:hint="eastAsia" w:ascii="宋体" w:hAnsi="宋体" w:eastAsia="宋体" w:cs="Arial"/>
          <w:kern w:val="0"/>
          <w:szCs w:val="21"/>
        </w:rPr>
        <w:t>计总</w:t>
      </w:r>
      <w:r>
        <w:rPr>
          <w:rFonts w:ascii="宋体" w:hAnsi="宋体" w:eastAsia="宋体" w:cs="Arial"/>
          <w:kern w:val="0"/>
          <w:szCs w:val="21"/>
        </w:rPr>
        <w:t>价应与附</w:t>
      </w:r>
      <w:r>
        <w:rPr>
          <w:rFonts w:hint="eastAsia" w:ascii="宋体" w:hAnsi="宋体" w:eastAsia="宋体" w:cs="Arial"/>
          <w:kern w:val="0"/>
          <w:szCs w:val="21"/>
        </w:rPr>
        <w:t>件一“开标一览表”投标总价相一</w:t>
      </w:r>
      <w:r>
        <w:rPr>
          <w:rFonts w:ascii="宋体" w:hAnsi="宋体" w:eastAsia="宋体" w:cs="Arial"/>
          <w:kern w:val="0"/>
          <w:szCs w:val="21"/>
        </w:rPr>
        <w:t>致。</w:t>
      </w:r>
    </w:p>
    <w:p>
      <w:pPr>
        <w:ind w:firstLine="630"/>
        <w:rPr>
          <w:rFonts w:ascii="宋体" w:hAnsi="宋体" w:eastAsia="宋体" w:cs="Arial"/>
          <w:kern w:val="0"/>
          <w:szCs w:val="21"/>
        </w:rPr>
      </w:pPr>
      <w:r>
        <w:rPr>
          <w:rFonts w:ascii="宋体" w:hAnsi="宋体" w:eastAsia="宋体" w:cs="Arial"/>
          <w:kern w:val="0"/>
          <w:szCs w:val="21"/>
        </w:rPr>
        <w:t>3</w:t>
      </w:r>
      <w:r>
        <w:rPr>
          <w:rFonts w:hint="eastAsia" w:ascii="宋体" w:hAnsi="宋体" w:eastAsia="宋体" w:cs="Arial"/>
          <w:kern w:val="0"/>
          <w:szCs w:val="21"/>
        </w:rPr>
        <w:t xml:space="preserve">. </w:t>
      </w:r>
      <w:r>
        <w:rPr>
          <w:rFonts w:ascii="宋体" w:hAnsi="宋体" w:eastAsia="宋体" w:cs="Arial"/>
          <w:kern w:val="0"/>
          <w:szCs w:val="21"/>
        </w:rPr>
        <w:t>如果免费请在该备注栏</w:t>
      </w:r>
      <w:r>
        <w:rPr>
          <w:rFonts w:hint="eastAsia" w:ascii="宋体" w:hAnsi="宋体" w:eastAsia="宋体" w:cs="Arial"/>
          <w:kern w:val="0"/>
          <w:szCs w:val="21"/>
        </w:rPr>
        <w:t>内注明“免”，如果含在产品价格中则填“含”，如无此项内容则填“无”，不留空白。</w:t>
      </w:r>
    </w:p>
    <w:p>
      <w:pPr>
        <w:ind w:firstLine="630"/>
        <w:rPr>
          <w:rFonts w:ascii="宋体" w:hAnsi="宋体" w:eastAsia="宋体" w:cs="Arial"/>
          <w:kern w:val="0"/>
          <w:szCs w:val="21"/>
        </w:rPr>
      </w:pPr>
      <w:r>
        <w:rPr>
          <w:rFonts w:ascii="宋体" w:hAnsi="宋体" w:eastAsia="宋体" w:cs="Arial"/>
          <w:kern w:val="0"/>
          <w:szCs w:val="21"/>
        </w:rPr>
        <w:t>4</w:t>
      </w:r>
      <w:r>
        <w:rPr>
          <w:rFonts w:hint="eastAsia" w:ascii="宋体" w:hAnsi="宋体" w:eastAsia="宋体" w:cs="Arial"/>
          <w:kern w:val="0"/>
          <w:szCs w:val="21"/>
        </w:rPr>
        <w:t>.  根据《中华人民共和国政府采购法实施条例 》第四十三条规定，在中标或者成交公告的内容中可能增加本表，请各供应商认真填写，确保报价数据的真实性、完整性和合理性。</w:t>
      </w:r>
    </w:p>
    <w:p>
      <w:pPr>
        <w:ind w:firstLine="630"/>
        <w:rPr>
          <w:rFonts w:ascii="宋体" w:hAnsi="宋体" w:eastAsia="宋体" w:cs="Times New Roman"/>
          <w:kern w:val="0"/>
          <w:sz w:val="22"/>
          <w:szCs w:val="20"/>
          <w:u w:val="single"/>
        </w:rPr>
      </w:pPr>
      <w:r>
        <w:rPr>
          <w:rFonts w:hint="eastAsia" w:ascii="宋体" w:hAnsi="宋体" w:eastAsia="宋体" w:cs="Arial"/>
          <w:kern w:val="0"/>
          <w:szCs w:val="21"/>
        </w:rPr>
        <w:t xml:space="preserve">5、表格可以延续。      </w:t>
      </w:r>
    </w:p>
    <w:p>
      <w:pPr>
        <w:spacing w:line="360" w:lineRule="exact"/>
        <w:rPr>
          <w:rFonts w:ascii="宋体" w:hAnsi="宋体" w:eastAsia="宋体" w:cs="Arial"/>
          <w:kern w:val="0"/>
          <w:sz w:val="22"/>
        </w:rPr>
      </w:pPr>
      <w:r>
        <w:rPr>
          <w:rFonts w:hint="eastAsia" w:ascii="宋体" w:hAnsi="宋体" w:eastAsia="宋体" w:cs="Arial"/>
          <w:kern w:val="0"/>
          <w:sz w:val="22"/>
        </w:rPr>
        <w:t>投标供应商全称（公章）：</w:t>
      </w:r>
    </w:p>
    <w:p>
      <w:pPr>
        <w:spacing w:line="360" w:lineRule="exact"/>
        <w:rPr>
          <w:rFonts w:ascii="宋体" w:hAnsi="宋体" w:eastAsia="宋体" w:cs="Arial"/>
          <w:kern w:val="0"/>
          <w:sz w:val="22"/>
        </w:rPr>
      </w:pPr>
      <w:r>
        <w:rPr>
          <w:rFonts w:hint="eastAsia" w:ascii="宋体" w:hAnsi="宋体" w:eastAsia="宋体" w:cs="Arial"/>
          <w:kern w:val="0"/>
          <w:sz w:val="22"/>
        </w:rPr>
        <w:t>法定代表人或授权代表（签字或盖章）：</w:t>
      </w:r>
    </w:p>
    <w:p>
      <w:pPr>
        <w:spacing w:line="360" w:lineRule="exact"/>
        <w:rPr>
          <w:rFonts w:ascii="宋体" w:hAnsi="宋体" w:eastAsia="宋体" w:cs="Arial"/>
          <w:kern w:val="0"/>
          <w:sz w:val="22"/>
        </w:rPr>
      </w:pPr>
      <w:r>
        <w:rPr>
          <w:rFonts w:hint="eastAsia" w:ascii="宋体" w:hAnsi="宋体" w:eastAsia="宋体" w:cs="Arial"/>
          <w:kern w:val="0"/>
          <w:sz w:val="22"/>
        </w:rPr>
        <w:t>日期：  年  月  日</w:t>
      </w: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autoSpaceDE w:val="0"/>
        <w:autoSpaceDN w:val="0"/>
        <w:adjustRightInd w:val="0"/>
        <w:snapToGrid w:val="0"/>
        <w:spacing w:line="454" w:lineRule="atLeast"/>
        <w:jc w:val="left"/>
        <w:textAlignment w:val="bottom"/>
        <w:outlineLvl w:val="0"/>
        <w:rPr>
          <w:rFonts w:ascii="宋体" w:hAnsi="宋体" w:eastAsia="宋体" w:cs="Times New Roman"/>
          <w:b/>
          <w:kern w:val="0"/>
          <w:sz w:val="24"/>
          <w:szCs w:val="24"/>
        </w:rPr>
      </w:pPr>
      <w:bookmarkStart w:id="51" w:name="_Toc494407544"/>
      <w:r>
        <w:rPr>
          <w:rFonts w:hint="eastAsia" w:ascii="宋体" w:hAnsi="宋体" w:eastAsia="宋体" w:cs="Times New Roman"/>
          <w:b/>
          <w:kern w:val="0"/>
          <w:sz w:val="24"/>
          <w:szCs w:val="24"/>
        </w:rPr>
        <w:t>附件三  随机备品备件、专用工具清单</w:t>
      </w:r>
      <w:bookmarkEnd w:id="51"/>
    </w:p>
    <w:p>
      <w:pPr>
        <w:spacing w:line="360" w:lineRule="exact"/>
        <w:jc w:val="left"/>
        <w:rPr>
          <w:rFonts w:ascii="宋体" w:hAnsi="宋体" w:eastAsia="宋体" w:cs="Times New Roman"/>
          <w:b/>
          <w:kern w:val="0"/>
          <w:sz w:val="22"/>
          <w:szCs w:val="20"/>
        </w:rPr>
      </w:pPr>
    </w:p>
    <w:p>
      <w:pPr>
        <w:adjustRightInd w:val="0"/>
        <w:snapToGrid w:val="0"/>
        <w:spacing w:line="40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 xml:space="preserve">随机备品备件、专用工具清单(如有) </w:t>
      </w:r>
    </w:p>
    <w:tbl>
      <w:tblPr>
        <w:tblStyle w:val="22"/>
        <w:tblW w:w="9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688"/>
        <w:gridCol w:w="2110"/>
        <w:gridCol w:w="1477"/>
        <w:gridCol w:w="1230"/>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trPr>
        <w:tc>
          <w:tcPr>
            <w:tcW w:w="1055"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序 号</w:t>
            </w:r>
          </w:p>
        </w:tc>
        <w:tc>
          <w:tcPr>
            <w:tcW w:w="1688"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名称</w:t>
            </w:r>
          </w:p>
        </w:tc>
        <w:tc>
          <w:tcPr>
            <w:tcW w:w="2110"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产地/规格/型号</w:t>
            </w:r>
          </w:p>
        </w:tc>
        <w:tc>
          <w:tcPr>
            <w:tcW w:w="1477"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数量</w:t>
            </w:r>
          </w:p>
        </w:tc>
        <w:tc>
          <w:tcPr>
            <w:tcW w:w="1230"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单价</w:t>
            </w:r>
          </w:p>
        </w:tc>
        <w:tc>
          <w:tcPr>
            <w:tcW w:w="1940"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bl>
    <w:p>
      <w:pPr>
        <w:adjustRightInd w:val="0"/>
        <w:snapToGrid w:val="0"/>
        <w:spacing w:line="400" w:lineRule="exact"/>
        <w:rPr>
          <w:rFonts w:ascii="宋体" w:hAnsi="宋体" w:eastAsia="宋体" w:cs="Times New Roman"/>
          <w:kern w:val="0"/>
          <w:sz w:val="22"/>
          <w:szCs w:val="20"/>
        </w:rPr>
      </w:pPr>
    </w:p>
    <w:p>
      <w:pPr>
        <w:adjustRightInd w:val="0"/>
        <w:snapToGrid w:val="0"/>
        <w:spacing w:line="400" w:lineRule="exact"/>
        <w:rPr>
          <w:rFonts w:ascii="宋体" w:hAnsi="宋体" w:eastAsia="宋体" w:cs="Times New Roman"/>
          <w:kern w:val="0"/>
          <w:sz w:val="22"/>
          <w:szCs w:val="20"/>
        </w:rPr>
      </w:pPr>
      <w:r>
        <w:rPr>
          <w:rFonts w:hint="eastAsia" w:ascii="宋体" w:hAnsi="宋体" w:eastAsia="宋体" w:cs="Times New Roman"/>
          <w:kern w:val="0"/>
          <w:sz w:val="22"/>
          <w:szCs w:val="20"/>
        </w:rPr>
        <w:t>供应商盖章：</w:t>
      </w: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djustRightInd w:val="0"/>
        <w:snapToGrid w:val="0"/>
        <w:spacing w:line="400" w:lineRule="exact"/>
        <w:rPr>
          <w:rFonts w:ascii="宋体" w:hAnsi="宋体" w:eastAsia="宋体" w:cs="Times New Roman"/>
          <w:b/>
          <w:kern w:val="0"/>
          <w:sz w:val="24"/>
          <w:szCs w:val="20"/>
        </w:rPr>
      </w:pPr>
    </w:p>
    <w:p>
      <w:pPr>
        <w:autoSpaceDE w:val="0"/>
        <w:autoSpaceDN w:val="0"/>
        <w:adjustRightInd w:val="0"/>
        <w:snapToGrid w:val="0"/>
        <w:spacing w:line="454" w:lineRule="atLeast"/>
        <w:jc w:val="left"/>
        <w:textAlignment w:val="bottom"/>
        <w:outlineLvl w:val="0"/>
        <w:rPr>
          <w:rFonts w:ascii="宋体" w:hAnsi="宋体" w:eastAsia="宋体" w:cs="Times New Roman"/>
          <w:b/>
          <w:kern w:val="0"/>
          <w:sz w:val="24"/>
          <w:szCs w:val="24"/>
        </w:rPr>
      </w:pPr>
      <w:bookmarkStart w:id="52" w:name="_Toc494407545"/>
      <w:r>
        <w:rPr>
          <w:rFonts w:hint="eastAsia" w:ascii="宋体" w:hAnsi="宋体" w:eastAsia="宋体" w:cs="Times New Roman"/>
          <w:b/>
          <w:kern w:val="0"/>
          <w:sz w:val="24"/>
          <w:szCs w:val="24"/>
        </w:rPr>
        <w:t>附件四  产品零件、易损件、备品备件报价表</w:t>
      </w:r>
      <w:bookmarkEnd w:id="52"/>
    </w:p>
    <w:p>
      <w:pPr>
        <w:spacing w:line="360" w:lineRule="exact"/>
        <w:jc w:val="center"/>
        <w:rPr>
          <w:rFonts w:ascii="宋体" w:hAnsi="宋体" w:eastAsia="宋体" w:cs="Times New Roman"/>
          <w:kern w:val="0"/>
          <w:sz w:val="28"/>
          <w:szCs w:val="28"/>
        </w:rPr>
      </w:pPr>
    </w:p>
    <w:p>
      <w:pPr>
        <w:spacing w:line="3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产品零件、易损件、备品备件报价表</w:t>
      </w:r>
    </w:p>
    <w:tbl>
      <w:tblPr>
        <w:tblStyle w:val="22"/>
        <w:tblW w:w="9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688"/>
        <w:gridCol w:w="2110"/>
        <w:gridCol w:w="1477"/>
        <w:gridCol w:w="1230"/>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trPr>
        <w:tc>
          <w:tcPr>
            <w:tcW w:w="1055"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序 号</w:t>
            </w:r>
          </w:p>
        </w:tc>
        <w:tc>
          <w:tcPr>
            <w:tcW w:w="1688"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名称</w:t>
            </w:r>
          </w:p>
        </w:tc>
        <w:tc>
          <w:tcPr>
            <w:tcW w:w="2110"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产地/规格/型号</w:t>
            </w:r>
          </w:p>
        </w:tc>
        <w:tc>
          <w:tcPr>
            <w:tcW w:w="1477"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数量</w:t>
            </w:r>
          </w:p>
        </w:tc>
        <w:tc>
          <w:tcPr>
            <w:tcW w:w="1230"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单价</w:t>
            </w:r>
          </w:p>
        </w:tc>
        <w:tc>
          <w:tcPr>
            <w:tcW w:w="1940" w:type="dxa"/>
            <w:vAlign w:val="center"/>
          </w:tcPr>
          <w:p>
            <w:pPr>
              <w:adjustRightInd w:val="0"/>
              <w:snapToGrid w:val="0"/>
              <w:spacing w:line="40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5" w:type="dxa"/>
          </w:tcPr>
          <w:p>
            <w:pPr>
              <w:adjustRightInd w:val="0"/>
              <w:snapToGrid w:val="0"/>
              <w:spacing w:line="400" w:lineRule="exact"/>
              <w:jc w:val="center"/>
              <w:rPr>
                <w:rFonts w:ascii="宋体" w:hAnsi="宋体" w:eastAsia="宋体" w:cs="Times New Roman"/>
                <w:kern w:val="0"/>
                <w:sz w:val="22"/>
                <w:szCs w:val="20"/>
              </w:rPr>
            </w:pPr>
          </w:p>
        </w:tc>
        <w:tc>
          <w:tcPr>
            <w:tcW w:w="1688" w:type="dxa"/>
          </w:tcPr>
          <w:p>
            <w:pPr>
              <w:adjustRightInd w:val="0"/>
              <w:snapToGrid w:val="0"/>
              <w:spacing w:line="400" w:lineRule="exact"/>
              <w:jc w:val="center"/>
              <w:rPr>
                <w:rFonts w:ascii="宋体" w:hAnsi="宋体" w:eastAsia="宋体" w:cs="Times New Roman"/>
                <w:kern w:val="0"/>
                <w:sz w:val="22"/>
                <w:szCs w:val="20"/>
              </w:rPr>
            </w:pPr>
          </w:p>
        </w:tc>
        <w:tc>
          <w:tcPr>
            <w:tcW w:w="2110" w:type="dxa"/>
          </w:tcPr>
          <w:p>
            <w:pPr>
              <w:adjustRightInd w:val="0"/>
              <w:snapToGrid w:val="0"/>
              <w:spacing w:line="400" w:lineRule="exact"/>
              <w:jc w:val="center"/>
              <w:rPr>
                <w:rFonts w:ascii="宋体" w:hAnsi="宋体" w:eastAsia="宋体" w:cs="Times New Roman"/>
                <w:kern w:val="0"/>
                <w:sz w:val="22"/>
                <w:szCs w:val="20"/>
              </w:rPr>
            </w:pPr>
          </w:p>
        </w:tc>
        <w:tc>
          <w:tcPr>
            <w:tcW w:w="1477" w:type="dxa"/>
          </w:tcPr>
          <w:p>
            <w:pPr>
              <w:adjustRightInd w:val="0"/>
              <w:snapToGrid w:val="0"/>
              <w:spacing w:line="400" w:lineRule="exact"/>
              <w:jc w:val="center"/>
              <w:rPr>
                <w:rFonts w:ascii="宋体" w:hAnsi="宋体" w:eastAsia="宋体" w:cs="Times New Roman"/>
                <w:kern w:val="0"/>
                <w:sz w:val="22"/>
                <w:szCs w:val="20"/>
              </w:rPr>
            </w:pPr>
          </w:p>
        </w:tc>
        <w:tc>
          <w:tcPr>
            <w:tcW w:w="1230" w:type="dxa"/>
          </w:tcPr>
          <w:p>
            <w:pPr>
              <w:adjustRightInd w:val="0"/>
              <w:snapToGrid w:val="0"/>
              <w:spacing w:line="400" w:lineRule="exact"/>
              <w:jc w:val="center"/>
              <w:rPr>
                <w:rFonts w:ascii="宋体" w:hAnsi="宋体" w:eastAsia="宋体" w:cs="Times New Roman"/>
                <w:kern w:val="0"/>
                <w:sz w:val="22"/>
                <w:szCs w:val="20"/>
              </w:rPr>
            </w:pPr>
          </w:p>
        </w:tc>
        <w:tc>
          <w:tcPr>
            <w:tcW w:w="1940" w:type="dxa"/>
          </w:tcPr>
          <w:p>
            <w:pPr>
              <w:adjustRightInd w:val="0"/>
              <w:snapToGrid w:val="0"/>
              <w:spacing w:line="400" w:lineRule="exact"/>
              <w:jc w:val="center"/>
              <w:rPr>
                <w:rFonts w:ascii="宋体" w:hAnsi="宋体" w:eastAsia="宋体" w:cs="Times New Roman"/>
                <w:kern w:val="0"/>
                <w:sz w:val="22"/>
                <w:szCs w:val="20"/>
              </w:rPr>
            </w:pPr>
          </w:p>
        </w:tc>
      </w:tr>
    </w:tbl>
    <w:p>
      <w:pPr>
        <w:adjustRightInd w:val="0"/>
        <w:snapToGrid w:val="0"/>
        <w:spacing w:line="400" w:lineRule="exact"/>
        <w:rPr>
          <w:rFonts w:ascii="宋体" w:hAnsi="宋体" w:eastAsia="宋体" w:cs="Times New Roman"/>
          <w:kern w:val="0"/>
          <w:sz w:val="22"/>
          <w:szCs w:val="20"/>
        </w:rPr>
      </w:pPr>
    </w:p>
    <w:p>
      <w:pPr>
        <w:adjustRightInd w:val="0"/>
        <w:snapToGrid w:val="0"/>
        <w:spacing w:line="400" w:lineRule="exact"/>
        <w:rPr>
          <w:rFonts w:ascii="宋体" w:hAnsi="宋体" w:eastAsia="宋体" w:cs="Times New Roman"/>
          <w:kern w:val="0"/>
          <w:sz w:val="22"/>
          <w:szCs w:val="20"/>
        </w:rPr>
      </w:pPr>
      <w:r>
        <w:rPr>
          <w:rFonts w:hint="eastAsia" w:ascii="宋体" w:hAnsi="宋体" w:eastAsia="宋体" w:cs="Times New Roman"/>
          <w:kern w:val="0"/>
          <w:sz w:val="22"/>
          <w:szCs w:val="20"/>
        </w:rPr>
        <w:t>供应商盖章：</w:t>
      </w:r>
    </w:p>
    <w:p>
      <w:pPr>
        <w:adjustRightInd w:val="0"/>
        <w:snapToGrid w:val="0"/>
        <w:spacing w:line="400" w:lineRule="exact"/>
        <w:rPr>
          <w:rFonts w:ascii="宋体" w:hAnsi="宋体" w:eastAsia="宋体" w:cs="Times New Roman"/>
          <w:b/>
          <w:kern w:val="0"/>
          <w:sz w:val="24"/>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4"/>
          <w:szCs w:val="24"/>
        </w:rPr>
      </w:pPr>
      <w:bookmarkStart w:id="53" w:name="_Toc494407546"/>
      <w:r>
        <w:rPr>
          <w:rFonts w:hint="eastAsia" w:ascii="宋体" w:hAnsi="宋体" w:eastAsia="宋体" w:cs="Times New Roman"/>
          <w:b/>
          <w:kern w:val="0"/>
          <w:sz w:val="24"/>
          <w:szCs w:val="24"/>
        </w:rPr>
        <w:t>二、资信标部分格式</w:t>
      </w:r>
      <w:bookmarkEnd w:id="53"/>
    </w:p>
    <w:p>
      <w:pPr>
        <w:spacing w:line="360" w:lineRule="exact"/>
        <w:jc w:val="left"/>
        <w:rPr>
          <w:rFonts w:ascii="宋体" w:hAnsi="宋体" w:eastAsia="宋体" w:cs="Times New Roman"/>
          <w:kern w:val="0"/>
          <w:sz w:val="30"/>
          <w:szCs w:val="20"/>
        </w:rPr>
      </w:pPr>
    </w:p>
    <w:p>
      <w:pPr>
        <w:autoSpaceDE w:val="0"/>
        <w:autoSpaceDN w:val="0"/>
        <w:adjustRightInd w:val="0"/>
        <w:snapToGrid w:val="0"/>
        <w:spacing w:line="454" w:lineRule="atLeast"/>
        <w:jc w:val="left"/>
        <w:textAlignment w:val="bottom"/>
        <w:outlineLvl w:val="0"/>
        <w:rPr>
          <w:rFonts w:ascii="宋体" w:hAnsi="宋体" w:eastAsia="宋体" w:cs="Times New Roman"/>
          <w:b/>
          <w:kern w:val="0"/>
          <w:sz w:val="24"/>
          <w:szCs w:val="24"/>
        </w:rPr>
      </w:pPr>
      <w:bookmarkStart w:id="54" w:name="_Toc494407547"/>
      <w:r>
        <w:rPr>
          <w:rFonts w:hint="eastAsia" w:ascii="宋体" w:hAnsi="宋体" w:eastAsia="宋体" w:cs="Times New Roman"/>
          <w:b/>
          <w:kern w:val="0"/>
          <w:sz w:val="24"/>
          <w:szCs w:val="24"/>
        </w:rPr>
        <w:t>附件五 投标函</w:t>
      </w:r>
      <w:bookmarkEnd w:id="54"/>
    </w:p>
    <w:p>
      <w:pPr>
        <w:autoSpaceDE w:val="0"/>
        <w:autoSpaceDN w:val="0"/>
        <w:adjustRightInd w:val="0"/>
        <w:spacing w:line="360" w:lineRule="exact"/>
        <w:jc w:val="center"/>
        <w:rPr>
          <w:rFonts w:ascii="宋体" w:hAnsi="宋体" w:eastAsia="宋体" w:cs="Times New Roman"/>
          <w:b/>
          <w:kern w:val="0"/>
          <w:sz w:val="28"/>
          <w:szCs w:val="28"/>
          <w:lang w:val="zh-CN"/>
        </w:rPr>
      </w:pPr>
      <w:r>
        <w:rPr>
          <w:rFonts w:hint="eastAsia" w:ascii="宋体" w:hAnsi="宋体" w:eastAsia="宋体" w:cs="Times New Roman"/>
          <w:b/>
          <w:kern w:val="0"/>
          <w:sz w:val="28"/>
          <w:szCs w:val="28"/>
          <w:lang w:val="zh-CN"/>
        </w:rPr>
        <w:t>投  标  函</w:t>
      </w:r>
    </w:p>
    <w:p>
      <w:pPr>
        <w:autoSpaceDE w:val="0"/>
        <w:autoSpaceDN w:val="0"/>
        <w:adjustRightInd w:val="0"/>
        <w:spacing w:line="360" w:lineRule="exact"/>
        <w:rPr>
          <w:rFonts w:ascii="宋体" w:hAnsi="宋体" w:eastAsia="宋体" w:cs="Times New Roman"/>
          <w:kern w:val="0"/>
          <w:sz w:val="36"/>
          <w:szCs w:val="20"/>
          <w:lang w:val="zh-CN"/>
        </w:rPr>
      </w:pPr>
    </w:p>
    <w:p>
      <w:pPr>
        <w:rPr>
          <w:rFonts w:ascii="宋体" w:hAnsi="宋体" w:eastAsia="宋体" w:cs="Times New Roman"/>
          <w:kern w:val="0"/>
          <w:sz w:val="22"/>
          <w:szCs w:val="20"/>
          <w:u w:val="single"/>
        </w:rPr>
      </w:pPr>
      <w:r>
        <w:rPr>
          <w:rFonts w:hint="eastAsia" w:ascii="宋体" w:hAnsi="宋体" w:eastAsia="宋体" w:cs="Times New Roman"/>
          <w:kern w:val="0"/>
          <w:sz w:val="22"/>
          <w:szCs w:val="20"/>
          <w:u w:val="single"/>
        </w:rPr>
        <w:t xml:space="preserve">               ：</w:t>
      </w:r>
    </w:p>
    <w:p>
      <w:pPr>
        <w:autoSpaceDE w:val="0"/>
        <w:autoSpaceDN w:val="0"/>
        <w:adjustRightInd w:val="0"/>
        <w:spacing w:line="440" w:lineRule="atLeast"/>
        <w:ind w:firstLine="539" w:firstLineChars="245"/>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 xml:space="preserve">（供应商全称）授权 （授权代表名称）（职务、职称）为授权代表，参加贵方组织的（招标项目名称）（括号内填招标编号）招标的有关活动，并对项目（招标项目名称）标段进行投标。为此：    </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1、提供供应商须知规定的全部投标文件：</w:t>
      </w:r>
    </w:p>
    <w:p>
      <w:pPr>
        <w:autoSpaceDE w:val="0"/>
        <w:autoSpaceDN w:val="0"/>
        <w:adjustRightInd w:val="0"/>
        <w:spacing w:line="440" w:lineRule="atLeast"/>
        <w:ind w:firstLine="770" w:firstLineChars="350"/>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文件正本一份，副本肆份；</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2、保证遵守招标文件中的有关规定和收费标准。</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3、保证忠实地执行采购人、</w:t>
      </w:r>
      <w:r>
        <w:rPr>
          <w:rFonts w:hint="eastAsia" w:ascii="宋体" w:hAnsi="宋体" w:eastAsia="宋体" w:cs="仿宋_GB2312"/>
          <w:kern w:val="0"/>
          <w:sz w:val="22"/>
          <w:lang w:val="zh-CN"/>
        </w:rPr>
        <w:t>中标</w:t>
      </w:r>
      <w:r>
        <w:rPr>
          <w:rFonts w:hint="eastAsia" w:ascii="宋体" w:hAnsi="宋体" w:eastAsia="宋体" w:cs="Times New Roman"/>
          <w:kern w:val="0"/>
          <w:sz w:val="22"/>
          <w:szCs w:val="20"/>
          <w:lang w:val="zh-CN"/>
        </w:rPr>
        <w:t>供应商双方所签的合同， 并承担合同规定的责任义务。</w:t>
      </w:r>
    </w:p>
    <w:p>
      <w:pPr>
        <w:snapToGrid w:val="0"/>
        <w:spacing w:line="410" w:lineRule="atLeast"/>
        <w:ind w:firstLine="440" w:firstLineChars="200"/>
        <w:rPr>
          <w:rFonts w:ascii="宋体" w:hAnsi="宋体" w:eastAsia="宋体" w:cs="Times New Roman"/>
          <w:b/>
          <w:kern w:val="0"/>
          <w:sz w:val="22"/>
        </w:rPr>
      </w:pPr>
      <w:r>
        <w:rPr>
          <w:rFonts w:hint="eastAsia" w:ascii="宋体" w:hAnsi="宋体" w:eastAsia="宋体" w:cs="仿宋_GB2312"/>
          <w:kern w:val="0"/>
          <w:sz w:val="22"/>
          <w:lang w:val="zh-CN"/>
        </w:rPr>
        <w:t>4、</w:t>
      </w:r>
      <w:r>
        <w:rPr>
          <w:rFonts w:hint="eastAsia" w:ascii="宋体" w:hAnsi="宋体" w:eastAsia="宋体" w:cs="Times New Roman"/>
          <w:kern w:val="0"/>
          <w:sz w:val="22"/>
          <w:szCs w:val="20"/>
          <w:lang w:val="zh-CN"/>
        </w:rPr>
        <w:t>我方对完工期承诺如下：</w:t>
      </w:r>
      <w:r>
        <w:rPr>
          <w:rFonts w:hint="eastAsia" w:ascii="宋体" w:hAnsi="宋体" w:eastAsia="宋体" w:cs="Times New Roman"/>
          <w:b/>
          <w:kern w:val="0"/>
          <w:sz w:val="22"/>
          <w:szCs w:val="20"/>
        </w:rPr>
        <w:t>▲按招标文件规定期限交货并通过采购人验收，逾期采购人有权拒绝供货。</w:t>
      </w:r>
    </w:p>
    <w:p>
      <w:pPr>
        <w:autoSpaceDE w:val="0"/>
        <w:autoSpaceDN w:val="0"/>
        <w:adjustRightInd w:val="0"/>
        <w:spacing w:line="440" w:lineRule="atLeast"/>
        <w:ind w:firstLine="450"/>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5、供应商已详细审查全部招标文件，包括招标文件补充文件（如果有的话）。我方完全理解并同意放弃对这方面有不明及误解的权力。如果招标文件有相互矛盾之处，我方同意按采购人的理解处理。</w:t>
      </w:r>
    </w:p>
    <w:p>
      <w:pPr>
        <w:spacing w:line="340" w:lineRule="exact"/>
        <w:ind w:firstLine="442" w:firstLineChars="201"/>
        <w:rPr>
          <w:rFonts w:ascii="宋体" w:hAnsi="宋体" w:eastAsia="宋体" w:cs="Times New Roman"/>
          <w:kern w:val="0"/>
          <w:sz w:val="22"/>
          <w:szCs w:val="20"/>
        </w:rPr>
      </w:pPr>
      <w:r>
        <w:rPr>
          <w:rFonts w:hint="eastAsia" w:ascii="宋体" w:hAnsi="宋体" w:eastAsia="宋体" w:cs="Times New Roman"/>
          <w:kern w:val="0"/>
          <w:sz w:val="22"/>
          <w:szCs w:val="20"/>
        </w:rPr>
        <w:t>6、利益冲突：近三年内直至目前，我公司与本项目的采购人、招标代理机构没有任何的隶属关系。</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r>
        <w:rPr>
          <w:rFonts w:hint="eastAsia" w:ascii="宋体" w:hAnsi="宋体" w:eastAsia="宋体" w:cs="Times New Roman"/>
          <w:kern w:val="0"/>
          <w:sz w:val="22"/>
          <w:szCs w:val="20"/>
        </w:rPr>
        <w:t>7、我公司没有被各级、各地财政监管部门限制参加政府采购活动，且在限制期内。</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8、愿意向贵方提供任何与该项投标有关的数据、情况和技术资料，完全理解贵方不一定接受最低价的投标或收到的任何投标。</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9、本投标自开标之日起90天内有效。</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10、与本投标有关的一切往来通讯请寄：</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地址：</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邮编：电话：传真：</w:t>
      </w:r>
    </w:p>
    <w:p>
      <w:pPr>
        <w:autoSpaceDE w:val="0"/>
        <w:autoSpaceDN w:val="0"/>
        <w:adjustRightInd w:val="0"/>
        <w:spacing w:line="440" w:lineRule="atLeast"/>
        <w:ind w:firstLine="442" w:firstLineChars="201"/>
        <w:rPr>
          <w:rFonts w:ascii="宋体" w:hAnsi="宋体" w:eastAsia="宋体" w:cs="Times New Roman"/>
          <w:kern w:val="0"/>
          <w:sz w:val="22"/>
          <w:szCs w:val="20"/>
          <w:lang w:val="zh-CN"/>
        </w:rPr>
      </w:pPr>
    </w:p>
    <w:p>
      <w:pPr>
        <w:spacing w:line="360" w:lineRule="exact"/>
        <w:ind w:firstLine="440" w:firstLineChars="200"/>
        <w:rPr>
          <w:rFonts w:ascii="宋体" w:hAnsi="宋体" w:eastAsia="宋体" w:cs="Arial"/>
          <w:kern w:val="0"/>
          <w:sz w:val="22"/>
        </w:rPr>
      </w:pPr>
      <w:r>
        <w:rPr>
          <w:rFonts w:hint="eastAsia" w:ascii="宋体" w:hAnsi="宋体" w:eastAsia="宋体" w:cs="Arial"/>
          <w:kern w:val="0"/>
          <w:sz w:val="22"/>
        </w:rPr>
        <w:t>投标供应商全称（公章）：</w:t>
      </w:r>
    </w:p>
    <w:p>
      <w:pPr>
        <w:spacing w:line="360" w:lineRule="exact"/>
        <w:ind w:firstLine="440" w:firstLineChars="200"/>
        <w:rPr>
          <w:rFonts w:ascii="宋体" w:hAnsi="宋体" w:eastAsia="宋体" w:cs="Arial"/>
          <w:kern w:val="0"/>
          <w:sz w:val="22"/>
        </w:rPr>
      </w:pPr>
      <w:r>
        <w:rPr>
          <w:rFonts w:hint="eastAsia" w:ascii="宋体" w:hAnsi="宋体" w:eastAsia="宋体" w:cs="Arial"/>
          <w:kern w:val="0"/>
          <w:sz w:val="22"/>
        </w:rPr>
        <w:t>法定代表人或授权代表（签字或盖章）：</w:t>
      </w:r>
    </w:p>
    <w:p>
      <w:pPr>
        <w:spacing w:line="360" w:lineRule="exact"/>
        <w:ind w:firstLine="440" w:firstLineChars="200"/>
        <w:rPr>
          <w:rFonts w:ascii="宋体" w:hAnsi="宋体" w:eastAsia="宋体" w:cs="Arial"/>
          <w:kern w:val="0"/>
          <w:sz w:val="22"/>
        </w:rPr>
      </w:pPr>
      <w:r>
        <w:rPr>
          <w:rFonts w:hint="eastAsia" w:ascii="宋体" w:hAnsi="宋体" w:eastAsia="宋体" w:cs="Arial"/>
          <w:kern w:val="0"/>
          <w:sz w:val="22"/>
        </w:rPr>
        <w:t>日期：  年  月  日</w:t>
      </w:r>
    </w:p>
    <w:p>
      <w:pPr>
        <w:autoSpaceDE w:val="0"/>
        <w:autoSpaceDN w:val="0"/>
        <w:adjustRightInd w:val="0"/>
        <w:spacing w:line="360" w:lineRule="exact"/>
        <w:jc w:val="left"/>
        <w:rPr>
          <w:rFonts w:ascii="宋体" w:hAnsi="宋体" w:eastAsia="宋体" w:cs="Times New Roman"/>
          <w:kern w:val="0"/>
          <w:sz w:val="32"/>
          <w:szCs w:val="20"/>
          <w:lang w:val="zh-CN"/>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spacing w:line="360" w:lineRule="exact"/>
        <w:jc w:val="left"/>
        <w:rPr>
          <w:rFonts w:ascii="宋体" w:hAnsi="宋体" w:eastAsia="宋体" w:cs="Times New Roman"/>
          <w:b/>
          <w:kern w:val="0"/>
          <w:sz w:val="22"/>
          <w:szCs w:val="20"/>
        </w:rPr>
      </w:pPr>
    </w:p>
    <w:p>
      <w:pPr>
        <w:autoSpaceDE w:val="0"/>
        <w:autoSpaceDN w:val="0"/>
        <w:adjustRightInd w:val="0"/>
        <w:snapToGrid w:val="0"/>
        <w:spacing w:line="454" w:lineRule="atLeast"/>
        <w:jc w:val="left"/>
        <w:textAlignment w:val="bottom"/>
        <w:outlineLvl w:val="0"/>
        <w:rPr>
          <w:rFonts w:ascii="宋体" w:hAnsi="宋体" w:eastAsia="宋体" w:cs="Times New Roman"/>
          <w:b/>
          <w:kern w:val="0"/>
          <w:sz w:val="24"/>
          <w:szCs w:val="24"/>
        </w:rPr>
      </w:pPr>
      <w:bookmarkStart w:id="55" w:name="_Toc494407548"/>
      <w:r>
        <w:rPr>
          <w:rFonts w:hint="eastAsia" w:ascii="宋体" w:hAnsi="宋体" w:eastAsia="宋体" w:cs="Times New Roman"/>
          <w:b/>
          <w:kern w:val="0"/>
          <w:sz w:val="24"/>
          <w:szCs w:val="24"/>
        </w:rPr>
        <w:t>附件六  法定人代表授权书</w:t>
      </w:r>
      <w:bookmarkEnd w:id="55"/>
    </w:p>
    <w:p>
      <w:pPr>
        <w:tabs>
          <w:tab w:val="left" w:pos="1080"/>
        </w:tabs>
        <w:autoSpaceDE w:val="0"/>
        <w:autoSpaceDN w:val="0"/>
        <w:adjustRightInd w:val="0"/>
        <w:spacing w:line="360" w:lineRule="exact"/>
        <w:jc w:val="center"/>
        <w:rPr>
          <w:rFonts w:ascii="宋体" w:hAnsi="宋体" w:eastAsia="宋体" w:cs="Times New Roman"/>
          <w:b/>
          <w:kern w:val="0"/>
          <w:sz w:val="28"/>
          <w:szCs w:val="28"/>
          <w:lang w:val="zh-CN"/>
        </w:rPr>
      </w:pPr>
    </w:p>
    <w:p>
      <w:pPr>
        <w:tabs>
          <w:tab w:val="left" w:pos="1080"/>
        </w:tabs>
        <w:autoSpaceDE w:val="0"/>
        <w:autoSpaceDN w:val="0"/>
        <w:adjustRightInd w:val="0"/>
        <w:spacing w:line="360" w:lineRule="exact"/>
        <w:jc w:val="center"/>
        <w:rPr>
          <w:rFonts w:ascii="宋体" w:hAnsi="宋体" w:eastAsia="宋体" w:cs="Times New Roman"/>
          <w:b/>
          <w:kern w:val="0"/>
          <w:sz w:val="28"/>
          <w:szCs w:val="28"/>
          <w:lang w:val="zh-CN"/>
        </w:rPr>
      </w:pPr>
      <w:r>
        <w:rPr>
          <w:rFonts w:hint="eastAsia" w:ascii="宋体" w:hAnsi="宋体" w:eastAsia="宋体" w:cs="Times New Roman"/>
          <w:b/>
          <w:kern w:val="0"/>
          <w:sz w:val="28"/>
          <w:szCs w:val="28"/>
          <w:lang w:val="zh-CN"/>
        </w:rPr>
        <w:t>法定代表人授权书</w:t>
      </w:r>
    </w:p>
    <w:p>
      <w:pPr>
        <w:spacing w:line="360" w:lineRule="auto"/>
        <w:rPr>
          <w:rFonts w:ascii="宋体" w:hAnsi="宋体" w:eastAsia="宋体" w:cs="Times New Roman"/>
          <w:kern w:val="0"/>
          <w:sz w:val="22"/>
          <w:szCs w:val="20"/>
        </w:rPr>
      </w:pPr>
      <w:r>
        <w:rPr>
          <w:rFonts w:hint="eastAsia" w:ascii="宋体" w:hAnsi="宋体" w:eastAsia="宋体" w:cs="Times New Roman"/>
          <w:kern w:val="0"/>
          <w:sz w:val="22"/>
          <w:szCs w:val="20"/>
          <w:u w:val="single"/>
        </w:rPr>
        <w:t>（采购人名称）</w:t>
      </w:r>
      <w:r>
        <w:rPr>
          <w:rFonts w:hint="eastAsia" w:ascii="宋体" w:hAnsi="宋体" w:eastAsia="宋体" w:cs="Times New Roman"/>
          <w:kern w:val="0"/>
          <w:sz w:val="22"/>
          <w:szCs w:val="20"/>
          <w:lang w:val="zh-CN"/>
        </w:rPr>
        <w:t>：</w:t>
      </w:r>
    </w:p>
    <w:p>
      <w:pPr>
        <w:snapToGrid w:val="0"/>
        <w:spacing w:line="360" w:lineRule="auto"/>
        <w:ind w:firstLine="440" w:firstLineChars="200"/>
        <w:rPr>
          <w:rFonts w:ascii="宋体" w:hAnsi="宋体" w:eastAsia="宋体" w:cs="Times New Roman"/>
          <w:kern w:val="0"/>
          <w:sz w:val="22"/>
        </w:rPr>
      </w:pPr>
      <w:r>
        <w:rPr>
          <w:rFonts w:hint="eastAsia" w:ascii="宋体" w:hAnsi="宋体" w:eastAsia="宋体" w:cs="Times New Roman"/>
          <w:kern w:val="0"/>
          <w:sz w:val="22"/>
        </w:rPr>
        <w:t>本授权委托书声明：我</w:t>
      </w:r>
      <w:r>
        <w:rPr>
          <w:rFonts w:hint="eastAsia" w:ascii="宋体" w:hAnsi="宋体" w:eastAsia="宋体" w:cs="Times New Roman"/>
          <w:kern w:val="0"/>
          <w:sz w:val="22"/>
          <w:u w:val="single"/>
        </w:rPr>
        <w:t xml:space="preserve">   （法定代表人姓名）   </w:t>
      </w:r>
      <w:r>
        <w:rPr>
          <w:rFonts w:hint="eastAsia" w:ascii="宋体" w:hAnsi="宋体" w:eastAsia="宋体" w:cs="Times New Roman"/>
          <w:kern w:val="0"/>
          <w:sz w:val="22"/>
        </w:rPr>
        <w:t>系</w:t>
      </w:r>
      <w:r>
        <w:rPr>
          <w:rFonts w:hint="eastAsia" w:ascii="宋体" w:hAnsi="宋体" w:eastAsia="宋体" w:cs="Times New Roman"/>
          <w:kern w:val="0"/>
          <w:sz w:val="22"/>
          <w:u w:val="single"/>
        </w:rPr>
        <w:t xml:space="preserve">   （供 应 商 名 称）  </w:t>
      </w:r>
      <w:r>
        <w:rPr>
          <w:rFonts w:hint="eastAsia" w:ascii="宋体" w:hAnsi="宋体" w:eastAsia="宋体" w:cs="Times New Roman"/>
          <w:kern w:val="0"/>
          <w:sz w:val="22"/>
        </w:rPr>
        <w:t>的法定代表人，现授权委托</w:t>
      </w:r>
      <w:r>
        <w:rPr>
          <w:rFonts w:hint="eastAsia" w:ascii="宋体" w:hAnsi="宋体" w:eastAsia="宋体" w:cs="Times New Roman"/>
          <w:kern w:val="0"/>
          <w:sz w:val="22"/>
          <w:u w:val="single"/>
        </w:rPr>
        <w:t xml:space="preserve">  （单 位 名 称）   </w:t>
      </w:r>
      <w:r>
        <w:rPr>
          <w:rFonts w:hint="eastAsia" w:ascii="宋体" w:hAnsi="宋体" w:eastAsia="宋体" w:cs="Times New Roman"/>
          <w:kern w:val="0"/>
          <w:sz w:val="22"/>
        </w:rPr>
        <w:t>的</w:t>
      </w:r>
      <w:r>
        <w:rPr>
          <w:rFonts w:hint="eastAsia" w:ascii="宋体" w:hAnsi="宋体" w:eastAsia="宋体" w:cs="Times New Roman"/>
          <w:kern w:val="0"/>
          <w:sz w:val="22"/>
          <w:u w:val="single"/>
        </w:rPr>
        <w:t xml:space="preserve">  （授权代表姓名）  </w:t>
      </w:r>
      <w:r>
        <w:rPr>
          <w:rFonts w:hint="eastAsia" w:ascii="宋体" w:hAnsi="宋体" w:eastAsia="宋体" w:cs="Times New Roman"/>
          <w:kern w:val="0"/>
          <w:sz w:val="22"/>
        </w:rPr>
        <w:t>为我公司法定代表人授权代表，参加贵处组织的</w:t>
      </w:r>
      <w:r>
        <w:rPr>
          <w:rFonts w:hint="eastAsia" w:ascii="宋体" w:hAnsi="宋体" w:eastAsia="宋体" w:cs="Times New Roman"/>
          <w:kern w:val="0"/>
          <w:sz w:val="22"/>
          <w:u w:val="single"/>
        </w:rPr>
        <w:t xml:space="preserve">  （招标项目名称，括号中填写项目编号）  </w:t>
      </w:r>
      <w:r>
        <w:rPr>
          <w:rFonts w:hint="eastAsia" w:ascii="宋体" w:hAnsi="宋体" w:eastAsia="宋体" w:cs="Times New Roman"/>
          <w:kern w:val="0"/>
          <w:sz w:val="22"/>
        </w:rPr>
        <w:t>项目投标，全权处理本次招投标活动中的一切事宜，我承认授权代表全权代表我所签署的本项目的投标文件的内容。</w:t>
      </w:r>
    </w:p>
    <w:p>
      <w:pPr>
        <w:spacing w:line="360" w:lineRule="auto"/>
        <w:ind w:firstLine="440" w:firstLineChars="200"/>
        <w:rPr>
          <w:rFonts w:ascii="宋体" w:hAnsi="宋体" w:eastAsia="宋体" w:cs="Times New Roman"/>
          <w:kern w:val="0"/>
          <w:sz w:val="22"/>
        </w:rPr>
      </w:pPr>
    </w:p>
    <w:p>
      <w:pPr>
        <w:spacing w:line="360" w:lineRule="auto"/>
        <w:ind w:firstLine="440" w:firstLineChars="200"/>
        <w:rPr>
          <w:rFonts w:ascii="宋体" w:hAnsi="宋体" w:eastAsia="宋体" w:cs="Times New Roman"/>
          <w:kern w:val="0"/>
          <w:sz w:val="22"/>
          <w:szCs w:val="20"/>
        </w:rPr>
      </w:pPr>
      <w:r>
        <w:rPr>
          <w:rFonts w:hint="eastAsia" w:ascii="宋体" w:hAnsi="宋体" w:eastAsia="宋体" w:cs="Times New Roman"/>
          <w:kern w:val="0"/>
          <w:sz w:val="22"/>
        </w:rPr>
        <w:t>授权代表无转授权，特此授权。</w:t>
      </w:r>
    </w:p>
    <w:p>
      <w:pPr>
        <w:spacing w:line="360" w:lineRule="auto"/>
        <w:rPr>
          <w:rFonts w:ascii="宋体" w:hAnsi="宋体" w:eastAsia="宋体" w:cs="Times New Roman"/>
          <w:kern w:val="0"/>
          <w:sz w:val="22"/>
          <w:szCs w:val="20"/>
        </w:rPr>
      </w:pPr>
    </w:p>
    <w:p>
      <w:pPr>
        <w:spacing w:line="360" w:lineRule="auto"/>
        <w:ind w:firstLine="2952" w:firstLineChars="1342"/>
        <w:rPr>
          <w:rFonts w:ascii="宋体" w:hAnsi="宋体" w:eastAsia="宋体" w:cs="Times New Roman"/>
          <w:kern w:val="0"/>
          <w:sz w:val="22"/>
          <w:szCs w:val="20"/>
          <w:u w:val="single"/>
        </w:rPr>
      </w:pPr>
      <w:r>
        <w:rPr>
          <w:rFonts w:hint="eastAsia" w:ascii="宋体" w:hAnsi="宋体" w:eastAsia="宋体" w:cs="Times New Roman"/>
          <w:kern w:val="0"/>
          <w:sz w:val="22"/>
          <w:szCs w:val="20"/>
        </w:rPr>
        <w:t>授权代表：</w:t>
      </w:r>
      <w:r>
        <w:rPr>
          <w:rFonts w:hint="eastAsia" w:ascii="宋体" w:hAnsi="宋体" w:eastAsia="宋体" w:cs="Times New Roman"/>
          <w:kern w:val="0"/>
          <w:sz w:val="22"/>
          <w:szCs w:val="20"/>
          <w:u w:val="single"/>
        </w:rPr>
        <w:t xml:space="preserve">   （签字）  </w:t>
      </w:r>
      <w:r>
        <w:rPr>
          <w:rFonts w:hint="eastAsia" w:ascii="宋体" w:hAnsi="宋体" w:eastAsia="宋体" w:cs="Times New Roman"/>
          <w:kern w:val="0"/>
          <w:sz w:val="22"/>
          <w:szCs w:val="20"/>
        </w:rPr>
        <w:t xml:space="preserve"> 性别 ： 年龄：</w:t>
      </w:r>
    </w:p>
    <w:p>
      <w:pPr>
        <w:spacing w:line="360" w:lineRule="auto"/>
        <w:ind w:firstLine="2952" w:firstLineChars="1342"/>
        <w:rPr>
          <w:rFonts w:ascii="宋体" w:hAnsi="宋体" w:eastAsia="宋体" w:cs="Times New Roman"/>
          <w:kern w:val="0"/>
          <w:sz w:val="22"/>
          <w:szCs w:val="20"/>
          <w:u w:val="single"/>
        </w:rPr>
      </w:pPr>
      <w:r>
        <w:rPr>
          <w:rFonts w:hint="eastAsia" w:ascii="宋体" w:hAnsi="宋体" w:eastAsia="宋体" w:cs="Times New Roman"/>
          <w:kern w:val="0"/>
          <w:sz w:val="22"/>
          <w:szCs w:val="20"/>
        </w:rPr>
        <w:t>详细通讯地址： 邮政编码：</w:t>
      </w:r>
    </w:p>
    <w:p>
      <w:pPr>
        <w:spacing w:line="360" w:lineRule="auto"/>
        <w:ind w:firstLine="2952" w:firstLineChars="1342"/>
        <w:rPr>
          <w:rFonts w:ascii="宋体" w:hAnsi="宋体" w:eastAsia="宋体" w:cs="Times New Roman"/>
          <w:kern w:val="0"/>
          <w:sz w:val="22"/>
          <w:szCs w:val="20"/>
          <w:u w:val="single"/>
        </w:rPr>
      </w:pPr>
      <w:r>
        <w:rPr>
          <w:rFonts w:hint="eastAsia" w:ascii="宋体" w:hAnsi="宋体" w:eastAsia="宋体" w:cs="Times New Roman"/>
          <w:kern w:val="0"/>
          <w:sz w:val="22"/>
          <w:szCs w:val="20"/>
        </w:rPr>
        <w:t>电话： 传真：</w:t>
      </w:r>
    </w:p>
    <w:p>
      <w:pPr>
        <w:spacing w:line="360" w:lineRule="auto"/>
        <w:ind w:left="1" w:firstLine="422" w:firstLineChars="192"/>
        <w:rPr>
          <w:rFonts w:ascii="宋体" w:hAnsi="宋体" w:eastAsia="宋体" w:cs="Times New Roman"/>
          <w:kern w:val="0"/>
          <w:sz w:val="22"/>
          <w:szCs w:val="20"/>
        </w:rPr>
      </w:pPr>
      <w:r>
        <w:rPr>
          <w:rFonts w:hint="eastAsia" w:ascii="宋体" w:hAnsi="宋体" w:eastAsia="宋体" w:cs="Times New Roman"/>
          <w:kern w:val="0"/>
          <w:sz w:val="22"/>
          <w:szCs w:val="20"/>
        </w:rPr>
        <w:t xml:space="preserve">                       供应商：</w:t>
      </w:r>
      <w:r>
        <w:rPr>
          <w:rFonts w:hint="eastAsia" w:ascii="宋体" w:hAnsi="宋体" w:eastAsia="宋体" w:cs="Times New Roman"/>
          <w:kern w:val="0"/>
          <w:sz w:val="22"/>
          <w:szCs w:val="20"/>
          <w:u w:val="single"/>
        </w:rPr>
        <w:t xml:space="preserve">                                      （盖章）</w:t>
      </w:r>
    </w:p>
    <w:p>
      <w:pPr>
        <w:spacing w:line="360" w:lineRule="auto"/>
        <w:ind w:left="1" w:firstLine="422" w:firstLineChars="192"/>
        <w:rPr>
          <w:rFonts w:ascii="宋体" w:hAnsi="宋体" w:eastAsia="宋体" w:cs="Times New Roman"/>
          <w:kern w:val="0"/>
          <w:sz w:val="22"/>
          <w:szCs w:val="20"/>
        </w:rPr>
      </w:pPr>
      <w:r>
        <w:rPr>
          <w:rFonts w:hint="eastAsia" w:ascii="宋体" w:hAnsi="宋体" w:eastAsia="宋体" w:cs="Times New Roman"/>
          <w:kern w:val="0"/>
          <w:sz w:val="22"/>
          <w:szCs w:val="20"/>
        </w:rPr>
        <w:t xml:space="preserve">                       法定代表人：</w:t>
      </w:r>
      <w:r>
        <w:rPr>
          <w:rFonts w:hint="eastAsia" w:ascii="宋体" w:hAnsi="宋体" w:eastAsia="宋体" w:cs="Times New Roman"/>
          <w:kern w:val="0"/>
          <w:sz w:val="22"/>
          <w:szCs w:val="20"/>
          <w:u w:val="single"/>
        </w:rPr>
        <w:t xml:space="preserve">                            （签字或盖章）</w:t>
      </w:r>
    </w:p>
    <w:p>
      <w:pPr>
        <w:spacing w:line="400" w:lineRule="atLeast"/>
        <w:ind w:left="2699"/>
        <w:rPr>
          <w:rFonts w:ascii="宋体" w:hAnsi="宋体" w:eastAsia="宋体" w:cs="Times New Roman"/>
          <w:kern w:val="0"/>
          <w:sz w:val="22"/>
          <w:szCs w:val="20"/>
        </w:rPr>
      </w:pPr>
    </w:p>
    <w:p>
      <w:pPr>
        <w:spacing w:line="400" w:lineRule="atLeast"/>
        <w:ind w:right="440" w:firstLine="3300" w:firstLineChars="1500"/>
        <w:jc w:val="center"/>
        <w:rPr>
          <w:rFonts w:ascii="宋体" w:hAnsi="宋体" w:eastAsia="宋体" w:cs="Times New Roman"/>
          <w:kern w:val="0"/>
          <w:sz w:val="22"/>
          <w:szCs w:val="20"/>
        </w:rPr>
      </w:pPr>
      <w:r>
        <w:rPr>
          <w:rFonts w:hint="eastAsia" w:ascii="宋体" w:hAnsi="宋体" w:eastAsia="宋体" w:cs="Times New Roman"/>
          <w:kern w:val="0"/>
          <w:sz w:val="22"/>
          <w:szCs w:val="20"/>
        </w:rPr>
        <w:t xml:space="preserve">               授权委托日期：年 月日</w:t>
      </w:r>
    </w:p>
    <w:p>
      <w:pPr>
        <w:spacing w:line="360" w:lineRule="exact"/>
        <w:ind w:left="2699"/>
        <w:rPr>
          <w:rFonts w:ascii="宋体" w:hAnsi="宋体" w:eastAsia="宋体" w:cs="Times New Roman"/>
          <w:kern w:val="0"/>
          <w:sz w:val="22"/>
          <w:szCs w:val="20"/>
        </w:rPr>
      </w:pPr>
    </w:p>
    <w:tbl>
      <w:tblPr>
        <w:tblStyle w:val="22"/>
        <w:tblW w:w="93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2" w:hRule="atLeast"/>
        </w:trPr>
        <w:tc>
          <w:tcPr>
            <w:tcW w:w="9351" w:type="dxa"/>
          </w:tcPr>
          <w:p>
            <w:pPr>
              <w:adjustRightInd w:val="0"/>
              <w:snapToGrid w:val="0"/>
              <w:spacing w:line="360" w:lineRule="exact"/>
              <w:jc w:val="center"/>
              <w:rPr>
                <w:rFonts w:ascii="宋体" w:hAnsi="宋体" w:eastAsia="宋体" w:cs="Times New Roman"/>
                <w:kern w:val="0"/>
                <w:sz w:val="22"/>
              </w:rPr>
            </w:pPr>
          </w:p>
          <w:p>
            <w:pPr>
              <w:adjustRightInd w:val="0"/>
              <w:snapToGrid w:val="0"/>
              <w:spacing w:line="360" w:lineRule="exact"/>
              <w:jc w:val="center"/>
              <w:rPr>
                <w:rFonts w:ascii="宋体" w:hAnsi="宋体" w:eastAsia="宋体" w:cs="Times New Roman"/>
                <w:kern w:val="0"/>
                <w:sz w:val="22"/>
              </w:rPr>
            </w:pPr>
            <w:r>
              <w:rPr>
                <w:rFonts w:hint="eastAsia" w:ascii="宋体" w:hAnsi="宋体" w:eastAsia="宋体" w:cs="Times New Roman"/>
                <w:kern w:val="0"/>
                <w:sz w:val="22"/>
              </w:rPr>
              <w:t>粘贴法人授权代表身份证复印影印件</w:t>
            </w:r>
          </w:p>
          <w:p>
            <w:pPr>
              <w:adjustRightInd w:val="0"/>
              <w:snapToGrid w:val="0"/>
              <w:spacing w:line="360" w:lineRule="exact"/>
              <w:jc w:val="center"/>
              <w:rPr>
                <w:rFonts w:ascii="宋体" w:hAnsi="宋体" w:eastAsia="宋体" w:cs="Times New Roman"/>
                <w:kern w:val="0"/>
                <w:sz w:val="22"/>
              </w:rPr>
            </w:pPr>
          </w:p>
        </w:tc>
      </w:tr>
    </w:tbl>
    <w:p>
      <w:pPr>
        <w:adjustRightInd w:val="0"/>
        <w:snapToGrid w:val="0"/>
        <w:spacing w:line="360" w:lineRule="exact"/>
        <w:jc w:val="center"/>
        <w:rPr>
          <w:rFonts w:ascii="宋体" w:hAnsi="宋体" w:eastAsia="宋体" w:cs="Times New Roman"/>
          <w:kern w:val="0"/>
          <w:sz w:val="22"/>
          <w:lang w:val="zh-CN"/>
        </w:rPr>
      </w:pPr>
    </w:p>
    <w:p>
      <w:pPr>
        <w:adjustRightInd w:val="0"/>
        <w:snapToGrid w:val="0"/>
        <w:spacing w:line="360" w:lineRule="exact"/>
        <w:jc w:val="center"/>
        <w:rPr>
          <w:rFonts w:ascii="宋体" w:hAnsi="宋体" w:eastAsia="宋体" w:cs="Times New Roman"/>
          <w:kern w:val="0"/>
          <w:sz w:val="22"/>
          <w:lang w:val="zh-CN"/>
        </w:rPr>
      </w:pPr>
    </w:p>
    <w:tbl>
      <w:tblPr>
        <w:tblStyle w:val="22"/>
        <w:tblW w:w="93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8" w:hRule="atLeast"/>
        </w:trPr>
        <w:tc>
          <w:tcPr>
            <w:tcW w:w="9365" w:type="dxa"/>
          </w:tcPr>
          <w:p>
            <w:pPr>
              <w:adjustRightInd w:val="0"/>
              <w:snapToGrid w:val="0"/>
              <w:spacing w:line="360" w:lineRule="exact"/>
              <w:jc w:val="center"/>
              <w:rPr>
                <w:rFonts w:ascii="宋体" w:hAnsi="宋体" w:eastAsia="宋体" w:cs="Times New Roman"/>
                <w:kern w:val="0"/>
                <w:sz w:val="22"/>
              </w:rPr>
            </w:pPr>
          </w:p>
          <w:p>
            <w:pPr>
              <w:adjustRightInd w:val="0"/>
              <w:snapToGrid w:val="0"/>
              <w:spacing w:line="360" w:lineRule="exact"/>
              <w:jc w:val="center"/>
              <w:rPr>
                <w:rFonts w:ascii="宋体" w:hAnsi="宋体" w:eastAsia="宋体" w:cs="Times New Roman"/>
                <w:kern w:val="0"/>
                <w:sz w:val="22"/>
              </w:rPr>
            </w:pPr>
            <w:r>
              <w:rPr>
                <w:rFonts w:hint="eastAsia" w:ascii="宋体" w:hAnsi="宋体" w:eastAsia="宋体" w:cs="Times New Roman"/>
                <w:kern w:val="0"/>
                <w:sz w:val="22"/>
              </w:rPr>
              <w:t>粘贴法人身份证复印影印件</w:t>
            </w:r>
          </w:p>
          <w:p>
            <w:pPr>
              <w:adjustRightInd w:val="0"/>
              <w:snapToGrid w:val="0"/>
              <w:spacing w:line="360" w:lineRule="exact"/>
              <w:jc w:val="center"/>
              <w:rPr>
                <w:rFonts w:ascii="宋体" w:hAnsi="宋体" w:eastAsia="宋体" w:cs="Times New Roman"/>
                <w:kern w:val="0"/>
                <w:sz w:val="22"/>
              </w:rPr>
            </w:pPr>
          </w:p>
        </w:tc>
      </w:tr>
    </w:tbl>
    <w:p>
      <w:pPr>
        <w:spacing w:line="360" w:lineRule="exact"/>
        <w:jc w:val="left"/>
        <w:rPr>
          <w:rFonts w:ascii="宋体" w:hAnsi="宋体" w:eastAsia="宋体" w:cs="Times New Roman"/>
          <w:b/>
          <w:kern w:val="0"/>
          <w:sz w:val="22"/>
          <w:szCs w:val="20"/>
        </w:rPr>
      </w:pPr>
    </w:p>
    <w:p>
      <w:pPr>
        <w:autoSpaceDE w:val="0"/>
        <w:autoSpaceDN w:val="0"/>
        <w:spacing w:line="454" w:lineRule="atLeast"/>
        <w:jc w:val="left"/>
        <w:textAlignment w:val="bottom"/>
        <w:outlineLvl w:val="0"/>
        <w:rPr>
          <w:rFonts w:ascii="宋体" w:hAnsi="宋体" w:eastAsia="宋体" w:cs="Times New Roman"/>
          <w:b/>
          <w:kern w:val="0"/>
          <w:sz w:val="24"/>
          <w:szCs w:val="24"/>
          <w:lang w:val="zh-CN"/>
        </w:rPr>
      </w:pPr>
      <w:bookmarkStart w:id="56" w:name="_Toc494407549"/>
      <w:r>
        <w:rPr>
          <w:rFonts w:hint="eastAsia" w:ascii="宋体" w:hAnsi="宋体" w:eastAsia="宋体" w:cs="Times New Roman"/>
          <w:b/>
          <w:kern w:val="0"/>
          <w:sz w:val="24"/>
          <w:szCs w:val="24"/>
        </w:rPr>
        <w:t xml:space="preserve">附件七  </w:t>
      </w:r>
      <w:r>
        <w:rPr>
          <w:rFonts w:hint="eastAsia" w:ascii="宋体" w:hAnsi="宋体" w:eastAsia="宋体" w:cs="Times New Roman"/>
          <w:b/>
          <w:kern w:val="0"/>
          <w:sz w:val="24"/>
          <w:szCs w:val="24"/>
          <w:lang w:val="zh-CN"/>
        </w:rPr>
        <w:t>供应商参与政府采购活动投标资格声明函</w:t>
      </w:r>
      <w:bookmarkEnd w:id="56"/>
    </w:p>
    <w:p>
      <w:pPr>
        <w:adjustRightInd w:val="0"/>
        <w:snapToGrid w:val="0"/>
        <w:spacing w:line="360" w:lineRule="exact"/>
        <w:jc w:val="center"/>
        <w:rPr>
          <w:rFonts w:ascii="宋体" w:hAnsi="宋体" w:eastAsia="宋体" w:cs="Times New Roman"/>
          <w:b/>
          <w:kern w:val="0"/>
          <w:sz w:val="28"/>
          <w:szCs w:val="28"/>
          <w:lang w:val="zh-CN"/>
        </w:rPr>
      </w:pPr>
    </w:p>
    <w:p>
      <w:pPr>
        <w:adjustRightInd w:val="0"/>
        <w:snapToGrid w:val="0"/>
        <w:spacing w:line="360" w:lineRule="exact"/>
        <w:jc w:val="center"/>
        <w:rPr>
          <w:rFonts w:ascii="宋体" w:hAnsi="宋体" w:eastAsia="宋体" w:cs="Times New Roman"/>
          <w:b/>
          <w:kern w:val="0"/>
          <w:sz w:val="28"/>
          <w:szCs w:val="28"/>
          <w:lang w:val="zh-CN"/>
        </w:rPr>
      </w:pPr>
      <w:r>
        <w:rPr>
          <w:rFonts w:hint="eastAsia" w:ascii="宋体" w:hAnsi="宋体" w:eastAsia="宋体" w:cs="Times New Roman"/>
          <w:b/>
          <w:kern w:val="0"/>
          <w:sz w:val="28"/>
          <w:szCs w:val="28"/>
          <w:lang w:val="zh-CN"/>
        </w:rPr>
        <w:t>供应商参与政府采购活动投标资格声明函</w:t>
      </w:r>
    </w:p>
    <w:tbl>
      <w:tblPr>
        <w:tblStyle w:val="22"/>
        <w:tblW w:w="96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tcPr>
          <w:p>
            <w:pPr>
              <w:adjustRightInd w:val="0"/>
              <w:snapToGrid w:val="0"/>
              <w:spacing w:line="400" w:lineRule="exact"/>
              <w:rPr>
                <w:rFonts w:ascii="宋体" w:hAnsi="宋体" w:eastAsia="宋体" w:cs="Times New Roman"/>
                <w:bCs/>
                <w:kern w:val="0"/>
                <w:sz w:val="22"/>
              </w:rPr>
            </w:pPr>
            <w:r>
              <w:rPr>
                <w:rFonts w:hint="eastAsia" w:ascii="宋体" w:hAnsi="宋体" w:eastAsia="宋体" w:cs="Times New Roman"/>
                <w:bCs/>
                <w:kern w:val="0"/>
                <w:sz w:val="22"/>
              </w:rPr>
              <w:t>项目名称</w:t>
            </w:r>
          </w:p>
        </w:tc>
        <w:tc>
          <w:tcPr>
            <w:tcW w:w="7992" w:type="dxa"/>
          </w:tcPr>
          <w:p>
            <w:pPr>
              <w:adjustRightInd w:val="0"/>
              <w:snapToGrid w:val="0"/>
              <w:spacing w:line="400" w:lineRule="exact"/>
              <w:ind w:left="422" w:firstLine="331"/>
              <w:rPr>
                <w:rFonts w:ascii="宋体" w:hAnsi="宋体" w:eastAsia="宋体" w:cs="Times New Roman"/>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tcPr>
          <w:p>
            <w:pPr>
              <w:adjustRightInd w:val="0"/>
              <w:snapToGrid w:val="0"/>
              <w:spacing w:line="400" w:lineRule="exact"/>
              <w:rPr>
                <w:rFonts w:ascii="宋体" w:hAnsi="宋体" w:eastAsia="宋体" w:cs="Times New Roman"/>
                <w:bCs/>
                <w:kern w:val="0"/>
                <w:sz w:val="22"/>
              </w:rPr>
            </w:pPr>
            <w:r>
              <w:rPr>
                <w:rFonts w:hint="eastAsia" w:ascii="宋体" w:hAnsi="宋体" w:eastAsia="宋体" w:cs="Times New Roman"/>
                <w:bCs/>
                <w:kern w:val="0"/>
                <w:sz w:val="22"/>
              </w:rPr>
              <w:t>项目采购编号</w:t>
            </w:r>
          </w:p>
        </w:tc>
        <w:tc>
          <w:tcPr>
            <w:tcW w:w="7992" w:type="dxa"/>
          </w:tcPr>
          <w:p>
            <w:pPr>
              <w:adjustRightInd w:val="0"/>
              <w:snapToGrid w:val="0"/>
              <w:spacing w:line="400" w:lineRule="exact"/>
              <w:ind w:left="422" w:firstLine="361"/>
              <w:rPr>
                <w:rFonts w:ascii="宋体" w:hAnsi="宋体" w:eastAsia="宋体" w:cs="Times New Roman"/>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tcPr>
          <w:p>
            <w:pPr>
              <w:adjustRightInd w:val="0"/>
              <w:snapToGrid w:val="0"/>
              <w:spacing w:line="400" w:lineRule="exact"/>
              <w:rPr>
                <w:rFonts w:ascii="宋体" w:hAnsi="宋体" w:eastAsia="宋体" w:cs="Times New Roman"/>
                <w:bCs/>
                <w:kern w:val="0"/>
                <w:sz w:val="22"/>
              </w:rPr>
            </w:pPr>
            <w:r>
              <w:rPr>
                <w:rFonts w:hint="eastAsia" w:ascii="宋体" w:hAnsi="宋体" w:eastAsia="宋体" w:cs="Times New Roman"/>
                <w:bCs/>
                <w:kern w:val="0"/>
                <w:sz w:val="22"/>
              </w:rPr>
              <w:t>时    间</w:t>
            </w:r>
          </w:p>
        </w:tc>
        <w:tc>
          <w:tcPr>
            <w:tcW w:w="7992" w:type="dxa"/>
          </w:tcPr>
          <w:p>
            <w:pPr>
              <w:adjustRightInd w:val="0"/>
              <w:snapToGrid w:val="0"/>
              <w:spacing w:line="400" w:lineRule="exact"/>
              <w:rPr>
                <w:rFonts w:ascii="宋体" w:hAnsi="宋体" w:eastAsia="宋体" w:cs="Times New Roman"/>
                <w:bCs/>
                <w:kern w:val="0"/>
                <w:sz w:val="22"/>
              </w:rPr>
            </w:pPr>
            <w:r>
              <w:rPr>
                <w:rFonts w:hint="eastAsia" w:ascii="宋体" w:hAnsi="宋体" w:eastAsia="宋体" w:cs="Times New Roman"/>
                <w:bCs/>
                <w:kern w:val="0"/>
                <w:sz w:val="22"/>
              </w:rPr>
              <w:t>投标截止时间：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6" w:hRule="atLeast"/>
        </w:trPr>
        <w:tc>
          <w:tcPr>
            <w:tcW w:w="9612" w:type="dxa"/>
            <w:gridSpan w:val="2"/>
          </w:tcPr>
          <w:p>
            <w:pPr>
              <w:adjustRightInd w:val="0"/>
              <w:snapToGrid w:val="0"/>
              <w:spacing w:line="400" w:lineRule="exact"/>
              <w:ind w:firstLine="450"/>
              <w:rPr>
                <w:rFonts w:ascii="宋体" w:hAnsi="宋体" w:eastAsia="宋体" w:cs="Times New Roman"/>
                <w:kern w:val="0"/>
                <w:sz w:val="20"/>
                <w:szCs w:val="20"/>
              </w:rPr>
            </w:pPr>
            <w:r>
              <w:rPr>
                <w:rFonts w:hint="eastAsia" w:ascii="宋体" w:hAnsi="宋体" w:eastAsia="宋体" w:cs="Times New Roman"/>
                <w:kern w:val="0"/>
                <w:sz w:val="20"/>
                <w:szCs w:val="20"/>
              </w:rPr>
              <w:t>1、根据政府采购法第二十二条规定，我单位满足以下条件，并已经在技术资信部分投标文件中提供了相应的证明材料：</w:t>
            </w:r>
          </w:p>
          <w:p>
            <w:pPr>
              <w:adjustRightInd w:val="0"/>
              <w:snapToGrid w:val="0"/>
              <w:spacing w:line="400" w:lineRule="exact"/>
              <w:ind w:firstLine="450"/>
              <w:rPr>
                <w:rFonts w:ascii="宋体" w:hAnsi="宋体" w:eastAsia="宋体" w:cs="Times New Roman"/>
                <w:kern w:val="0"/>
                <w:sz w:val="20"/>
                <w:szCs w:val="20"/>
              </w:rPr>
            </w:pPr>
            <w:r>
              <w:rPr>
                <w:rFonts w:hint="eastAsia" w:ascii="宋体" w:hAnsi="宋体" w:eastAsia="宋体" w:cs="Times New Roman"/>
                <w:kern w:val="0"/>
                <w:sz w:val="20"/>
                <w:szCs w:val="20"/>
              </w:rPr>
              <w:t xml:space="preserve">（一）具有独立承担民事责任的能力； </w:t>
            </w:r>
            <w:r>
              <w:rPr>
                <w:rFonts w:hint="eastAsia" w:ascii="宋体" w:hAnsi="宋体" w:eastAsia="宋体" w:cs="Times New Roman"/>
                <w:kern w:val="0"/>
                <w:sz w:val="20"/>
                <w:szCs w:val="20"/>
              </w:rPr>
              <w:br w:type="textWrapping"/>
            </w:r>
            <w:r>
              <w:rPr>
                <w:rFonts w:hint="eastAsia" w:ascii="宋体" w:hAnsi="宋体" w:eastAsia="宋体" w:cs="Times New Roman"/>
                <w:kern w:val="0"/>
                <w:sz w:val="20"/>
                <w:szCs w:val="20"/>
              </w:rPr>
              <w:t xml:space="preserve">　　（二）具有良好的商业信誉和健全的财务会计制度； </w:t>
            </w:r>
            <w:r>
              <w:rPr>
                <w:rFonts w:hint="eastAsia" w:ascii="宋体" w:hAnsi="宋体" w:eastAsia="宋体" w:cs="Times New Roman"/>
                <w:kern w:val="0"/>
                <w:sz w:val="20"/>
                <w:szCs w:val="20"/>
              </w:rPr>
              <w:br w:type="textWrapping"/>
            </w:r>
            <w:r>
              <w:rPr>
                <w:rFonts w:hint="eastAsia" w:ascii="宋体" w:hAnsi="宋体" w:eastAsia="宋体" w:cs="Times New Roman"/>
                <w:kern w:val="0"/>
                <w:sz w:val="20"/>
                <w:szCs w:val="20"/>
              </w:rPr>
              <w:t xml:space="preserve">　　（三）具有履行合同所必需的设备和专业技术能力； </w:t>
            </w:r>
            <w:r>
              <w:rPr>
                <w:rFonts w:hint="eastAsia" w:ascii="宋体" w:hAnsi="宋体" w:eastAsia="宋体" w:cs="Times New Roman"/>
                <w:kern w:val="0"/>
                <w:sz w:val="20"/>
                <w:szCs w:val="20"/>
              </w:rPr>
              <w:br w:type="textWrapping"/>
            </w:r>
            <w:r>
              <w:rPr>
                <w:rFonts w:hint="eastAsia" w:ascii="宋体" w:hAnsi="宋体" w:eastAsia="宋体" w:cs="Times New Roman"/>
                <w:kern w:val="0"/>
                <w:sz w:val="20"/>
                <w:szCs w:val="20"/>
              </w:rPr>
              <w:t xml:space="preserve">　　（四）有依法缴纳税收和社会保障资金的良好记录； </w:t>
            </w:r>
            <w:r>
              <w:rPr>
                <w:rFonts w:hint="eastAsia" w:ascii="宋体" w:hAnsi="宋体" w:eastAsia="宋体" w:cs="Times New Roman"/>
                <w:kern w:val="0"/>
                <w:sz w:val="20"/>
                <w:szCs w:val="20"/>
              </w:rPr>
              <w:br w:type="textWrapping"/>
            </w:r>
            <w:r>
              <w:rPr>
                <w:rFonts w:hint="eastAsia" w:ascii="宋体" w:hAnsi="宋体" w:eastAsia="宋体" w:cs="Times New Roman"/>
                <w:kern w:val="0"/>
                <w:sz w:val="20"/>
                <w:szCs w:val="20"/>
              </w:rPr>
              <w:t xml:space="preserve">　　（五）参加政府采购活动前三年内，在经营活动中没有重大违法记录； </w:t>
            </w:r>
            <w:r>
              <w:rPr>
                <w:rFonts w:hint="eastAsia" w:ascii="宋体" w:hAnsi="宋体" w:eastAsia="宋体" w:cs="Times New Roman"/>
                <w:kern w:val="0"/>
                <w:sz w:val="20"/>
                <w:szCs w:val="20"/>
              </w:rPr>
              <w:br w:type="textWrapping"/>
            </w:r>
            <w:r>
              <w:rPr>
                <w:rFonts w:hint="eastAsia" w:ascii="宋体" w:hAnsi="宋体" w:eastAsia="宋体" w:cs="Times New Roman"/>
                <w:kern w:val="0"/>
                <w:sz w:val="20"/>
                <w:szCs w:val="20"/>
              </w:rPr>
              <w:t xml:space="preserve">　　（六）法律、行政法规规定的其他条件。 </w:t>
            </w:r>
          </w:p>
          <w:p>
            <w:pPr>
              <w:adjustRightInd w:val="0"/>
              <w:snapToGrid w:val="0"/>
              <w:spacing w:line="400" w:lineRule="exact"/>
              <w:ind w:firstLine="450"/>
              <w:rPr>
                <w:rFonts w:ascii="宋体" w:hAnsi="宋体" w:eastAsia="宋体" w:cs="Times New Roman"/>
                <w:kern w:val="0"/>
                <w:sz w:val="20"/>
                <w:szCs w:val="20"/>
              </w:rPr>
            </w:pPr>
            <w:r>
              <w:rPr>
                <w:rFonts w:ascii="宋体" w:hAnsi="宋体" w:eastAsia="宋体" w:cs="Times New Roman"/>
                <w:kern w:val="0"/>
                <w:sz w:val="20"/>
                <w:szCs w:val="20"/>
              </w:rPr>
              <w:t>2</w:t>
            </w:r>
            <w:r>
              <w:rPr>
                <w:rFonts w:hint="eastAsia" w:ascii="宋体" w:hAnsi="宋体" w:eastAsia="宋体" w:cs="Times New Roman"/>
                <w:kern w:val="0"/>
                <w:sz w:val="20"/>
                <w:szCs w:val="20"/>
              </w:rPr>
              <w:t>、根据</w:t>
            </w:r>
            <w:r>
              <w:rPr>
                <w:rFonts w:ascii="宋体" w:hAnsi="宋体" w:eastAsia="宋体" w:cs="Times New Roman"/>
                <w:kern w:val="0"/>
                <w:sz w:val="20"/>
                <w:szCs w:val="20"/>
              </w:rPr>
              <w:t>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w:t>
            </w:r>
            <w:r>
              <w:rPr>
                <w:rFonts w:hint="eastAsia" w:ascii="宋体" w:hAnsi="宋体" w:eastAsia="宋体" w:cs="Times New Roman"/>
                <w:kern w:val="0"/>
                <w:sz w:val="20"/>
                <w:szCs w:val="20"/>
              </w:rPr>
              <w:t>我单位不存在上述文件规定依法限制参与政府采购的情况，并提供“信用中国”、 “中国政府采购网”</w:t>
            </w:r>
            <w:r>
              <w:rPr>
                <w:rFonts w:hint="eastAsia" w:ascii="宋体" w:hAnsi="宋体" w:eastAsia="宋体" w:cs="Times New Roman"/>
                <w:b/>
                <w:kern w:val="0"/>
                <w:sz w:val="20"/>
                <w:szCs w:val="20"/>
              </w:rPr>
              <w:t>查询网页截图</w:t>
            </w:r>
            <w:r>
              <w:rPr>
                <w:rFonts w:hint="eastAsia" w:ascii="宋体" w:hAnsi="宋体" w:eastAsia="宋体" w:cs="Times New Roman"/>
                <w:kern w:val="0"/>
                <w:sz w:val="20"/>
                <w:szCs w:val="20"/>
              </w:rPr>
              <w:t>（公告发布之日至投标截止时间）。</w:t>
            </w:r>
          </w:p>
          <w:p>
            <w:pPr>
              <w:adjustRightInd w:val="0"/>
              <w:snapToGrid w:val="0"/>
              <w:spacing w:line="400" w:lineRule="exact"/>
              <w:ind w:firstLine="450"/>
              <w:rPr>
                <w:rFonts w:ascii="宋体" w:hAnsi="宋体" w:eastAsia="宋体" w:cs="Times New Roman"/>
                <w:b/>
                <w:bCs/>
                <w:kern w:val="0"/>
                <w:sz w:val="20"/>
                <w:szCs w:val="20"/>
              </w:rPr>
            </w:pPr>
            <w:r>
              <w:rPr>
                <w:rFonts w:hint="eastAsia" w:ascii="宋体" w:hAnsi="宋体" w:eastAsia="宋体" w:cs="Times New Roman"/>
                <w:b/>
                <w:kern w:val="0"/>
                <w:sz w:val="20"/>
                <w:szCs w:val="20"/>
              </w:rPr>
              <w:t>3、我单位没有</w:t>
            </w:r>
            <w:r>
              <w:rPr>
                <w:rFonts w:ascii="宋体" w:hAnsi="宋体" w:eastAsia="宋体" w:cs="Times New Roman"/>
                <w:b/>
                <w:kern w:val="0"/>
                <w:sz w:val="20"/>
                <w:szCs w:val="20"/>
              </w:rPr>
              <w:t>被</w:t>
            </w:r>
            <w:r>
              <w:rPr>
                <w:rFonts w:hint="eastAsia" w:ascii="宋体" w:hAnsi="宋体" w:eastAsia="宋体" w:cs="Times New Roman"/>
                <w:b/>
                <w:kern w:val="0"/>
                <w:sz w:val="20"/>
                <w:szCs w:val="20"/>
              </w:rPr>
              <w:t>各地、</w:t>
            </w:r>
            <w:r>
              <w:rPr>
                <w:rFonts w:ascii="宋体" w:hAnsi="宋体" w:eastAsia="宋体" w:cs="Times New Roman"/>
                <w:b/>
                <w:kern w:val="0"/>
                <w:sz w:val="20"/>
                <w:szCs w:val="20"/>
              </w:rPr>
              <w:t>各级财政部门</w:t>
            </w:r>
            <w:r>
              <w:rPr>
                <w:rFonts w:hint="eastAsia" w:ascii="宋体" w:hAnsi="宋体" w:eastAsia="宋体" w:cs="Times New Roman"/>
                <w:b/>
                <w:kern w:val="0"/>
                <w:sz w:val="20"/>
                <w:szCs w:val="20"/>
              </w:rPr>
              <w:t>限制</w:t>
            </w:r>
            <w:r>
              <w:rPr>
                <w:rFonts w:ascii="宋体" w:hAnsi="宋体" w:eastAsia="宋体" w:cs="Times New Roman"/>
                <w:b/>
                <w:kern w:val="0"/>
                <w:sz w:val="20"/>
                <w:szCs w:val="20"/>
              </w:rPr>
              <w:t>参加政府采购</w:t>
            </w:r>
            <w:r>
              <w:rPr>
                <w:rFonts w:hint="eastAsia" w:ascii="宋体" w:hAnsi="宋体" w:eastAsia="宋体" w:cs="Times New Roman"/>
                <w:b/>
                <w:kern w:val="0"/>
                <w:sz w:val="20"/>
                <w:szCs w:val="20"/>
              </w:rPr>
              <w:t>活动，且在限制期内：</w:t>
            </w:r>
          </w:p>
          <w:p>
            <w:pPr>
              <w:tabs>
                <w:tab w:val="center" w:pos="4483"/>
              </w:tabs>
              <w:adjustRightInd w:val="0"/>
              <w:spacing w:line="360" w:lineRule="auto"/>
              <w:ind w:firstLine="400"/>
              <w:rPr>
                <w:rFonts w:ascii="宋体" w:hAnsi="宋体" w:eastAsia="宋体" w:cs="Times New Roman"/>
                <w:b/>
                <w:kern w:val="0"/>
                <w:sz w:val="20"/>
                <w:szCs w:val="20"/>
              </w:rPr>
            </w:pPr>
            <w:r>
              <w:rPr>
                <w:rFonts w:ascii="宋体" w:hAnsi="宋体" w:eastAsia="宋体" w:cs="Times New Roman"/>
                <w:b/>
                <w:bCs/>
                <w:kern w:val="0"/>
                <w:sz w:val="20"/>
                <w:szCs w:val="20"/>
              </w:rPr>
              <w:t>4</w:t>
            </w:r>
            <w:r>
              <w:rPr>
                <w:rFonts w:hint="eastAsia" w:ascii="宋体" w:hAnsi="宋体" w:eastAsia="宋体" w:cs="Times New Roman"/>
                <w:b/>
                <w:bCs/>
                <w:kern w:val="0"/>
                <w:sz w:val="20"/>
                <w:szCs w:val="20"/>
              </w:rPr>
              <w:t>、我单位</w:t>
            </w:r>
            <w:r>
              <w:rPr>
                <w:rFonts w:hint="eastAsia" w:ascii="宋体" w:hAnsi="宋体" w:eastAsia="宋体" w:cs="Times New Roman"/>
                <w:b/>
                <w:kern w:val="0"/>
                <w:sz w:val="20"/>
                <w:szCs w:val="20"/>
              </w:rPr>
              <w:t>参与本项目政府采购活动3年内其它重大违法记录（重大违法记录，是指供应商因违法经营受到刑事处罚或者责令停产停业、吊销许可证或者执照、较大数额罚款等行政处罚）情况声明：</w:t>
            </w:r>
          </w:p>
          <w:p>
            <w:pPr>
              <w:tabs>
                <w:tab w:val="center" w:pos="4483"/>
              </w:tabs>
              <w:adjustRightInd w:val="0"/>
              <w:spacing w:line="360" w:lineRule="auto"/>
              <w:ind w:firstLine="400"/>
              <w:rPr>
                <w:rFonts w:ascii="宋体" w:hAnsi="宋体" w:eastAsia="宋体" w:cs="Times New Roman"/>
                <w:b/>
                <w:kern w:val="0"/>
                <w:sz w:val="20"/>
                <w:szCs w:val="20"/>
                <w:u w:val="single"/>
              </w:rPr>
            </w:pPr>
          </w:p>
          <w:p>
            <w:pPr>
              <w:tabs>
                <w:tab w:val="center" w:pos="4483"/>
              </w:tabs>
              <w:adjustRightInd w:val="0"/>
              <w:spacing w:line="360" w:lineRule="auto"/>
              <w:ind w:firstLine="400"/>
              <w:rPr>
                <w:rFonts w:ascii="宋体" w:hAnsi="宋体" w:eastAsia="宋体" w:cs="Times New Roman"/>
                <w:kern w:val="0"/>
                <w:sz w:val="20"/>
                <w:szCs w:val="20"/>
              </w:rPr>
            </w:pPr>
            <w:r>
              <w:rPr>
                <w:rFonts w:ascii="宋体" w:hAnsi="宋体" w:eastAsia="宋体" w:cs="Times New Roman"/>
                <w:kern w:val="0"/>
                <w:sz w:val="20"/>
                <w:szCs w:val="20"/>
                <w:u w:val="single"/>
              </w:rPr>
              <w:t>5</w:t>
            </w:r>
            <w:r>
              <w:rPr>
                <w:rFonts w:hint="eastAsia" w:ascii="宋体" w:hAnsi="宋体" w:eastAsia="宋体" w:cs="Times New Roman"/>
                <w:kern w:val="0"/>
                <w:sz w:val="20"/>
                <w:szCs w:val="20"/>
                <w:u w:val="single"/>
              </w:rPr>
              <w:t>、我单位符合本项目特定资格条件：                         的要求，并在</w:t>
            </w:r>
            <w:r>
              <w:rPr>
                <w:rFonts w:hint="eastAsia" w:ascii="宋体" w:hAnsi="宋体" w:eastAsia="宋体" w:cs="Times New Roman"/>
                <w:kern w:val="0"/>
                <w:sz w:val="20"/>
                <w:szCs w:val="20"/>
              </w:rPr>
              <w:t>技术资信部分投标文件中提供了相应的证明材料</w:t>
            </w:r>
            <w:r>
              <w:rPr>
                <w:rFonts w:hint="eastAsia" w:ascii="宋体" w:hAnsi="宋体" w:eastAsia="宋体" w:cs="Times New Roman"/>
                <w:kern w:val="0"/>
                <w:sz w:val="20"/>
                <w:szCs w:val="20"/>
                <w:u w:val="single"/>
              </w:rPr>
              <w:t>（招标文件没有要求特定资格条件的，本条款空格处可以空白）</w:t>
            </w:r>
          </w:p>
          <w:p>
            <w:pPr>
              <w:tabs>
                <w:tab w:val="center" w:pos="4483"/>
              </w:tabs>
              <w:adjustRightInd w:val="0"/>
              <w:spacing w:line="360" w:lineRule="auto"/>
              <w:ind w:firstLine="402" w:firstLineChars="200"/>
              <w:rPr>
                <w:rFonts w:ascii="宋体" w:hAnsi="宋体" w:eastAsia="宋体" w:cs="Times New Roman"/>
                <w:b/>
                <w:bCs/>
                <w:kern w:val="0"/>
                <w:sz w:val="20"/>
                <w:szCs w:val="20"/>
              </w:rPr>
            </w:pPr>
            <w:r>
              <w:rPr>
                <w:rFonts w:hint="eastAsia" w:ascii="宋体" w:hAnsi="宋体" w:eastAsia="宋体" w:cs="Times New Roman"/>
                <w:b/>
                <w:bCs/>
                <w:kern w:val="0"/>
                <w:sz w:val="20"/>
                <w:szCs w:val="20"/>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9612" w:type="dxa"/>
            <w:gridSpan w:val="2"/>
            <w:vAlign w:val="center"/>
          </w:tcPr>
          <w:p>
            <w:pPr>
              <w:adjustRightInd w:val="0"/>
              <w:snapToGrid w:val="0"/>
              <w:spacing w:line="400" w:lineRule="exact"/>
              <w:ind w:left="422" w:firstLine="331"/>
              <w:rPr>
                <w:rFonts w:ascii="宋体" w:hAnsi="宋体" w:eastAsia="宋体" w:cs="Times New Roman"/>
                <w:b/>
                <w:bCs/>
                <w:kern w:val="0"/>
                <w:sz w:val="22"/>
              </w:rPr>
            </w:pPr>
            <w:r>
              <w:rPr>
                <w:rFonts w:hint="eastAsia" w:ascii="宋体" w:hAnsi="宋体" w:eastAsia="宋体" w:cs="Times New Roman"/>
                <w:b/>
                <w:bCs/>
                <w:kern w:val="0"/>
                <w:sz w:val="22"/>
              </w:rPr>
              <w:t>供应商名称（加盖盖章）：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trPr>
        <w:tc>
          <w:tcPr>
            <w:tcW w:w="9612" w:type="dxa"/>
            <w:gridSpan w:val="2"/>
            <w:vAlign w:val="center"/>
          </w:tcPr>
          <w:p>
            <w:pPr>
              <w:adjustRightInd w:val="0"/>
              <w:snapToGrid w:val="0"/>
              <w:spacing w:line="400" w:lineRule="exact"/>
              <w:ind w:left="422" w:firstLine="316"/>
              <w:rPr>
                <w:rFonts w:ascii="宋体" w:hAnsi="宋体" w:eastAsia="宋体" w:cs="Times New Roman"/>
                <w:b/>
                <w:bCs/>
                <w:kern w:val="0"/>
                <w:sz w:val="22"/>
              </w:rPr>
            </w:pPr>
            <w:r>
              <w:rPr>
                <w:rFonts w:hint="eastAsia" w:ascii="宋体" w:hAnsi="宋体" w:eastAsia="宋体" w:cs="Times New Roman"/>
                <w:b/>
                <w:bCs/>
                <w:kern w:val="0"/>
                <w:szCs w:val="21"/>
              </w:rPr>
              <w:t>法定代表人或授权代表（签字或盖章）</w:t>
            </w:r>
            <w:r>
              <w:rPr>
                <w:rFonts w:hint="eastAsia" w:ascii="宋体" w:hAnsi="宋体" w:eastAsia="宋体" w:cs="Times New Roman"/>
                <w:b/>
                <w:bCs/>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trPr>
        <w:tc>
          <w:tcPr>
            <w:tcW w:w="9612" w:type="dxa"/>
            <w:gridSpan w:val="2"/>
            <w:vAlign w:val="center"/>
          </w:tcPr>
          <w:p>
            <w:pPr>
              <w:adjustRightInd w:val="0"/>
              <w:snapToGrid w:val="0"/>
              <w:spacing w:line="400" w:lineRule="exact"/>
              <w:ind w:left="422" w:firstLine="331"/>
              <w:rPr>
                <w:rFonts w:ascii="宋体" w:hAnsi="宋体" w:eastAsia="宋体" w:cs="Times New Roman"/>
                <w:b/>
                <w:bCs/>
                <w:kern w:val="0"/>
                <w:sz w:val="22"/>
              </w:rPr>
            </w:pPr>
            <w:r>
              <w:rPr>
                <w:rFonts w:hint="eastAsia" w:ascii="宋体" w:hAnsi="宋体" w:eastAsia="宋体" w:cs="Times New Roman"/>
                <w:b/>
                <w:bCs/>
                <w:kern w:val="0"/>
                <w:sz w:val="22"/>
              </w:rPr>
              <w:t>签署日期：</w:t>
            </w:r>
          </w:p>
        </w:tc>
      </w:tr>
    </w:tbl>
    <w:p>
      <w:pPr>
        <w:spacing w:line="360" w:lineRule="exact"/>
        <w:jc w:val="left"/>
        <w:rPr>
          <w:rFonts w:ascii="宋体" w:hAnsi="宋体" w:eastAsia="宋体" w:cs="Times New Roman"/>
          <w:b/>
          <w:bCs/>
          <w:kern w:val="0"/>
          <w:sz w:val="22"/>
          <w:u w:val="single"/>
        </w:rPr>
      </w:pPr>
      <w:r>
        <w:rPr>
          <w:rFonts w:hint="eastAsia" w:ascii="宋体" w:hAnsi="宋体" w:eastAsia="宋体" w:cs="Times New Roman"/>
          <w:b/>
          <w:bCs/>
          <w:kern w:val="0"/>
          <w:sz w:val="22"/>
          <w:u w:val="single"/>
        </w:rPr>
        <w:t>备注：▲投标供应商必须提供本声明，不提供按无效投标处理。</w:t>
      </w:r>
    </w:p>
    <w:p>
      <w:pPr>
        <w:autoSpaceDE w:val="0"/>
        <w:autoSpaceDN w:val="0"/>
        <w:spacing w:line="454" w:lineRule="atLeast"/>
        <w:jc w:val="left"/>
        <w:textAlignment w:val="bottom"/>
        <w:outlineLvl w:val="0"/>
        <w:rPr>
          <w:rFonts w:ascii="宋体" w:hAnsi="宋体" w:eastAsia="宋体" w:cs="Times New Roman"/>
          <w:b/>
          <w:kern w:val="0"/>
          <w:sz w:val="24"/>
          <w:szCs w:val="24"/>
        </w:rPr>
      </w:pPr>
      <w:bookmarkStart w:id="57" w:name="_Toc494407550"/>
    </w:p>
    <w:p>
      <w:pPr>
        <w:autoSpaceDE w:val="0"/>
        <w:autoSpaceDN w:val="0"/>
        <w:spacing w:line="454" w:lineRule="atLeast"/>
        <w:jc w:val="left"/>
        <w:textAlignment w:val="bottom"/>
        <w:outlineLvl w:val="0"/>
        <w:rPr>
          <w:rFonts w:ascii="宋体" w:hAnsi="宋体" w:eastAsia="宋体" w:cs="Times New Roman"/>
          <w:b/>
          <w:kern w:val="0"/>
          <w:sz w:val="24"/>
          <w:szCs w:val="24"/>
        </w:rPr>
      </w:pPr>
      <w:r>
        <w:rPr>
          <w:rFonts w:hint="eastAsia" w:ascii="宋体" w:hAnsi="宋体" w:eastAsia="宋体" w:cs="Times New Roman"/>
          <w:b/>
          <w:kern w:val="0"/>
          <w:sz w:val="24"/>
          <w:szCs w:val="24"/>
        </w:rPr>
        <w:t>附件八  法定代表人诚信投标承诺书</w:t>
      </w:r>
      <w:bookmarkEnd w:id="57"/>
    </w:p>
    <w:p>
      <w:pPr>
        <w:jc w:val="center"/>
        <w:rPr>
          <w:rFonts w:ascii="宋体" w:hAnsi="宋体" w:eastAsia="宋体" w:cs="Times New Roman"/>
          <w:b/>
          <w:kern w:val="0"/>
          <w:sz w:val="28"/>
          <w:szCs w:val="28"/>
        </w:rPr>
      </w:pPr>
    </w:p>
    <w:p>
      <w:pPr>
        <w:jc w:val="center"/>
        <w:rPr>
          <w:rFonts w:ascii="宋体" w:hAnsi="宋体" w:eastAsia="宋体" w:cs="Times New Roman"/>
          <w:b/>
          <w:kern w:val="0"/>
          <w:sz w:val="28"/>
          <w:szCs w:val="28"/>
        </w:rPr>
      </w:pPr>
      <w:r>
        <w:rPr>
          <w:rFonts w:hint="eastAsia" w:ascii="宋体" w:hAnsi="宋体" w:eastAsia="宋体" w:cs="Times New Roman"/>
          <w:b/>
          <w:kern w:val="0"/>
          <w:sz w:val="28"/>
          <w:szCs w:val="28"/>
        </w:rPr>
        <w:t>法定代表人诚信投标承诺书</w:t>
      </w:r>
    </w:p>
    <w:p>
      <w:pPr>
        <w:spacing w:line="360" w:lineRule="auto"/>
        <w:jc w:val="left"/>
        <w:rPr>
          <w:rFonts w:ascii="宋体" w:hAnsi="宋体" w:eastAsia="宋体" w:cs="Times New Roman"/>
          <w:kern w:val="0"/>
          <w:sz w:val="24"/>
          <w:szCs w:val="24"/>
        </w:rPr>
      </w:pPr>
    </w:p>
    <w:p>
      <w:pPr>
        <w:spacing w:line="460" w:lineRule="atLeast"/>
        <w:jc w:val="left"/>
        <w:rPr>
          <w:rFonts w:ascii="宋体" w:hAnsi="宋体" w:eastAsia="宋体" w:cs="Times New Roman"/>
          <w:b/>
          <w:kern w:val="0"/>
          <w:sz w:val="22"/>
        </w:rPr>
      </w:pPr>
      <w:r>
        <w:rPr>
          <w:rFonts w:hint="eastAsia" w:ascii="宋体" w:hAnsi="宋体" w:eastAsia="宋体" w:cs="Times New Roman"/>
          <w:b/>
          <w:kern w:val="0"/>
          <w:sz w:val="22"/>
        </w:rPr>
        <w:t>本人以企业法定代表人的身份郑重承诺：</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将遵循公开、公平、公正和诚信信用的原则参加</w:t>
      </w:r>
      <w:r>
        <w:rPr>
          <w:rFonts w:hint="eastAsia" w:ascii="宋体" w:hAnsi="宋体" w:eastAsia="宋体" w:cs="楷体_GB2312"/>
          <w:kern w:val="0"/>
          <w:sz w:val="22"/>
          <w:u w:val="single"/>
        </w:rPr>
        <w:t xml:space="preserve">              项目（招标编号：   ）</w:t>
      </w:r>
      <w:r>
        <w:rPr>
          <w:rFonts w:hint="eastAsia" w:ascii="宋体" w:hAnsi="宋体" w:eastAsia="宋体" w:cs="Times New Roman"/>
          <w:kern w:val="0"/>
          <w:sz w:val="22"/>
        </w:rPr>
        <w:t>的投标；</w:t>
      </w:r>
    </w:p>
    <w:p>
      <w:pPr>
        <w:spacing w:line="460" w:lineRule="atLeast"/>
        <w:ind w:firstLine="440" w:firstLineChars="200"/>
        <w:jc w:val="left"/>
        <w:rPr>
          <w:rFonts w:ascii="宋体" w:hAnsi="宋体" w:eastAsia="宋体" w:cs="Times New Roman"/>
          <w:kern w:val="0"/>
          <w:sz w:val="22"/>
          <w:u w:val="single"/>
        </w:rPr>
      </w:pPr>
      <w:r>
        <w:rPr>
          <w:rFonts w:hint="eastAsia" w:ascii="宋体" w:hAnsi="宋体" w:eastAsia="宋体" w:cs="Times New Roman"/>
          <w:kern w:val="0"/>
          <w:sz w:val="22"/>
        </w:rPr>
        <w:t>一、杜绝以收取管理费等形式的一切挂靠、违法转包、分包行为；并选派有丰富经验、无不良行为记录的在项目管理人员、技术人员，严格按招标文件、投标文件及合同等要求保证拟派人员的到岗率。</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二、投标文件所提供的一切材料都是真实、有效、合法的。</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三、不与其他投标人相互串通投标报价，不排挤其他投标人的公平竞争，不损害招标人或其他投标人的合法权益。</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四、不与采购人或招标代理机构串通投标，不损害国家利益，社会公共利益或其他人的合法权益。</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五、不向采购人或者评标委员会成员行贿以牟取中标。</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六、不以其他人名义投标或者以其他方式弄虚作假，骗取中标。</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七、不在开标后进行虚假恶意投诉。</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八、我单位没有被政府机关</w:t>
      </w:r>
      <w:r>
        <w:rPr>
          <w:rFonts w:ascii="宋体" w:hAnsi="宋体" w:eastAsia="宋体" w:cs="Times New Roman"/>
          <w:kern w:val="0"/>
          <w:sz w:val="22"/>
        </w:rPr>
        <w:t>列入失信被执行人</w:t>
      </w:r>
      <w:r>
        <w:rPr>
          <w:rFonts w:hint="eastAsia" w:ascii="宋体" w:hAnsi="宋体" w:eastAsia="宋体" w:cs="Times New Roman"/>
          <w:kern w:val="0"/>
          <w:sz w:val="22"/>
        </w:rPr>
        <w:t>名单</w:t>
      </w:r>
      <w:r>
        <w:rPr>
          <w:rFonts w:ascii="宋体" w:hAnsi="宋体" w:eastAsia="宋体" w:cs="Times New Roman"/>
          <w:kern w:val="0"/>
          <w:sz w:val="22"/>
        </w:rPr>
        <w:t>、重大税收违法案件当事人名单、政府采购严重违法失信行为记录名单及其他不符合《中华人民共和国政府采购法》第二十二条规定条件</w:t>
      </w:r>
      <w:r>
        <w:rPr>
          <w:rFonts w:hint="eastAsia" w:ascii="宋体" w:hAnsi="宋体" w:eastAsia="宋体" w:cs="Times New Roman"/>
          <w:kern w:val="0"/>
          <w:sz w:val="22"/>
        </w:rPr>
        <w:t>的情形：</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九、没有</w:t>
      </w:r>
      <w:r>
        <w:rPr>
          <w:rFonts w:ascii="宋体" w:hAnsi="宋体" w:eastAsia="宋体" w:cs="Times New Roman"/>
          <w:kern w:val="0"/>
          <w:sz w:val="22"/>
        </w:rPr>
        <w:t>被</w:t>
      </w:r>
      <w:r>
        <w:rPr>
          <w:rFonts w:hint="eastAsia" w:ascii="宋体" w:hAnsi="宋体" w:eastAsia="宋体" w:cs="Times New Roman"/>
          <w:kern w:val="0"/>
          <w:sz w:val="22"/>
        </w:rPr>
        <w:t>各地、</w:t>
      </w:r>
      <w:r>
        <w:rPr>
          <w:rFonts w:ascii="宋体" w:hAnsi="宋体" w:eastAsia="宋体" w:cs="Times New Roman"/>
          <w:kern w:val="0"/>
          <w:sz w:val="22"/>
        </w:rPr>
        <w:t>各级财政部门禁止参加政府采购</w:t>
      </w:r>
      <w:r>
        <w:rPr>
          <w:rFonts w:hint="eastAsia" w:ascii="宋体" w:hAnsi="宋体" w:eastAsia="宋体" w:cs="Times New Roman"/>
          <w:kern w:val="0"/>
          <w:sz w:val="22"/>
        </w:rPr>
        <w:t xml:space="preserve">活动，且在限制期限内：    </w:t>
      </w:r>
    </w:p>
    <w:p>
      <w:pPr>
        <w:spacing w:line="460" w:lineRule="atLeast"/>
        <w:ind w:firstLine="440" w:firstLineChars="200"/>
        <w:jc w:val="left"/>
        <w:rPr>
          <w:rFonts w:ascii="宋体" w:hAnsi="宋体" w:eastAsia="宋体" w:cs="Times New Roman"/>
          <w:kern w:val="0"/>
          <w:sz w:val="22"/>
        </w:rPr>
      </w:pPr>
      <w:r>
        <w:rPr>
          <w:rFonts w:hint="eastAsia" w:ascii="宋体" w:hAnsi="宋体" w:eastAsia="宋体" w:cs="Times New Roman"/>
          <w:kern w:val="0"/>
          <w:sz w:val="22"/>
        </w:rPr>
        <w:t>十、参与本项目政府采购活动3年内没有重大违法记录情况。</w:t>
      </w:r>
    </w:p>
    <w:p>
      <w:pPr>
        <w:spacing w:line="46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本公司若有违反本承诺内容的行为，愿意承担法律责任，包括不限于：愿意接受相关行政主管部门作出的处罚；给采购人造成损失的，依法承担相应的赔偿责任。</w:t>
      </w:r>
    </w:p>
    <w:p>
      <w:pPr>
        <w:spacing w:line="460" w:lineRule="atLeast"/>
        <w:ind w:right="1120" w:firstLine="2970" w:firstLineChars="1350"/>
        <w:rPr>
          <w:rFonts w:ascii="宋体" w:hAnsi="宋体" w:eastAsia="宋体" w:cs="Times New Roman"/>
          <w:kern w:val="0"/>
          <w:sz w:val="22"/>
        </w:rPr>
      </w:pPr>
      <w:r>
        <w:rPr>
          <w:rFonts w:hint="eastAsia" w:ascii="宋体" w:hAnsi="宋体" w:eastAsia="宋体" w:cs="Times New Roman"/>
          <w:kern w:val="0"/>
          <w:sz w:val="22"/>
        </w:rPr>
        <w:t>法定代表人（签字或签章）：</w:t>
      </w:r>
    </w:p>
    <w:p>
      <w:pPr>
        <w:spacing w:line="460" w:lineRule="atLeast"/>
        <w:ind w:right="1120" w:firstLine="2970" w:firstLineChars="1350"/>
        <w:rPr>
          <w:rFonts w:ascii="宋体" w:hAnsi="宋体" w:eastAsia="宋体" w:cs="Times New Roman"/>
          <w:kern w:val="0"/>
          <w:sz w:val="22"/>
        </w:rPr>
      </w:pPr>
      <w:r>
        <w:rPr>
          <w:rFonts w:hint="eastAsia" w:ascii="宋体" w:hAnsi="宋体" w:eastAsia="宋体" w:cs="Times New Roman"/>
          <w:kern w:val="0"/>
          <w:sz w:val="22"/>
        </w:rPr>
        <w:t>投标供应商（盖章）</w:t>
      </w:r>
    </w:p>
    <w:p>
      <w:pPr>
        <w:spacing w:line="460" w:lineRule="atLeast"/>
        <w:ind w:right="1120" w:firstLine="2970" w:firstLineChars="1350"/>
        <w:rPr>
          <w:rFonts w:ascii="宋体" w:hAnsi="宋体" w:eastAsia="宋体" w:cs="Times New Roman"/>
          <w:kern w:val="0"/>
          <w:sz w:val="22"/>
        </w:rPr>
      </w:pPr>
      <w:r>
        <w:rPr>
          <w:rFonts w:hint="eastAsia" w:ascii="宋体" w:hAnsi="宋体" w:eastAsia="宋体" w:cs="Times New Roman"/>
          <w:kern w:val="0"/>
          <w:sz w:val="22"/>
        </w:rPr>
        <w:t>承诺书签署日期：         年  月  日</w:t>
      </w:r>
    </w:p>
    <w:p>
      <w:pPr>
        <w:spacing w:line="360" w:lineRule="exact"/>
        <w:jc w:val="left"/>
        <w:rPr>
          <w:rFonts w:ascii="宋体" w:hAnsi="宋体" w:eastAsia="宋体" w:cs="Times New Roman"/>
          <w:kern w:val="0"/>
          <w:sz w:val="30"/>
          <w:szCs w:val="20"/>
        </w:rPr>
      </w:pPr>
      <w:r>
        <w:rPr>
          <w:rFonts w:hint="eastAsia" w:ascii="宋体" w:hAnsi="宋体" w:eastAsia="宋体" w:cs="Times New Roman"/>
          <w:b/>
          <w:bCs/>
          <w:kern w:val="0"/>
          <w:sz w:val="22"/>
          <w:u w:val="single"/>
        </w:rPr>
        <w:t>备注：▲投标供应商必须提供本承诺书，不提供按无效投标处理。</w:t>
      </w:r>
    </w:p>
    <w:p>
      <w:pPr>
        <w:spacing w:line="360" w:lineRule="exact"/>
        <w:jc w:val="center"/>
        <w:rPr>
          <w:rFonts w:ascii="宋体" w:hAnsi="宋体" w:eastAsia="宋体" w:cs="Times New Roman"/>
          <w:kern w:val="0"/>
          <w:sz w:val="32"/>
          <w:szCs w:val="20"/>
        </w:rPr>
      </w:pPr>
    </w:p>
    <w:p>
      <w:pPr>
        <w:autoSpaceDE w:val="0"/>
        <w:autoSpaceDN w:val="0"/>
        <w:spacing w:line="454" w:lineRule="atLeast"/>
        <w:jc w:val="left"/>
        <w:textAlignment w:val="bottom"/>
        <w:outlineLvl w:val="0"/>
        <w:rPr>
          <w:rFonts w:ascii="宋体" w:hAnsi="宋体" w:eastAsia="宋体" w:cs="Times New Roman"/>
          <w:b/>
          <w:kern w:val="0"/>
          <w:sz w:val="24"/>
          <w:szCs w:val="24"/>
        </w:rPr>
      </w:pPr>
      <w:bookmarkStart w:id="58" w:name="_Toc494407551"/>
    </w:p>
    <w:p>
      <w:pPr>
        <w:autoSpaceDE w:val="0"/>
        <w:autoSpaceDN w:val="0"/>
        <w:spacing w:line="454" w:lineRule="atLeast"/>
        <w:jc w:val="left"/>
        <w:textAlignment w:val="bottom"/>
        <w:outlineLvl w:val="0"/>
        <w:rPr>
          <w:rFonts w:ascii="宋体" w:hAnsi="宋体" w:eastAsia="宋体" w:cs="Times New Roman"/>
          <w:b/>
          <w:kern w:val="0"/>
          <w:sz w:val="24"/>
          <w:szCs w:val="24"/>
        </w:rPr>
      </w:pPr>
      <w:r>
        <w:rPr>
          <w:rFonts w:hint="eastAsia" w:ascii="宋体" w:hAnsi="宋体" w:eastAsia="宋体" w:cs="Times New Roman"/>
          <w:b/>
          <w:kern w:val="0"/>
          <w:sz w:val="24"/>
          <w:szCs w:val="24"/>
        </w:rPr>
        <w:t>附件九 业绩清单</w:t>
      </w:r>
      <w:bookmarkEnd w:id="58"/>
    </w:p>
    <w:p>
      <w:pPr>
        <w:spacing w:line="360" w:lineRule="exact"/>
        <w:jc w:val="center"/>
        <w:rPr>
          <w:rFonts w:ascii="宋体" w:hAnsi="宋体" w:eastAsia="宋体" w:cs="Times New Roman"/>
          <w:kern w:val="0"/>
          <w:sz w:val="32"/>
          <w:szCs w:val="20"/>
        </w:rPr>
      </w:pPr>
      <w:r>
        <w:rPr>
          <w:rFonts w:hint="eastAsia" w:ascii="宋体" w:hAnsi="宋体" w:eastAsia="宋体" w:cs="Times New Roman"/>
          <w:kern w:val="0"/>
          <w:sz w:val="32"/>
          <w:szCs w:val="20"/>
        </w:rPr>
        <w:t>供应商2016年以来同类项目业绩清单</w:t>
      </w:r>
    </w:p>
    <w:p>
      <w:pPr>
        <w:spacing w:line="360" w:lineRule="exact"/>
        <w:jc w:val="center"/>
        <w:rPr>
          <w:rFonts w:ascii="宋体" w:hAnsi="宋体" w:eastAsia="宋体" w:cs="Times New Roman"/>
          <w:kern w:val="0"/>
          <w:sz w:val="22"/>
        </w:rPr>
      </w:pPr>
    </w:p>
    <w:tbl>
      <w:tblPr>
        <w:tblStyle w:val="22"/>
        <w:tblW w:w="9603" w:type="dxa"/>
        <w:tblInd w:w="94"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6"/>
        <w:gridCol w:w="1153"/>
        <w:gridCol w:w="1154"/>
        <w:gridCol w:w="1154"/>
        <w:gridCol w:w="1154"/>
        <w:gridCol w:w="1154"/>
        <w:gridCol w:w="1154"/>
        <w:gridCol w:w="1154"/>
        <w:gridCol w:w="77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56" w:type="dxa"/>
          </w:tcPr>
          <w:p>
            <w:pPr>
              <w:tabs>
                <w:tab w:val="left" w:pos="4140"/>
              </w:tabs>
              <w:adjustRightInd w:val="0"/>
              <w:snapToGrid w:val="0"/>
              <w:spacing w:line="320" w:lineRule="atLeast"/>
              <w:jc w:val="center"/>
              <w:rPr>
                <w:rFonts w:ascii="宋体" w:hAnsi="宋体" w:eastAsia="宋体" w:cs="Times New Roman"/>
                <w:caps/>
                <w:spacing w:val="20"/>
                <w:kern w:val="0"/>
                <w:sz w:val="22"/>
              </w:rPr>
            </w:pPr>
            <w:r>
              <w:rPr>
                <w:rFonts w:hint="eastAsia" w:ascii="宋体" w:hAnsi="宋体" w:eastAsia="宋体" w:cs="Times New Roman"/>
                <w:caps/>
                <w:spacing w:val="20"/>
                <w:kern w:val="0"/>
                <w:sz w:val="22"/>
              </w:rPr>
              <w:t>序号</w:t>
            </w:r>
          </w:p>
        </w:tc>
        <w:tc>
          <w:tcPr>
            <w:tcW w:w="1153" w:type="dxa"/>
          </w:tcPr>
          <w:p>
            <w:pPr>
              <w:tabs>
                <w:tab w:val="left" w:pos="4140"/>
              </w:tabs>
              <w:adjustRightInd w:val="0"/>
              <w:snapToGrid w:val="0"/>
              <w:spacing w:line="32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采购</w:t>
            </w:r>
          </w:p>
          <w:p>
            <w:pPr>
              <w:tabs>
                <w:tab w:val="left" w:pos="4140"/>
              </w:tabs>
              <w:adjustRightInd w:val="0"/>
              <w:snapToGrid w:val="0"/>
              <w:spacing w:line="320" w:lineRule="atLeast"/>
              <w:jc w:val="center"/>
              <w:rPr>
                <w:rFonts w:ascii="宋体" w:hAnsi="宋体" w:eastAsia="宋体" w:cs="Times New Roman"/>
                <w:caps/>
                <w:spacing w:val="20"/>
                <w:kern w:val="0"/>
                <w:sz w:val="22"/>
              </w:rPr>
            </w:pPr>
            <w:r>
              <w:rPr>
                <w:rFonts w:hint="eastAsia" w:ascii="宋体" w:hAnsi="宋体" w:eastAsia="宋体" w:cs="Times New Roman"/>
                <w:spacing w:val="20"/>
                <w:kern w:val="0"/>
                <w:sz w:val="22"/>
              </w:rPr>
              <w:t>单位</w:t>
            </w:r>
          </w:p>
        </w:tc>
        <w:tc>
          <w:tcPr>
            <w:tcW w:w="1154" w:type="dxa"/>
          </w:tcPr>
          <w:p>
            <w:pPr>
              <w:tabs>
                <w:tab w:val="left" w:pos="4140"/>
              </w:tabs>
              <w:adjustRightInd w:val="0"/>
              <w:snapToGrid w:val="0"/>
              <w:spacing w:line="320" w:lineRule="atLeast"/>
              <w:jc w:val="center"/>
              <w:rPr>
                <w:rFonts w:ascii="宋体" w:hAnsi="宋体" w:eastAsia="宋体" w:cs="Times New Roman"/>
                <w:caps/>
                <w:spacing w:val="20"/>
                <w:kern w:val="0"/>
                <w:sz w:val="22"/>
              </w:rPr>
            </w:pPr>
            <w:r>
              <w:rPr>
                <w:rFonts w:hint="eastAsia" w:ascii="宋体" w:hAnsi="宋体" w:eastAsia="宋体" w:cs="Times New Roman"/>
                <w:caps/>
                <w:spacing w:val="20"/>
                <w:kern w:val="0"/>
                <w:sz w:val="22"/>
              </w:rPr>
              <w:t>项目</w:t>
            </w:r>
          </w:p>
          <w:p>
            <w:pPr>
              <w:tabs>
                <w:tab w:val="left" w:pos="4140"/>
              </w:tabs>
              <w:adjustRightInd w:val="0"/>
              <w:snapToGrid w:val="0"/>
              <w:spacing w:line="320" w:lineRule="atLeast"/>
              <w:jc w:val="center"/>
              <w:rPr>
                <w:rFonts w:ascii="宋体" w:hAnsi="宋体" w:eastAsia="宋体" w:cs="Times New Roman"/>
                <w:caps/>
                <w:spacing w:val="20"/>
                <w:kern w:val="0"/>
                <w:sz w:val="22"/>
              </w:rPr>
            </w:pPr>
            <w:r>
              <w:rPr>
                <w:rFonts w:hint="eastAsia" w:ascii="宋体" w:hAnsi="宋体" w:eastAsia="宋体" w:cs="Times New Roman"/>
                <w:caps/>
                <w:spacing w:val="20"/>
                <w:kern w:val="0"/>
                <w:sz w:val="22"/>
              </w:rPr>
              <w:t>名称</w:t>
            </w:r>
          </w:p>
        </w:tc>
        <w:tc>
          <w:tcPr>
            <w:tcW w:w="1154" w:type="dxa"/>
          </w:tcPr>
          <w:p>
            <w:pPr>
              <w:tabs>
                <w:tab w:val="left" w:pos="4140"/>
              </w:tabs>
              <w:adjustRightInd w:val="0"/>
              <w:snapToGrid w:val="0"/>
              <w:spacing w:line="320" w:lineRule="atLeast"/>
              <w:jc w:val="center"/>
              <w:rPr>
                <w:rFonts w:ascii="宋体" w:hAnsi="宋体" w:eastAsia="宋体" w:cs="Times New Roman"/>
                <w:caps/>
                <w:spacing w:val="20"/>
                <w:kern w:val="0"/>
                <w:sz w:val="22"/>
              </w:rPr>
            </w:pPr>
            <w:r>
              <w:rPr>
                <w:rFonts w:hint="eastAsia" w:ascii="宋体" w:hAnsi="宋体" w:eastAsia="宋体" w:cs="Times New Roman"/>
                <w:caps/>
                <w:spacing w:val="20"/>
                <w:kern w:val="0"/>
                <w:sz w:val="22"/>
              </w:rPr>
              <w:t>数量</w:t>
            </w:r>
          </w:p>
        </w:tc>
        <w:tc>
          <w:tcPr>
            <w:tcW w:w="1154" w:type="dxa"/>
          </w:tcPr>
          <w:p>
            <w:pPr>
              <w:tabs>
                <w:tab w:val="left" w:pos="4140"/>
              </w:tabs>
              <w:adjustRightInd w:val="0"/>
              <w:snapToGrid w:val="0"/>
              <w:spacing w:line="320" w:lineRule="atLeast"/>
              <w:jc w:val="center"/>
              <w:rPr>
                <w:rFonts w:ascii="宋体" w:hAnsi="宋体" w:eastAsia="宋体" w:cs="Times New Roman"/>
                <w:caps/>
                <w:spacing w:val="20"/>
                <w:kern w:val="0"/>
                <w:sz w:val="22"/>
              </w:rPr>
            </w:pPr>
            <w:r>
              <w:rPr>
                <w:rFonts w:hint="eastAsia" w:ascii="宋体" w:hAnsi="宋体" w:eastAsia="宋体" w:cs="Times New Roman"/>
                <w:caps/>
                <w:spacing w:val="20"/>
                <w:kern w:val="0"/>
                <w:sz w:val="22"/>
              </w:rPr>
              <w:t>合同</w:t>
            </w:r>
          </w:p>
          <w:p>
            <w:pPr>
              <w:tabs>
                <w:tab w:val="left" w:pos="4140"/>
              </w:tabs>
              <w:adjustRightInd w:val="0"/>
              <w:snapToGrid w:val="0"/>
              <w:spacing w:line="320" w:lineRule="atLeast"/>
              <w:jc w:val="center"/>
              <w:rPr>
                <w:rFonts w:ascii="宋体" w:hAnsi="宋体" w:eastAsia="宋体" w:cs="Times New Roman"/>
                <w:caps/>
                <w:spacing w:val="20"/>
                <w:kern w:val="0"/>
                <w:sz w:val="22"/>
              </w:rPr>
            </w:pPr>
            <w:r>
              <w:rPr>
                <w:rFonts w:hint="eastAsia" w:ascii="宋体" w:hAnsi="宋体" w:eastAsia="宋体" w:cs="Times New Roman"/>
                <w:caps/>
                <w:spacing w:val="20"/>
                <w:kern w:val="0"/>
                <w:sz w:val="22"/>
              </w:rPr>
              <w:t>金额</w:t>
            </w:r>
          </w:p>
        </w:tc>
        <w:tc>
          <w:tcPr>
            <w:tcW w:w="1154" w:type="dxa"/>
          </w:tcPr>
          <w:p>
            <w:pPr>
              <w:tabs>
                <w:tab w:val="left" w:pos="4140"/>
              </w:tabs>
              <w:adjustRightInd w:val="0"/>
              <w:snapToGrid w:val="0"/>
              <w:spacing w:line="32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签约</w:t>
            </w:r>
          </w:p>
          <w:p>
            <w:pPr>
              <w:tabs>
                <w:tab w:val="left" w:pos="4140"/>
              </w:tabs>
              <w:adjustRightInd w:val="0"/>
              <w:snapToGrid w:val="0"/>
              <w:spacing w:line="320" w:lineRule="atLeast"/>
              <w:jc w:val="center"/>
              <w:rPr>
                <w:rFonts w:ascii="宋体" w:hAnsi="宋体" w:eastAsia="宋体" w:cs="Times New Roman"/>
                <w:caps/>
                <w:spacing w:val="20"/>
                <w:kern w:val="0"/>
                <w:sz w:val="22"/>
              </w:rPr>
            </w:pPr>
            <w:r>
              <w:rPr>
                <w:rFonts w:hint="eastAsia" w:ascii="宋体" w:hAnsi="宋体" w:eastAsia="宋体" w:cs="Times New Roman"/>
                <w:spacing w:val="20"/>
                <w:kern w:val="0"/>
                <w:sz w:val="22"/>
              </w:rPr>
              <w:t>日期</w:t>
            </w:r>
          </w:p>
        </w:tc>
        <w:tc>
          <w:tcPr>
            <w:tcW w:w="1154" w:type="dxa"/>
          </w:tcPr>
          <w:p>
            <w:pPr>
              <w:tabs>
                <w:tab w:val="left" w:pos="4140"/>
              </w:tabs>
              <w:adjustRightInd w:val="0"/>
              <w:snapToGrid w:val="0"/>
              <w:spacing w:line="32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联系人</w:t>
            </w:r>
          </w:p>
        </w:tc>
        <w:tc>
          <w:tcPr>
            <w:tcW w:w="1154" w:type="dxa"/>
          </w:tcPr>
          <w:p>
            <w:pPr>
              <w:tabs>
                <w:tab w:val="left" w:pos="4140"/>
              </w:tabs>
              <w:adjustRightInd w:val="0"/>
              <w:snapToGrid w:val="0"/>
              <w:spacing w:line="32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联系</w:t>
            </w:r>
          </w:p>
          <w:p>
            <w:pPr>
              <w:tabs>
                <w:tab w:val="left" w:pos="4140"/>
              </w:tabs>
              <w:adjustRightInd w:val="0"/>
              <w:snapToGrid w:val="0"/>
              <w:spacing w:line="32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电话</w:t>
            </w:r>
          </w:p>
        </w:tc>
        <w:tc>
          <w:tcPr>
            <w:tcW w:w="770" w:type="dxa"/>
          </w:tcPr>
          <w:p>
            <w:pPr>
              <w:tabs>
                <w:tab w:val="left" w:pos="4140"/>
              </w:tabs>
              <w:adjustRightInd w:val="0"/>
              <w:snapToGrid w:val="0"/>
              <w:spacing w:line="32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9" w:hRule="atLeast"/>
        </w:trPr>
        <w:tc>
          <w:tcPr>
            <w:tcW w:w="756"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3"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1154" w:type="dxa"/>
          </w:tcPr>
          <w:p>
            <w:pPr>
              <w:tabs>
                <w:tab w:val="left" w:pos="4140"/>
              </w:tabs>
              <w:adjustRightInd w:val="0"/>
              <w:snapToGrid w:val="0"/>
              <w:spacing w:line="320" w:lineRule="atLeast"/>
              <w:rPr>
                <w:rFonts w:ascii="宋体" w:hAnsi="宋体" w:eastAsia="宋体" w:cs="Times New Roman"/>
                <w:spacing w:val="20"/>
                <w:kern w:val="0"/>
                <w:sz w:val="22"/>
              </w:rPr>
            </w:pPr>
          </w:p>
        </w:tc>
        <w:tc>
          <w:tcPr>
            <w:tcW w:w="770" w:type="dxa"/>
          </w:tcPr>
          <w:p>
            <w:pPr>
              <w:tabs>
                <w:tab w:val="left" w:pos="4140"/>
              </w:tabs>
              <w:adjustRightInd w:val="0"/>
              <w:snapToGrid w:val="0"/>
              <w:spacing w:line="320" w:lineRule="atLeast"/>
              <w:rPr>
                <w:rFonts w:ascii="宋体" w:hAnsi="宋体" w:eastAsia="宋体" w:cs="Times New Roman"/>
                <w:spacing w:val="20"/>
                <w:kern w:val="0"/>
                <w:sz w:val="22"/>
              </w:rPr>
            </w:pPr>
          </w:p>
        </w:tc>
      </w:tr>
    </w:tbl>
    <w:p>
      <w:pPr>
        <w:spacing w:line="360" w:lineRule="exact"/>
        <w:rPr>
          <w:rFonts w:ascii="宋体" w:hAnsi="宋体" w:eastAsia="宋体" w:cs="Times New Roman"/>
          <w:kern w:val="0"/>
          <w:sz w:val="32"/>
          <w:szCs w:val="20"/>
        </w:rPr>
      </w:pPr>
      <w:r>
        <w:rPr>
          <w:rFonts w:hint="eastAsia" w:ascii="宋体" w:hAnsi="宋体" w:eastAsia="宋体" w:cs="Times New Roman"/>
          <w:kern w:val="0"/>
          <w:sz w:val="22"/>
        </w:rPr>
        <w:t>本表后附加盖有效公章的合同复印件和中标通知书。</w:t>
      </w:r>
    </w:p>
    <w:p>
      <w:pPr>
        <w:rPr>
          <w:rFonts w:ascii="宋体" w:hAnsi="宋体" w:eastAsia="宋体" w:cs="Times New Roman"/>
          <w:spacing w:val="20"/>
          <w:kern w:val="0"/>
          <w:sz w:val="22"/>
        </w:rPr>
      </w:pPr>
    </w:p>
    <w:p>
      <w:pPr>
        <w:rPr>
          <w:rFonts w:ascii="宋体" w:hAnsi="宋体" w:eastAsia="宋体" w:cs="Times New Roman"/>
          <w:kern w:val="0"/>
          <w:sz w:val="36"/>
          <w:szCs w:val="36"/>
        </w:rPr>
      </w:pPr>
      <w:r>
        <w:rPr>
          <w:rFonts w:hint="eastAsia" w:ascii="宋体" w:hAnsi="宋体" w:eastAsia="宋体" w:cs="Times New Roman"/>
          <w:spacing w:val="20"/>
          <w:kern w:val="0"/>
          <w:sz w:val="22"/>
        </w:rPr>
        <w:t>供应商盖章：</w:t>
      </w:r>
    </w:p>
    <w:p>
      <w:pPr>
        <w:spacing w:line="360" w:lineRule="exact"/>
        <w:rPr>
          <w:rFonts w:ascii="宋体" w:hAnsi="宋体" w:eastAsia="宋体" w:cs="Times New Roman"/>
          <w:kern w:val="0"/>
          <w:sz w:val="36"/>
          <w:szCs w:val="36"/>
        </w:rPr>
      </w:pPr>
    </w:p>
    <w:p>
      <w:pPr>
        <w:spacing w:line="360" w:lineRule="exact"/>
        <w:rPr>
          <w:rFonts w:ascii="宋体" w:hAnsi="宋体" w:eastAsia="宋体" w:cs="Times New Roman"/>
          <w:kern w:val="0"/>
          <w:sz w:val="36"/>
          <w:szCs w:val="36"/>
        </w:rPr>
      </w:pPr>
    </w:p>
    <w:p>
      <w:pPr>
        <w:spacing w:line="360" w:lineRule="exact"/>
        <w:jc w:val="left"/>
        <w:rPr>
          <w:rFonts w:ascii="宋体" w:hAnsi="宋体" w:eastAsia="宋体" w:cs="Times New Roman"/>
          <w:kern w:val="0"/>
          <w:sz w:val="30"/>
          <w:szCs w:val="20"/>
        </w:rPr>
      </w:pPr>
    </w:p>
    <w:p>
      <w:pPr>
        <w:spacing w:line="360" w:lineRule="exact"/>
        <w:jc w:val="left"/>
        <w:rPr>
          <w:rFonts w:ascii="宋体" w:hAnsi="宋体" w:eastAsia="宋体" w:cs="Times New Roman"/>
          <w:kern w:val="0"/>
          <w:sz w:val="30"/>
          <w:szCs w:val="20"/>
        </w:rPr>
      </w:pPr>
    </w:p>
    <w:p>
      <w:pPr>
        <w:spacing w:line="360" w:lineRule="exact"/>
        <w:jc w:val="left"/>
        <w:rPr>
          <w:rFonts w:ascii="宋体" w:hAnsi="宋体" w:eastAsia="宋体" w:cs="Times New Roman"/>
          <w:kern w:val="0"/>
          <w:sz w:val="30"/>
          <w:szCs w:val="20"/>
        </w:rPr>
      </w:pPr>
    </w:p>
    <w:p>
      <w:pPr>
        <w:spacing w:line="360" w:lineRule="exact"/>
        <w:jc w:val="left"/>
        <w:rPr>
          <w:rFonts w:ascii="宋体" w:hAnsi="宋体" w:eastAsia="宋体" w:cs="Times New Roman"/>
          <w:kern w:val="0"/>
          <w:sz w:val="30"/>
          <w:szCs w:val="20"/>
        </w:rPr>
      </w:pPr>
    </w:p>
    <w:p>
      <w:pPr>
        <w:autoSpaceDE w:val="0"/>
        <w:autoSpaceDN w:val="0"/>
        <w:adjustRightInd w:val="0"/>
        <w:snapToGrid w:val="0"/>
        <w:spacing w:line="454" w:lineRule="atLeast"/>
        <w:jc w:val="center"/>
        <w:textAlignment w:val="bottom"/>
        <w:outlineLvl w:val="0"/>
        <w:rPr>
          <w:rFonts w:ascii="宋体" w:hAnsi="宋体" w:eastAsia="宋体" w:cs="Times New Roman"/>
          <w:b/>
          <w:kern w:val="0"/>
          <w:sz w:val="24"/>
          <w:szCs w:val="24"/>
        </w:rPr>
      </w:pPr>
      <w:bookmarkStart w:id="59" w:name="_Toc494407552"/>
      <w:r>
        <w:rPr>
          <w:rFonts w:hint="eastAsia" w:ascii="宋体" w:hAnsi="宋体" w:eastAsia="宋体" w:cs="Times New Roman"/>
          <w:b/>
          <w:kern w:val="0"/>
          <w:sz w:val="24"/>
          <w:szCs w:val="24"/>
        </w:rPr>
        <w:t>三、技术标部分格式</w:t>
      </w:r>
      <w:bookmarkEnd w:id="59"/>
    </w:p>
    <w:p>
      <w:pPr>
        <w:autoSpaceDE w:val="0"/>
        <w:autoSpaceDN w:val="0"/>
        <w:spacing w:line="454" w:lineRule="atLeast"/>
        <w:jc w:val="left"/>
        <w:textAlignment w:val="bottom"/>
        <w:outlineLvl w:val="0"/>
        <w:rPr>
          <w:rFonts w:ascii="宋体" w:hAnsi="宋体" w:eastAsia="宋体" w:cs="Times New Roman"/>
          <w:b/>
          <w:kern w:val="0"/>
          <w:sz w:val="24"/>
          <w:szCs w:val="24"/>
        </w:rPr>
      </w:pPr>
      <w:bookmarkStart w:id="60" w:name="_Toc494407553"/>
      <w:r>
        <w:rPr>
          <w:rFonts w:hint="eastAsia" w:ascii="宋体" w:hAnsi="宋体" w:eastAsia="宋体" w:cs="Times New Roman"/>
          <w:b/>
          <w:kern w:val="0"/>
          <w:sz w:val="24"/>
          <w:szCs w:val="24"/>
        </w:rPr>
        <w:t>附件十  商务、技术偏离表</w:t>
      </w:r>
      <w:bookmarkEnd w:id="60"/>
    </w:p>
    <w:p>
      <w:pPr>
        <w:autoSpaceDE w:val="0"/>
        <w:autoSpaceDN w:val="0"/>
        <w:adjustRightInd w:val="0"/>
        <w:spacing w:line="360" w:lineRule="exact"/>
        <w:jc w:val="center"/>
        <w:rPr>
          <w:rFonts w:ascii="宋体" w:hAnsi="宋体" w:eastAsia="宋体" w:cs="Times New Roman"/>
          <w:b/>
          <w:kern w:val="0"/>
          <w:sz w:val="28"/>
          <w:szCs w:val="28"/>
          <w:lang w:val="zh-CN"/>
        </w:rPr>
      </w:pPr>
      <w:r>
        <w:rPr>
          <w:rFonts w:hint="eastAsia" w:ascii="宋体" w:hAnsi="宋体" w:eastAsia="宋体" w:cs="Times New Roman"/>
          <w:kern w:val="0"/>
          <w:sz w:val="28"/>
          <w:szCs w:val="28"/>
          <w:lang w:val="zh-CN"/>
        </w:rPr>
        <w:t>（一）</w:t>
      </w:r>
      <w:r>
        <w:rPr>
          <w:rFonts w:hint="eastAsia" w:ascii="宋体" w:hAnsi="宋体" w:eastAsia="宋体" w:cs="Times New Roman"/>
          <w:b/>
          <w:kern w:val="0"/>
          <w:sz w:val="28"/>
          <w:szCs w:val="28"/>
          <w:lang w:val="zh-CN"/>
        </w:rPr>
        <w:t>商务偏离表</w:t>
      </w:r>
    </w:p>
    <w:p>
      <w:pPr>
        <w:autoSpaceDE w:val="0"/>
        <w:autoSpaceDN w:val="0"/>
        <w:adjustRightInd w:val="0"/>
        <w:spacing w:line="360" w:lineRule="exact"/>
        <w:jc w:val="center"/>
        <w:rPr>
          <w:rFonts w:ascii="宋体" w:hAnsi="宋体" w:eastAsia="宋体" w:cs="Times New Roman"/>
          <w:b/>
          <w:kern w:val="0"/>
          <w:sz w:val="28"/>
          <w:szCs w:val="28"/>
          <w:lang w:val="zh-CN"/>
        </w:rPr>
      </w:pPr>
    </w:p>
    <w:tbl>
      <w:tblPr>
        <w:tblStyle w:val="22"/>
        <w:tblW w:w="9435" w:type="dxa"/>
        <w:tblInd w:w="108" w:type="dxa"/>
        <w:tblLayout w:type="fixed"/>
        <w:tblCellMar>
          <w:top w:w="0" w:type="dxa"/>
          <w:left w:w="108" w:type="dxa"/>
          <w:bottom w:w="0" w:type="dxa"/>
          <w:right w:w="108" w:type="dxa"/>
        </w:tblCellMar>
      </w:tblPr>
      <w:tblGrid>
        <w:gridCol w:w="1080"/>
        <w:gridCol w:w="1620"/>
        <w:gridCol w:w="2220"/>
        <w:gridCol w:w="2220"/>
        <w:gridCol w:w="2295"/>
      </w:tblGrid>
      <w:tr>
        <w:tblPrEx>
          <w:tblLayout w:type="fixed"/>
          <w:tblCellMar>
            <w:top w:w="0" w:type="dxa"/>
            <w:left w:w="108" w:type="dxa"/>
            <w:bottom w:w="0" w:type="dxa"/>
            <w:right w:w="108" w:type="dxa"/>
          </w:tblCellMar>
        </w:tblPrEx>
        <w:trPr>
          <w:trHeight w:val="936" w:hRule="atLeast"/>
        </w:trPr>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序 号</w:t>
            </w:r>
          </w:p>
        </w:tc>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内容</w:t>
            </w:r>
          </w:p>
        </w:tc>
        <w:tc>
          <w:tcPr>
            <w:tcW w:w="22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招标文件规范要求</w:t>
            </w:r>
          </w:p>
        </w:tc>
        <w:tc>
          <w:tcPr>
            <w:tcW w:w="22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投标文件</w:t>
            </w:r>
          </w:p>
          <w:p>
            <w:pPr>
              <w:autoSpaceDE w:val="0"/>
              <w:autoSpaceDN w:val="0"/>
              <w:adjustRightInd w:val="0"/>
              <w:spacing w:line="360" w:lineRule="exact"/>
              <w:jc w:val="center"/>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对应规范</w:t>
            </w:r>
          </w:p>
        </w:tc>
        <w:tc>
          <w:tcPr>
            <w:tcW w:w="22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备 注</w:t>
            </w:r>
          </w:p>
        </w:tc>
      </w:tr>
      <w:tr>
        <w:tblPrEx>
          <w:tblLayout w:type="fixed"/>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r>
      <w:tr>
        <w:tblPrEx>
          <w:tblLayout w:type="fixed"/>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r>
      <w:tr>
        <w:tblPrEx>
          <w:tblLayout w:type="fixed"/>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r>
      <w:tr>
        <w:tblPrEx>
          <w:tblLayout w:type="fixed"/>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r>
      <w:tr>
        <w:tblPrEx>
          <w:tblLayout w:type="fixed"/>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r>
      <w:tr>
        <w:tblPrEx>
          <w:tblLayout w:type="fixed"/>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r>
      <w:tr>
        <w:tblPrEx>
          <w:tblLayout w:type="fixed"/>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r>
      <w:tr>
        <w:tblPrEx>
          <w:tblLayout w:type="fixed"/>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r>
      <w:tr>
        <w:tblPrEx>
          <w:tblLayout w:type="fixed"/>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4"/>
                <w:szCs w:val="20"/>
                <w:lang w:val="zh-CN"/>
              </w:rPr>
            </w:pPr>
          </w:p>
        </w:tc>
      </w:tr>
    </w:tbl>
    <w:p>
      <w:pPr>
        <w:autoSpaceDE w:val="0"/>
        <w:autoSpaceDN w:val="0"/>
        <w:adjustRightInd w:val="0"/>
        <w:spacing w:line="360" w:lineRule="exact"/>
        <w:rPr>
          <w:rFonts w:ascii="宋体" w:hAnsi="宋体" w:eastAsia="宋体" w:cs="Times New Roman"/>
          <w:kern w:val="0"/>
          <w:sz w:val="24"/>
          <w:szCs w:val="20"/>
          <w:lang w:val="zh-CN"/>
        </w:rPr>
      </w:pPr>
      <w:r>
        <w:rPr>
          <w:rFonts w:hint="eastAsia" w:ascii="宋体" w:hAnsi="宋体" w:eastAsia="宋体" w:cs="Times New Roman"/>
          <w:kern w:val="0"/>
          <w:sz w:val="24"/>
          <w:szCs w:val="20"/>
          <w:lang w:val="zh-CN"/>
        </w:rPr>
        <w:t>供应商盖章：</w:t>
      </w:r>
    </w:p>
    <w:p>
      <w:pPr>
        <w:autoSpaceDE w:val="0"/>
        <w:autoSpaceDN w:val="0"/>
        <w:adjustRightInd w:val="0"/>
        <w:spacing w:line="360" w:lineRule="exact"/>
        <w:rPr>
          <w:rFonts w:ascii="宋体" w:hAnsi="宋体" w:eastAsia="宋体" w:cs="Times New Roman"/>
          <w:kern w:val="0"/>
          <w:sz w:val="32"/>
          <w:szCs w:val="20"/>
          <w:lang w:val="zh-CN"/>
        </w:rPr>
      </w:pPr>
    </w:p>
    <w:p>
      <w:pPr>
        <w:autoSpaceDE w:val="0"/>
        <w:autoSpaceDN w:val="0"/>
        <w:adjustRightInd w:val="0"/>
        <w:spacing w:line="360" w:lineRule="exact"/>
        <w:rPr>
          <w:rFonts w:ascii="宋体" w:hAnsi="宋体" w:eastAsia="宋体" w:cs="Times New Roman"/>
          <w:kern w:val="0"/>
          <w:sz w:val="32"/>
          <w:szCs w:val="20"/>
          <w:lang w:val="zh-CN"/>
        </w:rPr>
      </w:pPr>
    </w:p>
    <w:p>
      <w:pPr>
        <w:autoSpaceDE w:val="0"/>
        <w:autoSpaceDN w:val="0"/>
        <w:adjustRightInd w:val="0"/>
        <w:spacing w:line="360" w:lineRule="exact"/>
        <w:jc w:val="center"/>
        <w:rPr>
          <w:rFonts w:ascii="宋体" w:hAnsi="宋体" w:eastAsia="宋体" w:cs="Times New Roman"/>
          <w:kern w:val="0"/>
          <w:sz w:val="28"/>
          <w:szCs w:val="28"/>
          <w:lang w:val="zh-CN"/>
        </w:rPr>
      </w:pPr>
      <w:r>
        <w:rPr>
          <w:rFonts w:hint="eastAsia" w:ascii="宋体" w:hAnsi="宋体" w:eastAsia="宋体" w:cs="Times New Roman"/>
          <w:kern w:val="0"/>
          <w:sz w:val="28"/>
          <w:szCs w:val="28"/>
          <w:lang w:val="zh-CN"/>
        </w:rPr>
        <w:t>（二）技术偏离表</w:t>
      </w:r>
    </w:p>
    <w:p>
      <w:pPr>
        <w:autoSpaceDE w:val="0"/>
        <w:autoSpaceDN w:val="0"/>
        <w:adjustRightInd w:val="0"/>
        <w:spacing w:line="360" w:lineRule="exact"/>
        <w:jc w:val="center"/>
        <w:rPr>
          <w:rFonts w:ascii="宋体" w:hAnsi="宋体" w:eastAsia="宋体" w:cs="Times New Roman"/>
          <w:b/>
          <w:kern w:val="0"/>
          <w:sz w:val="32"/>
          <w:szCs w:val="20"/>
          <w:lang w:val="zh-CN"/>
        </w:rPr>
      </w:pPr>
    </w:p>
    <w:tbl>
      <w:tblPr>
        <w:tblStyle w:val="22"/>
        <w:tblW w:w="9435" w:type="dxa"/>
        <w:tblInd w:w="108" w:type="dxa"/>
        <w:tblLayout w:type="fixed"/>
        <w:tblCellMar>
          <w:top w:w="0" w:type="dxa"/>
          <w:left w:w="108" w:type="dxa"/>
          <w:bottom w:w="0" w:type="dxa"/>
          <w:right w:w="108" w:type="dxa"/>
        </w:tblCellMar>
      </w:tblPr>
      <w:tblGrid>
        <w:gridCol w:w="1080"/>
        <w:gridCol w:w="1620"/>
        <w:gridCol w:w="2220"/>
        <w:gridCol w:w="2220"/>
        <w:gridCol w:w="2295"/>
      </w:tblGrid>
      <w:tr>
        <w:tblPrEx>
          <w:tblLayout w:type="fixed"/>
          <w:tblCellMar>
            <w:top w:w="0" w:type="dxa"/>
            <w:left w:w="108" w:type="dxa"/>
            <w:bottom w:w="0" w:type="dxa"/>
            <w:right w:w="108" w:type="dxa"/>
          </w:tblCellMar>
        </w:tblPrEx>
        <w:trPr>
          <w:trHeight w:val="918" w:hRule="atLeast"/>
        </w:trPr>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序 号</w:t>
            </w:r>
          </w:p>
        </w:tc>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内容</w:t>
            </w:r>
          </w:p>
        </w:tc>
        <w:tc>
          <w:tcPr>
            <w:tcW w:w="22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招标文件规范要求</w:t>
            </w:r>
          </w:p>
        </w:tc>
        <w:tc>
          <w:tcPr>
            <w:tcW w:w="22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投标文件</w:t>
            </w:r>
          </w:p>
          <w:p>
            <w:pPr>
              <w:autoSpaceDE w:val="0"/>
              <w:autoSpaceDN w:val="0"/>
              <w:adjustRightInd w:val="0"/>
              <w:spacing w:line="360" w:lineRule="exact"/>
              <w:jc w:val="center"/>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对应规范</w:t>
            </w:r>
          </w:p>
        </w:tc>
        <w:tc>
          <w:tcPr>
            <w:tcW w:w="22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宋体" w:hAnsi="宋体" w:eastAsia="宋体" w:cs="Times New Roman"/>
                <w:kern w:val="0"/>
                <w:sz w:val="22"/>
                <w:szCs w:val="20"/>
                <w:lang w:val="zh-CN"/>
              </w:rPr>
            </w:pPr>
            <w:r>
              <w:rPr>
                <w:rFonts w:hint="eastAsia" w:ascii="宋体" w:hAnsi="宋体" w:eastAsia="宋体" w:cs="Times New Roman"/>
                <w:kern w:val="0"/>
                <w:sz w:val="22"/>
                <w:szCs w:val="20"/>
                <w:lang w:val="zh-CN"/>
              </w:rPr>
              <w:t>备 注</w:t>
            </w:r>
          </w:p>
        </w:tc>
      </w:tr>
      <w:tr>
        <w:tblPrEx>
          <w:tblLayout w:type="fixed"/>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r>
      <w:tr>
        <w:tblPrEx>
          <w:tblLayout w:type="fixed"/>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r>
      <w:tr>
        <w:tblPrEx>
          <w:tblLayout w:type="fixed"/>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r>
      <w:tr>
        <w:tblPrEx>
          <w:tblLayout w:type="fixed"/>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r>
      <w:tr>
        <w:tblPrEx>
          <w:tblLayout w:type="fixed"/>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r>
      <w:tr>
        <w:tblPrEx>
          <w:tblLayout w:type="fixed"/>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r>
      <w:tr>
        <w:tblPrEx>
          <w:tblLayout w:type="fixed"/>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r>
      <w:tr>
        <w:tblPrEx>
          <w:tblLayout w:type="fixed"/>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r>
      <w:tr>
        <w:tblPrEx>
          <w:tblLayout w:type="fixed"/>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c>
          <w:tcPr>
            <w:tcW w:w="2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exact"/>
              <w:jc w:val="center"/>
              <w:rPr>
                <w:rFonts w:ascii="宋体" w:hAnsi="宋体" w:eastAsia="宋体" w:cs="Times New Roman"/>
                <w:kern w:val="0"/>
                <w:sz w:val="22"/>
                <w:szCs w:val="20"/>
                <w:lang w:val="zh-CN"/>
              </w:rPr>
            </w:pPr>
          </w:p>
        </w:tc>
      </w:tr>
    </w:tbl>
    <w:p>
      <w:pPr>
        <w:spacing w:line="360" w:lineRule="exact"/>
        <w:rPr>
          <w:rFonts w:ascii="宋体" w:hAnsi="宋体" w:eastAsia="宋体" w:cs="Times New Roman"/>
          <w:spacing w:val="20"/>
          <w:kern w:val="0"/>
          <w:sz w:val="22"/>
          <w:szCs w:val="20"/>
        </w:rPr>
      </w:pPr>
      <w:r>
        <w:rPr>
          <w:rFonts w:hint="eastAsia" w:ascii="宋体" w:hAnsi="宋体" w:eastAsia="宋体" w:cs="Times New Roman"/>
          <w:kern w:val="0"/>
          <w:sz w:val="22"/>
          <w:szCs w:val="20"/>
          <w:lang w:val="zh-CN"/>
        </w:rPr>
        <w:t>供应商盖章：</w:t>
      </w:r>
    </w:p>
    <w:p>
      <w:pPr>
        <w:spacing w:line="360" w:lineRule="exact"/>
        <w:rPr>
          <w:rFonts w:ascii="宋体" w:hAnsi="宋体" w:eastAsia="宋体" w:cs="Times New Roman"/>
          <w:spacing w:val="20"/>
          <w:kern w:val="0"/>
          <w:sz w:val="22"/>
          <w:szCs w:val="20"/>
        </w:rPr>
      </w:pPr>
    </w:p>
    <w:p>
      <w:pPr>
        <w:rPr>
          <w:rFonts w:ascii="宋体" w:hAnsi="宋体" w:eastAsia="宋体" w:cs="Times New Roman"/>
          <w:b/>
          <w:kern w:val="0"/>
          <w:szCs w:val="20"/>
        </w:rPr>
      </w:pPr>
      <w:r>
        <w:rPr>
          <w:rFonts w:hint="eastAsia" w:ascii="宋体" w:hAnsi="宋体" w:eastAsia="宋体" w:cs="Times New Roman"/>
          <w:b/>
          <w:kern w:val="0"/>
          <w:szCs w:val="20"/>
        </w:rPr>
        <w:t>备注：表格可以延续</w:t>
      </w:r>
    </w:p>
    <w:p>
      <w:pPr>
        <w:spacing w:line="360" w:lineRule="exact"/>
        <w:rPr>
          <w:rFonts w:ascii="宋体" w:hAnsi="宋体" w:eastAsia="宋体" w:cs="Times New Roman"/>
          <w:kern w:val="0"/>
          <w:sz w:val="22"/>
          <w:szCs w:val="20"/>
        </w:rPr>
        <w:sectPr>
          <w:headerReference r:id="rId8" w:type="first"/>
          <w:footerReference r:id="rId9" w:type="first"/>
          <w:type w:val="continuous"/>
          <w:pgSz w:w="11906" w:h="16838"/>
          <w:pgMar w:top="1440" w:right="1247" w:bottom="1440" w:left="1247" w:header="851" w:footer="992" w:gutter="0"/>
          <w:pgNumType w:fmt="decimal"/>
          <w:cols w:space="720" w:num="1"/>
          <w:titlePg/>
          <w:docGrid w:linePitch="312" w:charSpace="0"/>
        </w:sectPr>
      </w:pPr>
    </w:p>
    <w:p>
      <w:pPr>
        <w:autoSpaceDE w:val="0"/>
        <w:autoSpaceDN w:val="0"/>
        <w:spacing w:line="454" w:lineRule="atLeast"/>
        <w:jc w:val="left"/>
        <w:textAlignment w:val="bottom"/>
        <w:outlineLvl w:val="0"/>
        <w:rPr>
          <w:rFonts w:ascii="宋体" w:hAnsi="宋体" w:eastAsia="宋体" w:cs="Times New Roman"/>
          <w:b/>
          <w:kern w:val="0"/>
          <w:sz w:val="24"/>
          <w:szCs w:val="24"/>
        </w:rPr>
        <w:sectPr>
          <w:footerReference r:id="rId10" w:type="default"/>
          <w:type w:val="continuous"/>
          <w:pgSz w:w="11906" w:h="16838"/>
          <w:pgMar w:top="1440" w:right="1247" w:bottom="1440" w:left="1247" w:header="851" w:footer="992" w:gutter="0"/>
          <w:pgNumType w:fmt="decimal"/>
          <w:cols w:space="720" w:num="1"/>
          <w:docGrid w:linePitch="312" w:charSpace="0"/>
        </w:sectPr>
      </w:pPr>
      <w:bookmarkStart w:id="61" w:name="_Toc494407554"/>
    </w:p>
    <w:p>
      <w:pPr>
        <w:autoSpaceDE w:val="0"/>
        <w:autoSpaceDN w:val="0"/>
        <w:spacing w:line="454" w:lineRule="atLeast"/>
        <w:jc w:val="left"/>
        <w:textAlignment w:val="bottom"/>
        <w:outlineLvl w:val="0"/>
        <w:rPr>
          <w:rFonts w:ascii="宋体" w:hAnsi="宋体" w:eastAsia="宋体" w:cs="Times New Roman"/>
          <w:b/>
          <w:kern w:val="0"/>
          <w:sz w:val="24"/>
          <w:szCs w:val="24"/>
        </w:rPr>
      </w:pPr>
      <w:r>
        <w:rPr>
          <w:rFonts w:hint="eastAsia" w:ascii="宋体" w:hAnsi="宋体" w:eastAsia="宋体" w:cs="Times New Roman"/>
          <w:b/>
          <w:kern w:val="0"/>
          <w:sz w:val="24"/>
          <w:szCs w:val="24"/>
        </w:rPr>
        <w:t>附件十一  投标产品配置清单</w:t>
      </w:r>
      <w:bookmarkEnd w:id="61"/>
    </w:p>
    <w:p>
      <w:pPr>
        <w:spacing w:line="360" w:lineRule="exact"/>
        <w:jc w:val="center"/>
        <w:rPr>
          <w:rFonts w:ascii="宋体" w:hAnsi="宋体" w:eastAsia="宋体" w:cs="Times New Roman"/>
          <w:b/>
          <w:kern w:val="0"/>
          <w:sz w:val="28"/>
          <w:szCs w:val="28"/>
          <w:lang w:val="zh-CN"/>
        </w:rPr>
      </w:pPr>
      <w:r>
        <w:rPr>
          <w:rFonts w:hint="eastAsia" w:ascii="宋体" w:hAnsi="宋体" w:eastAsia="宋体" w:cs="Times New Roman"/>
          <w:b/>
          <w:kern w:val="0"/>
          <w:sz w:val="28"/>
          <w:szCs w:val="28"/>
          <w:lang w:val="zh-CN"/>
        </w:rPr>
        <w:t>投标产品配置清单</w:t>
      </w:r>
    </w:p>
    <w:p>
      <w:pPr>
        <w:spacing w:line="360" w:lineRule="exact"/>
        <w:jc w:val="center"/>
        <w:rPr>
          <w:rFonts w:ascii="宋体" w:hAnsi="宋体" w:eastAsia="宋体" w:cs="Times New Roman"/>
          <w:b/>
          <w:kern w:val="0"/>
          <w:sz w:val="36"/>
          <w:szCs w:val="20"/>
          <w:lang w:val="zh-CN"/>
        </w:rPr>
      </w:pPr>
    </w:p>
    <w:p>
      <w:pPr>
        <w:spacing w:line="360" w:lineRule="exact"/>
        <w:rPr>
          <w:rFonts w:ascii="宋体" w:hAnsi="宋体" w:eastAsia="宋体" w:cs="Times New Roman"/>
          <w:spacing w:val="20"/>
          <w:kern w:val="0"/>
          <w:sz w:val="22"/>
          <w:szCs w:val="20"/>
        </w:rPr>
      </w:pPr>
      <w:r>
        <w:rPr>
          <w:rFonts w:hint="eastAsia" w:ascii="宋体" w:hAnsi="宋体" w:eastAsia="宋体" w:cs="Times New Roman"/>
          <w:spacing w:val="20"/>
          <w:kern w:val="0"/>
          <w:sz w:val="22"/>
          <w:szCs w:val="20"/>
        </w:rPr>
        <w:t>供应商名称：</w:t>
      </w:r>
    </w:p>
    <w:p>
      <w:pPr>
        <w:spacing w:line="360" w:lineRule="exact"/>
        <w:rPr>
          <w:rFonts w:ascii="宋体" w:hAnsi="宋体" w:eastAsia="宋体" w:cs="Times New Roman"/>
          <w:spacing w:val="20"/>
          <w:kern w:val="0"/>
          <w:sz w:val="22"/>
          <w:szCs w:val="20"/>
        </w:rPr>
      </w:pPr>
      <w:r>
        <w:rPr>
          <w:rFonts w:hint="eastAsia" w:ascii="宋体" w:hAnsi="宋体" w:eastAsia="宋体" w:cs="Times New Roman"/>
          <w:spacing w:val="20"/>
          <w:kern w:val="0"/>
          <w:sz w:val="22"/>
          <w:szCs w:val="20"/>
        </w:rPr>
        <w:t>招标编号：</w:t>
      </w:r>
    </w:p>
    <w:p>
      <w:pPr>
        <w:spacing w:line="360" w:lineRule="exact"/>
        <w:rPr>
          <w:rFonts w:ascii="宋体" w:hAnsi="宋体" w:eastAsia="宋体" w:cs="Times New Roman"/>
          <w:spacing w:val="20"/>
          <w:kern w:val="0"/>
          <w:sz w:val="22"/>
          <w:szCs w:val="20"/>
        </w:rPr>
      </w:pPr>
      <w:r>
        <w:rPr>
          <w:rFonts w:hint="eastAsia" w:ascii="宋体" w:hAnsi="宋体" w:eastAsia="宋体" w:cs="Times New Roman"/>
          <w:spacing w:val="20"/>
          <w:kern w:val="0"/>
          <w:sz w:val="22"/>
          <w:szCs w:val="20"/>
        </w:rPr>
        <w:t>投标项目名称：</w:t>
      </w:r>
    </w:p>
    <w:tbl>
      <w:tblPr>
        <w:tblStyle w:val="22"/>
        <w:tblW w:w="954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2156"/>
        <w:gridCol w:w="1387"/>
        <w:gridCol w:w="2704"/>
        <w:gridCol w:w="1134"/>
        <w:gridCol w:w="112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序号</w:t>
            </w: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货物名称</w:t>
            </w: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品牌产地</w:t>
            </w: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主要规格</w:t>
            </w: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数量</w:t>
            </w: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r>
              <w:rPr>
                <w:rFonts w:hint="eastAsia" w:ascii="宋体" w:hAnsi="宋体" w:eastAsia="宋体" w:cs="Times New Roman"/>
                <w:spacing w:val="20"/>
                <w:kern w:val="0"/>
                <w:sz w:val="22"/>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042"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156"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387"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270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34" w:type="dxa"/>
            <w:vAlign w:val="center"/>
          </w:tcPr>
          <w:p>
            <w:pPr>
              <w:adjustRightInd w:val="0"/>
              <w:snapToGrid w:val="0"/>
              <w:spacing w:line="460" w:lineRule="atLeast"/>
              <w:jc w:val="center"/>
              <w:rPr>
                <w:rFonts w:ascii="宋体" w:hAnsi="宋体" w:eastAsia="宋体" w:cs="Times New Roman"/>
                <w:spacing w:val="20"/>
                <w:kern w:val="0"/>
                <w:sz w:val="22"/>
              </w:rPr>
            </w:pPr>
          </w:p>
        </w:tc>
        <w:tc>
          <w:tcPr>
            <w:tcW w:w="1120" w:type="dxa"/>
            <w:tcBorders>
              <w:left w:val="single" w:color="auto" w:sz="4" w:space="0"/>
            </w:tcBorders>
            <w:vAlign w:val="center"/>
          </w:tcPr>
          <w:p>
            <w:pPr>
              <w:adjustRightInd w:val="0"/>
              <w:snapToGrid w:val="0"/>
              <w:spacing w:line="460" w:lineRule="atLeast"/>
              <w:jc w:val="center"/>
              <w:rPr>
                <w:rFonts w:ascii="宋体" w:hAnsi="宋体" w:eastAsia="宋体" w:cs="Times New Roman"/>
                <w:spacing w:val="20"/>
                <w:kern w:val="0"/>
                <w:sz w:val="22"/>
              </w:rPr>
            </w:pPr>
          </w:p>
        </w:tc>
      </w:tr>
    </w:tbl>
    <w:p>
      <w:pPr>
        <w:spacing w:line="360" w:lineRule="exact"/>
        <w:rPr>
          <w:rFonts w:ascii="宋体" w:hAnsi="宋体" w:eastAsia="宋体" w:cs="Times New Roman"/>
          <w:spacing w:val="20"/>
          <w:kern w:val="0"/>
          <w:sz w:val="22"/>
          <w:szCs w:val="20"/>
        </w:rPr>
      </w:pPr>
    </w:p>
    <w:p>
      <w:pPr>
        <w:spacing w:line="360" w:lineRule="exact"/>
        <w:rPr>
          <w:rFonts w:ascii="宋体" w:hAnsi="宋体" w:eastAsia="宋体" w:cs="Times New Roman"/>
          <w:spacing w:val="20"/>
          <w:kern w:val="0"/>
          <w:sz w:val="22"/>
          <w:szCs w:val="20"/>
        </w:rPr>
      </w:pPr>
      <w:r>
        <w:rPr>
          <w:rFonts w:hint="eastAsia" w:ascii="宋体" w:hAnsi="宋体" w:eastAsia="宋体" w:cs="Times New Roman"/>
          <w:spacing w:val="20"/>
          <w:kern w:val="0"/>
          <w:sz w:val="22"/>
          <w:szCs w:val="20"/>
        </w:rPr>
        <w:t>供应商盖章：</w:t>
      </w:r>
    </w:p>
    <w:p>
      <w:pPr>
        <w:spacing w:line="360" w:lineRule="exact"/>
        <w:rPr>
          <w:rFonts w:ascii="宋体" w:hAnsi="宋体" w:eastAsia="宋体" w:cs="Times New Roman"/>
          <w:spacing w:val="20"/>
          <w:kern w:val="0"/>
          <w:sz w:val="22"/>
          <w:szCs w:val="20"/>
        </w:rPr>
      </w:pPr>
    </w:p>
    <w:p>
      <w:pPr>
        <w:numPr>
          <w:ilvl w:val="0"/>
          <w:numId w:val="26"/>
        </w:numPr>
        <w:spacing w:line="360" w:lineRule="auto"/>
        <w:rPr>
          <w:rFonts w:ascii="宋体" w:hAnsi="宋体" w:eastAsia="宋体" w:cs="Times New Roman"/>
          <w:spacing w:val="20"/>
          <w:kern w:val="0"/>
          <w:sz w:val="22"/>
          <w:szCs w:val="20"/>
        </w:rPr>
      </w:pPr>
      <w:r>
        <w:rPr>
          <w:rFonts w:hint="eastAsia" w:ascii="宋体" w:hAnsi="宋体" w:eastAsia="宋体" w:cs="Times New Roman"/>
          <w:spacing w:val="20"/>
          <w:kern w:val="0"/>
          <w:sz w:val="22"/>
          <w:szCs w:val="20"/>
        </w:rPr>
        <w:t>注：1、放置技术资信标中。本表相当于不带价格的明细报价表。</w:t>
      </w:r>
    </w:p>
    <w:p>
      <w:pPr>
        <w:spacing w:line="360" w:lineRule="auto"/>
        <w:ind w:firstLine="910" w:firstLineChars="350"/>
        <w:rPr>
          <w:rFonts w:ascii="宋体" w:hAnsi="宋体" w:eastAsia="宋体" w:cs="Times New Roman"/>
          <w:spacing w:val="20"/>
          <w:kern w:val="0"/>
          <w:sz w:val="22"/>
          <w:szCs w:val="20"/>
        </w:rPr>
      </w:pPr>
      <w:r>
        <w:rPr>
          <w:rFonts w:hint="eastAsia" w:ascii="宋体" w:hAnsi="宋体" w:eastAsia="宋体" w:cs="Times New Roman"/>
          <w:spacing w:val="20"/>
          <w:kern w:val="0"/>
          <w:sz w:val="22"/>
          <w:szCs w:val="20"/>
        </w:rPr>
        <w:t>2、所投产品详细配置、技术应另页描述。</w:t>
      </w:r>
    </w:p>
    <w:p>
      <w:pPr>
        <w:spacing w:line="360" w:lineRule="auto"/>
        <w:ind w:firstLine="910" w:firstLineChars="350"/>
        <w:rPr>
          <w:rFonts w:ascii="宋体" w:hAnsi="宋体" w:eastAsia="宋体" w:cs="Times New Roman"/>
          <w:spacing w:val="20"/>
          <w:kern w:val="0"/>
          <w:sz w:val="22"/>
          <w:szCs w:val="20"/>
        </w:rPr>
      </w:pPr>
    </w:p>
    <w:p>
      <w:pPr>
        <w:spacing w:line="360" w:lineRule="auto"/>
        <w:ind w:firstLine="910" w:firstLineChars="350"/>
        <w:rPr>
          <w:rFonts w:ascii="宋体" w:hAnsi="宋体" w:eastAsia="宋体" w:cs="Times New Roman"/>
          <w:spacing w:val="20"/>
          <w:kern w:val="0"/>
          <w:sz w:val="22"/>
          <w:szCs w:val="20"/>
        </w:rPr>
      </w:pPr>
    </w:p>
    <w:p>
      <w:pPr>
        <w:spacing w:line="360" w:lineRule="auto"/>
        <w:ind w:firstLine="910" w:firstLineChars="350"/>
        <w:rPr>
          <w:rFonts w:ascii="宋体" w:hAnsi="宋体" w:eastAsia="宋体" w:cs="Times New Roman"/>
          <w:spacing w:val="20"/>
          <w:kern w:val="0"/>
          <w:sz w:val="22"/>
          <w:szCs w:val="20"/>
        </w:rPr>
      </w:pPr>
    </w:p>
    <w:p>
      <w:pPr>
        <w:spacing w:line="360" w:lineRule="auto"/>
        <w:ind w:firstLine="910" w:firstLineChars="350"/>
        <w:rPr>
          <w:rFonts w:ascii="宋体" w:hAnsi="宋体" w:eastAsia="宋体" w:cs="Times New Roman"/>
          <w:spacing w:val="20"/>
          <w:kern w:val="0"/>
          <w:sz w:val="22"/>
          <w:szCs w:val="20"/>
        </w:rPr>
      </w:pPr>
    </w:p>
    <w:p>
      <w:pPr>
        <w:spacing w:line="360" w:lineRule="auto"/>
        <w:ind w:firstLine="910" w:firstLineChars="350"/>
        <w:rPr>
          <w:rFonts w:ascii="宋体" w:hAnsi="宋体" w:eastAsia="宋体" w:cs="Times New Roman"/>
          <w:spacing w:val="20"/>
          <w:kern w:val="0"/>
          <w:sz w:val="22"/>
          <w:szCs w:val="20"/>
        </w:rPr>
      </w:pPr>
    </w:p>
    <w:p>
      <w:pPr>
        <w:spacing w:line="360" w:lineRule="auto"/>
        <w:ind w:firstLine="910" w:firstLineChars="350"/>
        <w:rPr>
          <w:rFonts w:ascii="宋体" w:hAnsi="宋体" w:eastAsia="宋体" w:cs="Times New Roman"/>
          <w:spacing w:val="20"/>
          <w:kern w:val="0"/>
          <w:sz w:val="22"/>
          <w:szCs w:val="20"/>
        </w:rPr>
      </w:pPr>
    </w:p>
    <w:p>
      <w:pPr>
        <w:spacing w:line="360" w:lineRule="auto"/>
        <w:ind w:firstLine="910" w:firstLineChars="350"/>
        <w:rPr>
          <w:rFonts w:ascii="宋体" w:hAnsi="宋体" w:eastAsia="宋体" w:cs="Times New Roman"/>
          <w:spacing w:val="20"/>
          <w:kern w:val="0"/>
          <w:sz w:val="22"/>
          <w:szCs w:val="20"/>
        </w:rPr>
      </w:pPr>
    </w:p>
    <w:p>
      <w:pPr>
        <w:spacing w:line="360" w:lineRule="auto"/>
        <w:ind w:firstLine="910" w:firstLineChars="350"/>
        <w:rPr>
          <w:rFonts w:ascii="宋体" w:hAnsi="宋体" w:eastAsia="宋体" w:cs="Times New Roman"/>
          <w:spacing w:val="20"/>
          <w:kern w:val="0"/>
          <w:sz w:val="22"/>
          <w:szCs w:val="20"/>
        </w:rPr>
      </w:pPr>
    </w:p>
    <w:p>
      <w:pPr>
        <w:spacing w:line="360" w:lineRule="auto"/>
        <w:ind w:firstLine="910" w:firstLineChars="350"/>
        <w:rPr>
          <w:rFonts w:ascii="宋体" w:hAnsi="宋体" w:eastAsia="宋体" w:cs="Times New Roman"/>
          <w:spacing w:val="20"/>
          <w:kern w:val="0"/>
          <w:sz w:val="22"/>
          <w:szCs w:val="20"/>
        </w:rPr>
      </w:pPr>
    </w:p>
    <w:p>
      <w:pPr>
        <w:autoSpaceDE w:val="0"/>
        <w:autoSpaceDN w:val="0"/>
        <w:spacing w:line="454" w:lineRule="atLeast"/>
        <w:jc w:val="left"/>
        <w:textAlignment w:val="bottom"/>
        <w:outlineLvl w:val="0"/>
        <w:rPr>
          <w:rFonts w:ascii="宋体" w:hAnsi="宋体" w:eastAsia="宋体" w:cs="Times New Roman"/>
          <w:kern w:val="0"/>
          <w:sz w:val="32"/>
          <w:szCs w:val="20"/>
          <w:lang w:val="zh-CN"/>
        </w:rPr>
      </w:pPr>
      <w:bookmarkStart w:id="62" w:name="_Toc494407555"/>
      <w:r>
        <w:rPr>
          <w:rFonts w:hint="eastAsia" w:ascii="宋体" w:hAnsi="宋体" w:eastAsia="宋体" w:cs="Times New Roman"/>
          <w:b/>
          <w:kern w:val="0"/>
          <w:sz w:val="24"/>
          <w:szCs w:val="24"/>
        </w:rPr>
        <w:t>附件十二 节能环保产品声明函</w:t>
      </w:r>
      <w:bookmarkEnd w:id="62"/>
    </w:p>
    <w:p>
      <w:pPr>
        <w:spacing w:line="360" w:lineRule="auto"/>
        <w:jc w:val="center"/>
        <w:rPr>
          <w:rFonts w:ascii="宋体" w:hAnsi="宋体" w:eastAsia="宋体" w:cs="Times New Roman"/>
          <w:kern w:val="0"/>
          <w:sz w:val="28"/>
          <w:szCs w:val="28"/>
        </w:rPr>
      </w:pPr>
    </w:p>
    <w:p>
      <w:pPr>
        <w:spacing w:line="360" w:lineRule="auto"/>
        <w:jc w:val="center"/>
        <w:rPr>
          <w:rFonts w:ascii="宋体" w:hAnsi="宋体" w:eastAsia="宋体" w:cs="Times New Roman"/>
          <w:kern w:val="0"/>
          <w:sz w:val="28"/>
          <w:szCs w:val="28"/>
        </w:rPr>
      </w:pPr>
      <w:r>
        <w:rPr>
          <w:rFonts w:hint="eastAsia" w:ascii="宋体" w:hAnsi="宋体" w:eastAsia="宋体" w:cs="Times New Roman"/>
          <w:kern w:val="0"/>
          <w:sz w:val="28"/>
          <w:szCs w:val="28"/>
        </w:rPr>
        <w:t>节能环保产品声明函</w:t>
      </w:r>
    </w:p>
    <w:p>
      <w:pPr>
        <w:autoSpaceDE w:val="0"/>
        <w:autoSpaceDN w:val="0"/>
        <w:adjustRightInd w:val="0"/>
        <w:spacing w:line="460" w:lineRule="atLeast"/>
        <w:jc w:val="center"/>
        <w:rPr>
          <w:rFonts w:ascii="宋体" w:hAnsi="宋体" w:eastAsia="宋体" w:cs="Times New Roman"/>
          <w:color w:val="000000"/>
          <w:kern w:val="0"/>
          <w:sz w:val="36"/>
          <w:szCs w:val="20"/>
          <w:lang w:val="zh-CN"/>
        </w:rPr>
      </w:pPr>
      <w:r>
        <w:rPr>
          <w:rFonts w:hint="eastAsia" w:ascii="宋体" w:hAnsi="宋体" w:eastAsia="宋体" w:cs="Times New Roman"/>
          <w:color w:val="000000"/>
          <w:kern w:val="0"/>
          <w:sz w:val="22"/>
        </w:rPr>
        <w:t>(如有则提供)</w:t>
      </w:r>
    </w:p>
    <w:p>
      <w:pPr>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本公司郑重声明，根据《节能产品政府采购实施意见》（财库〔2004〕185号，不含该期清单）、《关于环境标志产品政府采购实施的意见》（财库〔2006〕90号，不含该期清单）、《关于调整优化节能产品、环境标志产品政府采购执行机制的通知》（财库〔</w:t>
      </w:r>
      <w:r>
        <w:rPr>
          <w:rFonts w:ascii="宋体" w:hAnsi="宋体" w:eastAsia="宋体" w:cs="Times New Roman"/>
          <w:color w:val="000000"/>
          <w:kern w:val="0"/>
          <w:sz w:val="22"/>
        </w:rPr>
        <w:t>2019〕9号）</w:t>
      </w:r>
      <w:r>
        <w:rPr>
          <w:rFonts w:hint="eastAsia" w:ascii="宋体" w:hAnsi="宋体" w:eastAsia="宋体" w:cs="Times New Roman"/>
          <w:color w:val="000000"/>
          <w:kern w:val="0"/>
          <w:sz w:val="22"/>
        </w:rPr>
        <w:t>、《关于印发节能产品政府采购品目清单的通知》（财库〔</w:t>
      </w:r>
      <w:r>
        <w:rPr>
          <w:rFonts w:ascii="宋体" w:hAnsi="宋体" w:eastAsia="宋体" w:cs="Times New Roman"/>
          <w:color w:val="000000"/>
          <w:kern w:val="0"/>
          <w:sz w:val="22"/>
        </w:rPr>
        <w:t>2019〕19号）</w:t>
      </w:r>
      <w:r>
        <w:rPr>
          <w:rFonts w:hint="eastAsia" w:ascii="宋体" w:hAnsi="宋体" w:eastAsia="宋体" w:cs="Times New Roman"/>
          <w:color w:val="000000"/>
          <w:kern w:val="0"/>
          <w:sz w:val="22"/>
        </w:rPr>
        <w:t>、《关于印发环境标志产品政府采购品目清单的通知》（财库〔</w:t>
      </w:r>
      <w:r>
        <w:rPr>
          <w:rFonts w:ascii="宋体" w:hAnsi="宋体" w:eastAsia="宋体" w:cs="Times New Roman"/>
          <w:color w:val="000000"/>
          <w:kern w:val="0"/>
          <w:sz w:val="22"/>
        </w:rPr>
        <w:t>2019〕18号）</w:t>
      </w:r>
      <w:r>
        <w:rPr>
          <w:rFonts w:hint="eastAsia" w:ascii="宋体" w:hAnsi="宋体" w:eastAsia="宋体" w:cs="Times New Roman"/>
          <w:color w:val="000000"/>
          <w:kern w:val="0"/>
          <w:sz w:val="22"/>
        </w:rPr>
        <w:t>的规定，本公司声明如下：</w:t>
      </w:r>
    </w:p>
    <w:p>
      <w:pPr>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1.本公司参加</w:t>
      </w:r>
      <w:r>
        <w:rPr>
          <w:rFonts w:hint="eastAsia" w:ascii="宋体" w:hAnsi="宋体" w:eastAsia="宋体" w:cs="Times New Roman"/>
          <w:color w:val="000000"/>
          <w:kern w:val="0"/>
          <w:sz w:val="22"/>
          <w:u w:val="single"/>
        </w:rPr>
        <w:t>（招标项目名称，招标编号）</w:t>
      </w:r>
      <w:r>
        <w:rPr>
          <w:rFonts w:hint="eastAsia" w:ascii="宋体" w:hAnsi="宋体" w:eastAsia="宋体" w:cs="Times New Roman"/>
          <w:color w:val="000000"/>
          <w:kern w:val="0"/>
          <w:sz w:val="22"/>
        </w:rPr>
        <w:t>的采购活动提供的产品已列入《节能产品政府采购品目清单》。</w:t>
      </w:r>
    </w:p>
    <w:p>
      <w:pPr>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2.本公司参加</w:t>
      </w:r>
      <w:r>
        <w:rPr>
          <w:rFonts w:hint="eastAsia" w:ascii="宋体" w:hAnsi="宋体" w:eastAsia="宋体" w:cs="Times New Roman"/>
          <w:color w:val="000000"/>
          <w:kern w:val="0"/>
          <w:sz w:val="22"/>
          <w:u w:val="single"/>
        </w:rPr>
        <w:t>（招标项目名称，招标编号）</w:t>
      </w:r>
      <w:r>
        <w:rPr>
          <w:rFonts w:hint="eastAsia" w:ascii="宋体" w:hAnsi="宋体" w:eastAsia="宋体" w:cs="Times New Roman"/>
          <w:color w:val="000000"/>
          <w:kern w:val="0"/>
          <w:sz w:val="22"/>
        </w:rPr>
        <w:t>的采购活动提供的产品已列入《环境标志产品政府采购品目清单》。</w:t>
      </w:r>
    </w:p>
    <w:p>
      <w:pPr>
        <w:spacing w:line="460" w:lineRule="atLeast"/>
        <w:ind w:firstLine="440" w:firstLineChars="200"/>
        <w:rPr>
          <w:rFonts w:ascii="宋体" w:hAnsi="宋体" w:eastAsia="宋体" w:cs="Times New Roman"/>
          <w:color w:val="000000"/>
          <w:kern w:val="0"/>
          <w:sz w:val="22"/>
        </w:rPr>
      </w:pPr>
      <w:r>
        <w:rPr>
          <w:rFonts w:hint="eastAsia" w:ascii="宋体" w:hAnsi="宋体" w:eastAsia="宋体" w:cs="Times New Roman"/>
          <w:color w:val="000000"/>
          <w:kern w:val="0"/>
          <w:sz w:val="22"/>
        </w:rPr>
        <w:t>本公司对上述声明的真实性负责。如有虚假，将依法承担相应法律责任。</w:t>
      </w:r>
    </w:p>
    <w:p>
      <w:pPr>
        <w:spacing w:line="460" w:lineRule="atLeast"/>
        <w:rPr>
          <w:rFonts w:ascii="宋体" w:hAnsi="宋体" w:eastAsia="宋体" w:cs="Times New Roman"/>
          <w:color w:val="000000"/>
          <w:kern w:val="0"/>
          <w:sz w:val="22"/>
        </w:rPr>
      </w:pPr>
    </w:p>
    <w:p>
      <w:pPr>
        <w:autoSpaceDE w:val="0"/>
        <w:autoSpaceDN w:val="0"/>
        <w:adjustRightInd w:val="0"/>
        <w:spacing w:line="460" w:lineRule="atLeast"/>
        <w:rPr>
          <w:rFonts w:ascii="宋体" w:hAnsi="宋体" w:eastAsia="宋体" w:cs="Arial"/>
          <w:color w:val="000000"/>
          <w:kern w:val="0"/>
          <w:sz w:val="22"/>
          <w:szCs w:val="20"/>
          <w:lang w:val="zh-CN"/>
        </w:rPr>
      </w:pPr>
      <w:r>
        <w:rPr>
          <w:rFonts w:hint="eastAsia" w:ascii="宋体" w:hAnsi="宋体" w:eastAsia="宋体" w:cs="Arial"/>
          <w:color w:val="000000"/>
          <w:kern w:val="0"/>
          <w:sz w:val="22"/>
          <w:szCs w:val="20"/>
          <w:lang w:val="zh-CN"/>
        </w:rPr>
        <w:t xml:space="preserve">投标供应商盖章：        </w:t>
      </w:r>
    </w:p>
    <w:p>
      <w:pPr>
        <w:spacing w:line="460" w:lineRule="atLeast"/>
        <w:rPr>
          <w:rFonts w:ascii="宋体" w:hAnsi="宋体" w:eastAsia="宋体" w:cs="Times New Roman"/>
          <w:color w:val="000000"/>
          <w:kern w:val="0"/>
          <w:sz w:val="28"/>
          <w:szCs w:val="28"/>
        </w:rPr>
      </w:pPr>
      <w:r>
        <w:rPr>
          <w:rFonts w:hint="eastAsia" w:ascii="宋体" w:hAnsi="宋体" w:eastAsia="宋体" w:cs="Times New Roman"/>
          <w:color w:val="000000"/>
          <w:kern w:val="0"/>
          <w:sz w:val="22"/>
        </w:rPr>
        <w:t xml:space="preserve">日 期：                  </w:t>
      </w:r>
    </w:p>
    <w:p>
      <w:pPr>
        <w:autoSpaceDE w:val="0"/>
        <w:autoSpaceDN w:val="0"/>
        <w:spacing w:line="454" w:lineRule="atLeast"/>
        <w:jc w:val="left"/>
        <w:textAlignment w:val="bottom"/>
        <w:outlineLvl w:val="0"/>
        <w:rPr>
          <w:rFonts w:ascii="宋体" w:hAnsi="宋体" w:eastAsia="宋体" w:cs="Times New Roman"/>
          <w:kern w:val="0"/>
          <w:sz w:val="32"/>
          <w:szCs w:val="20"/>
        </w:rPr>
      </w:pPr>
      <w:r>
        <w:rPr>
          <w:rFonts w:ascii="宋体" w:hAnsi="宋体" w:eastAsia="宋体" w:cs="Times New Roman"/>
          <w:kern w:val="0"/>
          <w:sz w:val="28"/>
          <w:szCs w:val="28"/>
        </w:rPr>
        <w:br w:type="page"/>
      </w:r>
      <w:bookmarkStart w:id="63" w:name="_Toc494407556"/>
      <w:r>
        <w:rPr>
          <w:rFonts w:hint="eastAsia" w:ascii="宋体" w:hAnsi="宋体" w:eastAsia="宋体" w:cs="Times New Roman"/>
          <w:b/>
          <w:kern w:val="0"/>
          <w:sz w:val="24"/>
          <w:szCs w:val="24"/>
        </w:rPr>
        <w:t>附件十三  节能（环保）产品清单</w:t>
      </w:r>
      <w:bookmarkEnd w:id="63"/>
    </w:p>
    <w:p>
      <w:pPr>
        <w:spacing w:line="240" w:lineRule="atLeast"/>
        <w:jc w:val="center"/>
        <w:rPr>
          <w:rFonts w:ascii="宋体" w:hAnsi="宋体" w:eastAsia="宋体" w:cs="Times New Roman"/>
          <w:kern w:val="0"/>
          <w:sz w:val="32"/>
          <w:szCs w:val="32"/>
        </w:rPr>
      </w:pPr>
      <w:r>
        <w:rPr>
          <w:rFonts w:hint="eastAsia" w:ascii="宋体" w:hAnsi="宋体" w:eastAsia="宋体" w:cs="Times New Roman"/>
          <w:kern w:val="0"/>
          <w:sz w:val="32"/>
          <w:szCs w:val="32"/>
        </w:rPr>
        <w:t>节能（环保）产品清单</w:t>
      </w:r>
    </w:p>
    <w:p>
      <w:pPr>
        <w:ind w:firstLine="990" w:firstLineChars="450"/>
        <w:jc w:val="center"/>
        <w:rPr>
          <w:rFonts w:ascii="宋体" w:hAnsi="宋体" w:eastAsia="宋体" w:cs="Times New Roman"/>
          <w:color w:val="000000"/>
          <w:kern w:val="0"/>
          <w:sz w:val="36"/>
          <w:szCs w:val="20"/>
          <w:lang w:val="zh-CN"/>
        </w:rPr>
      </w:pPr>
      <w:r>
        <w:rPr>
          <w:rFonts w:hint="eastAsia" w:ascii="宋体" w:hAnsi="宋体" w:eastAsia="宋体" w:cs="Times New Roman"/>
          <w:color w:val="000000"/>
          <w:kern w:val="0"/>
          <w:sz w:val="22"/>
        </w:rPr>
        <w:t>(如有则提供)</w:t>
      </w:r>
    </w:p>
    <w:p>
      <w:pPr>
        <w:rPr>
          <w:rFonts w:ascii="宋体" w:hAnsi="宋体" w:eastAsia="宋体" w:cs="Times New Roman"/>
          <w:color w:val="000000"/>
          <w:kern w:val="0"/>
          <w:sz w:val="22"/>
        </w:rPr>
      </w:pPr>
      <w:r>
        <w:rPr>
          <w:rFonts w:hint="eastAsia" w:ascii="宋体" w:hAnsi="宋体" w:eastAsia="宋体" w:cs="Times New Roman"/>
          <w:color w:val="000000"/>
          <w:kern w:val="0"/>
          <w:sz w:val="22"/>
        </w:rPr>
        <w:t>（1）投标产品中已列入《节能产品政府采购品目清单》明细</w:t>
      </w:r>
    </w:p>
    <w:tbl>
      <w:tblPr>
        <w:tblStyle w:val="22"/>
        <w:tblW w:w="95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制造商</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产品名称、</w:t>
            </w:r>
          </w:p>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节字标志认证证书号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依据的标准</w:t>
            </w:r>
          </w:p>
        </w:tc>
        <w:tc>
          <w:tcPr>
            <w:tcW w:w="193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ascii="宋体" w:hAnsi="宋体" w:eastAsia="宋体" w:cs="Times New Roman"/>
                <w:color w:val="000000"/>
                <w:kern w:val="0"/>
                <w:sz w:val="22"/>
                <w:szCs w:val="20"/>
              </w:rPr>
              <w:t>认证机构名称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993"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559"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93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993"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559"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93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993"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559"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93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p>
            <w:pPr>
              <w:spacing w:line="460" w:lineRule="exact"/>
              <w:rPr>
                <w:rFonts w:ascii="宋体" w:hAnsi="宋体" w:eastAsia="宋体" w:cs="Times New Roman"/>
                <w:color w:val="000000"/>
                <w:kern w:val="0"/>
                <w:sz w:val="22"/>
                <w:szCs w:val="20"/>
              </w:rPr>
            </w:pPr>
          </w:p>
        </w:tc>
        <w:tc>
          <w:tcPr>
            <w:tcW w:w="993"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559"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93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r>
    </w:tbl>
    <w:p>
      <w:pPr>
        <w:spacing w:line="460" w:lineRule="exact"/>
        <w:rPr>
          <w:rFonts w:ascii="宋体" w:hAnsi="宋体" w:eastAsia="宋体" w:cs="Times New Roman"/>
          <w:color w:val="000000"/>
          <w:kern w:val="0"/>
          <w:sz w:val="22"/>
        </w:rPr>
      </w:pPr>
      <w:r>
        <w:rPr>
          <w:rFonts w:hint="eastAsia" w:ascii="宋体" w:hAnsi="宋体" w:eastAsia="宋体" w:cs="Times New Roman"/>
          <w:color w:val="000000"/>
          <w:kern w:val="0"/>
          <w:sz w:val="22"/>
        </w:rPr>
        <w:t>（2）投标产品中已列入《环境标志产品政府采购品目清单》明细</w:t>
      </w:r>
    </w:p>
    <w:tbl>
      <w:tblPr>
        <w:tblStyle w:val="22"/>
        <w:tblW w:w="960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制造商</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品牌</w:t>
            </w:r>
          </w:p>
        </w:tc>
        <w:tc>
          <w:tcPr>
            <w:tcW w:w="141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产品名称、</w:t>
            </w:r>
          </w:p>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中国环境标志认证证书编号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hint="eastAsia" w:ascii="宋体" w:hAnsi="宋体" w:eastAsia="宋体" w:cs="Times New Roman"/>
                <w:color w:val="000000"/>
                <w:kern w:val="0"/>
                <w:sz w:val="22"/>
                <w:szCs w:val="20"/>
              </w:rPr>
              <w:t>依据的标准</w:t>
            </w:r>
          </w:p>
        </w:tc>
        <w:tc>
          <w:tcPr>
            <w:tcW w:w="194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Times New Roman"/>
                <w:color w:val="000000"/>
                <w:kern w:val="0"/>
                <w:sz w:val="22"/>
                <w:szCs w:val="20"/>
              </w:rPr>
            </w:pPr>
            <w:r>
              <w:rPr>
                <w:rFonts w:ascii="宋体" w:hAnsi="宋体" w:eastAsia="宋体" w:cs="Times New Roman"/>
                <w:color w:val="000000"/>
                <w:kern w:val="0"/>
                <w:sz w:val="22"/>
                <w:szCs w:val="20"/>
              </w:rPr>
              <w:t>认证机构名称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993"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559"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94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993"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559"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94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993"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559"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94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993"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7"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41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559"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134"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c>
          <w:tcPr>
            <w:tcW w:w="1948" w:type="dxa"/>
            <w:tcBorders>
              <w:top w:val="single" w:color="auto" w:sz="4" w:space="0"/>
              <w:left w:val="single" w:color="auto" w:sz="4" w:space="0"/>
              <w:bottom w:val="single" w:color="auto" w:sz="4" w:space="0"/>
              <w:right w:val="single" w:color="auto" w:sz="4" w:space="0"/>
            </w:tcBorders>
          </w:tcPr>
          <w:p>
            <w:pPr>
              <w:spacing w:line="460" w:lineRule="exact"/>
              <w:rPr>
                <w:rFonts w:ascii="宋体" w:hAnsi="宋体" w:eastAsia="宋体" w:cs="Times New Roman"/>
                <w:color w:val="000000"/>
                <w:kern w:val="0"/>
                <w:sz w:val="22"/>
                <w:szCs w:val="20"/>
              </w:rPr>
            </w:pPr>
          </w:p>
        </w:tc>
      </w:tr>
    </w:tbl>
    <w:p>
      <w:pPr>
        <w:spacing w:line="460" w:lineRule="exact"/>
        <w:rPr>
          <w:rFonts w:ascii="宋体" w:hAnsi="宋体" w:eastAsia="宋体" w:cs="Times New Roman"/>
          <w:b/>
          <w:color w:val="000000"/>
          <w:kern w:val="0"/>
          <w:sz w:val="22"/>
        </w:rPr>
      </w:pPr>
      <w:r>
        <w:rPr>
          <w:rFonts w:hint="eastAsia" w:ascii="宋体" w:hAnsi="宋体" w:eastAsia="宋体" w:cs="Times New Roman"/>
          <w:b/>
          <w:color w:val="000000"/>
          <w:kern w:val="0"/>
          <w:sz w:val="22"/>
        </w:rPr>
        <w:t>说明：1、表后附所投相关产品对应的认证证书复印件；其中本次采购的产品属于政府强制采购节能产品范围的，投标供应商必须选用符合要求的产品，否则按无效投标处理，具体品目见《关于印发节能产品政府采购品目清单的通知》（财库〔</w:t>
      </w:r>
      <w:r>
        <w:rPr>
          <w:rFonts w:ascii="宋体" w:hAnsi="宋体" w:eastAsia="宋体" w:cs="Times New Roman"/>
          <w:b/>
          <w:color w:val="000000"/>
          <w:kern w:val="0"/>
          <w:sz w:val="22"/>
        </w:rPr>
        <w:t>2019〕19号）</w:t>
      </w:r>
      <w:r>
        <w:rPr>
          <w:rFonts w:hint="eastAsia" w:ascii="宋体" w:hAnsi="宋体" w:eastAsia="宋体" w:cs="Arial"/>
          <w:b/>
          <w:color w:val="000000"/>
          <w:kern w:val="0"/>
          <w:sz w:val="22"/>
        </w:rPr>
        <w:t>。</w:t>
      </w:r>
      <w:r>
        <w:rPr>
          <w:rFonts w:hint="eastAsia" w:ascii="宋体" w:hAnsi="宋体" w:eastAsia="宋体" w:cs="Arial"/>
          <w:b/>
          <w:color w:val="000000"/>
          <w:kern w:val="0"/>
          <w:sz w:val="22"/>
          <w:szCs w:val="20"/>
        </w:rPr>
        <w:t>投标文件中必须提供</w:t>
      </w:r>
      <w:r>
        <w:rPr>
          <w:rFonts w:ascii="宋体" w:hAnsi="宋体" w:eastAsia="宋体" w:cs="Times New Roman"/>
          <w:b/>
          <w:color w:val="000000"/>
          <w:kern w:val="0"/>
          <w:sz w:val="22"/>
        </w:rPr>
        <w:t>属于政府强制采购的节能产品</w:t>
      </w:r>
      <w:r>
        <w:rPr>
          <w:rFonts w:hint="eastAsia" w:ascii="宋体" w:hAnsi="宋体" w:eastAsia="宋体" w:cs="Arial"/>
          <w:b/>
          <w:color w:val="000000"/>
          <w:kern w:val="0"/>
          <w:sz w:val="22"/>
          <w:szCs w:val="20"/>
        </w:rPr>
        <w:t>的认证证书复印件，否则按无效投标处理。</w:t>
      </w:r>
    </w:p>
    <w:p>
      <w:pPr>
        <w:spacing w:line="460" w:lineRule="exact"/>
        <w:rPr>
          <w:rFonts w:ascii="宋体" w:hAnsi="宋体" w:eastAsia="宋体" w:cs="Times New Roman"/>
          <w:b/>
          <w:color w:val="000000"/>
          <w:kern w:val="0"/>
          <w:sz w:val="22"/>
        </w:rPr>
      </w:pPr>
      <w:r>
        <w:rPr>
          <w:rFonts w:hint="eastAsia" w:ascii="宋体" w:hAnsi="宋体" w:eastAsia="宋体" w:cs="Times New Roman"/>
          <w:b/>
          <w:color w:val="000000"/>
          <w:kern w:val="0"/>
          <w:sz w:val="22"/>
        </w:rPr>
        <w:t>2、表格可以延续。</w:t>
      </w:r>
    </w:p>
    <w:p>
      <w:pPr>
        <w:spacing w:line="440" w:lineRule="atLeast"/>
        <w:rPr>
          <w:rFonts w:ascii="宋体" w:hAnsi="宋体" w:eastAsia="宋体" w:cs="Times New Roman"/>
          <w:kern w:val="0"/>
          <w:sz w:val="22"/>
        </w:rPr>
      </w:pPr>
      <w:r>
        <w:rPr>
          <w:rFonts w:hint="eastAsia" w:ascii="宋体" w:hAnsi="宋体" w:eastAsia="宋体" w:cs="Times New Roman"/>
          <w:kern w:val="0"/>
          <w:sz w:val="22"/>
        </w:rPr>
        <w:t xml:space="preserve">供应商名称（盖章）：        </w:t>
      </w:r>
    </w:p>
    <w:p>
      <w:pPr>
        <w:rPr>
          <w:rFonts w:ascii="宋体" w:hAnsi="宋体" w:eastAsia="宋体" w:cs="Times New Roman"/>
          <w:kern w:val="0"/>
          <w:sz w:val="22"/>
        </w:rPr>
      </w:pPr>
      <w:r>
        <w:rPr>
          <w:rFonts w:hint="eastAsia" w:ascii="宋体" w:hAnsi="宋体" w:eastAsia="宋体" w:cs="Times New Roman"/>
          <w:kern w:val="0"/>
          <w:sz w:val="22"/>
        </w:rPr>
        <w:t xml:space="preserve">日 期：          </w:t>
      </w:r>
    </w:p>
    <w:p>
      <w:pPr>
        <w:autoSpaceDE w:val="0"/>
        <w:autoSpaceDN w:val="0"/>
        <w:spacing w:line="454" w:lineRule="atLeast"/>
        <w:jc w:val="left"/>
        <w:textAlignment w:val="bottom"/>
        <w:outlineLvl w:val="0"/>
        <w:rPr>
          <w:rFonts w:ascii="宋体" w:hAnsi="宋体" w:eastAsia="宋体" w:cs="Times New Roman"/>
          <w:b/>
          <w:kern w:val="0"/>
          <w:sz w:val="24"/>
          <w:szCs w:val="24"/>
        </w:rPr>
      </w:pPr>
    </w:p>
    <w:p>
      <w:pPr>
        <w:autoSpaceDE w:val="0"/>
        <w:autoSpaceDN w:val="0"/>
        <w:spacing w:line="454" w:lineRule="atLeast"/>
        <w:jc w:val="left"/>
        <w:textAlignment w:val="bottom"/>
        <w:outlineLvl w:val="0"/>
        <w:rPr>
          <w:rFonts w:ascii="宋体" w:hAnsi="宋体" w:eastAsia="宋体" w:cs="Times New Roman"/>
          <w:b/>
          <w:bCs/>
          <w:kern w:val="0"/>
          <w:sz w:val="24"/>
          <w:szCs w:val="24"/>
        </w:rPr>
      </w:pPr>
      <w:bookmarkStart w:id="64" w:name="_Toc494407557"/>
      <w:r>
        <w:rPr>
          <w:rFonts w:hint="eastAsia" w:ascii="宋体" w:hAnsi="宋体" w:eastAsia="宋体" w:cs="Times New Roman"/>
          <w:b/>
          <w:kern w:val="0"/>
          <w:sz w:val="24"/>
          <w:szCs w:val="24"/>
        </w:rPr>
        <w:t xml:space="preserve">附件十四  </w:t>
      </w:r>
      <w:r>
        <w:rPr>
          <w:rFonts w:hint="eastAsia" w:ascii="宋体" w:hAnsi="宋体" w:eastAsia="宋体" w:cs="Times New Roman"/>
          <w:b/>
          <w:bCs/>
          <w:kern w:val="0"/>
          <w:sz w:val="24"/>
          <w:szCs w:val="24"/>
        </w:rPr>
        <w:t>供应商项目服务人员</w:t>
      </w:r>
      <w:bookmarkEnd w:id="64"/>
    </w:p>
    <w:p>
      <w:pPr>
        <w:spacing w:beforeLines="100" w:afterLines="50"/>
        <w:jc w:val="center"/>
        <w:rPr>
          <w:rFonts w:ascii="宋体" w:hAnsi="宋体" w:eastAsia="宋体" w:cs="Times New Roman"/>
          <w:b/>
          <w:bCs/>
          <w:kern w:val="0"/>
          <w:sz w:val="32"/>
          <w:szCs w:val="32"/>
        </w:rPr>
      </w:pPr>
      <w:r>
        <w:rPr>
          <w:rFonts w:hint="eastAsia" w:ascii="宋体" w:hAnsi="宋体" w:eastAsia="宋体" w:cs="Times New Roman"/>
          <w:b/>
          <w:bCs/>
          <w:kern w:val="0"/>
          <w:sz w:val="32"/>
          <w:szCs w:val="32"/>
        </w:rPr>
        <w:t>供应商项目服务人员汇总表</w:t>
      </w:r>
    </w:p>
    <w:p>
      <w:pPr>
        <w:spacing w:line="360" w:lineRule="auto"/>
        <w:rPr>
          <w:rFonts w:ascii="宋体" w:hAnsi="宋体" w:eastAsia="宋体" w:cs="Times New Roman"/>
          <w:bCs/>
          <w:kern w:val="0"/>
          <w:sz w:val="22"/>
        </w:rPr>
      </w:pPr>
      <w:r>
        <w:rPr>
          <w:rFonts w:hint="eastAsia" w:ascii="宋体" w:hAnsi="宋体" w:eastAsia="宋体" w:cs="Times New Roman"/>
          <w:kern w:val="0"/>
          <w:sz w:val="22"/>
        </w:rPr>
        <w:t>招标项目名称：                                 招标编号：</w:t>
      </w:r>
    </w:p>
    <w:tbl>
      <w:tblPr>
        <w:tblStyle w:val="2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20"/>
        <w:gridCol w:w="720"/>
        <w:gridCol w:w="720"/>
        <w:gridCol w:w="720"/>
        <w:gridCol w:w="1080"/>
        <w:gridCol w:w="1458"/>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Cs/>
                <w:kern w:val="0"/>
                <w:sz w:val="22"/>
              </w:rPr>
            </w:pPr>
            <w:r>
              <w:rPr>
                <w:rFonts w:hint="eastAsia" w:ascii="宋体" w:hAnsi="宋体" w:eastAsia="宋体" w:cs="Times New Roman"/>
                <w:bCs/>
                <w:kern w:val="0"/>
                <w:sz w:val="22"/>
              </w:rPr>
              <w:t>姓名</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Cs/>
                <w:kern w:val="0"/>
                <w:sz w:val="22"/>
              </w:rPr>
            </w:pPr>
            <w:r>
              <w:rPr>
                <w:rFonts w:hint="eastAsia" w:ascii="宋体" w:hAnsi="宋体" w:eastAsia="宋体" w:cs="Times New Roman"/>
                <w:bCs/>
                <w:kern w:val="0"/>
                <w:sz w:val="22"/>
              </w:rPr>
              <w:t>本项目主要工作</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Cs/>
                <w:kern w:val="0"/>
                <w:sz w:val="22"/>
              </w:rPr>
            </w:pPr>
            <w:r>
              <w:rPr>
                <w:rFonts w:hint="eastAsia" w:ascii="宋体" w:hAnsi="宋体" w:eastAsia="宋体" w:cs="Times New Roman"/>
                <w:bCs/>
                <w:kern w:val="0"/>
                <w:sz w:val="22"/>
              </w:rPr>
              <w:t>年龄</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Cs/>
                <w:kern w:val="0"/>
                <w:sz w:val="22"/>
              </w:rPr>
            </w:pPr>
            <w:r>
              <w:rPr>
                <w:rFonts w:hint="eastAsia" w:ascii="宋体" w:hAnsi="宋体" w:eastAsia="宋体" w:cs="Times New Roman"/>
                <w:bCs/>
                <w:kern w:val="0"/>
                <w:sz w:val="22"/>
              </w:rPr>
              <w:t>性别</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Cs/>
                <w:kern w:val="0"/>
                <w:sz w:val="22"/>
              </w:rPr>
            </w:pPr>
            <w:r>
              <w:rPr>
                <w:rFonts w:hint="eastAsia" w:ascii="宋体" w:hAnsi="宋体" w:eastAsia="宋体" w:cs="Times New Roman"/>
                <w:bCs/>
                <w:kern w:val="0"/>
                <w:sz w:val="22"/>
              </w:rPr>
              <w:t>专业</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Cs/>
                <w:kern w:val="0"/>
                <w:sz w:val="22"/>
              </w:rPr>
            </w:pPr>
            <w:r>
              <w:rPr>
                <w:rFonts w:hint="eastAsia" w:ascii="宋体" w:hAnsi="宋体" w:eastAsia="宋体" w:cs="Times New Roman"/>
                <w:bCs/>
                <w:kern w:val="0"/>
                <w:sz w:val="22"/>
              </w:rPr>
              <w:t>专业</w:t>
            </w:r>
          </w:p>
          <w:p>
            <w:pPr>
              <w:jc w:val="center"/>
              <w:rPr>
                <w:rFonts w:ascii="宋体" w:hAnsi="宋体" w:eastAsia="宋体" w:cs="Times New Roman"/>
                <w:bCs/>
                <w:kern w:val="0"/>
                <w:sz w:val="22"/>
              </w:rPr>
            </w:pPr>
            <w:r>
              <w:rPr>
                <w:rFonts w:hint="eastAsia" w:ascii="宋体" w:hAnsi="宋体" w:eastAsia="宋体" w:cs="Times New Roman"/>
                <w:bCs/>
                <w:kern w:val="0"/>
                <w:sz w:val="22"/>
              </w:rPr>
              <w:t>年限</w:t>
            </w:r>
          </w:p>
        </w:tc>
        <w:tc>
          <w:tcPr>
            <w:tcW w:w="14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Cs/>
                <w:kern w:val="0"/>
                <w:sz w:val="22"/>
              </w:rPr>
            </w:pPr>
            <w:r>
              <w:rPr>
                <w:rFonts w:hint="eastAsia" w:ascii="宋体" w:hAnsi="宋体" w:eastAsia="宋体" w:cs="Times New Roman"/>
                <w:bCs/>
                <w:kern w:val="0"/>
                <w:sz w:val="22"/>
              </w:rPr>
              <w:t>职务</w:t>
            </w:r>
          </w:p>
          <w:p>
            <w:pPr>
              <w:jc w:val="center"/>
              <w:rPr>
                <w:rFonts w:ascii="宋体" w:hAnsi="宋体" w:eastAsia="宋体" w:cs="Times New Roman"/>
                <w:bCs/>
                <w:kern w:val="0"/>
                <w:sz w:val="22"/>
              </w:rPr>
            </w:pPr>
            <w:r>
              <w:rPr>
                <w:rFonts w:hint="eastAsia" w:ascii="宋体" w:hAnsi="宋体" w:eastAsia="宋体" w:cs="Times New Roman"/>
                <w:bCs/>
                <w:kern w:val="0"/>
                <w:sz w:val="22"/>
              </w:rPr>
              <w:t>和职称</w:t>
            </w:r>
            <w:r>
              <w:rPr>
                <w:rFonts w:ascii="宋体" w:hAnsi="宋体" w:eastAsia="宋体" w:cs="Times New Roman"/>
                <w:bCs/>
                <w:kern w:val="0"/>
                <w:sz w:val="22"/>
              </w:rPr>
              <w:t>/</w:t>
            </w:r>
            <w:r>
              <w:rPr>
                <w:rFonts w:hint="eastAsia" w:ascii="宋体" w:hAnsi="宋体" w:eastAsia="宋体" w:cs="Times New Roman"/>
                <w:bCs/>
                <w:kern w:val="0"/>
                <w:sz w:val="22"/>
              </w:rPr>
              <w:t>认证</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Cs/>
                <w:kern w:val="0"/>
                <w:sz w:val="22"/>
              </w:rPr>
            </w:pPr>
            <w:r>
              <w:rPr>
                <w:rFonts w:hint="eastAsia" w:ascii="宋体" w:hAnsi="宋体" w:eastAsia="宋体" w:cs="Times New Roman"/>
                <w:bCs/>
                <w:kern w:val="0"/>
                <w:sz w:val="22"/>
              </w:rPr>
              <w:t>到现场服务</w:t>
            </w:r>
          </w:p>
          <w:p>
            <w:pPr>
              <w:jc w:val="center"/>
              <w:rPr>
                <w:rFonts w:ascii="宋体" w:hAnsi="宋体" w:eastAsia="宋体" w:cs="Times New Roman"/>
                <w:bCs/>
                <w:kern w:val="0"/>
                <w:sz w:val="22"/>
              </w:rPr>
            </w:pPr>
            <w:r>
              <w:rPr>
                <w:rFonts w:hint="eastAsia" w:ascii="宋体" w:hAnsi="宋体" w:eastAsia="宋体" w:cs="Times New Roman"/>
                <w:bCs/>
                <w:kern w:val="0"/>
                <w:sz w:val="22"/>
              </w:rPr>
              <w:t>起止时间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ind w:left="5250"/>
              <w:rPr>
                <w:rFonts w:ascii="宋体" w:hAnsi="宋体" w:eastAsia="宋体" w:cs="Times New Roman"/>
                <w:spacing w:val="12"/>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ind w:left="5250"/>
              <w:rPr>
                <w:rFonts w:ascii="宋体" w:hAnsi="宋体" w:eastAsia="宋体" w:cs="Times New Roman"/>
                <w:spacing w:val="12"/>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4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Times New Roman"/>
                <w:kern w:val="0"/>
                <w:sz w:val="22"/>
              </w:rPr>
            </w:pPr>
          </w:p>
        </w:tc>
      </w:tr>
    </w:tbl>
    <w:p>
      <w:pPr>
        <w:spacing w:line="360" w:lineRule="exact"/>
        <w:ind w:left="968" w:hanging="968" w:hangingChars="440"/>
        <w:rPr>
          <w:rFonts w:ascii="宋体" w:hAnsi="宋体" w:eastAsia="宋体" w:cs="Arial"/>
          <w:kern w:val="0"/>
          <w:sz w:val="22"/>
        </w:rPr>
      </w:pPr>
      <w:r>
        <w:rPr>
          <w:rFonts w:hint="eastAsia" w:ascii="宋体" w:hAnsi="宋体" w:eastAsia="宋体" w:cs="Arial"/>
          <w:kern w:val="0"/>
          <w:sz w:val="22"/>
        </w:rPr>
        <w:t>附注：1. 项目负责人、技术负责、施工、设备材料、以及各主要专业工种负责人均应列入；</w:t>
      </w:r>
    </w:p>
    <w:p>
      <w:pPr>
        <w:spacing w:line="360" w:lineRule="exact"/>
        <w:ind w:left="718" w:leftChars="321" w:hanging="44" w:hangingChars="20"/>
        <w:rPr>
          <w:rFonts w:ascii="宋体" w:hAnsi="宋体" w:eastAsia="宋体" w:cs="Arial"/>
          <w:kern w:val="0"/>
          <w:sz w:val="22"/>
        </w:rPr>
      </w:pPr>
      <w:r>
        <w:rPr>
          <w:rFonts w:hint="eastAsia" w:ascii="宋体" w:hAnsi="宋体" w:eastAsia="宋体" w:cs="Arial"/>
          <w:kern w:val="0"/>
          <w:sz w:val="22"/>
        </w:rPr>
        <w:t>2. 列入本表人员如要更换，需经采购人同意，擅自更换或不到位属违约行为；</w:t>
      </w:r>
    </w:p>
    <w:p>
      <w:pPr>
        <w:spacing w:line="360" w:lineRule="exact"/>
        <w:ind w:left="718" w:leftChars="321" w:hanging="44" w:hangingChars="20"/>
        <w:rPr>
          <w:rFonts w:ascii="宋体" w:hAnsi="宋体" w:eastAsia="宋体" w:cs="Arial"/>
          <w:kern w:val="0"/>
          <w:sz w:val="22"/>
        </w:rPr>
      </w:pPr>
      <w:r>
        <w:rPr>
          <w:rFonts w:hint="eastAsia" w:ascii="宋体" w:hAnsi="宋体" w:eastAsia="宋体" w:cs="Arial"/>
          <w:kern w:val="0"/>
          <w:sz w:val="22"/>
        </w:rPr>
        <w:t>3. 职称证书、执业资格证书、职业水平证书等人员证件复印件附后。</w:t>
      </w:r>
    </w:p>
    <w:p>
      <w:pPr>
        <w:spacing w:line="360" w:lineRule="exact"/>
        <w:ind w:left="718" w:leftChars="321" w:hanging="44" w:hangingChars="20"/>
        <w:rPr>
          <w:rFonts w:ascii="宋体" w:hAnsi="宋体" w:eastAsia="宋体" w:cs="Arial"/>
          <w:kern w:val="0"/>
          <w:sz w:val="22"/>
        </w:rPr>
      </w:pPr>
      <w:r>
        <w:rPr>
          <w:rFonts w:ascii="宋体" w:hAnsi="宋体" w:eastAsia="宋体" w:cs="Arial"/>
          <w:kern w:val="0"/>
          <w:sz w:val="22"/>
        </w:rPr>
        <w:t xml:space="preserve">4. </w:t>
      </w:r>
      <w:r>
        <w:rPr>
          <w:rFonts w:hint="eastAsia" w:ascii="宋体" w:hAnsi="宋体" w:eastAsia="宋体" w:cs="Arial"/>
          <w:kern w:val="0"/>
          <w:sz w:val="22"/>
        </w:rPr>
        <w:t>以上人员社保缴纳证明在技术资信标中提供。</w:t>
      </w:r>
    </w:p>
    <w:p>
      <w:pPr>
        <w:spacing w:line="360" w:lineRule="exact"/>
        <w:ind w:left="718" w:leftChars="321" w:hanging="44" w:hangingChars="20"/>
        <w:rPr>
          <w:rFonts w:ascii="宋体" w:hAnsi="宋体" w:eastAsia="宋体" w:cs="Arial"/>
          <w:kern w:val="0"/>
          <w:sz w:val="22"/>
        </w:rPr>
      </w:pPr>
      <w:r>
        <w:rPr>
          <w:rFonts w:hint="eastAsia" w:ascii="宋体" w:hAnsi="宋体" w:eastAsia="宋体" w:cs="Arial"/>
          <w:kern w:val="0"/>
          <w:sz w:val="22"/>
        </w:rPr>
        <w:t>5、表格可以延续。</w:t>
      </w:r>
    </w:p>
    <w:p>
      <w:pPr>
        <w:spacing w:line="360" w:lineRule="exact"/>
        <w:ind w:left="718" w:leftChars="321" w:hanging="44" w:hangingChars="20"/>
        <w:rPr>
          <w:rFonts w:ascii="宋体" w:hAnsi="宋体" w:eastAsia="宋体" w:cs="Arial"/>
          <w:kern w:val="0"/>
          <w:sz w:val="22"/>
        </w:rPr>
      </w:pPr>
      <w:r>
        <w:rPr>
          <w:rFonts w:hint="eastAsia" w:ascii="宋体" w:hAnsi="宋体" w:eastAsia="宋体" w:cs="Arial"/>
          <w:kern w:val="0"/>
          <w:sz w:val="22"/>
        </w:rPr>
        <w:t>投标供应商全称（公章）：</w:t>
      </w:r>
    </w:p>
    <w:p>
      <w:pPr>
        <w:spacing w:line="360" w:lineRule="exact"/>
        <w:ind w:left="718" w:leftChars="321" w:hanging="44" w:hangingChars="20"/>
        <w:rPr>
          <w:rFonts w:ascii="宋体" w:hAnsi="宋体" w:eastAsia="宋体" w:cs="Arial"/>
          <w:kern w:val="0"/>
          <w:sz w:val="22"/>
        </w:rPr>
      </w:pPr>
      <w:r>
        <w:rPr>
          <w:rFonts w:hint="eastAsia" w:ascii="宋体" w:hAnsi="宋体" w:eastAsia="宋体" w:cs="Arial"/>
          <w:kern w:val="0"/>
          <w:sz w:val="22"/>
        </w:rPr>
        <w:t>法定代表人或授权代表（签字或盖章）：</w:t>
      </w:r>
    </w:p>
    <w:p>
      <w:pPr>
        <w:spacing w:line="360" w:lineRule="exact"/>
        <w:ind w:left="718" w:leftChars="321" w:hanging="44" w:hangingChars="20"/>
        <w:rPr>
          <w:rFonts w:ascii="宋体" w:hAnsi="宋体" w:eastAsia="宋体" w:cs="Arial"/>
          <w:kern w:val="0"/>
          <w:sz w:val="22"/>
        </w:rPr>
      </w:pPr>
      <w:r>
        <w:rPr>
          <w:rFonts w:hint="eastAsia" w:ascii="宋体" w:hAnsi="宋体" w:eastAsia="宋体" w:cs="Arial"/>
          <w:kern w:val="0"/>
          <w:sz w:val="22"/>
        </w:rPr>
        <w:t>日期：  年  月  日</w:t>
      </w:r>
    </w:p>
    <w:p>
      <w:pPr>
        <w:jc w:val="center"/>
        <w:outlineLvl w:val="0"/>
        <w:rPr>
          <w:rFonts w:ascii="宋体" w:hAnsi="宋体" w:eastAsia="宋体" w:cs="Times New Roman"/>
          <w:kern w:val="0"/>
          <w:sz w:val="32"/>
          <w:szCs w:val="32"/>
        </w:rPr>
      </w:pPr>
      <w:bookmarkStart w:id="65" w:name="_Toc494407559"/>
      <w:r>
        <w:rPr>
          <w:rFonts w:hint="eastAsia" w:ascii="宋体" w:hAnsi="宋体" w:eastAsia="宋体" w:cs="Times New Roman"/>
          <w:b/>
          <w:kern w:val="0"/>
          <w:sz w:val="28"/>
          <w:szCs w:val="28"/>
        </w:rPr>
        <w:t>第七部分  评标办法</w:t>
      </w:r>
      <w:bookmarkEnd w:id="65"/>
    </w:p>
    <w:p>
      <w:pPr>
        <w:tabs>
          <w:tab w:val="left" w:pos="8820"/>
        </w:tabs>
        <w:adjustRightInd w:val="0"/>
        <w:snapToGrid w:val="0"/>
        <w:spacing w:before="100" w:after="5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根据《中华人民共和国政府采购法》等有关政府采购法规，结合本次所要采购货物的实际，按照公平、公正、科学、择优的原则选择</w:t>
      </w:r>
      <w:r>
        <w:rPr>
          <w:rFonts w:hint="eastAsia" w:ascii="宋体" w:hAnsi="宋体" w:eastAsia="宋体" w:cs="宋体"/>
          <w:kern w:val="0"/>
          <w:sz w:val="22"/>
        </w:rPr>
        <w:t>中标供应商</w:t>
      </w:r>
      <w:r>
        <w:rPr>
          <w:rFonts w:hint="eastAsia" w:ascii="宋体" w:hAnsi="宋体" w:eastAsia="宋体" w:cs="Times New Roman"/>
          <w:kern w:val="0"/>
          <w:sz w:val="22"/>
        </w:rPr>
        <w:t>，特制定本评标办法。</w:t>
      </w:r>
    </w:p>
    <w:p>
      <w:pPr>
        <w:adjustRightInd w:val="0"/>
        <w:snapToGrid w:val="0"/>
        <w:spacing w:beforeLines="50" w:after="50" w:line="440" w:lineRule="atLeast"/>
        <w:jc w:val="center"/>
        <w:rPr>
          <w:rFonts w:ascii="宋体" w:hAnsi="宋体" w:eastAsia="宋体" w:cs="Times New Roman"/>
          <w:bCs/>
          <w:kern w:val="0"/>
          <w:sz w:val="22"/>
        </w:rPr>
      </w:pPr>
      <w:r>
        <w:rPr>
          <w:rFonts w:hint="eastAsia" w:ascii="宋体" w:hAnsi="宋体" w:eastAsia="宋体" w:cs="Times New Roman"/>
          <w:bCs/>
          <w:kern w:val="0"/>
          <w:sz w:val="22"/>
        </w:rPr>
        <w:t>一、总则</w:t>
      </w:r>
    </w:p>
    <w:p>
      <w:pPr>
        <w:widowControl/>
        <w:adjustRightInd w:val="0"/>
        <w:snapToGrid w:val="0"/>
        <w:spacing w:before="100" w:after="50" w:line="440" w:lineRule="atLeast"/>
        <w:ind w:firstLine="480"/>
        <w:rPr>
          <w:rFonts w:ascii="宋体" w:hAnsi="宋体" w:eastAsia="宋体" w:cs="Times New Roman"/>
          <w:kern w:val="0"/>
          <w:sz w:val="22"/>
        </w:rPr>
      </w:pPr>
      <w:r>
        <w:rPr>
          <w:rFonts w:hint="eastAsia" w:ascii="宋体" w:hAnsi="宋体" w:eastAsia="宋体" w:cs="Times New Roman"/>
          <w:kern w:val="0"/>
          <w:sz w:val="22"/>
        </w:rPr>
        <w:t>评标工作遵循公平、公正、民主、科学的原则和诚实、信誉、效率的服务原则。本着科学、严谨的态度，认真进行评标。择优选定设备的供货单位，确保货物质量、完工期，节约投资，最大限度的保护当事人权益，严格按照招标文件的商务、技术要求，对投标文件进行综合评定，提出优选方案，编写评标报告。评标委员会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pPr>
        <w:adjustRightInd w:val="0"/>
        <w:snapToGrid w:val="0"/>
        <w:spacing w:beforeLines="50" w:after="50" w:line="440" w:lineRule="atLeast"/>
        <w:jc w:val="center"/>
        <w:rPr>
          <w:rFonts w:ascii="宋体" w:hAnsi="宋体" w:eastAsia="宋体" w:cs="Times New Roman"/>
          <w:bCs/>
          <w:kern w:val="0"/>
          <w:sz w:val="22"/>
        </w:rPr>
      </w:pPr>
      <w:r>
        <w:rPr>
          <w:rFonts w:hint="eastAsia" w:ascii="宋体" w:hAnsi="宋体" w:eastAsia="宋体" w:cs="Times New Roman"/>
          <w:bCs/>
          <w:kern w:val="0"/>
          <w:sz w:val="22"/>
        </w:rPr>
        <w:t>二、评标组织</w:t>
      </w:r>
    </w:p>
    <w:p>
      <w:pPr>
        <w:widowControl/>
        <w:adjustRightInd w:val="0"/>
        <w:snapToGrid w:val="0"/>
        <w:spacing w:before="100" w:after="50" w:line="440" w:lineRule="atLeast"/>
        <w:ind w:firstLine="480"/>
        <w:rPr>
          <w:rFonts w:ascii="宋体" w:hAnsi="宋体" w:eastAsia="宋体" w:cs="Times New Roman"/>
          <w:kern w:val="0"/>
          <w:sz w:val="22"/>
        </w:rPr>
      </w:pPr>
      <w:r>
        <w:rPr>
          <w:rFonts w:hint="eastAsia" w:ascii="宋体" w:hAnsi="宋体" w:eastAsia="宋体" w:cs="Times New Roman"/>
          <w:kern w:val="0"/>
          <w:sz w:val="22"/>
        </w:rPr>
        <w:t>评标工作由采购人依法组建的评标委员会负责，评标委员会由采购人代表以及评标专家库中随机抽取的有关技术、经济专家共同组成。评标全过程由采购管理部门监督整个开标、评标和定标过程。</w:t>
      </w:r>
    </w:p>
    <w:p>
      <w:pPr>
        <w:adjustRightInd w:val="0"/>
        <w:snapToGrid w:val="0"/>
        <w:spacing w:beforeLines="50" w:after="50" w:line="440" w:lineRule="atLeast"/>
        <w:jc w:val="center"/>
        <w:rPr>
          <w:rFonts w:ascii="宋体" w:hAnsi="宋体" w:eastAsia="宋体" w:cs="Times New Roman"/>
          <w:sz w:val="22"/>
        </w:rPr>
      </w:pPr>
      <w:r>
        <w:rPr>
          <w:rFonts w:hint="eastAsia" w:ascii="宋体" w:hAnsi="宋体" w:eastAsia="宋体" w:cs="Times New Roman"/>
          <w:sz w:val="22"/>
        </w:rPr>
        <w:t>三、评标程序及评审办法</w:t>
      </w:r>
    </w:p>
    <w:p>
      <w:pPr>
        <w:adjustRightInd w:val="0"/>
        <w:snapToGrid w:val="0"/>
        <w:spacing w:beforeLines="50" w:after="5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本次开标，开标程序如下：</w:t>
      </w:r>
    </w:p>
    <w:p>
      <w:pPr>
        <w:adjustRightInd w:val="0"/>
        <w:snapToGrid w:val="0"/>
        <w:spacing w:beforeLines="50" w:after="5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第一步：当众开启投标供应商技术资信标。</w:t>
      </w:r>
    </w:p>
    <w:p>
      <w:pPr>
        <w:spacing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第二步：评标委员会根据评审原则和评审办法，对各供应商的资信、技术部分投标进行评审并打分，技术资信标不合格的供应商做无效标处理，不进入评审，并退还商务标。评审打分完成后向供应商公布资信、技术部分分值。</w:t>
      </w:r>
    </w:p>
    <w:p>
      <w:pPr>
        <w:adjustRightInd w:val="0"/>
        <w:snapToGrid w:val="0"/>
        <w:spacing w:before="100" w:after="5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第三步：</w:t>
      </w:r>
      <w:r>
        <w:rPr>
          <w:rFonts w:hint="eastAsia" w:ascii="宋体" w:hAnsi="宋体" w:eastAsia="宋体" w:cs="Times New Roman"/>
          <w:kern w:val="0"/>
          <w:sz w:val="22"/>
          <w:u w:val="single"/>
        </w:rPr>
        <w:t>开启商务报价标</w:t>
      </w:r>
      <w:r>
        <w:rPr>
          <w:rFonts w:hint="eastAsia" w:ascii="宋体" w:hAnsi="宋体" w:eastAsia="宋体" w:cs="Times New Roman"/>
          <w:kern w:val="0"/>
          <w:sz w:val="22"/>
        </w:rPr>
        <w:t>，并对供应商的商务标由评委统一进行计算得分。</w:t>
      </w:r>
    </w:p>
    <w:p>
      <w:pPr>
        <w:adjustRightInd w:val="0"/>
        <w:snapToGrid w:val="0"/>
        <w:spacing w:beforeLines="50" w:after="5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第四步：评标委员会以技术资信标和商务报价标合计分值由高到低的顺序推荐候选供应商名单，并提交书面评审报告。</w:t>
      </w:r>
    </w:p>
    <w:p>
      <w:pPr>
        <w:adjustRightInd w:val="0"/>
        <w:snapToGrid w:val="0"/>
        <w:spacing w:beforeLines="50" w:after="5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第五步：由评标委员会根据评审报告推荐综合得分第一名的供应商为中标人。如果第一名得分相同，以报价低的优先；报价也相同，以抽签随机决定。</w:t>
      </w:r>
    </w:p>
    <w:p>
      <w:pPr>
        <w:adjustRightInd w:val="0"/>
        <w:snapToGrid w:val="0"/>
        <w:spacing w:beforeLines="50" w:after="5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 xml:space="preserve">中标人放弃中标，或者因不可抗力提出不能履行合同，或者招标文件规定应当提交履约保证金、签订合同而在规定的期限内未能提交、签订合同的，采购人可以取消其中标资格。并按供应商评标排序从高到低排序依次确定新的中标人或重新组织采购。 </w:t>
      </w:r>
    </w:p>
    <w:p>
      <w:pPr>
        <w:adjustRightInd w:val="0"/>
        <w:snapToGrid w:val="0"/>
        <w:spacing w:beforeLines="50" w:after="5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如果无候选供应商，或者侯选供应商因前款规定的同样原因不能签订合同的，本次采购失败，重新组织采购。</w:t>
      </w:r>
    </w:p>
    <w:p>
      <w:pPr>
        <w:adjustRightInd w:val="0"/>
        <w:snapToGrid w:val="0"/>
        <w:spacing w:beforeLines="50" w:after="50" w:line="440" w:lineRule="atLeast"/>
        <w:ind w:firstLine="440" w:firstLineChars="200"/>
        <w:rPr>
          <w:rFonts w:ascii="宋体" w:hAnsi="宋体" w:eastAsia="宋体" w:cs="Times New Roman"/>
          <w:kern w:val="0"/>
          <w:sz w:val="22"/>
        </w:rPr>
      </w:pPr>
      <w:r>
        <w:rPr>
          <w:rFonts w:hint="eastAsia" w:ascii="宋体" w:hAnsi="宋体" w:eastAsia="宋体" w:cs="Times New Roman"/>
          <w:kern w:val="0"/>
          <w:sz w:val="22"/>
        </w:rPr>
        <w:t>其它参见本采购文件第三部分：“供应商须知” 中的相关内容。</w:t>
      </w:r>
    </w:p>
    <w:p>
      <w:pPr>
        <w:adjustRightInd w:val="0"/>
        <w:snapToGrid w:val="0"/>
        <w:ind w:left="-105" w:leftChars="-50" w:firstLine="640"/>
        <w:jc w:val="center"/>
        <w:rPr>
          <w:rFonts w:ascii="宋体" w:hAnsi="宋体" w:eastAsia="宋体" w:cs="Times New Roman"/>
          <w:kern w:val="0"/>
          <w:sz w:val="32"/>
          <w:szCs w:val="32"/>
        </w:rPr>
      </w:pPr>
    </w:p>
    <w:p>
      <w:pPr>
        <w:adjustRightInd w:val="0"/>
        <w:snapToGrid w:val="0"/>
        <w:ind w:left="-105" w:leftChars="-50" w:firstLine="562"/>
        <w:jc w:val="center"/>
        <w:rPr>
          <w:rFonts w:ascii="宋体" w:hAnsi="宋体" w:eastAsia="宋体" w:cs="Times New Roman"/>
          <w:b/>
          <w:kern w:val="0"/>
          <w:sz w:val="28"/>
          <w:szCs w:val="28"/>
        </w:rPr>
      </w:pPr>
      <w:r>
        <w:rPr>
          <w:rFonts w:hint="eastAsia" w:ascii="宋体" w:hAnsi="宋体" w:eastAsia="宋体" w:cs="Times New Roman"/>
          <w:b/>
          <w:kern w:val="0"/>
          <w:sz w:val="28"/>
          <w:szCs w:val="28"/>
        </w:rPr>
        <w:t>评分细则</w:t>
      </w:r>
    </w:p>
    <w:p>
      <w:pPr>
        <w:snapToGrid w:val="0"/>
        <w:spacing w:line="460" w:lineRule="atLeast"/>
        <w:ind w:firstLine="322" w:firstLineChars="146"/>
        <w:rPr>
          <w:rFonts w:ascii="宋体" w:hAnsi="宋体" w:eastAsia="宋体" w:cs="Times New Roman"/>
          <w:b/>
          <w:bCs/>
          <w:kern w:val="0"/>
          <w:sz w:val="22"/>
        </w:rPr>
      </w:pPr>
      <w:r>
        <w:rPr>
          <w:rFonts w:hint="eastAsia" w:ascii="宋体" w:hAnsi="宋体" w:eastAsia="宋体" w:cs="Times New Roman"/>
          <w:b/>
          <w:bCs/>
          <w:kern w:val="0"/>
          <w:sz w:val="22"/>
        </w:rPr>
        <w:t>一、商务报价评分</w:t>
      </w:r>
      <w:r>
        <w:rPr>
          <w:rFonts w:hint="eastAsia" w:ascii="宋体" w:hAnsi="宋体" w:eastAsia="宋体" w:cs="Times New Roman"/>
          <w:b/>
          <w:bCs/>
          <w:kern w:val="0"/>
          <w:sz w:val="22"/>
          <w:lang w:val="en-US" w:eastAsia="zh-CN"/>
        </w:rPr>
        <w:t>30</w:t>
      </w:r>
      <w:r>
        <w:rPr>
          <w:rFonts w:hint="eastAsia" w:ascii="宋体" w:hAnsi="宋体" w:eastAsia="宋体" w:cs="Times New Roman"/>
          <w:b/>
          <w:bCs/>
          <w:kern w:val="0"/>
          <w:sz w:val="22"/>
        </w:rPr>
        <w:t>分；</w:t>
      </w:r>
    </w:p>
    <w:p>
      <w:pPr>
        <w:spacing w:line="460" w:lineRule="atLeast"/>
        <w:ind w:firstLine="440" w:firstLineChars="200"/>
        <w:rPr>
          <w:rFonts w:ascii="宋体" w:hAnsi="宋体" w:eastAsia="宋体" w:cs="Times New Roman"/>
          <w:kern w:val="0"/>
          <w:sz w:val="22"/>
          <w:u w:val="single"/>
        </w:rPr>
      </w:pPr>
      <w:r>
        <w:rPr>
          <w:rFonts w:hint="eastAsia" w:ascii="宋体" w:hAnsi="宋体" w:eastAsia="宋体" w:cs="Times New Roman"/>
          <w:kern w:val="0"/>
          <w:sz w:val="22"/>
          <w:u w:val="single"/>
        </w:rPr>
        <w:t>以供应商有效投标价中的最低价为评标基准价，得满分</w:t>
      </w:r>
      <w:r>
        <w:rPr>
          <w:rFonts w:hint="eastAsia" w:ascii="宋体" w:hAnsi="宋体" w:eastAsia="宋体" w:cs="Times New Roman"/>
          <w:kern w:val="0"/>
          <w:sz w:val="22"/>
          <w:u w:val="single"/>
          <w:lang w:val="en-US" w:eastAsia="zh-CN"/>
        </w:rPr>
        <w:t>30</w:t>
      </w:r>
      <w:r>
        <w:rPr>
          <w:rFonts w:hint="eastAsia" w:ascii="宋体" w:hAnsi="宋体" w:eastAsia="宋体" w:cs="Times New Roman"/>
          <w:kern w:val="0"/>
          <w:sz w:val="22"/>
          <w:u w:val="single"/>
        </w:rPr>
        <w:t>分。商务报价评分计算公式为:投标报价得分=(评标基准价／投标报价)×</w:t>
      </w:r>
      <w:r>
        <w:rPr>
          <w:rFonts w:hint="eastAsia" w:ascii="宋体" w:hAnsi="宋体" w:eastAsia="宋体" w:cs="Times New Roman"/>
          <w:kern w:val="0"/>
          <w:sz w:val="22"/>
          <w:u w:val="single"/>
          <w:lang w:val="en-US" w:eastAsia="zh-CN"/>
        </w:rPr>
        <w:t>30</w:t>
      </w:r>
      <w:r>
        <w:rPr>
          <w:rFonts w:hint="eastAsia" w:ascii="宋体" w:hAnsi="宋体" w:eastAsia="宋体" w:cs="Times New Roman"/>
          <w:kern w:val="0"/>
          <w:sz w:val="22"/>
          <w:u w:val="single"/>
        </w:rPr>
        <w:t>%×100。</w:t>
      </w:r>
    </w:p>
    <w:p>
      <w:pPr>
        <w:spacing w:line="460" w:lineRule="atLeast"/>
        <w:ind w:firstLine="440" w:firstLineChars="200"/>
        <w:rPr>
          <w:rFonts w:ascii="宋体" w:hAnsi="宋体" w:eastAsia="宋体" w:cs="Times New Roman"/>
          <w:b/>
          <w:bCs/>
          <w:kern w:val="0"/>
          <w:sz w:val="22"/>
        </w:rPr>
      </w:pPr>
      <w:r>
        <w:rPr>
          <w:rFonts w:hint="eastAsia" w:ascii="宋体" w:hAnsi="宋体" w:eastAsia="宋体" w:cs="Times New Roman"/>
          <w:kern w:val="0"/>
          <w:sz w:val="22"/>
          <w:u w:val="single"/>
        </w:rPr>
        <w:t>符合招标文件规定条件的小、微企业（或监狱企业、残疾人福利性单位），给予评标价格折扣。</w:t>
      </w:r>
    </w:p>
    <w:p>
      <w:pPr>
        <w:numPr>
          <w:ilvl w:val="1"/>
          <w:numId w:val="2"/>
        </w:numPr>
        <w:snapToGrid w:val="0"/>
        <w:spacing w:line="460" w:lineRule="atLeast"/>
        <w:rPr>
          <w:rFonts w:ascii="宋体" w:hAnsi="宋体" w:eastAsia="宋体" w:cs="Times New Roman"/>
          <w:b/>
          <w:bCs/>
          <w:kern w:val="0"/>
          <w:sz w:val="22"/>
        </w:rPr>
      </w:pPr>
      <w:r>
        <w:rPr>
          <w:rFonts w:hint="eastAsia" w:ascii="宋体" w:hAnsi="宋体" w:eastAsia="宋体" w:cs="Times New Roman"/>
          <w:b/>
          <w:bCs/>
          <w:kern w:val="0"/>
          <w:sz w:val="22"/>
        </w:rPr>
        <w:t xml:space="preserve">技术、服务、资信业绩综合评分 </w:t>
      </w:r>
      <w:r>
        <w:rPr>
          <w:rFonts w:hint="eastAsia" w:ascii="宋体" w:hAnsi="宋体" w:eastAsia="宋体" w:cs="Times New Roman"/>
          <w:b/>
          <w:bCs/>
          <w:kern w:val="0"/>
          <w:sz w:val="22"/>
          <w:lang w:val="en-US" w:eastAsia="zh-CN"/>
        </w:rPr>
        <w:t>70</w:t>
      </w:r>
      <w:r>
        <w:rPr>
          <w:rFonts w:hint="eastAsia" w:ascii="宋体" w:hAnsi="宋体" w:eastAsia="宋体" w:cs="Times New Roman"/>
          <w:b/>
          <w:bCs/>
          <w:kern w:val="0"/>
          <w:sz w:val="22"/>
        </w:rPr>
        <w:t>分</w:t>
      </w:r>
    </w:p>
    <w:tbl>
      <w:tblPr>
        <w:tblStyle w:val="22"/>
        <w:tblpPr w:leftFromText="180" w:rightFromText="180" w:vertAnchor="text" w:horzAnchor="page" w:tblpXSpec="center" w:tblpY="303"/>
        <w:tblOverlap w:val="never"/>
        <w:tblW w:w="9980" w:type="dxa"/>
        <w:jc w:val="center"/>
        <w:tblInd w:w="0" w:type="dxa"/>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093"/>
        <w:gridCol w:w="6646"/>
        <w:gridCol w:w="926"/>
      </w:tblGrid>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1315" w:type="dxa"/>
            <w:vAlign w:val="center"/>
          </w:tcPr>
          <w:p>
            <w:pPr>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评分项</w:t>
            </w:r>
          </w:p>
        </w:tc>
        <w:tc>
          <w:tcPr>
            <w:tcW w:w="1093" w:type="dxa"/>
            <w:vAlign w:val="center"/>
          </w:tcPr>
          <w:p>
            <w:pPr>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评分内容</w:t>
            </w:r>
          </w:p>
        </w:tc>
        <w:tc>
          <w:tcPr>
            <w:tcW w:w="6646" w:type="dxa"/>
            <w:vAlign w:val="center"/>
          </w:tcPr>
          <w:p>
            <w:pPr>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评分细则</w:t>
            </w:r>
          </w:p>
        </w:tc>
        <w:tc>
          <w:tcPr>
            <w:tcW w:w="926" w:type="dxa"/>
            <w:vAlign w:val="center"/>
          </w:tcPr>
          <w:p>
            <w:pPr>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rPr>
              <w:t>分值</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15" w:type="dxa"/>
            <w:vAlign w:val="center"/>
          </w:tcPr>
          <w:p>
            <w:pPr>
              <w:ind w:left="0" w:leftChars="0" w:firstLine="0" w:firstLineChars="0"/>
              <w:jc w:val="center"/>
              <w:rPr>
                <w:rFonts w:hint="eastAsia" w:ascii="宋体" w:hAnsi="宋体" w:eastAsia="宋体" w:cs="宋体"/>
                <w:sz w:val="22"/>
                <w:szCs w:val="22"/>
                <w:lang w:eastAsia="zh-CN"/>
              </w:rPr>
            </w:pPr>
            <w:r>
              <w:rPr>
                <w:rFonts w:hint="eastAsia" w:ascii="宋体" w:hAnsi="宋体" w:eastAsia="宋体" w:cs="宋体"/>
                <w:sz w:val="22"/>
                <w:szCs w:val="22"/>
                <w:lang w:val="en-US" w:eastAsia="zh-CN"/>
              </w:rPr>
              <w:t>样品</w:t>
            </w:r>
          </w:p>
        </w:tc>
        <w:tc>
          <w:tcPr>
            <w:tcW w:w="1093" w:type="dxa"/>
            <w:vAlign w:val="center"/>
          </w:tcPr>
          <w:p>
            <w:pPr>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投标产品</w:t>
            </w:r>
            <w:r>
              <w:rPr>
                <w:rFonts w:hint="eastAsia" w:ascii="宋体" w:hAnsi="宋体" w:eastAsia="宋体" w:cs="宋体"/>
                <w:sz w:val="22"/>
                <w:szCs w:val="22"/>
                <w:lang w:val="en-US" w:eastAsia="zh-CN"/>
              </w:rPr>
              <w:t>样品</w:t>
            </w:r>
            <w:r>
              <w:rPr>
                <w:rFonts w:hint="eastAsia" w:ascii="宋体" w:hAnsi="宋体" w:eastAsia="宋体" w:cs="宋体"/>
                <w:sz w:val="22"/>
                <w:szCs w:val="22"/>
              </w:rPr>
              <w:t>性能参数响应程度</w:t>
            </w:r>
          </w:p>
        </w:tc>
        <w:tc>
          <w:tcPr>
            <w:tcW w:w="6646" w:type="dxa"/>
            <w:vAlign w:val="center"/>
          </w:tcPr>
          <w:p>
            <w:pPr>
              <w:rPr>
                <w:rFonts w:hint="eastAsia" w:ascii="宋体" w:hAnsi="宋体" w:eastAsia="宋体" w:cs="宋体"/>
                <w:sz w:val="22"/>
                <w:szCs w:val="22"/>
              </w:rPr>
            </w:pPr>
            <w:r>
              <w:rPr>
                <w:rFonts w:hint="eastAsia" w:ascii="宋体" w:hAnsi="宋体" w:eastAsia="宋体" w:cs="宋体"/>
                <w:sz w:val="22"/>
                <w:szCs w:val="22"/>
              </w:rPr>
              <w:t>根据</w:t>
            </w:r>
            <w:r>
              <w:rPr>
                <w:rFonts w:hint="eastAsia" w:ascii="宋体" w:hAnsi="宋体" w:eastAsia="宋体" w:cs="宋体"/>
                <w:sz w:val="22"/>
                <w:szCs w:val="22"/>
                <w:lang w:val="en-US" w:eastAsia="zh-CN"/>
              </w:rPr>
              <w:t>样品</w:t>
            </w:r>
            <w:r>
              <w:rPr>
                <w:rFonts w:hint="eastAsia" w:ascii="宋体" w:hAnsi="宋体" w:eastAsia="宋体" w:cs="宋体"/>
                <w:sz w:val="22"/>
                <w:szCs w:val="22"/>
              </w:rPr>
              <w:t>性能参数配置是否符合招标文件的要求及符合程度进行评价</w:t>
            </w:r>
            <w:r>
              <w:rPr>
                <w:rFonts w:hint="eastAsia" w:ascii="宋体" w:hAnsi="宋体" w:eastAsia="宋体" w:cs="宋体"/>
                <w:sz w:val="22"/>
                <w:szCs w:val="22"/>
                <w:lang w:eastAsia="zh-CN"/>
              </w:rPr>
              <w:t>。</w:t>
            </w:r>
          </w:p>
        </w:tc>
        <w:tc>
          <w:tcPr>
            <w:tcW w:w="926" w:type="dxa"/>
            <w:vAlign w:val="center"/>
          </w:tcPr>
          <w:p>
            <w:pPr>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8</w:t>
            </w:r>
            <w:r>
              <w:rPr>
                <w:rFonts w:hint="eastAsia" w:ascii="宋体" w:hAnsi="宋体" w:eastAsia="宋体" w:cs="宋体"/>
                <w:sz w:val="22"/>
                <w:szCs w:val="22"/>
              </w:rPr>
              <w:t>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1315" w:type="dxa"/>
            <w:vAlign w:val="center"/>
          </w:tcPr>
          <w:p>
            <w:pPr>
              <w:ind w:left="0" w:leftChars="0" w:firstLine="0" w:firstLineChars="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商务资信</w:t>
            </w:r>
          </w:p>
        </w:tc>
        <w:tc>
          <w:tcPr>
            <w:tcW w:w="7739" w:type="dxa"/>
            <w:gridSpan w:val="2"/>
            <w:vAlign w:val="center"/>
          </w:tcPr>
          <w:p>
            <w:pPr>
              <w:numPr>
                <w:ilvl w:val="0"/>
                <w:numId w:val="27"/>
              </w:numPr>
              <w:ind w:left="0" w:leftChars="0" w:firstLine="0" w:firstLine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投标单位获得CQC中国环保产品认证证书得2分；</w:t>
            </w:r>
          </w:p>
          <w:p>
            <w:pPr>
              <w:numPr>
                <w:ilvl w:val="0"/>
                <w:numId w:val="27"/>
              </w:numPr>
              <w:ind w:left="0" w:leftChars="0" w:firstLine="0" w:firstLine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投标单位获得中国环境标志产品认证（十环）证书得2分；</w:t>
            </w:r>
          </w:p>
          <w:p>
            <w:pPr>
              <w:ind w:left="0" w:leftChars="0" w:firstLine="0" w:firstLine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3、投标企业出具近三年的财务审计报告。1分</w:t>
            </w:r>
          </w:p>
        </w:tc>
        <w:tc>
          <w:tcPr>
            <w:tcW w:w="926" w:type="dxa"/>
            <w:vAlign w:val="center"/>
          </w:tcPr>
          <w:p>
            <w:pPr>
              <w:ind w:left="0" w:leftChars="0" w:firstLine="0" w:firstLineChars="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1315" w:type="dxa"/>
            <w:vAlign w:val="center"/>
          </w:tcPr>
          <w:p>
            <w:pPr>
              <w:ind w:left="0" w:leftChars="0" w:firstLine="0" w:firstLineChars="0"/>
              <w:jc w:val="center"/>
              <w:rPr>
                <w:rFonts w:hint="eastAsia" w:ascii="宋体" w:hAnsi="宋体" w:eastAsia="宋体" w:cs="宋体"/>
                <w:sz w:val="22"/>
                <w:szCs w:val="22"/>
                <w:lang w:val="en-US" w:eastAsia="zh-CN"/>
              </w:rPr>
            </w:pPr>
            <w:r>
              <w:rPr>
                <w:rFonts w:hint="eastAsia" w:ascii="宋体" w:hAnsi="宋体" w:eastAsia="宋体" w:cs="宋体"/>
                <w:sz w:val="22"/>
                <w:szCs w:val="22"/>
              </w:rPr>
              <w:t>投标产品技术指标、性能功能比较</w:t>
            </w:r>
          </w:p>
        </w:tc>
        <w:tc>
          <w:tcPr>
            <w:tcW w:w="7739" w:type="dxa"/>
            <w:gridSpan w:val="2"/>
            <w:vAlign w:val="center"/>
          </w:tcPr>
          <w:p>
            <w:pPr>
              <w:snapToGrid w:val="0"/>
              <w:ind w:left="-107"/>
              <w:rPr>
                <w:rFonts w:hint="eastAsia" w:ascii="宋体" w:hAnsi="宋体" w:eastAsia="宋体" w:cs="宋体"/>
                <w:color w:val="FF0000"/>
                <w:sz w:val="22"/>
                <w:szCs w:val="22"/>
              </w:rPr>
            </w:pPr>
            <w:r>
              <w:rPr>
                <w:rFonts w:hint="eastAsia" w:ascii="宋体" w:hAnsi="宋体" w:eastAsia="宋体" w:cs="宋体"/>
                <w:color w:val="FF0000"/>
                <w:sz w:val="22"/>
                <w:szCs w:val="22"/>
              </w:rPr>
              <w:t>根据投标人提供产品对招标技术参数满足程度由评委打分：招标文件带★技术参数每负偏离一项扣1分，其它每负偏离一项扣0.5分,扣完为止。</w:t>
            </w:r>
          </w:p>
          <w:p>
            <w:pPr>
              <w:ind w:left="0" w:leftChars="0" w:firstLine="0" w:firstLineChars="0"/>
              <w:rPr>
                <w:rFonts w:hint="eastAsia" w:ascii="宋体" w:hAnsi="宋体" w:eastAsia="宋体" w:cs="宋体"/>
                <w:sz w:val="22"/>
                <w:szCs w:val="22"/>
                <w:lang w:val="en-US" w:eastAsia="zh-CN"/>
              </w:rPr>
            </w:pPr>
            <w:r>
              <w:rPr>
                <w:rFonts w:hint="eastAsia" w:ascii="宋体" w:hAnsi="宋体" w:eastAsia="宋体" w:cs="宋体"/>
                <w:color w:val="FF0000"/>
                <w:sz w:val="22"/>
                <w:szCs w:val="22"/>
              </w:rPr>
              <w:t>注：以上技术指标如出现偏离必须在《技术偏离表》中完整体现，并与所提供资料相符。</w:t>
            </w:r>
            <w:r>
              <w:rPr>
                <w:rFonts w:hint="eastAsia" w:ascii="宋体" w:hAnsi="宋体" w:eastAsia="宋体" w:cs="宋体"/>
                <w:color w:val="FF0000"/>
                <w:sz w:val="22"/>
                <w:szCs w:val="22"/>
                <w:lang w:eastAsia="zh-CN"/>
              </w:rPr>
              <w:t>（</w:t>
            </w:r>
            <w:r>
              <w:rPr>
                <w:rFonts w:hint="eastAsia" w:ascii="宋体" w:hAnsi="宋体" w:eastAsia="宋体" w:cs="宋体"/>
                <w:color w:val="FF0000"/>
                <w:sz w:val="22"/>
                <w:szCs w:val="22"/>
                <w:lang w:val="en-US" w:eastAsia="zh-CN"/>
              </w:rPr>
              <w:t>技术偏离表不体现的，查出的偏离项一项扣2分，扣完为止</w:t>
            </w:r>
            <w:r>
              <w:rPr>
                <w:rFonts w:hint="eastAsia" w:ascii="宋体" w:hAnsi="宋体" w:eastAsia="宋体" w:cs="宋体"/>
                <w:color w:val="FF0000"/>
                <w:sz w:val="22"/>
                <w:szCs w:val="22"/>
                <w:lang w:eastAsia="zh-CN"/>
              </w:rPr>
              <w:t>）</w:t>
            </w:r>
          </w:p>
        </w:tc>
        <w:tc>
          <w:tcPr>
            <w:tcW w:w="926" w:type="dxa"/>
            <w:vAlign w:val="center"/>
          </w:tcPr>
          <w:p>
            <w:pPr>
              <w:ind w:left="0" w:leftChars="0" w:firstLine="0" w:firstLineChars="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26分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1315" w:type="dxa"/>
            <w:vAlign w:val="center"/>
          </w:tcPr>
          <w:p>
            <w:pPr>
              <w:ind w:left="0" w:leftChars="0" w:firstLine="0" w:firstLineChars="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供应商经营业绩</w:t>
            </w:r>
          </w:p>
        </w:tc>
        <w:tc>
          <w:tcPr>
            <w:tcW w:w="7739" w:type="dxa"/>
            <w:gridSpan w:val="2"/>
            <w:vAlign w:val="center"/>
          </w:tcPr>
          <w:p>
            <w:pPr>
              <w:ind w:left="0" w:leftChars="0" w:firstLine="0" w:firstLine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根据2016年1月1日类似项目业绩（以提供的中标通知书复印件或合同复印件为准），单个合同金额达100万元以上的每份得1分，最多得5分</w:t>
            </w:r>
          </w:p>
        </w:tc>
        <w:tc>
          <w:tcPr>
            <w:tcW w:w="926" w:type="dxa"/>
            <w:vAlign w:val="center"/>
          </w:tcPr>
          <w:p>
            <w:pPr>
              <w:ind w:left="0" w:leftChars="0" w:firstLine="0" w:firstLineChars="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15" w:type="dxa"/>
            <w:vAlign w:val="center"/>
          </w:tcPr>
          <w:p>
            <w:pPr>
              <w:ind w:left="0" w:leftChars="0" w:firstLine="0" w:firstLineChars="0"/>
              <w:jc w:val="center"/>
              <w:rPr>
                <w:rFonts w:hint="eastAsia" w:ascii="宋体" w:hAnsi="宋体" w:eastAsia="宋体" w:cs="宋体"/>
                <w:sz w:val="22"/>
                <w:szCs w:val="22"/>
                <w:lang w:eastAsia="zh-CN"/>
              </w:rPr>
            </w:pPr>
            <w:r>
              <w:rPr>
                <w:rFonts w:hint="eastAsia" w:ascii="宋体" w:hAnsi="宋体" w:eastAsia="宋体" w:cs="宋体"/>
                <w:sz w:val="22"/>
                <w:szCs w:val="22"/>
                <w:lang w:val="en-US" w:eastAsia="zh-CN"/>
              </w:rPr>
              <w:t>产品性能</w:t>
            </w:r>
          </w:p>
        </w:tc>
        <w:tc>
          <w:tcPr>
            <w:tcW w:w="7739" w:type="dxa"/>
            <w:gridSpan w:val="2"/>
            <w:vAlign w:val="center"/>
          </w:tcPr>
          <w:p>
            <w:pPr>
              <w:rPr>
                <w:rFonts w:hint="eastAsia" w:ascii="宋体" w:hAnsi="宋体" w:eastAsia="宋体" w:cs="宋体"/>
                <w:color w:val="FF0000"/>
                <w:sz w:val="22"/>
                <w:szCs w:val="22"/>
                <w:lang w:val="en-US" w:eastAsia="zh-CN"/>
              </w:rPr>
            </w:pPr>
            <w:r>
              <w:rPr>
                <w:rFonts w:hint="eastAsia" w:ascii="宋体" w:hAnsi="宋体" w:eastAsia="宋体" w:cs="宋体"/>
                <w:color w:val="FF0000"/>
                <w:sz w:val="22"/>
                <w:szCs w:val="22"/>
                <w:lang w:val="en-US" w:eastAsia="zh-CN"/>
              </w:rPr>
              <w:t>提供招标文件采购需求中要求的沙盘套装检测报告、证书及授权书（2017年以来）。2分</w:t>
            </w:r>
          </w:p>
          <w:p>
            <w:pPr>
              <w:rPr>
                <w:rFonts w:hint="eastAsia" w:ascii="宋体" w:hAnsi="宋体" w:eastAsia="宋体" w:cs="宋体"/>
                <w:b w:val="0"/>
                <w:bCs w:val="0"/>
                <w:i w:val="0"/>
                <w:color w:val="FF0000"/>
                <w:kern w:val="0"/>
                <w:sz w:val="22"/>
                <w:szCs w:val="22"/>
                <w:u w:val="none"/>
                <w:lang w:val="en-US" w:eastAsia="zh-CN" w:bidi="ar"/>
              </w:rPr>
            </w:pPr>
            <w:r>
              <w:rPr>
                <w:rFonts w:hint="eastAsia" w:ascii="宋体" w:hAnsi="宋体" w:eastAsia="宋体" w:cs="宋体"/>
                <w:b w:val="0"/>
                <w:bCs w:val="0"/>
                <w:color w:val="FF0000"/>
                <w:sz w:val="22"/>
                <w:szCs w:val="22"/>
                <w:lang w:val="en-US" w:eastAsia="zh-CN"/>
              </w:rPr>
              <w:t>提供招标文件采购需求中要求的</w:t>
            </w:r>
            <w:r>
              <w:rPr>
                <w:rFonts w:hint="eastAsia" w:ascii="宋体" w:hAnsi="宋体" w:eastAsia="宋体" w:cs="宋体"/>
                <w:b w:val="0"/>
                <w:bCs w:val="0"/>
                <w:color w:val="FF0000"/>
                <w:sz w:val="22"/>
                <w:szCs w:val="22"/>
              </w:rPr>
              <w:t>智慧纳米黑板</w:t>
            </w:r>
            <w:r>
              <w:rPr>
                <w:rFonts w:hint="eastAsia" w:ascii="宋体" w:hAnsi="宋体" w:eastAsia="宋体" w:cs="宋体"/>
                <w:b w:val="0"/>
                <w:bCs w:val="0"/>
                <w:i w:val="0"/>
                <w:color w:val="FF0000"/>
                <w:kern w:val="0"/>
                <w:sz w:val="22"/>
                <w:szCs w:val="22"/>
                <w:u w:val="none"/>
                <w:lang w:val="en-US" w:eastAsia="zh-CN" w:bidi="ar"/>
              </w:rPr>
              <w:t>检测报告、证书及授权书</w:t>
            </w:r>
            <w:r>
              <w:rPr>
                <w:rFonts w:hint="eastAsia" w:ascii="宋体" w:hAnsi="宋体" w:eastAsia="宋体" w:cs="宋体"/>
                <w:b w:val="0"/>
                <w:bCs w:val="0"/>
                <w:color w:val="FF0000"/>
                <w:sz w:val="22"/>
                <w:szCs w:val="22"/>
                <w:lang w:val="en-US" w:eastAsia="zh-CN"/>
              </w:rPr>
              <w:t>（2017年以来）</w:t>
            </w:r>
            <w:r>
              <w:rPr>
                <w:rFonts w:hint="eastAsia" w:ascii="宋体" w:hAnsi="宋体" w:eastAsia="宋体" w:cs="宋体"/>
                <w:b w:val="0"/>
                <w:bCs w:val="0"/>
                <w:i w:val="0"/>
                <w:color w:val="FF0000"/>
                <w:kern w:val="0"/>
                <w:sz w:val="22"/>
                <w:szCs w:val="22"/>
                <w:u w:val="none"/>
                <w:lang w:val="en-US" w:eastAsia="zh-CN" w:bidi="ar"/>
              </w:rPr>
              <w:t>。2分</w:t>
            </w:r>
          </w:p>
          <w:p>
            <w:pPr>
              <w:ind w:left="0" w:leftChars="0" w:firstLine="0" w:firstLineChars="0"/>
              <w:rPr>
                <w:rFonts w:hint="eastAsia" w:ascii="宋体" w:hAnsi="宋体" w:eastAsia="宋体" w:cs="宋体"/>
                <w:b w:val="0"/>
                <w:bCs w:val="0"/>
                <w:color w:val="FF0000"/>
                <w:sz w:val="22"/>
                <w:szCs w:val="22"/>
                <w:lang w:val="en-US" w:eastAsia="zh-CN"/>
              </w:rPr>
            </w:pPr>
            <w:r>
              <w:rPr>
                <w:rFonts w:hint="eastAsia" w:ascii="宋体" w:hAnsi="宋体" w:eastAsia="宋体" w:cs="宋体"/>
                <w:b w:val="0"/>
                <w:bCs w:val="0"/>
                <w:color w:val="FF0000"/>
                <w:sz w:val="22"/>
                <w:szCs w:val="22"/>
                <w:lang w:val="en-US" w:eastAsia="zh-CN"/>
              </w:rPr>
              <w:t>提供招标文件采购需求中要求的实验桌台面检测报告、授权书及售后承诺函（2017年以来）。2分</w:t>
            </w:r>
          </w:p>
          <w:p>
            <w:pPr>
              <w:pStyle w:val="2"/>
              <w:rPr>
                <w:rFonts w:hint="eastAsia" w:ascii="宋体" w:hAnsi="宋体" w:eastAsia="宋体" w:cs="宋体"/>
                <w:b w:val="0"/>
                <w:bCs w:val="0"/>
                <w:color w:val="FF0000"/>
                <w:sz w:val="22"/>
                <w:szCs w:val="22"/>
                <w:lang w:val="en-US" w:eastAsia="zh-CN"/>
              </w:rPr>
            </w:pPr>
            <w:r>
              <w:rPr>
                <w:rFonts w:hint="eastAsia" w:ascii="宋体" w:hAnsi="宋体" w:eastAsia="宋体" w:cs="宋体"/>
                <w:b w:val="0"/>
                <w:bCs w:val="0"/>
                <w:color w:val="FF0000"/>
                <w:sz w:val="22"/>
                <w:szCs w:val="22"/>
                <w:lang w:val="en-US" w:eastAsia="zh-CN"/>
              </w:rPr>
              <w:t>提供招标文件采购需求中要求的</w:t>
            </w:r>
            <w:r>
              <w:rPr>
                <w:rFonts w:hint="eastAsia" w:ascii="宋体" w:hAnsi="宋体" w:eastAsia="宋体" w:cs="宋体"/>
                <w:b w:val="0"/>
                <w:bCs w:val="0"/>
                <w:i w:val="0"/>
                <w:color w:val="FF0000"/>
                <w:kern w:val="0"/>
                <w:sz w:val="22"/>
                <w:szCs w:val="22"/>
                <w:u w:val="none"/>
                <w:lang w:val="en-US" w:eastAsia="zh-CN" w:bidi="ar"/>
              </w:rPr>
              <w:t>高智能一体化体视数码显微镜</w:t>
            </w:r>
            <w:r>
              <w:rPr>
                <w:rFonts w:hint="eastAsia" w:ascii="宋体" w:hAnsi="宋体" w:eastAsia="宋体" w:cs="宋体"/>
                <w:b w:val="0"/>
                <w:bCs w:val="0"/>
                <w:color w:val="FF0000"/>
                <w:sz w:val="22"/>
                <w:szCs w:val="22"/>
                <w:lang w:val="en-US" w:eastAsia="zh-CN"/>
              </w:rPr>
              <w:t>检测报告、证书及授权书（2017年以来）。2分</w:t>
            </w:r>
          </w:p>
          <w:p>
            <w:pPr>
              <w:pStyle w:val="2"/>
              <w:rPr>
                <w:rFonts w:hint="eastAsia" w:ascii="宋体" w:hAnsi="宋体" w:eastAsia="宋体" w:cs="宋体"/>
                <w:b w:val="0"/>
                <w:bCs w:val="0"/>
                <w:i w:val="0"/>
                <w:color w:val="FF0000"/>
                <w:kern w:val="0"/>
                <w:sz w:val="22"/>
                <w:szCs w:val="22"/>
                <w:u w:val="none"/>
                <w:lang w:val="en-US" w:eastAsia="zh-CN" w:bidi="ar"/>
              </w:rPr>
            </w:pPr>
            <w:r>
              <w:rPr>
                <w:rFonts w:hint="eastAsia" w:ascii="宋体" w:hAnsi="宋体" w:eastAsia="宋体" w:cs="宋体"/>
                <w:b w:val="0"/>
                <w:bCs w:val="0"/>
                <w:i w:val="0"/>
                <w:color w:val="FF0000"/>
                <w:kern w:val="0"/>
                <w:sz w:val="22"/>
                <w:szCs w:val="22"/>
                <w:u w:val="none"/>
                <w:lang w:val="en-US" w:eastAsia="zh-CN" w:bidi="ar"/>
              </w:rPr>
              <w:t>提供招标文件采购需求中要求的铝合金压铸脚检测报告</w:t>
            </w:r>
            <w:r>
              <w:rPr>
                <w:rFonts w:hint="eastAsia" w:ascii="宋体" w:hAnsi="宋体" w:eastAsia="宋体" w:cs="宋体"/>
                <w:b w:val="0"/>
                <w:bCs w:val="0"/>
                <w:color w:val="FF0000"/>
                <w:sz w:val="22"/>
                <w:szCs w:val="22"/>
                <w:lang w:val="en-US" w:eastAsia="zh-CN"/>
              </w:rPr>
              <w:t>（2017年以来）</w:t>
            </w:r>
            <w:r>
              <w:rPr>
                <w:rFonts w:hint="eastAsia" w:ascii="宋体" w:hAnsi="宋体" w:eastAsia="宋体" w:cs="宋体"/>
                <w:b w:val="0"/>
                <w:bCs w:val="0"/>
                <w:i w:val="0"/>
                <w:color w:val="FF0000"/>
                <w:kern w:val="0"/>
                <w:sz w:val="22"/>
                <w:szCs w:val="22"/>
                <w:u w:val="none"/>
                <w:lang w:val="en-US" w:eastAsia="zh-CN" w:bidi="ar"/>
              </w:rPr>
              <w:t>。2分</w:t>
            </w:r>
          </w:p>
          <w:p>
            <w:pPr>
              <w:pStyle w:val="2"/>
              <w:rPr>
                <w:rFonts w:hint="eastAsia" w:ascii="宋体" w:hAnsi="宋体" w:eastAsia="宋体" w:cs="宋体"/>
                <w:b w:val="0"/>
                <w:bCs w:val="0"/>
                <w:i w:val="0"/>
                <w:color w:val="FF0000"/>
                <w:kern w:val="0"/>
                <w:sz w:val="22"/>
                <w:szCs w:val="22"/>
                <w:u w:val="none"/>
                <w:lang w:val="en-US" w:eastAsia="zh-CN" w:bidi="ar"/>
              </w:rPr>
            </w:pPr>
            <w:r>
              <w:rPr>
                <w:rFonts w:hint="eastAsia" w:ascii="宋体" w:hAnsi="宋体" w:eastAsia="宋体" w:cs="宋体"/>
                <w:b w:val="0"/>
                <w:bCs w:val="0"/>
                <w:i w:val="0"/>
                <w:color w:val="FF0000"/>
                <w:kern w:val="0"/>
                <w:sz w:val="22"/>
                <w:szCs w:val="22"/>
                <w:u w:val="none"/>
                <w:lang w:val="en-US" w:eastAsia="zh-CN" w:bidi="ar"/>
              </w:rPr>
              <w:t>提供招标文件采购需求中要求的实验桌、水槽抽检报告</w:t>
            </w:r>
            <w:r>
              <w:rPr>
                <w:rFonts w:hint="eastAsia" w:ascii="宋体" w:hAnsi="宋体" w:eastAsia="宋体" w:cs="宋体"/>
                <w:b w:val="0"/>
                <w:bCs w:val="0"/>
                <w:color w:val="FF0000"/>
                <w:sz w:val="22"/>
                <w:szCs w:val="22"/>
                <w:lang w:val="en-US" w:eastAsia="zh-CN"/>
              </w:rPr>
              <w:t>（2017年以来）</w:t>
            </w:r>
            <w:r>
              <w:rPr>
                <w:rFonts w:hint="eastAsia" w:ascii="宋体" w:hAnsi="宋体" w:eastAsia="宋体" w:cs="宋体"/>
                <w:b w:val="0"/>
                <w:bCs w:val="0"/>
                <w:i w:val="0"/>
                <w:color w:val="FF0000"/>
                <w:kern w:val="0"/>
                <w:sz w:val="22"/>
                <w:szCs w:val="22"/>
                <w:u w:val="none"/>
                <w:lang w:val="en-US" w:eastAsia="zh-CN" w:bidi="ar"/>
              </w:rPr>
              <w:t>。2分</w:t>
            </w:r>
          </w:p>
          <w:p>
            <w:pPr>
              <w:ind w:left="0" w:leftChars="0" w:firstLine="0" w:firstLineChars="0"/>
              <w:rPr>
                <w:rFonts w:hint="eastAsia" w:ascii="宋体" w:hAnsi="宋体" w:eastAsia="宋体" w:cs="宋体"/>
                <w:color w:val="FF0000"/>
                <w:sz w:val="22"/>
                <w:szCs w:val="22"/>
                <w:lang w:val="en-US" w:eastAsia="zh-CN"/>
              </w:rPr>
            </w:pPr>
            <w:r>
              <w:rPr>
                <w:rFonts w:hint="eastAsia" w:ascii="宋体" w:hAnsi="宋体" w:eastAsia="宋体" w:cs="宋体"/>
                <w:color w:val="FF0000"/>
                <w:sz w:val="22"/>
                <w:szCs w:val="22"/>
                <w:lang w:val="en-US" w:eastAsia="zh-CN"/>
              </w:rPr>
              <w:t>提供2017年以来所用辅材中的板材、粘合剂、油漆涂料、螺丝、封边条、滑轨（测试10万次以上）、铰链（测试10万次以上）检测报告（省级检测中心出具,辅材检测报告需投标人出具并提供原件）7分。</w:t>
            </w:r>
          </w:p>
          <w:p>
            <w:pPr>
              <w:ind w:left="0" w:leftChars="0" w:firstLine="0" w:firstLineChars="0"/>
              <w:rPr>
                <w:rFonts w:hint="eastAsia" w:ascii="宋体" w:hAnsi="宋体" w:eastAsia="宋体" w:cs="宋体"/>
                <w:sz w:val="22"/>
                <w:szCs w:val="22"/>
                <w:lang w:val="en-US" w:eastAsia="zh-CN"/>
              </w:rPr>
            </w:pPr>
          </w:p>
        </w:tc>
        <w:tc>
          <w:tcPr>
            <w:tcW w:w="926" w:type="dxa"/>
            <w:vAlign w:val="center"/>
          </w:tcPr>
          <w:p>
            <w:pPr>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19</w:t>
            </w:r>
            <w:r>
              <w:rPr>
                <w:rFonts w:hint="eastAsia" w:ascii="宋体" w:hAnsi="宋体" w:eastAsia="宋体" w:cs="宋体"/>
                <w:sz w:val="22"/>
                <w:szCs w:val="22"/>
              </w:rPr>
              <w:t>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1315" w:type="dxa"/>
            <w:vAlign w:val="center"/>
          </w:tcPr>
          <w:p>
            <w:pPr>
              <w:ind w:left="0" w:leftChars="0" w:firstLine="0" w:firstLineChars="0"/>
              <w:jc w:val="center"/>
              <w:rPr>
                <w:rFonts w:hint="eastAsia" w:ascii="宋体" w:hAnsi="宋体" w:eastAsia="宋体" w:cs="宋体"/>
                <w:sz w:val="22"/>
                <w:szCs w:val="22"/>
                <w:lang w:eastAsia="zh-CN"/>
              </w:rPr>
            </w:pPr>
            <w:r>
              <w:rPr>
                <w:rFonts w:hint="eastAsia" w:ascii="宋体" w:hAnsi="宋体" w:eastAsia="宋体" w:cs="宋体"/>
                <w:sz w:val="22"/>
                <w:szCs w:val="22"/>
                <w:lang w:val="en-US" w:eastAsia="zh-CN"/>
              </w:rPr>
              <w:t>售后服务</w:t>
            </w:r>
          </w:p>
        </w:tc>
        <w:tc>
          <w:tcPr>
            <w:tcW w:w="7739" w:type="dxa"/>
            <w:gridSpan w:val="2"/>
            <w:vAlign w:val="top"/>
          </w:tcPr>
          <w:p>
            <w:pPr>
              <w:ind w:left="0" w:leftChars="0" w:firstLine="0" w:firstLineChars="0"/>
              <w:rPr>
                <w:rFonts w:hint="eastAsia" w:ascii="宋体" w:hAnsi="宋体" w:eastAsia="宋体" w:cs="宋体"/>
                <w:sz w:val="22"/>
                <w:szCs w:val="22"/>
                <w:lang w:val="en-US"/>
              </w:rPr>
            </w:pPr>
            <w:r>
              <w:rPr>
                <w:rFonts w:hint="eastAsia" w:ascii="宋体" w:hAnsi="宋体" w:eastAsia="宋体" w:cs="宋体"/>
                <w:sz w:val="22"/>
                <w:szCs w:val="22"/>
              </w:rPr>
              <w:t>根据投标人详细完整的“三包”措施及售后服务措施与方案（包括质保年限、服务措施、产品质量保证、回访等）进行评分。</w:t>
            </w:r>
            <w:r>
              <w:rPr>
                <w:rFonts w:hint="eastAsia" w:ascii="宋体" w:hAnsi="宋体" w:eastAsia="宋体" w:cs="宋体"/>
                <w:sz w:val="22"/>
                <w:szCs w:val="22"/>
                <w:lang w:val="en-US" w:eastAsia="zh-CN"/>
              </w:rPr>
              <w:t>一般：0-1，良好1-2，优秀2-3分</w:t>
            </w:r>
          </w:p>
        </w:tc>
        <w:tc>
          <w:tcPr>
            <w:tcW w:w="926" w:type="dxa"/>
            <w:vAlign w:val="center"/>
          </w:tcPr>
          <w:p>
            <w:pPr>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3</w:t>
            </w:r>
            <w:r>
              <w:rPr>
                <w:rFonts w:hint="eastAsia" w:ascii="宋体" w:hAnsi="宋体" w:eastAsia="宋体" w:cs="宋体"/>
                <w:sz w:val="22"/>
                <w:szCs w:val="22"/>
              </w:rPr>
              <w:t>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315" w:type="dxa"/>
            <w:vAlign w:val="center"/>
          </w:tcPr>
          <w:p>
            <w:pPr>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rPr>
              <w:t>标书文件制作</w:t>
            </w:r>
          </w:p>
        </w:tc>
        <w:tc>
          <w:tcPr>
            <w:tcW w:w="7739" w:type="dxa"/>
            <w:gridSpan w:val="2"/>
            <w:vAlign w:val="center"/>
          </w:tcPr>
          <w:p>
            <w:pPr>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投标文件按招标文件规定的格式、顺序编制，有目录、编页码，装订成册，书面整洁无涂改，没有缺漏项，价格数量等计算准确的，计2分。不符合要求的，每处扣0.2分，扣完为止。</w:t>
            </w:r>
          </w:p>
        </w:tc>
        <w:tc>
          <w:tcPr>
            <w:tcW w:w="926" w:type="dxa"/>
            <w:vAlign w:val="center"/>
          </w:tcPr>
          <w:p>
            <w:pPr>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rPr>
              <w:t>2分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1315" w:type="dxa"/>
            <w:vAlign w:val="center"/>
          </w:tcPr>
          <w:p>
            <w:pPr>
              <w:jc w:val="center"/>
              <w:rPr>
                <w:rFonts w:hint="eastAsia" w:ascii="宋体" w:hAnsi="宋体" w:eastAsia="宋体" w:cs="宋体"/>
                <w:color w:val="FF0000"/>
                <w:sz w:val="22"/>
                <w:szCs w:val="22"/>
                <w:lang w:val="en-US" w:eastAsia="zh-CN"/>
              </w:rPr>
            </w:pPr>
            <w:r>
              <w:rPr>
                <w:rFonts w:hint="eastAsia" w:ascii="宋体" w:hAnsi="宋体" w:eastAsia="宋体" w:cs="宋体"/>
                <w:color w:val="FF0000"/>
                <w:sz w:val="22"/>
                <w:szCs w:val="22"/>
                <w:lang w:val="en-US" w:eastAsia="zh-CN"/>
              </w:rPr>
              <w:t>节能环保</w:t>
            </w:r>
          </w:p>
        </w:tc>
        <w:tc>
          <w:tcPr>
            <w:tcW w:w="7739" w:type="dxa"/>
            <w:gridSpan w:val="2"/>
            <w:vAlign w:val="center"/>
          </w:tcPr>
          <w:p>
            <w:pPr>
              <w:rPr>
                <w:rFonts w:hint="eastAsia" w:ascii="宋体" w:hAnsi="宋体" w:eastAsia="宋体" w:cs="宋体"/>
                <w:color w:val="FF0000"/>
                <w:sz w:val="22"/>
                <w:szCs w:val="22"/>
              </w:rPr>
            </w:pPr>
            <w:r>
              <w:rPr>
                <w:rFonts w:hint="eastAsia" w:ascii="宋体" w:hAnsi="宋体" w:eastAsia="宋体" w:cs="宋体"/>
                <w:color w:val="FF0000"/>
                <w:sz w:val="22"/>
                <w:szCs w:val="22"/>
              </w:rPr>
              <w:t>投标人所投产品的制造商获得中国环境标志产品认证证书（认证范围内须有钢木家具</w:t>
            </w:r>
            <w:r>
              <w:rPr>
                <w:rFonts w:hint="eastAsia" w:ascii="宋体" w:hAnsi="宋体" w:eastAsia="宋体" w:cs="宋体"/>
                <w:color w:val="FF0000"/>
                <w:sz w:val="22"/>
                <w:szCs w:val="22"/>
                <w:lang w:eastAsia="zh-CN"/>
              </w:rPr>
              <w:t>，</w:t>
            </w:r>
            <w:r>
              <w:rPr>
                <w:rFonts w:hint="eastAsia" w:ascii="宋体" w:hAnsi="宋体" w:eastAsia="宋体" w:cs="宋体"/>
                <w:color w:val="FF0000"/>
                <w:sz w:val="22"/>
                <w:szCs w:val="22"/>
              </w:rPr>
              <w:t>以</w:t>
            </w:r>
            <w:r>
              <w:rPr>
                <w:rFonts w:hint="eastAsia" w:ascii="宋体" w:hAnsi="宋体" w:eastAsia="宋体" w:cs="宋体"/>
                <w:color w:val="FF0000"/>
                <w:sz w:val="22"/>
                <w:szCs w:val="22"/>
                <w:lang w:val="en-US" w:eastAsia="zh-CN"/>
              </w:rPr>
              <w:t>中国政府采购网发布的文件</w:t>
            </w:r>
            <w:r>
              <w:rPr>
                <w:rFonts w:hint="eastAsia" w:ascii="宋体" w:hAnsi="宋体" w:eastAsia="宋体" w:cs="宋体"/>
                <w:color w:val="FF0000"/>
                <w:sz w:val="22"/>
                <w:szCs w:val="22"/>
                <w:lang w:eastAsia="zh-CN"/>
              </w:rPr>
              <w:t>（http://www.ccgp.gov.cn/xxgg/）</w:t>
            </w:r>
            <w:r>
              <w:rPr>
                <w:rFonts w:hint="eastAsia" w:ascii="宋体" w:hAnsi="宋体" w:eastAsia="宋体" w:cs="宋体"/>
                <w:color w:val="FF0000"/>
                <w:sz w:val="22"/>
                <w:szCs w:val="22"/>
              </w:rPr>
              <w:t>查询核实为准）得分</w:t>
            </w:r>
            <w:r>
              <w:rPr>
                <w:rFonts w:hint="eastAsia" w:ascii="宋体" w:hAnsi="宋体" w:eastAsia="宋体" w:cs="宋体"/>
                <w:color w:val="FF0000"/>
                <w:sz w:val="22"/>
                <w:szCs w:val="22"/>
                <w:lang w:val="en-US" w:eastAsia="zh-CN"/>
              </w:rPr>
              <w:t>2</w:t>
            </w:r>
            <w:r>
              <w:rPr>
                <w:rFonts w:hint="eastAsia" w:ascii="宋体" w:hAnsi="宋体" w:eastAsia="宋体" w:cs="宋体"/>
                <w:color w:val="FF0000"/>
                <w:sz w:val="22"/>
                <w:szCs w:val="22"/>
              </w:rPr>
              <w:t>分；</w:t>
            </w:r>
          </w:p>
        </w:tc>
        <w:tc>
          <w:tcPr>
            <w:tcW w:w="926" w:type="dxa"/>
            <w:vAlign w:val="center"/>
          </w:tcPr>
          <w:p>
            <w:pPr>
              <w:ind w:left="0" w:leftChars="0" w:firstLine="0" w:firstLineChars="0"/>
              <w:jc w:val="center"/>
              <w:rPr>
                <w:rFonts w:hint="eastAsia" w:ascii="宋体" w:hAnsi="宋体" w:eastAsia="宋体" w:cs="宋体"/>
                <w:color w:val="FF0000"/>
                <w:sz w:val="22"/>
                <w:szCs w:val="22"/>
                <w:lang w:val="en-US" w:eastAsia="zh-CN"/>
              </w:rPr>
            </w:pPr>
            <w:r>
              <w:rPr>
                <w:rFonts w:hint="eastAsia" w:ascii="宋体" w:hAnsi="宋体" w:eastAsia="宋体" w:cs="宋体"/>
                <w:color w:val="FF0000"/>
                <w:sz w:val="22"/>
                <w:szCs w:val="22"/>
                <w:lang w:val="en-US" w:eastAsia="zh-CN"/>
              </w:rPr>
              <w:t>2分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9054" w:type="dxa"/>
            <w:gridSpan w:val="3"/>
            <w:vAlign w:val="center"/>
          </w:tcPr>
          <w:p>
            <w:pPr>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rPr>
              <w:t>合计</w:t>
            </w:r>
          </w:p>
        </w:tc>
        <w:tc>
          <w:tcPr>
            <w:tcW w:w="926" w:type="dxa"/>
            <w:vAlign w:val="center"/>
          </w:tcPr>
          <w:p>
            <w:pPr>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70</w:t>
            </w:r>
            <w:r>
              <w:rPr>
                <w:rFonts w:hint="eastAsia" w:ascii="宋体" w:hAnsi="宋体" w:eastAsia="宋体" w:cs="宋体"/>
                <w:sz w:val="22"/>
                <w:szCs w:val="22"/>
              </w:rPr>
              <w:t>分</w:t>
            </w:r>
          </w:p>
        </w:tc>
      </w:tr>
    </w:tbl>
    <w:p>
      <w:pPr>
        <w:adjustRightInd w:val="0"/>
        <w:snapToGrid w:val="0"/>
        <w:spacing w:line="460" w:lineRule="atLeast"/>
        <w:ind w:left="-105" w:leftChars="-50" w:firstLine="440" w:firstLineChars="200"/>
        <w:rPr>
          <w:rFonts w:ascii="宋体" w:hAnsi="宋体" w:eastAsia="宋体" w:cs="Times New Roman"/>
          <w:kern w:val="0"/>
          <w:sz w:val="22"/>
        </w:rPr>
      </w:pPr>
      <w:r>
        <w:rPr>
          <w:rFonts w:hint="eastAsia" w:ascii="宋体" w:hAnsi="宋体" w:eastAsia="宋体" w:cs="Times New Roman"/>
          <w:kern w:val="0"/>
          <w:sz w:val="22"/>
        </w:rPr>
        <w:t>三、说明</w:t>
      </w:r>
    </w:p>
    <w:p>
      <w:pPr>
        <w:adjustRightInd w:val="0"/>
        <w:spacing w:before="100" w:after="50" w:line="440" w:lineRule="atLeast"/>
        <w:ind w:firstLine="420"/>
        <w:rPr>
          <w:rFonts w:ascii="宋体" w:hAnsi="宋体" w:eastAsia="宋体" w:cs="Times New Roman"/>
          <w:sz w:val="22"/>
        </w:rPr>
      </w:pPr>
      <w:r>
        <w:rPr>
          <w:rFonts w:hint="eastAsia" w:ascii="宋体" w:hAnsi="宋体" w:eastAsia="宋体" w:cs="Times New Roman"/>
          <w:sz w:val="22"/>
        </w:rPr>
        <w:t>1、每个供应商最终得分=技术资信部分分值（所有评标委员会成员打分的算术平均值）＋商务报价部分分值。</w:t>
      </w:r>
    </w:p>
    <w:p>
      <w:pPr>
        <w:adjustRightInd w:val="0"/>
        <w:spacing w:before="100" w:after="50" w:line="440" w:lineRule="atLeast"/>
        <w:ind w:firstLine="420"/>
        <w:rPr>
          <w:rFonts w:ascii="宋体" w:hAnsi="宋体" w:eastAsia="宋体" w:cs="Times New Roman"/>
          <w:sz w:val="22"/>
        </w:rPr>
      </w:pPr>
      <w:r>
        <w:rPr>
          <w:rFonts w:hint="eastAsia" w:ascii="宋体" w:hAnsi="宋体" w:eastAsia="宋体" w:cs="Times New Roman"/>
          <w:sz w:val="22"/>
        </w:rPr>
        <w:t>2、评标委员会推荐得分最高的供应商为中标供应商（如果得分相同则按投标价从低到高顺序依次推荐为中标候选供应商；如果综合得分相同投标价也相同，则抽签决定），并编写采购报告。</w:t>
      </w:r>
    </w:p>
    <w:p>
      <w:pPr>
        <w:adjustRightInd w:val="0"/>
        <w:spacing w:before="100" w:after="50" w:line="440" w:lineRule="atLeast"/>
        <w:ind w:firstLine="420"/>
        <w:rPr>
          <w:rFonts w:ascii="宋体" w:hAnsi="宋体" w:eastAsia="宋体" w:cs="Times New Roman"/>
          <w:sz w:val="22"/>
        </w:rPr>
      </w:pPr>
      <w:r>
        <w:rPr>
          <w:rFonts w:hint="eastAsia" w:ascii="宋体" w:hAnsi="宋体" w:eastAsia="宋体" w:cs="Times New Roman"/>
          <w:sz w:val="22"/>
        </w:rPr>
        <w:t>3、所有分值计算保留小数点后二位，小数点后三位四舍五入。</w:t>
      </w:r>
    </w:p>
    <w:p>
      <w:pPr>
        <w:adjustRightInd w:val="0"/>
        <w:spacing w:before="100" w:after="50" w:line="440" w:lineRule="atLeast"/>
        <w:ind w:firstLine="420"/>
        <w:rPr>
          <w:rFonts w:ascii="宋体" w:hAnsi="宋体" w:eastAsia="宋体" w:cs="Times New Roman"/>
          <w:sz w:val="22"/>
        </w:rPr>
      </w:pPr>
      <w:r>
        <w:rPr>
          <w:rFonts w:hint="eastAsia" w:ascii="宋体" w:hAnsi="宋体" w:eastAsia="宋体" w:cs="Times New Roman"/>
          <w:sz w:val="22"/>
        </w:rPr>
        <w:t>参见本招标文件第三部分：“供应商须知” 中的相关内容，未尽事宜按有关法律规定处理。</w:t>
      </w:r>
    </w:p>
    <w:p>
      <w:pPr>
        <w:adjustRightInd w:val="0"/>
        <w:spacing w:before="100" w:after="50" w:line="440" w:lineRule="atLeast"/>
        <w:ind w:firstLine="420"/>
        <w:rPr>
          <w:rFonts w:ascii="宋体" w:hAnsi="宋体" w:eastAsia="宋体" w:cs="Times New Roman"/>
          <w:sz w:val="22"/>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p>
    <w:p>
      <w:pPr>
        <w:spacing w:line="360" w:lineRule="auto"/>
        <w:jc w:val="center"/>
        <w:rPr>
          <w:rFonts w:ascii="宋体" w:hAnsi="宋体" w:eastAsia="宋体" w:cs="Times New Roman"/>
          <w:bCs/>
          <w:spacing w:val="-30"/>
          <w:kern w:val="0"/>
          <w:sz w:val="36"/>
          <w:szCs w:val="20"/>
        </w:rPr>
      </w:pPr>
      <w:r>
        <w:rPr>
          <w:rFonts w:hint="eastAsia" w:ascii="宋体" w:hAnsi="宋体" w:eastAsia="宋体" w:cs="Times New Roman"/>
          <w:bCs/>
          <w:spacing w:val="-30"/>
          <w:kern w:val="0"/>
          <w:sz w:val="36"/>
          <w:szCs w:val="20"/>
        </w:rPr>
        <w:t>投标文件封条</w:t>
      </w:r>
    </w:p>
    <w:p>
      <w:pPr>
        <w:spacing w:line="360" w:lineRule="auto"/>
        <w:jc w:val="center"/>
        <w:rPr>
          <w:rFonts w:ascii="宋体" w:hAnsi="宋体" w:eastAsia="宋体" w:cs="Times New Roman"/>
          <w:bCs/>
          <w:spacing w:val="-30"/>
          <w:kern w:val="0"/>
          <w:sz w:val="36"/>
          <w:szCs w:val="20"/>
        </w:rPr>
      </w:pPr>
      <w:r>
        <w:rPr>
          <w:rFonts w:hint="eastAsia" w:ascii="宋体" w:hAnsi="宋体" w:eastAsia="宋体" w:cs="Times New Roman"/>
          <w:b/>
          <w:kern w:val="0"/>
          <w:szCs w:val="20"/>
        </w:rPr>
        <w:t>（注：供应商在密封标书时将下列封条沿线剪下，不够可复印）</w:t>
      </w:r>
    </w:p>
    <w:p>
      <w:pPr>
        <w:rPr>
          <w:rFonts w:ascii="宋体" w:hAnsi="宋体" w:eastAsia="宋体" w:cs="Times New Roman"/>
          <w:b/>
          <w:spacing w:val="-30"/>
          <w:kern w:val="0"/>
          <w:szCs w:val="20"/>
        </w:rPr>
      </w:pPr>
    </w:p>
    <w:p>
      <w:pPr>
        <w:rPr>
          <w:rFonts w:ascii="宋体" w:hAnsi="宋体" w:eastAsia="宋体" w:cs="Times New Roman"/>
          <w:b/>
          <w:spacing w:val="-30"/>
          <w:kern w:val="0"/>
          <w:szCs w:val="20"/>
        </w:rPr>
      </w:pPr>
    </w:p>
    <w:p>
      <w:pPr>
        <w:rPr>
          <w:rFonts w:ascii="宋体" w:hAnsi="宋体" w:eastAsia="宋体" w:cs="Times New Roman"/>
          <w:b/>
          <w:spacing w:val="-30"/>
          <w:kern w:val="0"/>
          <w:szCs w:val="20"/>
        </w:rPr>
      </w:pPr>
    </w:p>
    <w:p>
      <w:pPr>
        <w:rPr>
          <w:rFonts w:ascii="宋体" w:hAnsi="宋体" w:eastAsia="宋体" w:cs="Times New Roman"/>
          <w:b/>
          <w:kern w:val="0"/>
          <w:szCs w:val="20"/>
        </w:rPr>
      </w:pPr>
    </w:p>
    <w:tbl>
      <w:tblPr>
        <w:tblStyle w:val="22"/>
        <w:tblW w:w="9520"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2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6" w:hRule="atLeast"/>
        </w:trPr>
        <w:tc>
          <w:tcPr>
            <w:tcW w:w="9520" w:type="dxa"/>
          </w:tcPr>
          <w:p>
            <w:pPr>
              <w:rPr>
                <w:rFonts w:ascii="宋体" w:hAnsi="宋体" w:eastAsia="宋体" w:cs="Times New Roman"/>
                <w:b/>
                <w:spacing w:val="-30"/>
                <w:kern w:val="0"/>
                <w:szCs w:val="20"/>
              </w:rPr>
            </w:pPr>
          </w:p>
        </w:tc>
      </w:tr>
    </w:tbl>
    <w:p>
      <w:pPr>
        <w:spacing w:line="600" w:lineRule="exact"/>
        <w:jc w:val="center"/>
        <w:rPr>
          <w:rFonts w:ascii="宋体" w:hAnsi="宋体" w:eastAsia="宋体" w:cs="Times New Roman"/>
          <w:b/>
          <w:bCs/>
          <w:spacing w:val="-30"/>
          <w:kern w:val="0"/>
          <w:sz w:val="44"/>
          <w:szCs w:val="44"/>
        </w:rPr>
      </w:pPr>
      <w:r>
        <w:rPr>
          <w:rFonts w:hint="eastAsia" w:ascii="宋体" w:hAnsi="宋体" w:eastAsia="宋体" w:cs="Times New Roman"/>
          <w:b/>
          <w:bCs/>
          <w:spacing w:val="-30"/>
          <w:kern w:val="0"/>
          <w:sz w:val="44"/>
          <w:szCs w:val="44"/>
          <w:lang w:eastAsia="zh-CN"/>
        </w:rPr>
        <w:t>天河中学新建教学综合楼功能室设备</w:t>
      </w:r>
      <w:r>
        <w:rPr>
          <w:rFonts w:hint="eastAsia" w:ascii="宋体" w:hAnsi="宋体" w:eastAsia="宋体" w:cs="Times New Roman"/>
          <w:b/>
          <w:bCs/>
          <w:spacing w:val="-30"/>
          <w:kern w:val="0"/>
          <w:sz w:val="44"/>
          <w:szCs w:val="44"/>
        </w:rPr>
        <w:t>项目商务报价部分投标文件密封袋封条</w:t>
      </w:r>
    </w:p>
    <w:p>
      <w:pPr>
        <w:tabs>
          <w:tab w:val="right" w:leader="dot" w:pos="9118"/>
        </w:tabs>
        <w:jc w:val="center"/>
        <w:rPr>
          <w:rFonts w:ascii="宋体" w:hAnsi="宋体" w:eastAsia="宋体" w:cs="Times New Roman"/>
          <w:b/>
          <w:sz w:val="22"/>
          <w:shd w:val="pct10" w:color="auto" w:fill="FFFFFF"/>
        </w:rPr>
      </w:pPr>
      <w:r>
        <w:rPr>
          <w:rFonts w:hint="eastAsia" w:ascii="宋体" w:hAnsi="宋体" w:eastAsia="宋体" w:cs="Times New Roman"/>
          <w:b/>
          <w:sz w:val="22"/>
          <w:shd w:val="pct10" w:color="auto" w:fill="FFFFFF"/>
        </w:rPr>
        <w:t>加 盖 投 标 单 位 公 章 及 法 定 代 表 人 或 其 法 定 代 表 人 委 托 代 理 人 签 字 或 盖 章</w:t>
      </w:r>
    </w:p>
    <w:tbl>
      <w:tblPr>
        <w:tblStyle w:val="22"/>
        <w:tblW w:w="9520"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2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0" w:hRule="atLeast"/>
        </w:trPr>
        <w:tc>
          <w:tcPr>
            <w:tcW w:w="9520" w:type="dxa"/>
          </w:tcPr>
          <w:p>
            <w:pPr>
              <w:jc w:val="center"/>
              <w:rPr>
                <w:rFonts w:ascii="宋体" w:hAnsi="宋体" w:eastAsia="宋体" w:cs="Times New Roman"/>
                <w:b/>
                <w:spacing w:val="-30"/>
                <w:kern w:val="0"/>
                <w:szCs w:val="20"/>
              </w:rPr>
            </w:pPr>
          </w:p>
        </w:tc>
      </w:tr>
    </w:tbl>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p>
      <w:pPr>
        <w:rPr>
          <w:rFonts w:ascii="宋体" w:hAnsi="宋体" w:eastAsia="宋体" w:cs="Times New Roman"/>
          <w:b/>
          <w:kern w:val="0"/>
          <w:szCs w:val="20"/>
        </w:rPr>
      </w:pPr>
    </w:p>
    <w:tbl>
      <w:tblPr>
        <w:tblStyle w:val="22"/>
        <w:tblW w:w="9540"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4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6" w:hRule="atLeast"/>
        </w:trPr>
        <w:tc>
          <w:tcPr>
            <w:tcW w:w="9540" w:type="dxa"/>
          </w:tcPr>
          <w:p>
            <w:pPr>
              <w:rPr>
                <w:rFonts w:ascii="宋体" w:hAnsi="宋体" w:eastAsia="宋体" w:cs="Times New Roman"/>
                <w:b/>
                <w:spacing w:val="-30"/>
                <w:kern w:val="0"/>
                <w:szCs w:val="20"/>
              </w:rPr>
            </w:pPr>
          </w:p>
        </w:tc>
      </w:tr>
    </w:tbl>
    <w:p>
      <w:pPr>
        <w:spacing w:line="600" w:lineRule="exact"/>
        <w:jc w:val="center"/>
        <w:rPr>
          <w:rFonts w:ascii="宋体" w:hAnsi="宋体" w:eastAsia="宋体" w:cs="Times New Roman"/>
          <w:b/>
          <w:bCs/>
          <w:spacing w:val="-30"/>
          <w:kern w:val="0"/>
          <w:sz w:val="44"/>
          <w:szCs w:val="44"/>
        </w:rPr>
      </w:pPr>
      <w:r>
        <w:rPr>
          <w:rFonts w:hint="eastAsia" w:ascii="宋体" w:hAnsi="宋体" w:eastAsia="宋体" w:cs="Times New Roman"/>
          <w:b/>
          <w:bCs/>
          <w:spacing w:val="-30"/>
          <w:kern w:val="0"/>
          <w:sz w:val="44"/>
          <w:szCs w:val="44"/>
          <w:lang w:eastAsia="zh-CN"/>
        </w:rPr>
        <w:t>天河中学新建教学综合楼功能室设备</w:t>
      </w:r>
      <w:r>
        <w:rPr>
          <w:rFonts w:hint="eastAsia" w:ascii="宋体" w:hAnsi="宋体" w:eastAsia="宋体" w:cs="Times New Roman"/>
          <w:b/>
          <w:bCs/>
          <w:spacing w:val="-30"/>
          <w:kern w:val="0"/>
          <w:sz w:val="44"/>
          <w:szCs w:val="44"/>
        </w:rPr>
        <w:t>项目资信技术部分投标文件密封袋封条</w:t>
      </w:r>
    </w:p>
    <w:p>
      <w:pPr>
        <w:tabs>
          <w:tab w:val="right" w:leader="dot" w:pos="9118"/>
        </w:tabs>
        <w:jc w:val="center"/>
        <w:rPr>
          <w:rFonts w:ascii="宋体" w:hAnsi="宋体" w:eastAsia="宋体" w:cs="Times New Roman"/>
          <w:b/>
          <w:sz w:val="22"/>
          <w:shd w:val="pct10" w:color="auto" w:fill="FFFFFF"/>
        </w:rPr>
      </w:pPr>
      <w:r>
        <w:rPr>
          <w:rFonts w:hint="eastAsia" w:ascii="宋体" w:hAnsi="宋体" w:eastAsia="宋体" w:cs="Times New Roman"/>
          <w:b/>
          <w:sz w:val="22"/>
          <w:shd w:val="pct10" w:color="auto" w:fill="FFFFFF"/>
        </w:rPr>
        <w:t>加 盖 投 标 单 位 公 章 及 法 定 代 表 人 或 其 法 定 代 表 人 委 托 代 理 人 签 字 或 盖 章</w:t>
      </w:r>
    </w:p>
    <w:tbl>
      <w:tblPr>
        <w:tblStyle w:val="22"/>
        <w:tblW w:w="9520"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2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0" w:hRule="atLeast"/>
        </w:trPr>
        <w:tc>
          <w:tcPr>
            <w:tcW w:w="9520" w:type="dxa"/>
          </w:tcPr>
          <w:p>
            <w:pPr>
              <w:jc w:val="center"/>
              <w:rPr>
                <w:rFonts w:ascii="宋体" w:hAnsi="宋体" w:eastAsia="宋体" w:cs="Times New Roman"/>
                <w:b/>
                <w:spacing w:val="-30"/>
                <w:kern w:val="0"/>
                <w:szCs w:val="20"/>
              </w:rPr>
            </w:pPr>
          </w:p>
        </w:tc>
      </w:tr>
    </w:tbl>
    <w:p>
      <w:pPr>
        <w:rPr>
          <w:rFonts w:ascii="仿宋_GB2312" w:hAnsi="宋体" w:eastAsia="仿宋_GB2312" w:cs="Times New Roman"/>
          <w:b/>
          <w:kern w:val="0"/>
          <w:szCs w:val="20"/>
        </w:rPr>
      </w:pPr>
    </w:p>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roman"/>
    <w:pitch w:val="default"/>
    <w:sig w:usb0="00000000" w:usb1="00000000" w:usb2="00000000" w:usb3="00000000" w:csb0="2000019F"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w:pict>
        <v:shape id="_x0000_s3075" o:spid="_x0000_s307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rFonts w:ascii="宋体" w:eastAsia="宋体"/>
        <w:b/>
      </w:rPr>
    </w:pPr>
    <w:r>
      <w:rPr>
        <w:sz w:val="18"/>
      </w:rPr>
      <w:pict>
        <v:shape id="_x0000_s3076" o:spid="_x0000_s3076"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6"/>
                  <w:jc w:val="right"/>
                </w:pPr>
                <w:r>
                  <w:rPr>
                    <w:rFonts w:ascii="宋体" w:eastAsia="宋体"/>
                    <w:b/>
                  </w:rPr>
                  <w:fldChar w:fldCharType="begin"/>
                </w:r>
                <w:r>
                  <w:rPr>
                    <w:rStyle w:val="26"/>
                    <w:rFonts w:ascii="宋体" w:eastAsia="宋体"/>
                  </w:rPr>
                  <w:instrText xml:space="preserve"> PAGE </w:instrText>
                </w:r>
                <w:r>
                  <w:rPr>
                    <w:rFonts w:ascii="宋体" w:eastAsia="宋体"/>
                    <w:b/>
                  </w:rPr>
                  <w:fldChar w:fldCharType="separate"/>
                </w:r>
                <w:r>
                  <w:rPr>
                    <w:rStyle w:val="26"/>
                    <w:rFonts w:ascii="宋体" w:eastAsia="宋体"/>
                  </w:rPr>
                  <w:t>70</w:t>
                </w:r>
                <w:r>
                  <w:rPr>
                    <w:rFonts w:ascii="宋体" w:eastAsia="宋体"/>
                    <w:b/>
                  </w:rPr>
                  <w:fldChar w:fldCharType="end"/>
                </w:r>
              </w:p>
            </w:txbxContent>
          </v:textbox>
        </v:shape>
      </w:pict>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rPr>
        <w:sz w:val="18"/>
      </w:rPr>
      <w:pict>
        <v:shape id="_x0000_s3077" o:spid="_x0000_s3077"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6"/>
                  <w:jc w:val="right"/>
                </w:pPr>
                <w:r>
                  <w:fldChar w:fldCharType="begin"/>
                </w:r>
                <w:r>
                  <w:instrText xml:space="preserve">PAGE   \* MERGEFORMAT</w:instrText>
                </w:r>
                <w:r>
                  <w:fldChar w:fldCharType="separate"/>
                </w:r>
                <w:r>
                  <w:rPr>
                    <w:lang w:val="zh-CN"/>
                  </w:rPr>
                  <w:t>100</w:t>
                </w:r>
                <w:r>
                  <w:rPr>
                    <w:lang w:val="zh-CN"/>
                  </w:rPr>
                  <w:fldChar w:fldCharType="end"/>
                </w:r>
              </w:p>
            </w:txbxContent>
          </v:textbox>
        </v:shape>
      </w:pict>
    </w:r>
  </w:p>
  <w:p>
    <w:pPr>
      <w:pStyle w:val="1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w:pict>
        <v:shape id="_x0000_s3078" o:spid="_x0000_s3078"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w:t>
                </w:r>
                <w:r>
                  <w:rPr>
                    <w:rFonts w:hint="eastAsia"/>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rPr>
        <w:rFonts w:hint="eastAsia"/>
        <w:lang w:val="en-US" w:eastAsia="zh-CN"/>
      </w:rPr>
    </w:pPr>
    <w:r>
      <w:rPr>
        <w:rFonts w:hint="eastAsia"/>
        <w:lang w:val="en-US" w:eastAsia="zh-CN"/>
      </w:rPr>
      <w:t>浙江永信工程咨询有限公司</w:t>
    </w:r>
  </w:p>
  <w:p>
    <w:pPr>
      <w:pStyle w:val="17"/>
      <w:pBdr>
        <w:bottom w:val="none" w:color="auto" w:sz="0" w:space="0"/>
      </w:pBdr>
      <w:jc w:val="both"/>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hint="eastAsia" w:eastAsiaTheme="minorEastAsia"/>
        <w:lang w:eastAsia="zh-CN"/>
      </w:rPr>
    </w:pPr>
    <w:r>
      <w:rPr>
        <w:rFonts w:hint="eastAsia"/>
        <w:lang w:eastAsia="zh-CN"/>
      </w:rPr>
      <w:t>浙江永信工程咨询有限公司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42834"/>
    <w:multiLevelType w:val="singleLevel"/>
    <w:tmpl w:val="81042834"/>
    <w:lvl w:ilvl="0" w:tentative="0">
      <w:start w:val="1"/>
      <w:numFmt w:val="decimal"/>
      <w:lvlText w:val="%1."/>
      <w:lvlJc w:val="left"/>
      <w:pPr>
        <w:ind w:left="425" w:hanging="425"/>
      </w:pPr>
      <w:rPr>
        <w:rFonts w:hint="default"/>
      </w:rPr>
    </w:lvl>
  </w:abstractNum>
  <w:abstractNum w:abstractNumId="1">
    <w:nsid w:val="823C638A"/>
    <w:multiLevelType w:val="singleLevel"/>
    <w:tmpl w:val="823C638A"/>
    <w:lvl w:ilvl="0" w:tentative="0">
      <w:start w:val="1"/>
      <w:numFmt w:val="decimal"/>
      <w:lvlText w:val="%1)"/>
      <w:lvlJc w:val="left"/>
      <w:pPr>
        <w:tabs>
          <w:tab w:val="left" w:pos="397"/>
        </w:tabs>
        <w:ind w:left="850" w:leftChars="0" w:hanging="453" w:firstLineChars="0"/>
      </w:pPr>
      <w:rPr>
        <w:rFonts w:hint="default"/>
      </w:rPr>
    </w:lvl>
  </w:abstractNum>
  <w:abstractNum w:abstractNumId="2">
    <w:nsid w:val="851BF41B"/>
    <w:multiLevelType w:val="singleLevel"/>
    <w:tmpl w:val="851BF41B"/>
    <w:lvl w:ilvl="0" w:tentative="0">
      <w:start w:val="1"/>
      <w:numFmt w:val="decimal"/>
      <w:lvlText w:val="%1."/>
      <w:lvlJc w:val="left"/>
      <w:pPr>
        <w:ind w:left="425" w:hanging="425"/>
      </w:pPr>
      <w:rPr>
        <w:rFonts w:hint="default"/>
      </w:rPr>
    </w:lvl>
  </w:abstractNum>
  <w:abstractNum w:abstractNumId="3">
    <w:nsid w:val="85CA9E6D"/>
    <w:multiLevelType w:val="singleLevel"/>
    <w:tmpl w:val="85CA9E6D"/>
    <w:lvl w:ilvl="0" w:tentative="0">
      <w:start w:val="1"/>
      <w:numFmt w:val="decimal"/>
      <w:lvlText w:val="%1."/>
      <w:lvlJc w:val="left"/>
      <w:pPr>
        <w:ind w:left="425" w:hanging="425"/>
      </w:pPr>
      <w:rPr>
        <w:rFonts w:hint="default"/>
      </w:rPr>
    </w:lvl>
  </w:abstractNum>
  <w:abstractNum w:abstractNumId="4">
    <w:nsid w:val="8A305404"/>
    <w:multiLevelType w:val="singleLevel"/>
    <w:tmpl w:val="8A305404"/>
    <w:lvl w:ilvl="0" w:tentative="0">
      <w:start w:val="1"/>
      <w:numFmt w:val="decimal"/>
      <w:lvlText w:val="%1."/>
      <w:lvlJc w:val="left"/>
      <w:pPr>
        <w:ind w:left="425" w:hanging="425"/>
      </w:pPr>
      <w:rPr>
        <w:rFonts w:hint="default"/>
      </w:rPr>
    </w:lvl>
  </w:abstractNum>
  <w:abstractNum w:abstractNumId="5">
    <w:nsid w:val="976FDD6C"/>
    <w:multiLevelType w:val="singleLevel"/>
    <w:tmpl w:val="976FDD6C"/>
    <w:lvl w:ilvl="0" w:tentative="0">
      <w:start w:val="3"/>
      <w:numFmt w:val="decimal"/>
      <w:lvlText w:val="%1)"/>
      <w:lvlJc w:val="left"/>
      <w:pPr>
        <w:tabs>
          <w:tab w:val="left" w:pos="397"/>
        </w:tabs>
        <w:ind w:left="850" w:leftChars="0" w:hanging="453" w:firstLineChars="0"/>
      </w:pPr>
      <w:rPr>
        <w:rFonts w:hint="default"/>
      </w:rPr>
    </w:lvl>
  </w:abstractNum>
  <w:abstractNum w:abstractNumId="6">
    <w:nsid w:val="A717BF32"/>
    <w:multiLevelType w:val="singleLevel"/>
    <w:tmpl w:val="A717BF32"/>
    <w:lvl w:ilvl="0" w:tentative="0">
      <w:start w:val="1"/>
      <w:numFmt w:val="decimal"/>
      <w:lvlText w:val="%1."/>
      <w:lvlJc w:val="left"/>
      <w:pPr>
        <w:ind w:left="425" w:hanging="425"/>
      </w:pPr>
      <w:rPr>
        <w:rFonts w:hint="default"/>
      </w:rPr>
    </w:lvl>
  </w:abstractNum>
  <w:abstractNum w:abstractNumId="7">
    <w:nsid w:val="C92983EF"/>
    <w:multiLevelType w:val="singleLevel"/>
    <w:tmpl w:val="C92983EF"/>
    <w:lvl w:ilvl="0" w:tentative="0">
      <w:start w:val="1"/>
      <w:numFmt w:val="decimal"/>
      <w:lvlText w:val="%1)"/>
      <w:lvlJc w:val="left"/>
      <w:pPr>
        <w:tabs>
          <w:tab w:val="left" w:pos="397"/>
        </w:tabs>
        <w:ind w:left="850" w:leftChars="0" w:hanging="453" w:firstLineChars="0"/>
      </w:pPr>
      <w:rPr>
        <w:rFonts w:hint="default"/>
      </w:rPr>
    </w:lvl>
  </w:abstractNum>
  <w:abstractNum w:abstractNumId="8">
    <w:nsid w:val="F25B1EF6"/>
    <w:multiLevelType w:val="singleLevel"/>
    <w:tmpl w:val="F25B1EF6"/>
    <w:lvl w:ilvl="0" w:tentative="0">
      <w:start w:val="1"/>
      <w:numFmt w:val="decimal"/>
      <w:suff w:val="nothing"/>
      <w:lvlText w:val="%1、"/>
      <w:lvlJc w:val="left"/>
    </w:lvl>
  </w:abstractNum>
  <w:abstractNum w:abstractNumId="9">
    <w:nsid w:val="00000016"/>
    <w:multiLevelType w:val="multilevel"/>
    <w:tmpl w:val="00000016"/>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720"/>
        </w:tabs>
        <w:ind w:left="720" w:hanging="720"/>
      </w:pPr>
      <w:rPr>
        <w:rFonts w:hint="default" w:ascii="Arial (W1)" w:hAnsi="Arial (W1)"/>
        <w:b/>
        <w:i w:val="0"/>
        <w:sz w:val="28"/>
      </w:rPr>
    </w:lvl>
    <w:lvl w:ilvl="2" w:tentative="0">
      <w:start w:val="1"/>
      <w:numFmt w:val="decimal"/>
      <w:lvlText w:val="%1.%3."/>
      <w:lvlJc w:val="left"/>
      <w:pPr>
        <w:tabs>
          <w:tab w:val="left" w:pos="720"/>
        </w:tabs>
        <w:ind w:left="720" w:hanging="720"/>
      </w:pPr>
      <w:rPr>
        <w:rFonts w:hint="default"/>
      </w:rPr>
    </w:lvl>
    <w:lvl w:ilvl="3" w:tentative="0">
      <w:start w:val="1"/>
      <w:numFmt w:val="decimal"/>
      <w:lvlText w:val="%1.%3.%4."/>
      <w:lvlJc w:val="left"/>
      <w:pPr>
        <w:tabs>
          <w:tab w:val="left" w:pos="1728"/>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324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4320"/>
        </w:tabs>
        <w:ind w:left="3744" w:hanging="1224"/>
      </w:pPr>
      <w:rPr>
        <w:rFonts w:hint="default"/>
      </w:rPr>
    </w:lvl>
    <w:lvl w:ilvl="8" w:tentative="0">
      <w:start w:val="1"/>
      <w:numFmt w:val="decimal"/>
      <w:lvlText w:val="%1.%2.%3.%4.%5.%6.%7.%8.%9."/>
      <w:lvlJc w:val="left"/>
      <w:pPr>
        <w:tabs>
          <w:tab w:val="left" w:pos="5040"/>
        </w:tabs>
        <w:ind w:left="4320" w:hanging="1440"/>
      </w:pPr>
      <w:rPr>
        <w:rFonts w:hint="default"/>
      </w:rPr>
    </w:lvl>
  </w:abstractNum>
  <w:abstractNum w:abstractNumId="10">
    <w:nsid w:val="0DC1213A"/>
    <w:multiLevelType w:val="singleLevel"/>
    <w:tmpl w:val="0DC1213A"/>
    <w:lvl w:ilvl="0" w:tentative="0">
      <w:start w:val="1"/>
      <w:numFmt w:val="decimal"/>
      <w:lvlText w:val="%1."/>
      <w:lvlJc w:val="left"/>
      <w:pPr>
        <w:ind w:left="425" w:hanging="425"/>
      </w:pPr>
      <w:rPr>
        <w:rFonts w:hint="default"/>
      </w:rPr>
    </w:lvl>
  </w:abstractNum>
  <w:abstractNum w:abstractNumId="11">
    <w:nsid w:val="11692296"/>
    <w:multiLevelType w:val="singleLevel"/>
    <w:tmpl w:val="11692296"/>
    <w:lvl w:ilvl="0" w:tentative="0">
      <w:start w:val="2"/>
      <w:numFmt w:val="decimal"/>
      <w:lvlText w:val="%1)"/>
      <w:lvlJc w:val="left"/>
      <w:pPr>
        <w:tabs>
          <w:tab w:val="left" w:pos="397"/>
        </w:tabs>
        <w:ind w:left="850" w:leftChars="0" w:hanging="453" w:firstLineChars="0"/>
      </w:pPr>
      <w:rPr>
        <w:rFonts w:hint="default"/>
      </w:rPr>
    </w:lvl>
  </w:abstractNum>
  <w:abstractNum w:abstractNumId="12">
    <w:nsid w:val="20E0DE84"/>
    <w:multiLevelType w:val="singleLevel"/>
    <w:tmpl w:val="20E0DE84"/>
    <w:lvl w:ilvl="0" w:tentative="0">
      <w:start w:val="1"/>
      <w:numFmt w:val="decimal"/>
      <w:lvlText w:val="%1)"/>
      <w:lvlJc w:val="left"/>
      <w:pPr>
        <w:tabs>
          <w:tab w:val="left" w:pos="397"/>
        </w:tabs>
        <w:ind w:left="850" w:leftChars="0" w:hanging="453" w:firstLineChars="0"/>
      </w:pPr>
      <w:rPr>
        <w:rFonts w:hint="default"/>
      </w:rPr>
    </w:lvl>
  </w:abstractNum>
  <w:abstractNum w:abstractNumId="13">
    <w:nsid w:val="20E9BCAC"/>
    <w:multiLevelType w:val="singleLevel"/>
    <w:tmpl w:val="20E9BCAC"/>
    <w:lvl w:ilvl="0" w:tentative="0">
      <w:start w:val="1"/>
      <w:numFmt w:val="decimalEnclosedCircleChinese"/>
      <w:suff w:val="nothing"/>
      <w:lvlText w:val="%1　"/>
      <w:lvlJc w:val="left"/>
      <w:pPr>
        <w:ind w:left="850" w:leftChars="0" w:hanging="56" w:firstLineChars="0"/>
      </w:pPr>
      <w:rPr>
        <w:rFonts w:hint="eastAsia"/>
      </w:rPr>
    </w:lvl>
  </w:abstractNum>
  <w:abstractNum w:abstractNumId="14">
    <w:nsid w:val="222E6B49"/>
    <w:multiLevelType w:val="multilevel"/>
    <w:tmpl w:val="222E6B49"/>
    <w:lvl w:ilvl="0" w:tentative="0">
      <w:start w:val="1"/>
      <w:numFmt w:val="decimal"/>
      <w:lvlText w:val="%1."/>
      <w:lvlJc w:val="left"/>
      <w:pPr>
        <w:tabs>
          <w:tab w:val="left" w:pos="567"/>
        </w:tabs>
        <w:ind w:left="567" w:hanging="567"/>
      </w:pPr>
      <w:rPr>
        <w:rFonts w:hint="default" w:ascii="Arial" w:hAnsi="Arial" w:eastAsia="宋体"/>
        <w:b w:val="0"/>
        <w:i w:val="0"/>
        <w:sz w:val="21"/>
        <w:szCs w:val="21"/>
      </w:rPr>
    </w:lvl>
    <w:lvl w:ilvl="1" w:tentative="0">
      <w:start w:val="1"/>
      <w:numFmt w:val="decimal"/>
      <w:lvlText w:val="%1.%2"/>
      <w:lvlJc w:val="left"/>
      <w:pPr>
        <w:tabs>
          <w:tab w:val="left" w:pos="680"/>
        </w:tabs>
        <w:ind w:left="680" w:hanging="680"/>
      </w:pPr>
      <w:rPr>
        <w:rFonts w:hint="default" w:ascii="Arial" w:hAnsi="Arial" w:eastAsia="宋体"/>
        <w:b w:val="0"/>
        <w:i w:val="0"/>
        <w:sz w:val="21"/>
      </w:rPr>
    </w:lvl>
    <w:lvl w:ilvl="2" w:tentative="0">
      <w:start w:val="1"/>
      <w:numFmt w:val="decimal"/>
      <w:lvlText w:val="%1.%2.%3"/>
      <w:lvlJc w:val="left"/>
      <w:pPr>
        <w:tabs>
          <w:tab w:val="left" w:pos="720"/>
        </w:tabs>
        <w:ind w:left="420" w:hanging="420"/>
      </w:pPr>
      <w:rPr>
        <w:rFonts w:hint="eastAsia"/>
      </w:rPr>
    </w:lvl>
    <w:lvl w:ilvl="3" w:tentative="0">
      <w:start w:val="1"/>
      <w:numFmt w:val="decimal"/>
      <w:lvlText w:val="%1.%2.%3.%4"/>
      <w:lvlJc w:val="left"/>
      <w:pPr>
        <w:tabs>
          <w:tab w:val="left" w:pos="42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abstractNum w:abstractNumId="15">
    <w:nsid w:val="2BA75346"/>
    <w:multiLevelType w:val="multilevel"/>
    <w:tmpl w:val="2BA75346"/>
    <w:lvl w:ilvl="0" w:tentative="0">
      <w:start w:val="0"/>
      <w:numFmt w:val="bullet"/>
      <w:lvlText w:val="▲"/>
      <w:lvlJc w:val="left"/>
      <w:pPr>
        <w:tabs>
          <w:tab w:val="left" w:pos="360"/>
        </w:tabs>
        <w:ind w:left="360" w:hanging="36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319584A6"/>
    <w:multiLevelType w:val="singleLevel"/>
    <w:tmpl w:val="319584A6"/>
    <w:lvl w:ilvl="0" w:tentative="0">
      <w:start w:val="2"/>
      <w:numFmt w:val="decimal"/>
      <w:lvlText w:val="%1."/>
      <w:lvlJc w:val="left"/>
      <w:pPr>
        <w:tabs>
          <w:tab w:val="left" w:pos="397"/>
        </w:tabs>
        <w:ind w:left="454" w:leftChars="0" w:hanging="454" w:firstLineChars="0"/>
      </w:pPr>
      <w:rPr>
        <w:rFonts w:hint="default"/>
      </w:rPr>
    </w:lvl>
  </w:abstractNum>
  <w:abstractNum w:abstractNumId="17">
    <w:nsid w:val="341B199A"/>
    <w:multiLevelType w:val="singleLevel"/>
    <w:tmpl w:val="341B199A"/>
    <w:lvl w:ilvl="0" w:tentative="0">
      <w:start w:val="1"/>
      <w:numFmt w:val="decimalEnclosedCircleChinese"/>
      <w:suff w:val="nothing"/>
      <w:lvlText w:val="%1　"/>
      <w:lvlJc w:val="left"/>
      <w:pPr>
        <w:ind w:left="907" w:leftChars="0" w:hanging="113" w:firstLineChars="0"/>
      </w:pPr>
      <w:rPr>
        <w:rFonts w:hint="eastAsia"/>
      </w:rPr>
    </w:lvl>
  </w:abstractNum>
  <w:abstractNum w:abstractNumId="18">
    <w:nsid w:val="35737D31"/>
    <w:multiLevelType w:val="singleLevel"/>
    <w:tmpl w:val="35737D31"/>
    <w:lvl w:ilvl="0" w:tentative="0">
      <w:start w:val="1"/>
      <w:numFmt w:val="decimal"/>
      <w:lvlText w:val="%1."/>
      <w:lvlJc w:val="left"/>
      <w:pPr>
        <w:ind w:left="425" w:hanging="425"/>
      </w:pPr>
      <w:rPr>
        <w:rFonts w:hint="default"/>
      </w:rPr>
    </w:lvl>
  </w:abstractNum>
  <w:abstractNum w:abstractNumId="19">
    <w:nsid w:val="3E56F469"/>
    <w:multiLevelType w:val="singleLevel"/>
    <w:tmpl w:val="3E56F469"/>
    <w:lvl w:ilvl="0" w:tentative="0">
      <w:start w:val="3"/>
      <w:numFmt w:val="decimal"/>
      <w:lvlText w:val="%1."/>
      <w:lvlJc w:val="left"/>
      <w:pPr>
        <w:tabs>
          <w:tab w:val="left" w:pos="397"/>
        </w:tabs>
        <w:ind w:left="454" w:leftChars="0" w:hanging="454" w:firstLineChars="0"/>
      </w:pPr>
      <w:rPr>
        <w:rFonts w:hint="default"/>
      </w:rPr>
    </w:lvl>
  </w:abstractNum>
  <w:abstractNum w:abstractNumId="20">
    <w:nsid w:val="484B18B4"/>
    <w:multiLevelType w:val="multilevel"/>
    <w:tmpl w:val="484B18B4"/>
    <w:lvl w:ilvl="0" w:tentative="0">
      <w:start w:val="1"/>
      <w:numFmt w:val="decimal"/>
      <w:lvlText w:val="%1、"/>
      <w:lvlJc w:val="left"/>
      <w:pPr>
        <w:ind w:left="360" w:hanging="360"/>
      </w:pPr>
      <w:rPr>
        <w:rFonts w:hint="default"/>
      </w:rPr>
    </w:lvl>
    <w:lvl w:ilvl="1" w:tentative="0">
      <w:start w:val="2"/>
      <w:numFmt w:val="japaneseCounting"/>
      <w:lvlText w:val="%2、"/>
      <w:lvlJc w:val="left"/>
      <w:pPr>
        <w:tabs>
          <w:tab w:val="left" w:pos="1140"/>
        </w:tabs>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AA559D9"/>
    <w:multiLevelType w:val="singleLevel"/>
    <w:tmpl w:val="4AA559D9"/>
    <w:lvl w:ilvl="0" w:tentative="0">
      <w:start w:val="1"/>
      <w:numFmt w:val="bullet"/>
      <w:lvlText w:val=""/>
      <w:lvlJc w:val="left"/>
      <w:pPr>
        <w:tabs>
          <w:tab w:val="left" w:pos="1058"/>
        </w:tabs>
        <w:ind w:left="1058" w:hanging="425"/>
      </w:pPr>
      <w:rPr>
        <w:rFonts w:hint="default" w:ascii="Wingdings" w:hAnsi="Wingdings"/>
      </w:rPr>
    </w:lvl>
  </w:abstractNum>
  <w:abstractNum w:abstractNumId="22">
    <w:nsid w:val="61BDB495"/>
    <w:multiLevelType w:val="singleLevel"/>
    <w:tmpl w:val="61BDB495"/>
    <w:lvl w:ilvl="0" w:tentative="0">
      <w:start w:val="1"/>
      <w:numFmt w:val="decimal"/>
      <w:lvlText w:val="%1."/>
      <w:lvlJc w:val="left"/>
      <w:pPr>
        <w:ind w:left="425" w:hanging="425"/>
      </w:pPr>
      <w:rPr>
        <w:rFonts w:hint="default"/>
      </w:rPr>
    </w:lvl>
  </w:abstractNum>
  <w:abstractNum w:abstractNumId="23">
    <w:nsid w:val="64205CCE"/>
    <w:multiLevelType w:val="multilevel"/>
    <w:tmpl w:val="64205CC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52F6940"/>
    <w:multiLevelType w:val="singleLevel"/>
    <w:tmpl w:val="752F6940"/>
    <w:lvl w:ilvl="0" w:tentative="0">
      <w:start w:val="1"/>
      <w:numFmt w:val="decimalEnclosedCircleChinese"/>
      <w:suff w:val="nothing"/>
      <w:lvlText w:val="%1　"/>
      <w:lvlJc w:val="left"/>
      <w:pPr>
        <w:ind w:left="907" w:leftChars="0" w:hanging="113" w:firstLineChars="0"/>
      </w:pPr>
      <w:rPr>
        <w:rFonts w:hint="eastAsia"/>
      </w:rPr>
    </w:lvl>
  </w:abstractNum>
  <w:abstractNum w:abstractNumId="25">
    <w:nsid w:val="762D1D4B"/>
    <w:multiLevelType w:val="singleLevel"/>
    <w:tmpl w:val="762D1D4B"/>
    <w:lvl w:ilvl="0" w:tentative="0">
      <w:start w:val="1"/>
      <w:numFmt w:val="decimal"/>
      <w:lvlText w:val="%1."/>
      <w:lvlJc w:val="left"/>
      <w:pPr>
        <w:ind w:left="425" w:hanging="425"/>
      </w:pPr>
      <w:rPr>
        <w:rFonts w:hint="default"/>
      </w:rPr>
    </w:lvl>
  </w:abstractNum>
  <w:abstractNum w:abstractNumId="26">
    <w:nsid w:val="7A781E8C"/>
    <w:multiLevelType w:val="multilevel"/>
    <w:tmpl w:val="7A781E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20"/>
  </w:num>
  <w:num w:numId="3">
    <w:abstractNumId w:val="3"/>
  </w:num>
  <w:num w:numId="4">
    <w:abstractNumId w:val="4"/>
  </w:num>
  <w:num w:numId="5">
    <w:abstractNumId w:val="25"/>
  </w:num>
  <w:num w:numId="6">
    <w:abstractNumId w:val="22"/>
  </w:num>
  <w:num w:numId="7">
    <w:abstractNumId w:val="18"/>
  </w:num>
  <w:num w:numId="8">
    <w:abstractNumId w:val="0"/>
  </w:num>
  <w:num w:numId="9">
    <w:abstractNumId w:val="7"/>
  </w:num>
  <w:num w:numId="10">
    <w:abstractNumId w:val="2"/>
  </w:num>
  <w:num w:numId="11">
    <w:abstractNumId w:val="6"/>
  </w:num>
  <w:num w:numId="12">
    <w:abstractNumId w:val="12"/>
  </w:num>
  <w:num w:numId="13">
    <w:abstractNumId w:val="16"/>
  </w:num>
  <w:num w:numId="14">
    <w:abstractNumId w:val="1"/>
  </w:num>
  <w:num w:numId="15">
    <w:abstractNumId w:val="13"/>
  </w:num>
  <w:num w:numId="16">
    <w:abstractNumId w:val="11"/>
  </w:num>
  <w:num w:numId="17">
    <w:abstractNumId w:val="17"/>
  </w:num>
  <w:num w:numId="18">
    <w:abstractNumId w:val="5"/>
  </w:num>
  <w:num w:numId="19">
    <w:abstractNumId w:val="24"/>
  </w:num>
  <w:num w:numId="20">
    <w:abstractNumId w:val="19"/>
  </w:num>
  <w:num w:numId="21">
    <w:abstractNumId w:val="10"/>
  </w:num>
  <w:num w:numId="22">
    <w:abstractNumId w:val="14"/>
  </w:num>
  <w:num w:numId="23">
    <w:abstractNumId w:val="23"/>
  </w:num>
  <w:num w:numId="24">
    <w:abstractNumId w:val="26"/>
  </w:num>
  <w:num w:numId="25">
    <w:abstractNumId w:val="21"/>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9105C"/>
    <w:rsid w:val="00015FBD"/>
    <w:rsid w:val="000C1B12"/>
    <w:rsid w:val="0018153D"/>
    <w:rsid w:val="003B76AA"/>
    <w:rsid w:val="003C358C"/>
    <w:rsid w:val="00403E8C"/>
    <w:rsid w:val="004E7C91"/>
    <w:rsid w:val="004F3E95"/>
    <w:rsid w:val="005A5D8A"/>
    <w:rsid w:val="005B4FBD"/>
    <w:rsid w:val="006177BE"/>
    <w:rsid w:val="007B476F"/>
    <w:rsid w:val="009F24DE"/>
    <w:rsid w:val="00A06847"/>
    <w:rsid w:val="00A55EA3"/>
    <w:rsid w:val="00A9105C"/>
    <w:rsid w:val="00C52F17"/>
    <w:rsid w:val="00CF6A6B"/>
    <w:rsid w:val="00F06714"/>
    <w:rsid w:val="036B77CC"/>
    <w:rsid w:val="04763ABF"/>
    <w:rsid w:val="04F42D37"/>
    <w:rsid w:val="05194EBF"/>
    <w:rsid w:val="06826BE6"/>
    <w:rsid w:val="0748357E"/>
    <w:rsid w:val="0801786C"/>
    <w:rsid w:val="09365414"/>
    <w:rsid w:val="0970584D"/>
    <w:rsid w:val="116E139B"/>
    <w:rsid w:val="17CF5CEB"/>
    <w:rsid w:val="1C6B08F9"/>
    <w:rsid w:val="1D55418C"/>
    <w:rsid w:val="23CB2F94"/>
    <w:rsid w:val="2A612F8A"/>
    <w:rsid w:val="31E62061"/>
    <w:rsid w:val="34503BE8"/>
    <w:rsid w:val="38672AC1"/>
    <w:rsid w:val="39C86102"/>
    <w:rsid w:val="3B2B55A5"/>
    <w:rsid w:val="3FEC3C52"/>
    <w:rsid w:val="41171DB1"/>
    <w:rsid w:val="4CFC110D"/>
    <w:rsid w:val="4D200DCF"/>
    <w:rsid w:val="4E232B5E"/>
    <w:rsid w:val="4F874171"/>
    <w:rsid w:val="53544BD9"/>
    <w:rsid w:val="53B81E50"/>
    <w:rsid w:val="5AEA5247"/>
    <w:rsid w:val="65E0438C"/>
    <w:rsid w:val="68A94D3C"/>
    <w:rsid w:val="6DF06FFD"/>
    <w:rsid w:val="715C3156"/>
    <w:rsid w:val="74EE0480"/>
    <w:rsid w:val="75C222D8"/>
    <w:rsid w:val="7C1472E2"/>
    <w:rsid w:val="7ECC45AF"/>
    <w:rsid w:val="7F8E3CF8"/>
    <w:rsid w:val="7FC90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2"/>
    <w:qFormat/>
    <w:uiPriority w:val="0"/>
    <w:pPr>
      <w:keepNext/>
      <w:keepLines/>
      <w:spacing w:before="340" w:after="330" w:line="578" w:lineRule="auto"/>
      <w:outlineLvl w:val="0"/>
    </w:pPr>
    <w:rPr>
      <w:rFonts w:ascii="仿宋_GB2312" w:hAnsi="宋体" w:eastAsia="仿宋_GB2312" w:cs="Times New Roman"/>
      <w:b/>
      <w:bCs/>
      <w:color w:val="000000"/>
      <w:kern w:val="44"/>
      <w:sz w:val="44"/>
      <w:szCs w:val="44"/>
    </w:rPr>
  </w:style>
  <w:style w:type="paragraph" w:styleId="5">
    <w:name w:val="heading 2"/>
    <w:basedOn w:val="1"/>
    <w:next w:val="1"/>
    <w:link w:val="33"/>
    <w:qFormat/>
    <w:uiPriority w:val="9"/>
    <w:pPr>
      <w:keepNext/>
      <w:keepLines/>
      <w:spacing w:before="260" w:after="260" w:line="416" w:lineRule="auto"/>
      <w:outlineLvl w:val="1"/>
    </w:pPr>
    <w:rPr>
      <w:rFonts w:ascii="Arial" w:hAnsi="Arial" w:eastAsia="黑体" w:cs="Times New Roman"/>
      <w:b/>
      <w:bCs/>
      <w:color w:val="000000"/>
      <w:kern w:val="0"/>
      <w:sz w:val="32"/>
      <w:szCs w:val="32"/>
    </w:rPr>
  </w:style>
  <w:style w:type="paragraph" w:styleId="6">
    <w:name w:val="heading 3"/>
    <w:basedOn w:val="1"/>
    <w:next w:val="1"/>
    <w:link w:val="34"/>
    <w:qFormat/>
    <w:uiPriority w:val="0"/>
    <w:pPr>
      <w:keepNext/>
      <w:keepLines/>
      <w:spacing w:before="260" w:after="260" w:line="416" w:lineRule="auto"/>
      <w:outlineLvl w:val="2"/>
    </w:pPr>
    <w:rPr>
      <w:rFonts w:ascii="仿宋_GB2312" w:hAnsi="宋体" w:eastAsia="仿宋_GB2312" w:cs="Times New Roman"/>
      <w:b/>
      <w:bCs/>
      <w:color w:val="000000"/>
      <w:kern w:val="0"/>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37"/>
    <w:uiPriority w:val="0"/>
    <w:pPr>
      <w:spacing w:after="120"/>
    </w:pPr>
    <w:rPr>
      <w:rFonts w:ascii="Times New Roman" w:hAnsi="Times New Roman" w:eastAsia="宋体" w:cs="Times New Roman"/>
      <w:szCs w:val="20"/>
    </w:rPr>
  </w:style>
  <w:style w:type="paragraph" w:styleId="3">
    <w:name w:val="Body Text First Indent"/>
    <w:basedOn w:val="2"/>
    <w:qFormat/>
    <w:uiPriority w:val="99"/>
    <w:pPr>
      <w:autoSpaceDE w:val="0"/>
      <w:autoSpaceDN w:val="0"/>
      <w:adjustRightInd w:val="0"/>
      <w:ind w:firstLine="420" w:firstLineChars="100"/>
      <w:jc w:val="left"/>
    </w:pPr>
    <w:rPr>
      <w:kern w:val="0"/>
      <w:sz w:val="20"/>
      <w:szCs w:val="20"/>
    </w:rPr>
  </w:style>
  <w:style w:type="paragraph" w:styleId="7">
    <w:name w:val="Normal Indent"/>
    <w:basedOn w:val="1"/>
    <w:qFormat/>
    <w:uiPriority w:val="0"/>
    <w:pPr>
      <w:ind w:firstLine="420" w:firstLineChars="200"/>
    </w:pPr>
    <w:rPr>
      <w:rFonts w:ascii="仿宋_GB2312" w:hAnsi="宋体" w:eastAsia="仿宋_GB2312" w:cs="Times New Roman"/>
      <w:b/>
      <w:color w:val="000000"/>
      <w:kern w:val="0"/>
      <w:szCs w:val="20"/>
    </w:rPr>
  </w:style>
  <w:style w:type="paragraph" w:styleId="8">
    <w:name w:val="Document Map"/>
    <w:basedOn w:val="1"/>
    <w:link w:val="35"/>
    <w:semiHidden/>
    <w:qFormat/>
    <w:uiPriority w:val="0"/>
    <w:pPr>
      <w:shd w:val="clear" w:color="auto" w:fill="000080"/>
    </w:pPr>
    <w:rPr>
      <w:rFonts w:ascii="Times New Roman" w:hAnsi="Times New Roman" w:eastAsia="宋体" w:cs="Times New Roman"/>
      <w:szCs w:val="20"/>
    </w:rPr>
  </w:style>
  <w:style w:type="paragraph" w:styleId="9">
    <w:name w:val="toa heading"/>
    <w:basedOn w:val="1"/>
    <w:next w:val="1"/>
    <w:qFormat/>
    <w:uiPriority w:val="0"/>
    <w:pPr>
      <w:spacing w:before="120"/>
    </w:pPr>
    <w:rPr>
      <w:rFonts w:ascii="Arial" w:hAnsi="Arial" w:eastAsia="仿宋_GB2312" w:cs="Times New Roman"/>
      <w:b/>
      <w:color w:val="000000"/>
      <w:kern w:val="0"/>
      <w:sz w:val="24"/>
      <w:szCs w:val="20"/>
    </w:rPr>
  </w:style>
  <w:style w:type="paragraph" w:styleId="10">
    <w:name w:val="annotation text"/>
    <w:basedOn w:val="1"/>
    <w:link w:val="36"/>
    <w:unhideWhenUsed/>
    <w:qFormat/>
    <w:uiPriority w:val="0"/>
    <w:pPr>
      <w:jc w:val="left"/>
    </w:pPr>
    <w:rPr>
      <w:rFonts w:ascii="仿宋_GB2312" w:hAnsi="宋体" w:eastAsia="仿宋_GB2312" w:cs="Times New Roman"/>
      <w:b/>
      <w:color w:val="000000"/>
      <w:kern w:val="0"/>
      <w:szCs w:val="20"/>
    </w:rPr>
  </w:style>
  <w:style w:type="paragraph" w:styleId="11">
    <w:name w:val="Body Text Indent"/>
    <w:basedOn w:val="1"/>
    <w:link w:val="38"/>
    <w:qFormat/>
    <w:uiPriority w:val="0"/>
    <w:pPr>
      <w:spacing w:after="120"/>
      <w:ind w:left="420" w:leftChars="200"/>
    </w:pPr>
    <w:rPr>
      <w:rFonts w:ascii="仿宋_GB2312" w:hAnsi="宋体" w:eastAsia="仿宋_GB2312" w:cs="Times New Roman"/>
      <w:b/>
      <w:color w:val="000000"/>
      <w:kern w:val="0"/>
      <w:szCs w:val="20"/>
    </w:rPr>
  </w:style>
  <w:style w:type="paragraph" w:styleId="12">
    <w:name w:val="Plain Text"/>
    <w:basedOn w:val="1"/>
    <w:link w:val="39"/>
    <w:qFormat/>
    <w:uiPriority w:val="0"/>
    <w:rPr>
      <w:rFonts w:ascii="宋体" w:hAnsi="Courier New" w:eastAsia="仿宋_GB2312" w:cs="Times New Roman"/>
      <w:b/>
      <w:color w:val="000000"/>
      <w:kern w:val="0"/>
      <w:szCs w:val="20"/>
    </w:rPr>
  </w:style>
  <w:style w:type="paragraph" w:styleId="13">
    <w:name w:val="Date"/>
    <w:basedOn w:val="1"/>
    <w:next w:val="1"/>
    <w:link w:val="40"/>
    <w:qFormat/>
    <w:uiPriority w:val="0"/>
    <w:pPr>
      <w:adjustRightInd w:val="0"/>
      <w:spacing w:line="360" w:lineRule="atLeast"/>
      <w:textAlignment w:val="baseline"/>
    </w:pPr>
    <w:rPr>
      <w:rFonts w:ascii="Times New Roman" w:hAnsi="Times New Roman" w:eastAsia="宋体" w:cs="Times New Roman"/>
      <w:kern w:val="0"/>
      <w:szCs w:val="20"/>
    </w:rPr>
  </w:style>
  <w:style w:type="paragraph" w:styleId="14">
    <w:name w:val="Body Text Indent 2"/>
    <w:basedOn w:val="1"/>
    <w:link w:val="41"/>
    <w:qFormat/>
    <w:uiPriority w:val="0"/>
    <w:pPr>
      <w:widowControl/>
      <w:spacing w:line="480" w:lineRule="atLeast"/>
      <w:ind w:firstLine="480"/>
    </w:pPr>
    <w:rPr>
      <w:rFonts w:ascii="宋体" w:hAnsi="宋体" w:eastAsia="仿宋_GB2312" w:cs="Times New Roman"/>
      <w:b/>
      <w:color w:val="000000"/>
      <w:kern w:val="0"/>
      <w:sz w:val="24"/>
      <w:szCs w:val="20"/>
    </w:rPr>
  </w:style>
  <w:style w:type="paragraph" w:styleId="15">
    <w:name w:val="Balloon Text"/>
    <w:basedOn w:val="1"/>
    <w:link w:val="42"/>
    <w:qFormat/>
    <w:uiPriority w:val="0"/>
    <w:rPr>
      <w:rFonts w:ascii="仿宋_GB2312" w:hAnsi="宋体" w:eastAsia="仿宋_GB2312" w:cs="Times New Roman"/>
      <w:b/>
      <w:color w:val="000000"/>
      <w:kern w:val="0"/>
      <w:sz w:val="18"/>
      <w:szCs w:val="20"/>
    </w:rPr>
  </w:style>
  <w:style w:type="paragraph" w:styleId="16">
    <w:name w:val="footer"/>
    <w:basedOn w:val="1"/>
    <w:link w:val="31"/>
    <w:unhideWhenUsed/>
    <w:qFormat/>
    <w:uiPriority w:val="99"/>
    <w:pPr>
      <w:tabs>
        <w:tab w:val="center" w:pos="4153"/>
        <w:tab w:val="right" w:pos="8306"/>
      </w:tabs>
      <w:snapToGrid w:val="0"/>
      <w:jc w:val="left"/>
    </w:pPr>
    <w:rPr>
      <w:sz w:val="18"/>
      <w:szCs w:val="18"/>
    </w:rPr>
  </w:style>
  <w:style w:type="paragraph" w:styleId="17">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118"/>
      </w:tabs>
      <w:jc w:val="center"/>
    </w:pPr>
    <w:rPr>
      <w:rFonts w:ascii="宋体" w:hAnsi="宋体" w:eastAsia="宋体" w:cs="Times New Roman"/>
      <w:b/>
      <w:sz w:val="22"/>
    </w:rPr>
  </w:style>
  <w:style w:type="paragraph" w:styleId="19">
    <w:name w:val="Body Text Indent 3"/>
    <w:basedOn w:val="1"/>
    <w:link w:val="43"/>
    <w:uiPriority w:val="0"/>
    <w:pPr>
      <w:spacing w:after="120"/>
      <w:ind w:left="420" w:leftChars="200"/>
    </w:pPr>
    <w:rPr>
      <w:rFonts w:ascii="仿宋_GB2312" w:hAnsi="宋体" w:eastAsia="仿宋_GB2312" w:cs="Times New Roman"/>
      <w:b/>
      <w:color w:val="000000"/>
      <w:kern w:val="0"/>
      <w:sz w:val="16"/>
      <w:szCs w:val="20"/>
    </w:rPr>
  </w:style>
  <w:style w:type="paragraph" w:styleId="2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1">
    <w:name w:val="annotation subject"/>
    <w:basedOn w:val="10"/>
    <w:next w:val="10"/>
    <w:link w:val="44"/>
    <w:unhideWhenUsed/>
    <w:qFormat/>
    <w:uiPriority w:val="0"/>
    <w:rPr>
      <w:bCs/>
    </w:rPr>
  </w:style>
  <w:style w:type="table" w:styleId="23">
    <w:name w:val="Table Grid"/>
    <w:basedOn w:val="2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5">
    <w:name w:val="Strong"/>
    <w:qFormat/>
    <w:uiPriority w:val="0"/>
    <w:rPr>
      <w:b/>
    </w:rPr>
  </w:style>
  <w:style w:type="character" w:styleId="26">
    <w:name w:val="page number"/>
    <w:basedOn w:val="24"/>
    <w:qFormat/>
    <w:uiPriority w:val="0"/>
  </w:style>
  <w:style w:type="character" w:styleId="27">
    <w:name w:val="line number"/>
    <w:qFormat/>
    <w:uiPriority w:val="0"/>
  </w:style>
  <w:style w:type="character" w:styleId="28">
    <w:name w:val="Hyperlink"/>
    <w:qFormat/>
    <w:uiPriority w:val="99"/>
    <w:rPr>
      <w:color w:val="0000FF"/>
      <w:u w:val="single"/>
    </w:rPr>
  </w:style>
  <w:style w:type="character" w:styleId="29">
    <w:name w:val="annotation reference"/>
    <w:unhideWhenUsed/>
    <w:qFormat/>
    <w:uiPriority w:val="0"/>
    <w:rPr>
      <w:sz w:val="21"/>
      <w:szCs w:val="21"/>
    </w:rPr>
  </w:style>
  <w:style w:type="character" w:customStyle="1" w:styleId="30">
    <w:name w:val="页眉 Char"/>
    <w:basedOn w:val="24"/>
    <w:link w:val="17"/>
    <w:qFormat/>
    <w:uiPriority w:val="99"/>
    <w:rPr>
      <w:sz w:val="18"/>
      <w:szCs w:val="18"/>
    </w:rPr>
  </w:style>
  <w:style w:type="character" w:customStyle="1" w:styleId="31">
    <w:name w:val="页脚 Char"/>
    <w:basedOn w:val="24"/>
    <w:link w:val="16"/>
    <w:qFormat/>
    <w:uiPriority w:val="99"/>
    <w:rPr>
      <w:sz w:val="18"/>
      <w:szCs w:val="18"/>
    </w:rPr>
  </w:style>
  <w:style w:type="character" w:customStyle="1" w:styleId="32">
    <w:name w:val="标题 1 Char"/>
    <w:basedOn w:val="24"/>
    <w:link w:val="4"/>
    <w:qFormat/>
    <w:uiPriority w:val="0"/>
    <w:rPr>
      <w:rFonts w:ascii="仿宋_GB2312" w:hAnsi="宋体" w:eastAsia="仿宋_GB2312" w:cs="Times New Roman"/>
      <w:b/>
      <w:bCs/>
      <w:color w:val="000000"/>
      <w:kern w:val="44"/>
      <w:sz w:val="44"/>
      <w:szCs w:val="44"/>
    </w:rPr>
  </w:style>
  <w:style w:type="character" w:customStyle="1" w:styleId="33">
    <w:name w:val="标题 2 Char"/>
    <w:basedOn w:val="24"/>
    <w:link w:val="5"/>
    <w:qFormat/>
    <w:uiPriority w:val="9"/>
    <w:rPr>
      <w:rFonts w:ascii="Arial" w:hAnsi="Arial" w:eastAsia="黑体" w:cs="Times New Roman"/>
      <w:b/>
      <w:bCs/>
      <w:color w:val="000000"/>
      <w:kern w:val="0"/>
      <w:sz w:val="32"/>
      <w:szCs w:val="32"/>
    </w:rPr>
  </w:style>
  <w:style w:type="character" w:customStyle="1" w:styleId="34">
    <w:name w:val="标题 3 Char"/>
    <w:basedOn w:val="24"/>
    <w:link w:val="6"/>
    <w:qFormat/>
    <w:uiPriority w:val="0"/>
    <w:rPr>
      <w:rFonts w:ascii="仿宋_GB2312" w:hAnsi="宋体" w:eastAsia="仿宋_GB2312" w:cs="Times New Roman"/>
      <w:b/>
      <w:bCs/>
      <w:color w:val="000000"/>
      <w:kern w:val="0"/>
      <w:sz w:val="32"/>
      <w:szCs w:val="32"/>
    </w:rPr>
  </w:style>
  <w:style w:type="character" w:customStyle="1" w:styleId="35">
    <w:name w:val="文档结构图 Char"/>
    <w:basedOn w:val="24"/>
    <w:link w:val="8"/>
    <w:qFormat/>
    <w:uiPriority w:val="0"/>
    <w:rPr>
      <w:rFonts w:ascii="Times New Roman" w:hAnsi="Times New Roman" w:eastAsia="宋体" w:cs="Times New Roman"/>
      <w:szCs w:val="20"/>
      <w:shd w:val="clear" w:color="auto" w:fill="000080"/>
    </w:rPr>
  </w:style>
  <w:style w:type="character" w:customStyle="1" w:styleId="36">
    <w:name w:val="批注文字 Char"/>
    <w:basedOn w:val="24"/>
    <w:link w:val="10"/>
    <w:qFormat/>
    <w:uiPriority w:val="0"/>
    <w:rPr>
      <w:rFonts w:ascii="仿宋_GB2312" w:hAnsi="宋体" w:eastAsia="仿宋_GB2312" w:cs="Times New Roman"/>
      <w:b/>
      <w:color w:val="000000"/>
      <w:kern w:val="0"/>
      <w:szCs w:val="20"/>
    </w:rPr>
  </w:style>
  <w:style w:type="character" w:customStyle="1" w:styleId="37">
    <w:name w:val="正文文本 Char"/>
    <w:basedOn w:val="24"/>
    <w:link w:val="2"/>
    <w:qFormat/>
    <w:uiPriority w:val="0"/>
    <w:rPr>
      <w:rFonts w:ascii="Times New Roman" w:hAnsi="Times New Roman" w:eastAsia="宋体" w:cs="Times New Roman"/>
      <w:szCs w:val="20"/>
    </w:rPr>
  </w:style>
  <w:style w:type="character" w:customStyle="1" w:styleId="38">
    <w:name w:val="正文文本缩进 Char"/>
    <w:basedOn w:val="24"/>
    <w:link w:val="11"/>
    <w:qFormat/>
    <w:uiPriority w:val="0"/>
    <w:rPr>
      <w:rFonts w:ascii="仿宋_GB2312" w:hAnsi="宋体" w:eastAsia="仿宋_GB2312" w:cs="Times New Roman"/>
      <w:b/>
      <w:color w:val="000000"/>
      <w:kern w:val="0"/>
      <w:szCs w:val="20"/>
    </w:rPr>
  </w:style>
  <w:style w:type="character" w:customStyle="1" w:styleId="39">
    <w:name w:val="纯文本 Char"/>
    <w:basedOn w:val="24"/>
    <w:link w:val="12"/>
    <w:qFormat/>
    <w:uiPriority w:val="0"/>
    <w:rPr>
      <w:rFonts w:ascii="宋体" w:hAnsi="Courier New" w:eastAsia="仿宋_GB2312" w:cs="Times New Roman"/>
      <w:b/>
      <w:color w:val="000000"/>
      <w:kern w:val="0"/>
      <w:szCs w:val="20"/>
    </w:rPr>
  </w:style>
  <w:style w:type="character" w:customStyle="1" w:styleId="40">
    <w:name w:val="日期 Char"/>
    <w:basedOn w:val="24"/>
    <w:link w:val="13"/>
    <w:qFormat/>
    <w:uiPriority w:val="0"/>
    <w:rPr>
      <w:rFonts w:ascii="Times New Roman" w:hAnsi="Times New Roman" w:eastAsia="宋体" w:cs="Times New Roman"/>
      <w:kern w:val="0"/>
      <w:szCs w:val="20"/>
    </w:rPr>
  </w:style>
  <w:style w:type="character" w:customStyle="1" w:styleId="41">
    <w:name w:val="正文文本缩进 2 Char"/>
    <w:basedOn w:val="24"/>
    <w:link w:val="14"/>
    <w:qFormat/>
    <w:uiPriority w:val="0"/>
    <w:rPr>
      <w:rFonts w:ascii="宋体" w:hAnsi="宋体" w:eastAsia="仿宋_GB2312" w:cs="Times New Roman"/>
      <w:b/>
      <w:color w:val="000000"/>
      <w:kern w:val="0"/>
      <w:sz w:val="24"/>
      <w:szCs w:val="20"/>
    </w:rPr>
  </w:style>
  <w:style w:type="character" w:customStyle="1" w:styleId="42">
    <w:name w:val="批注框文本 Char"/>
    <w:basedOn w:val="24"/>
    <w:link w:val="15"/>
    <w:qFormat/>
    <w:uiPriority w:val="0"/>
    <w:rPr>
      <w:rFonts w:ascii="仿宋_GB2312" w:hAnsi="宋体" w:eastAsia="仿宋_GB2312" w:cs="Times New Roman"/>
      <w:b/>
      <w:color w:val="000000"/>
      <w:kern w:val="0"/>
      <w:sz w:val="18"/>
      <w:szCs w:val="20"/>
    </w:rPr>
  </w:style>
  <w:style w:type="character" w:customStyle="1" w:styleId="43">
    <w:name w:val="正文文本缩进 3 Char"/>
    <w:basedOn w:val="24"/>
    <w:link w:val="19"/>
    <w:qFormat/>
    <w:uiPriority w:val="0"/>
    <w:rPr>
      <w:rFonts w:ascii="仿宋_GB2312" w:hAnsi="宋体" w:eastAsia="仿宋_GB2312" w:cs="Times New Roman"/>
      <w:b/>
      <w:color w:val="000000"/>
      <w:kern w:val="0"/>
      <w:sz w:val="16"/>
      <w:szCs w:val="20"/>
    </w:rPr>
  </w:style>
  <w:style w:type="character" w:customStyle="1" w:styleId="44">
    <w:name w:val="批注主题 Char"/>
    <w:basedOn w:val="36"/>
    <w:link w:val="21"/>
    <w:qFormat/>
    <w:uiPriority w:val="0"/>
    <w:rPr>
      <w:bCs/>
    </w:rPr>
  </w:style>
  <w:style w:type="character" w:customStyle="1" w:styleId="45">
    <w:name w:val="页眉 Char1"/>
    <w:qFormat/>
    <w:uiPriority w:val="0"/>
    <w:rPr>
      <w:rFonts w:ascii="仿宋_GB2312" w:hAnsi="宋体" w:eastAsia="仿宋_GB2312"/>
      <w:b/>
      <w:color w:val="000000"/>
      <w:sz w:val="18"/>
      <w:lang w:val="en-US" w:eastAsia="zh-CN" w:bidi="ar-SA"/>
    </w:rPr>
  </w:style>
  <w:style w:type="character" w:customStyle="1" w:styleId="46">
    <w:name w:val="unnamed51"/>
    <w:qFormat/>
    <w:uiPriority w:val="0"/>
    <w:rPr>
      <w:sz w:val="22"/>
    </w:rPr>
  </w:style>
  <w:style w:type="character" w:customStyle="1" w:styleId="47">
    <w:name w:val="Texte Char Char"/>
    <w:qFormat/>
    <w:locked/>
    <w:uiPriority w:val="0"/>
    <w:rPr>
      <w:rFonts w:ascii="宋体" w:hAnsi="Courier New" w:eastAsia="宋体"/>
      <w:kern w:val="2"/>
      <w:sz w:val="24"/>
      <w:lang w:val="en-US" w:eastAsia="zh-CN" w:bidi="ar-SA"/>
    </w:rPr>
  </w:style>
  <w:style w:type="character" w:customStyle="1" w:styleId="48">
    <w:name w:val="Plain Text Char1"/>
    <w:link w:val="49"/>
    <w:qFormat/>
    <w:uiPriority w:val="0"/>
    <w:rPr>
      <w:rFonts w:ascii="宋体" w:hAnsi="Courier New" w:eastAsia="宋体"/>
    </w:rPr>
  </w:style>
  <w:style w:type="paragraph" w:customStyle="1" w:styleId="49">
    <w:name w:val="纯文本1"/>
    <w:basedOn w:val="1"/>
    <w:link w:val="48"/>
    <w:qFormat/>
    <w:uiPriority w:val="0"/>
    <w:rPr>
      <w:rFonts w:ascii="宋体" w:hAnsi="Courier New" w:eastAsia="宋体"/>
    </w:rPr>
  </w:style>
  <w:style w:type="paragraph" w:customStyle="1" w:styleId="50">
    <w:name w:val="文档结构图1"/>
    <w:basedOn w:val="1"/>
    <w:qFormat/>
    <w:uiPriority w:val="0"/>
    <w:rPr>
      <w:rFonts w:ascii="宋体" w:hAnsi="Times New Roman" w:eastAsia="宋体" w:cs="Times New Roman"/>
      <w:kern w:val="0"/>
      <w:sz w:val="18"/>
      <w:szCs w:val="18"/>
    </w:rPr>
  </w:style>
  <w:style w:type="character" w:customStyle="1" w:styleId="51">
    <w:name w:val="companytext"/>
    <w:basedOn w:val="24"/>
    <w:qFormat/>
    <w:uiPriority w:val="0"/>
  </w:style>
  <w:style w:type="character" w:customStyle="1" w:styleId="52">
    <w:name w:val="正文缩进 Char"/>
    <w:link w:val="53"/>
    <w:qFormat/>
    <w:uiPriority w:val="0"/>
    <w:rPr>
      <w:rFonts w:ascii="Calibri" w:hAnsi="Calibri" w:eastAsia="宋体"/>
    </w:rPr>
  </w:style>
  <w:style w:type="paragraph" w:customStyle="1" w:styleId="53">
    <w:name w:val="正文缩进1"/>
    <w:basedOn w:val="1"/>
    <w:link w:val="52"/>
    <w:qFormat/>
    <w:uiPriority w:val="0"/>
    <w:pPr>
      <w:ind w:firstLine="420" w:firstLineChars="200"/>
    </w:pPr>
    <w:rPr>
      <w:rFonts w:ascii="Calibri" w:hAnsi="Calibri" w:eastAsia="宋体"/>
    </w:rPr>
  </w:style>
  <w:style w:type="character" w:customStyle="1" w:styleId="54">
    <w:name w:val="样式 标题 1 + Arial Char"/>
    <w:link w:val="55"/>
    <w:qFormat/>
    <w:uiPriority w:val="0"/>
    <w:rPr>
      <w:rFonts w:ascii="Arial" w:hAnsi="Arial"/>
      <w:b/>
      <w:bCs/>
      <w:sz w:val="32"/>
      <w:szCs w:val="44"/>
    </w:rPr>
  </w:style>
  <w:style w:type="paragraph" w:customStyle="1" w:styleId="55">
    <w:name w:val="样式 标题 1 + Arial"/>
    <w:basedOn w:val="4"/>
    <w:link w:val="54"/>
    <w:qFormat/>
    <w:uiPriority w:val="0"/>
    <w:pPr>
      <w:snapToGrid w:val="0"/>
      <w:spacing w:before="0" w:after="0" w:line="360" w:lineRule="auto"/>
      <w:jc w:val="center"/>
    </w:pPr>
    <w:rPr>
      <w:rFonts w:ascii="Arial" w:hAnsi="Arial" w:eastAsiaTheme="minorEastAsia" w:cstheme="minorBidi"/>
      <w:color w:val="auto"/>
      <w:kern w:val="2"/>
      <w:sz w:val="32"/>
    </w:rPr>
  </w:style>
  <w:style w:type="character" w:customStyle="1" w:styleId="56">
    <w:name w:val="页脚 Char1"/>
    <w:qFormat/>
    <w:uiPriority w:val="99"/>
    <w:rPr>
      <w:rFonts w:ascii="仿宋_GB2312" w:hAnsi="宋体" w:eastAsia="仿宋_GB2312"/>
      <w:b/>
      <w:color w:val="000000"/>
      <w:sz w:val="18"/>
      <w:lang w:val="en-US" w:eastAsia="zh-CN" w:bidi="ar-SA"/>
    </w:rPr>
  </w:style>
  <w:style w:type="character" w:customStyle="1" w:styleId="57">
    <w:name w:val="apple-converted-space"/>
    <w:qFormat/>
    <w:uiPriority w:val="0"/>
  </w:style>
  <w:style w:type="character" w:customStyle="1" w:styleId="58">
    <w:name w:val="普通文字 Char Char2"/>
    <w:qFormat/>
    <w:uiPriority w:val="0"/>
    <w:rPr>
      <w:rFonts w:ascii="宋体" w:hAnsi="Courier New" w:eastAsia="仿宋_GB2312"/>
      <w:b/>
      <w:color w:val="000000"/>
      <w:sz w:val="21"/>
      <w:lang w:val="en-US" w:eastAsia="zh-CN" w:bidi="ar-SA"/>
    </w:rPr>
  </w:style>
  <w:style w:type="character" w:customStyle="1" w:styleId="59">
    <w:name w:val="Char Char3"/>
    <w:qFormat/>
    <w:uiPriority w:val="0"/>
    <w:rPr>
      <w:rFonts w:ascii="宋体" w:hAnsi="Courier New"/>
      <w:kern w:val="2"/>
      <w:sz w:val="21"/>
      <w:lang w:bidi="ar-SA"/>
    </w:rPr>
  </w:style>
  <w:style w:type="character" w:customStyle="1" w:styleId="60">
    <w:name w:val="@他"/>
    <w:unhideWhenUsed/>
    <w:qFormat/>
    <w:uiPriority w:val="99"/>
    <w:rPr>
      <w:color w:val="2B579A"/>
      <w:shd w:val="clear" w:color="auto" w:fill="E6E6E6"/>
    </w:rPr>
  </w:style>
  <w:style w:type="character" w:customStyle="1" w:styleId="61">
    <w:name w:val="标题 2 Char Char"/>
    <w:qFormat/>
    <w:uiPriority w:val="0"/>
    <w:rPr>
      <w:rFonts w:ascii="Arial" w:hAnsi="Arial" w:eastAsia="黑体"/>
      <w:b/>
      <w:bCs/>
      <w:color w:val="000000"/>
      <w:sz w:val="32"/>
      <w:szCs w:val="32"/>
      <w:lang w:val="en-US" w:eastAsia="zh-CN" w:bidi="ar-SA"/>
    </w:rPr>
  </w:style>
  <w:style w:type="character" w:customStyle="1" w:styleId="62">
    <w:name w:val="普通文字 Char Char5"/>
    <w:qFormat/>
    <w:uiPriority w:val="0"/>
    <w:rPr>
      <w:rFonts w:ascii="宋体" w:hAnsi="Courier New" w:eastAsia="仿宋_GB2312"/>
      <w:b/>
      <w:color w:val="000000"/>
      <w:sz w:val="21"/>
      <w:lang w:val="en-US" w:eastAsia="zh-CN" w:bidi="ar-SA"/>
    </w:rPr>
  </w:style>
  <w:style w:type="paragraph" w:customStyle="1" w:styleId="63">
    <w:name w:val="Body Text(ch)"/>
    <w:basedOn w:val="1"/>
    <w:next w:val="2"/>
    <w:qFormat/>
    <w:uiPriority w:val="0"/>
    <w:pPr>
      <w:spacing w:line="500" w:lineRule="exact"/>
      <w:jc w:val="center"/>
    </w:pPr>
    <w:rPr>
      <w:rFonts w:ascii="Times New Roman" w:hAnsi="Times New Roman" w:eastAsia="宋体" w:cs="Times New Roman"/>
      <w:szCs w:val="20"/>
    </w:rPr>
  </w:style>
  <w:style w:type="paragraph" w:customStyle="1" w:styleId="64">
    <w:name w:val="Char Char12"/>
    <w:basedOn w:val="8"/>
    <w:qFormat/>
    <w:uiPriority w:val="0"/>
    <w:rPr>
      <w:szCs w:val="24"/>
    </w:rPr>
  </w:style>
  <w:style w:type="paragraph" w:customStyle="1" w:styleId="65">
    <w:name w:val="Char Char Char Char Char Char Char Char Char Char"/>
    <w:basedOn w:val="8"/>
    <w:qFormat/>
    <w:uiPriority w:val="0"/>
    <w:rPr>
      <w:szCs w:val="24"/>
    </w:rPr>
  </w:style>
  <w:style w:type="paragraph" w:customStyle="1" w:styleId="66">
    <w:name w:val="列出段落1"/>
    <w:basedOn w:val="1"/>
    <w:qFormat/>
    <w:uiPriority w:val="34"/>
    <w:pPr>
      <w:ind w:firstLine="420" w:firstLineChars="200"/>
    </w:pPr>
    <w:rPr>
      <w:rFonts w:ascii="仿宋_GB2312" w:hAnsi="宋体" w:eastAsia="仿宋_GB2312" w:cs="Times New Roman"/>
      <w:b/>
      <w:color w:val="000000"/>
      <w:kern w:val="0"/>
      <w:szCs w:val="20"/>
    </w:rPr>
  </w:style>
  <w:style w:type="paragraph" w:customStyle="1" w:styleId="67">
    <w:name w:val="_Style 19"/>
    <w:basedOn w:val="1"/>
    <w:qFormat/>
    <w:uiPriority w:val="0"/>
    <w:rPr>
      <w:rFonts w:ascii="仿宋_GB2312" w:hAnsi="宋体" w:eastAsia="仿宋_GB2312" w:cs="宋体"/>
      <w:b/>
      <w:bCs/>
      <w:color w:val="000000"/>
      <w:kern w:val="0"/>
      <w:szCs w:val="21"/>
    </w:rPr>
  </w:style>
  <w:style w:type="paragraph" w:customStyle="1" w:styleId="68">
    <w:name w:val="_Style 1"/>
    <w:basedOn w:val="1"/>
    <w:qFormat/>
    <w:uiPriority w:val="34"/>
    <w:pPr>
      <w:ind w:firstLine="420" w:firstLineChars="200"/>
    </w:pPr>
    <w:rPr>
      <w:rFonts w:ascii="Calibri" w:hAnsi="Calibri" w:eastAsia="宋体" w:cs="Times New Roman"/>
    </w:rPr>
  </w:style>
  <w:style w:type="paragraph" w:customStyle="1" w:styleId="69">
    <w:name w:val="Char Char Char"/>
    <w:basedOn w:val="1"/>
    <w:qFormat/>
    <w:uiPriority w:val="0"/>
    <w:rPr>
      <w:rFonts w:ascii="Times New Roman" w:hAnsi="Times New Roman" w:eastAsia="宋体" w:cs="Times New Roman"/>
      <w:szCs w:val="24"/>
    </w:rPr>
  </w:style>
  <w:style w:type="paragraph" w:customStyle="1" w:styleId="70">
    <w:name w:val="列出段落2"/>
    <w:basedOn w:val="1"/>
    <w:qFormat/>
    <w:uiPriority w:val="0"/>
    <w:pPr>
      <w:widowControl/>
      <w:ind w:firstLine="420" w:firstLineChars="200"/>
      <w:jc w:val="left"/>
    </w:pPr>
    <w:rPr>
      <w:rFonts w:ascii="Times New Roman" w:hAnsi="Times New Roman" w:eastAsia="宋体" w:cs="Times New Roman"/>
      <w:kern w:val="0"/>
      <w:sz w:val="24"/>
      <w:szCs w:val="20"/>
    </w:rPr>
  </w:style>
  <w:style w:type="paragraph" w:customStyle="1" w:styleId="71">
    <w:name w:val="Char Char1 Char Char Char Char Char Char"/>
    <w:basedOn w:val="1"/>
    <w:qFormat/>
    <w:uiPriority w:val="0"/>
    <w:pPr>
      <w:widowControl/>
      <w:spacing w:after="160" w:line="240" w:lineRule="exact"/>
      <w:jc w:val="left"/>
    </w:pPr>
    <w:rPr>
      <w:rFonts w:ascii="仿宋_GB2312" w:hAnsi="宋体" w:eastAsia="仿宋_GB2312" w:cs="Times New Roman"/>
      <w:b/>
      <w:color w:val="000000"/>
      <w:kern w:val="0"/>
      <w:szCs w:val="20"/>
    </w:rPr>
  </w:style>
  <w:style w:type="paragraph" w:customStyle="1" w:styleId="72">
    <w:name w:val="Char Char Char Char"/>
    <w:basedOn w:val="1"/>
    <w:semiHidden/>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3">
    <w:name w:val="Default Text"/>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74">
    <w:name w:val="Char Char Char Char Char Char Char"/>
    <w:basedOn w:val="1"/>
    <w:qFormat/>
    <w:uiPriority w:val="0"/>
    <w:pPr>
      <w:tabs>
        <w:tab w:val="left" w:pos="432"/>
      </w:tabs>
      <w:ind w:left="432" w:hanging="432"/>
    </w:pPr>
    <w:rPr>
      <w:rFonts w:ascii="Tahoma" w:hAnsi="Tahoma" w:eastAsia="宋体" w:cs="Times New Roman"/>
      <w:sz w:val="24"/>
      <w:szCs w:val="20"/>
    </w:rPr>
  </w:style>
  <w:style w:type="paragraph" w:customStyle="1" w:styleId="75">
    <w:name w:val="Char1 Char Char Char"/>
    <w:basedOn w:val="1"/>
    <w:qFormat/>
    <w:uiPriority w:val="0"/>
    <w:rPr>
      <w:rFonts w:ascii="Tahoma" w:hAnsi="Tahoma" w:eastAsia="宋体" w:cs="Times New Roman"/>
      <w:sz w:val="24"/>
      <w:szCs w:val="20"/>
    </w:rPr>
  </w:style>
  <w:style w:type="paragraph" w:customStyle="1" w:styleId="76">
    <w:name w:val="Default"/>
    <w:qFormat/>
    <w:uiPriority w:val="0"/>
    <w:pPr>
      <w:widowControl w:val="0"/>
      <w:autoSpaceDE w:val="0"/>
      <w:autoSpaceDN w:val="0"/>
      <w:adjustRightInd w:val="0"/>
    </w:pPr>
    <w:rPr>
      <w:rFonts w:ascii="PMingLiU" w:hAnsi="Times New Roman" w:eastAsia="PMingLiU" w:cs="PMingLiU"/>
      <w:color w:val="000000"/>
      <w:kern w:val="0"/>
      <w:sz w:val="24"/>
      <w:szCs w:val="24"/>
      <w:lang w:val="en-US" w:eastAsia="zh-CN" w:bidi="ar-SA"/>
    </w:rPr>
  </w:style>
  <w:style w:type="paragraph" w:styleId="77">
    <w:name w:val="List Paragraph"/>
    <w:basedOn w:val="1"/>
    <w:qFormat/>
    <w:uiPriority w:val="34"/>
    <w:pPr>
      <w:widowControl/>
      <w:ind w:firstLine="420" w:firstLineChars="200"/>
      <w:jc w:val="left"/>
    </w:pPr>
    <w:rPr>
      <w:rFonts w:ascii="Times New Roman" w:hAnsi="Times New Roman" w:eastAsia="宋体" w:cs="Times New Roman"/>
      <w:kern w:val="0"/>
      <w:szCs w:val="20"/>
    </w:rPr>
  </w:style>
  <w:style w:type="paragraph" w:customStyle="1" w:styleId="78">
    <w:name w:val="Char1 Char Char Char1"/>
    <w:basedOn w:val="1"/>
    <w:qFormat/>
    <w:uiPriority w:val="0"/>
    <w:pPr>
      <w:widowControl/>
      <w:snapToGrid w:val="0"/>
      <w:spacing w:before="120" w:after="160" w:line="360" w:lineRule="auto"/>
      <w:ind w:right="-360"/>
      <w:jc w:val="left"/>
    </w:pPr>
    <w:rPr>
      <w:rFonts w:ascii="仿宋_GB2312" w:hAnsi="宋体" w:eastAsia="仿宋_GB2312" w:cs="Times New Roman"/>
      <w:b/>
      <w:color w:val="000000"/>
      <w:kern w:val="0"/>
      <w:szCs w:val="20"/>
    </w:rPr>
  </w:style>
  <w:style w:type="paragraph" w:customStyle="1" w:styleId="79">
    <w:name w:val="标题 3 （加黑）"/>
    <w:basedOn w:val="6"/>
    <w:qFormat/>
    <w:uiPriority w:val="0"/>
    <w:pPr>
      <w:keepNext w:val="0"/>
      <w:spacing w:before="120" w:after="120" w:line="415" w:lineRule="auto"/>
      <w:ind w:left="354" w:hanging="354" w:hangingChars="150"/>
    </w:pPr>
    <w:rPr>
      <w:rFonts w:ascii="Times New Roman" w:hAnsi="Times New Roman" w:eastAsia="宋体"/>
      <w:color w:val="auto"/>
      <w:kern w:val="2"/>
      <w:sz w:val="24"/>
    </w:rPr>
  </w:style>
  <w:style w:type="paragraph" w:customStyle="1" w:styleId="80">
    <w:name w:val="Char Char7 Char"/>
    <w:basedOn w:val="1"/>
    <w:qFormat/>
    <w:uiPriority w:val="0"/>
    <w:pPr>
      <w:tabs>
        <w:tab w:val="left" w:pos="425"/>
      </w:tabs>
      <w:ind w:left="420" w:leftChars="200" w:firstLine="270" w:firstLineChars="150"/>
    </w:pPr>
    <w:rPr>
      <w:rFonts w:ascii="Times New Roman" w:hAnsi="Times New Roman" w:eastAsia="宋体" w:cs="Times New Roman"/>
      <w:szCs w:val="24"/>
    </w:rPr>
  </w:style>
  <w:style w:type="paragraph" w:customStyle="1" w:styleId="81">
    <w:name w:val="默认段落字体 Para Char Char Char Char Char Char Char"/>
    <w:basedOn w:val="1"/>
    <w:qFormat/>
    <w:uiPriority w:val="0"/>
    <w:pPr>
      <w:adjustRightInd w:val="0"/>
      <w:spacing w:line="360" w:lineRule="auto"/>
    </w:pPr>
    <w:rPr>
      <w:rFonts w:ascii="Tahoma" w:hAnsi="Tahoma" w:eastAsia="宋体" w:cs="Times New Roman"/>
      <w:kern w:val="0"/>
      <w:sz w:val="24"/>
      <w:szCs w:val="20"/>
    </w:rPr>
  </w:style>
  <w:style w:type="paragraph" w:customStyle="1" w:styleId="82">
    <w:name w:val="表内文字"/>
    <w:basedOn w:val="1"/>
    <w:qFormat/>
    <w:uiPriority w:val="0"/>
    <w:pPr>
      <w:spacing w:line="500" w:lineRule="atLeast"/>
      <w:jc w:val="center"/>
    </w:pPr>
    <w:rPr>
      <w:rFonts w:ascii="Arial" w:hAnsi="Arial" w:eastAsia="楷体_GB2312" w:cs="Times New Roman"/>
      <w:sz w:val="28"/>
      <w:szCs w:val="20"/>
    </w:rPr>
  </w:style>
  <w:style w:type="paragraph" w:customStyle="1" w:styleId="83">
    <w:name w:val="Char1"/>
    <w:basedOn w:val="1"/>
    <w:qFormat/>
    <w:uiPriority w:val="0"/>
    <w:rPr>
      <w:rFonts w:ascii="仿宋_GB2312" w:hAnsi="Times New Roman" w:eastAsia="仿宋_GB2312" w:cs="Times New Roman"/>
      <w:b/>
      <w:sz w:val="32"/>
      <w:szCs w:val="32"/>
    </w:rPr>
  </w:style>
  <w:style w:type="paragraph" w:customStyle="1" w:styleId="84">
    <w:name w:val="Char1 Char Char Char Char Char Char"/>
    <w:basedOn w:val="1"/>
    <w:qFormat/>
    <w:uiPriority w:val="0"/>
    <w:rPr>
      <w:rFonts w:ascii="Tahoma" w:hAnsi="Tahoma" w:eastAsia="宋体" w:cs="Times New Roman"/>
      <w:sz w:val="24"/>
      <w:szCs w:val="20"/>
    </w:rPr>
  </w:style>
  <w:style w:type="paragraph" w:customStyle="1" w:styleId="85">
    <w:name w:val="TOC 标题1"/>
    <w:basedOn w:val="4"/>
    <w:next w:val="1"/>
    <w:qFormat/>
    <w:uiPriority w:val="39"/>
    <w:pPr>
      <w:widowControl/>
      <w:spacing w:before="240" w:after="0" w:line="259" w:lineRule="auto"/>
      <w:jc w:val="left"/>
      <w:outlineLvl w:val="9"/>
    </w:pPr>
    <w:rPr>
      <w:rFonts w:ascii="Calibri Light" w:hAnsi="Calibri Light" w:eastAsia="宋体"/>
      <w:b w:val="0"/>
      <w:bCs w:val="0"/>
      <w:color w:val="2E74B5"/>
      <w:kern w:val="0"/>
      <w:sz w:val="32"/>
      <w:szCs w:val="32"/>
    </w:rPr>
  </w:style>
  <w:style w:type="paragraph" w:customStyle="1" w:styleId="86">
    <w:name w:val="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7">
    <w:name w:val="Char Char2 Char"/>
    <w:basedOn w:val="1"/>
    <w:uiPriority w:val="0"/>
    <w:pPr>
      <w:keepNext/>
      <w:keepLines/>
      <w:pageBreakBefore/>
      <w:tabs>
        <w:tab w:val="left" w:pos="845"/>
      </w:tabs>
      <w:ind w:left="845" w:hanging="420"/>
    </w:pPr>
    <w:rPr>
      <w:rFonts w:ascii="仿宋_GB2312" w:hAnsi="宋体" w:eastAsia="仿宋_GB2312" w:cs="Times New Roman"/>
      <w:b/>
      <w:color w:val="000000"/>
      <w:kern w:val="0"/>
      <w:szCs w:val="20"/>
    </w:rPr>
  </w:style>
  <w:style w:type="paragraph" w:customStyle="1" w:styleId="88">
    <w:name w:val="Char Char6"/>
    <w:basedOn w:val="1"/>
    <w:qFormat/>
    <w:uiPriority w:val="0"/>
    <w:pPr>
      <w:tabs>
        <w:tab w:val="left" w:pos="425"/>
      </w:tabs>
      <w:ind w:left="420" w:leftChars="200" w:firstLine="270" w:firstLineChars="150"/>
    </w:pPr>
    <w:rPr>
      <w:rFonts w:ascii="Times New Roman" w:hAnsi="Times New Roman" w:eastAsia="宋体" w:cs="Times New Roman"/>
      <w:szCs w:val="20"/>
    </w:rPr>
  </w:style>
  <w:style w:type="paragraph" w:customStyle="1" w:styleId="89">
    <w:name w:val="style1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
    <w:name w:val="样式 正文缩进 + 首行缩进:  2 字符"/>
    <w:basedOn w:val="53"/>
    <w:qFormat/>
    <w:uiPriority w:val="0"/>
    <w:pPr>
      <w:spacing w:line="360" w:lineRule="auto"/>
      <w:ind w:firstLine="200"/>
    </w:pPr>
    <w:rPr>
      <w:rFonts w:ascii="Times New Roman" w:hAnsi="Times New Roman" w:cs="宋体"/>
      <w:sz w:val="24"/>
      <w:szCs w:val="20"/>
    </w:rPr>
  </w:style>
  <w:style w:type="paragraph" w:customStyle="1" w:styleId="91">
    <w:name w:val="列表1"/>
    <w:basedOn w:val="1"/>
    <w:qFormat/>
    <w:uiPriority w:val="0"/>
    <w:pPr>
      <w:tabs>
        <w:tab w:val="left" w:pos="840"/>
      </w:tabs>
      <w:spacing w:line="360" w:lineRule="auto"/>
      <w:ind w:left="720" w:hanging="360"/>
      <w:jc w:val="left"/>
    </w:pPr>
    <w:rPr>
      <w:rFonts w:ascii="宋体" w:hAnsi="宋体" w:eastAsia="宋体" w:cs="Times New Roman"/>
      <w:sz w:val="24"/>
      <w:szCs w:val="24"/>
    </w:rPr>
  </w:style>
  <w:style w:type="paragraph" w:customStyle="1" w:styleId="92">
    <w:name w:val="RFI Heading 2nd Level"/>
    <w:basedOn w:val="1"/>
    <w:qFormat/>
    <w:uiPriority w:val="0"/>
    <w:pPr>
      <w:widowControl/>
      <w:tabs>
        <w:tab w:val="left" w:pos="720"/>
        <w:tab w:val="left" w:pos="1058"/>
      </w:tabs>
      <w:ind w:left="1058" w:hanging="425"/>
      <w:jc w:val="left"/>
    </w:pPr>
    <w:rPr>
      <w:rFonts w:ascii="Arial (W1)" w:hAnsi="Arial (W1)" w:eastAsia="宋体" w:cs="Times New Roman"/>
      <w:b/>
      <w:bCs/>
      <w:color w:val="0000FF"/>
      <w:kern w:val="0"/>
      <w:sz w:val="28"/>
      <w:szCs w:val="24"/>
      <w:lang w:eastAsia="en-US"/>
    </w:rPr>
  </w:style>
  <w:style w:type="paragraph" w:customStyle="1" w:styleId="93">
    <w:name w:val="RFI Heading 3rd Level"/>
    <w:basedOn w:val="1"/>
    <w:qFormat/>
    <w:uiPriority w:val="0"/>
    <w:pPr>
      <w:widowControl/>
      <w:tabs>
        <w:tab w:val="left" w:pos="720"/>
        <w:tab w:val="left" w:pos="1058"/>
      </w:tabs>
      <w:ind w:left="1058" w:hanging="425"/>
      <w:jc w:val="left"/>
    </w:pPr>
    <w:rPr>
      <w:rFonts w:ascii="Arial (W1)" w:hAnsi="Arial (W1)" w:eastAsia="宋体" w:cs="Times New Roman"/>
      <w:color w:val="000000"/>
      <w:kern w:val="0"/>
      <w:sz w:val="24"/>
      <w:szCs w:val="24"/>
      <w:lang w:eastAsia="en-US"/>
    </w:rPr>
  </w:style>
  <w:style w:type="paragraph" w:customStyle="1" w:styleId="94">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b/>
      <w:kern w:val="0"/>
      <w:sz w:val="28"/>
      <w:szCs w:val="20"/>
    </w:rPr>
  </w:style>
  <w:style w:type="paragraph" w:customStyle="1" w:styleId="95">
    <w:name w:val="Char Char7 Char1"/>
    <w:basedOn w:val="1"/>
    <w:qFormat/>
    <w:uiPriority w:val="0"/>
    <w:pPr>
      <w:tabs>
        <w:tab w:val="left" w:pos="425"/>
      </w:tabs>
      <w:ind w:left="420" w:leftChars="200" w:firstLine="270" w:firstLineChars="150"/>
    </w:pPr>
    <w:rPr>
      <w:rFonts w:ascii="Times New Roman" w:hAnsi="Times New Roman" w:eastAsia="宋体" w:cs="Times New Roman"/>
      <w:szCs w:val="24"/>
    </w:rPr>
  </w:style>
  <w:style w:type="paragraph" w:customStyle="1" w:styleId="96">
    <w:name w:val="无间隔1"/>
    <w:qFormat/>
    <w:uiPriority w:val="0"/>
    <w:pPr>
      <w:widowControl w:val="0"/>
      <w:spacing w:line="300" w:lineRule="auto"/>
    </w:pPr>
    <w:rPr>
      <w:rFonts w:ascii="楷体_GB2312" w:hAnsi="宋体" w:eastAsia="楷体_GB2312" w:cs="Times New Roman"/>
      <w:bCs/>
      <w:kern w:val="2"/>
      <w:sz w:val="24"/>
      <w:szCs w:val="24"/>
      <w:u w:val="single"/>
      <w:lang w:val="en-US" w:eastAsia="zh-CN" w:bidi="ar-SA"/>
    </w:rPr>
  </w:style>
  <w:style w:type="character" w:customStyle="1" w:styleId="97">
    <w:name w:val="font01"/>
    <w:basedOn w:val="24"/>
    <w:qFormat/>
    <w:uiPriority w:val="0"/>
    <w:rPr>
      <w:rFonts w:hint="eastAsia" w:ascii="宋体" w:hAnsi="宋体" w:eastAsia="宋体" w:cs="宋体"/>
      <w:color w:val="000000"/>
      <w:sz w:val="28"/>
      <w:szCs w:val="28"/>
      <w:u w:val="none"/>
    </w:rPr>
  </w:style>
  <w:style w:type="character" w:customStyle="1" w:styleId="98">
    <w:name w:val="font131"/>
    <w:basedOn w:val="24"/>
    <w:qFormat/>
    <w:uiPriority w:val="0"/>
    <w:rPr>
      <w:rFonts w:hint="eastAsia" w:ascii="宋体" w:hAnsi="宋体" w:eastAsia="宋体" w:cs="宋体"/>
      <w:color w:val="000000"/>
      <w:sz w:val="28"/>
      <w:szCs w:val="28"/>
      <w:u w:val="none"/>
    </w:rPr>
  </w:style>
  <w:style w:type="character" w:customStyle="1" w:styleId="99">
    <w:name w:val="font41"/>
    <w:basedOn w:val="24"/>
    <w:qFormat/>
    <w:uiPriority w:val="0"/>
    <w:rPr>
      <w:rFonts w:hint="eastAsia" w:ascii="宋体" w:hAnsi="宋体" w:eastAsia="宋体" w:cs="宋体"/>
      <w:color w:val="000000"/>
      <w:sz w:val="32"/>
      <w:szCs w:val="32"/>
      <w:u w:val="none"/>
    </w:rPr>
  </w:style>
  <w:style w:type="character" w:customStyle="1" w:styleId="100">
    <w:name w:val="font31"/>
    <w:basedOn w:val="24"/>
    <w:qFormat/>
    <w:uiPriority w:val="0"/>
    <w:rPr>
      <w:rFonts w:hint="eastAsia" w:ascii="宋体" w:hAnsi="宋体" w:eastAsia="宋体" w:cs="宋体"/>
      <w:color w:val="000000"/>
      <w:sz w:val="32"/>
      <w:szCs w:val="32"/>
      <w:u w:val="none"/>
    </w:rPr>
  </w:style>
  <w:style w:type="character" w:customStyle="1" w:styleId="101">
    <w:name w:val="font151"/>
    <w:basedOn w:val="24"/>
    <w:qFormat/>
    <w:uiPriority w:val="0"/>
    <w:rPr>
      <w:rFonts w:hint="eastAsia" w:ascii="宋体" w:hAnsi="宋体" w:eastAsia="宋体" w:cs="宋体"/>
      <w:color w:val="000000"/>
      <w:sz w:val="32"/>
      <w:szCs w:val="32"/>
      <w:u w:val="none"/>
    </w:rPr>
  </w:style>
  <w:style w:type="character" w:customStyle="1" w:styleId="102">
    <w:name w:val="font11"/>
    <w:basedOn w:val="24"/>
    <w:qFormat/>
    <w:uiPriority w:val="0"/>
    <w:rPr>
      <w:rFonts w:hint="default" w:ascii="Times New Roman" w:hAnsi="Times New Roman" w:cs="Times New Roman"/>
      <w:color w:val="000000"/>
      <w:sz w:val="32"/>
      <w:szCs w:val="32"/>
      <w:u w:val="none"/>
    </w:rPr>
  </w:style>
  <w:style w:type="character" w:customStyle="1" w:styleId="103">
    <w:name w:val="font91"/>
    <w:basedOn w:val="24"/>
    <w:qFormat/>
    <w:uiPriority w:val="0"/>
    <w:rPr>
      <w:rFonts w:hint="default" w:ascii="Times New Roman" w:hAnsi="Times New Roman" w:cs="Times New Roman"/>
      <w:color w:val="000000"/>
      <w:sz w:val="32"/>
      <w:szCs w:val="32"/>
      <w:u w:val="none"/>
    </w:rPr>
  </w:style>
  <w:style w:type="character" w:customStyle="1" w:styleId="104">
    <w:name w:val="font101"/>
    <w:basedOn w:val="24"/>
    <w:qFormat/>
    <w:uiPriority w:val="0"/>
    <w:rPr>
      <w:rFonts w:hint="eastAsia" w:ascii="宋体" w:hAnsi="宋体" w:eastAsia="宋体" w:cs="宋体"/>
      <w:color w:val="FFFFFF"/>
      <w:sz w:val="32"/>
      <w:szCs w:val="32"/>
      <w:u w:val="none"/>
    </w:rPr>
  </w:style>
  <w:style w:type="character" w:customStyle="1" w:styleId="105">
    <w:name w:val="font21"/>
    <w:basedOn w:val="24"/>
    <w:qFormat/>
    <w:uiPriority w:val="0"/>
    <w:rPr>
      <w:rFonts w:hint="eastAsia" w:ascii="宋体" w:hAnsi="宋体" w:eastAsia="宋体" w:cs="宋体"/>
      <w:color w:val="000000"/>
      <w:sz w:val="26"/>
      <w:szCs w:val="26"/>
      <w:u w:val="none"/>
    </w:rPr>
  </w:style>
  <w:style w:type="character" w:customStyle="1" w:styleId="106">
    <w:name w:val="font51"/>
    <w:basedOn w:val="24"/>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79.png"/><Relationship Id="rId95" Type="http://schemas.openxmlformats.org/officeDocument/2006/relationships/image" Target="media/image78.png"/><Relationship Id="rId94" Type="http://schemas.openxmlformats.org/officeDocument/2006/relationships/image" Target="media/image77.png"/><Relationship Id="rId93" Type="http://schemas.openxmlformats.org/officeDocument/2006/relationships/image" Target="media/image76.png"/><Relationship Id="rId92" Type="http://schemas.openxmlformats.org/officeDocument/2006/relationships/image" Target="media/image75.png"/><Relationship Id="rId91" Type="http://schemas.openxmlformats.org/officeDocument/2006/relationships/image" Target="media/image74.png"/><Relationship Id="rId90" Type="http://schemas.openxmlformats.org/officeDocument/2006/relationships/image" Target="media/image73.png"/><Relationship Id="rId9" Type="http://schemas.openxmlformats.org/officeDocument/2006/relationships/footer" Target="footer4.xml"/><Relationship Id="rId89" Type="http://schemas.openxmlformats.org/officeDocument/2006/relationships/image" Target="media/image72.pn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png"/><Relationship Id="rId84" Type="http://schemas.openxmlformats.org/officeDocument/2006/relationships/image" Target="media/image67.png"/><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header" Target="header3.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3.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footer" Target="foot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4" textRotate="1"/>
    <customShpInfo spid="_x0000_s3075" textRotate="1"/>
    <customShpInfo spid="_x0000_s3076" textRotate="1"/>
    <customShpInfo spid="_x0000_s3077" textRotate="1"/>
    <customShpInfo spid="_x0000_s307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86</Pages>
  <Words>12257</Words>
  <Characters>69869</Characters>
  <Lines>582</Lines>
  <Paragraphs>163</Paragraphs>
  <TotalTime>38</TotalTime>
  <ScaleCrop>false</ScaleCrop>
  <LinksUpToDate>false</LinksUpToDate>
  <CharactersWithSpaces>81963</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2019-06-10T04:16:00Z</dcterms:created>
  <dc:creator>杭州华旗招标代理有限公司</dc:creator>
  <cp:lastModifiedBy>柳1421165981</cp:lastModifiedBy>
  <dcterms:modified xsi:type="dcterms:W3CDTF">2019-07-09T06:44:28Z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