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3BC6">
      <w:pPr>
        <w:jc w:val="center"/>
        <w:rPr>
          <w:rFonts w:hint="eastAsia" w:ascii="宋体" w:hAnsi="宋体" w:cs="新宋体"/>
          <w:b/>
          <w:bCs/>
          <w:color w:val="auto"/>
          <w:spacing w:val="100"/>
          <w:sz w:val="84"/>
          <w:szCs w:val="84"/>
          <w:highlight w:val="none"/>
        </w:rPr>
      </w:pPr>
      <w:r>
        <w:rPr>
          <w:rFonts w:hint="eastAsia" w:ascii="宋体" w:hAnsi="宋体" w:cs="新宋体"/>
          <w:b/>
          <w:bCs/>
          <w:color w:val="auto"/>
          <w:spacing w:val="100"/>
          <w:sz w:val="84"/>
          <w:szCs w:val="84"/>
          <w:highlight w:val="none"/>
        </w:rPr>
        <w:t>鹿城区政府采购</w:t>
      </w:r>
    </w:p>
    <w:p w14:paraId="6E807173">
      <w:pPr>
        <w:jc w:val="center"/>
        <w:rPr>
          <w:rFonts w:hint="eastAsia" w:ascii="宋体" w:hAnsi="宋体" w:cs="新宋体"/>
          <w:b/>
          <w:bCs/>
          <w:color w:val="auto"/>
          <w:spacing w:val="26"/>
          <w:sz w:val="52"/>
          <w:highlight w:val="none"/>
        </w:rPr>
      </w:pPr>
    </w:p>
    <w:p w14:paraId="3DDB1DE8">
      <w:pPr>
        <w:jc w:val="center"/>
        <w:rPr>
          <w:rFonts w:hint="eastAsia" w:ascii="宋体" w:hAnsi="宋体" w:cs="新宋体"/>
          <w:b/>
          <w:bCs/>
          <w:color w:val="auto"/>
          <w:spacing w:val="140"/>
          <w:sz w:val="84"/>
          <w:szCs w:val="84"/>
          <w:highlight w:val="none"/>
        </w:rPr>
      </w:pPr>
    </w:p>
    <w:p w14:paraId="32166B31">
      <w:pPr>
        <w:jc w:val="center"/>
        <w:rPr>
          <w:rFonts w:hint="eastAsia" w:ascii="宋体" w:hAnsi="宋体" w:cs="新宋体"/>
          <w:b/>
          <w:bCs/>
          <w:color w:val="auto"/>
          <w:spacing w:val="140"/>
          <w:sz w:val="84"/>
          <w:szCs w:val="84"/>
          <w:highlight w:val="none"/>
        </w:rPr>
      </w:pPr>
      <w:r>
        <w:rPr>
          <w:rFonts w:hint="eastAsia" w:ascii="宋体" w:hAnsi="宋体" w:cs="新宋体"/>
          <w:b/>
          <w:bCs/>
          <w:color w:val="auto"/>
          <w:spacing w:val="140"/>
          <w:sz w:val="84"/>
          <w:szCs w:val="84"/>
          <w:highlight w:val="none"/>
        </w:rPr>
        <w:t>招标文件</w:t>
      </w:r>
    </w:p>
    <w:p w14:paraId="0D61B186">
      <w:pPr>
        <w:spacing w:line="600" w:lineRule="exact"/>
        <w:jc w:val="center"/>
        <w:rPr>
          <w:rFonts w:hint="eastAsia" w:ascii="宋体" w:hAnsi="宋体" w:cs="新宋体"/>
          <w:b/>
          <w:bCs/>
          <w:color w:val="auto"/>
          <w:spacing w:val="140"/>
          <w:sz w:val="84"/>
          <w:szCs w:val="84"/>
          <w:highlight w:val="none"/>
        </w:rPr>
      </w:pPr>
    </w:p>
    <w:p w14:paraId="2E6C9E31">
      <w:pPr>
        <w:spacing w:line="400" w:lineRule="exact"/>
        <w:jc w:val="center"/>
        <w:rPr>
          <w:rFonts w:hint="eastAsia" w:ascii="宋体" w:hAnsi="宋体" w:cs="新宋体"/>
          <w:b/>
          <w:bCs/>
          <w:color w:val="auto"/>
          <w:sz w:val="32"/>
          <w:szCs w:val="32"/>
          <w:highlight w:val="none"/>
        </w:rPr>
      </w:pPr>
    </w:p>
    <w:p w14:paraId="7CFFF1FB">
      <w:pPr>
        <w:pStyle w:val="7"/>
        <w:rPr>
          <w:rFonts w:hint="eastAsia" w:ascii="宋体" w:hAnsi="宋体"/>
          <w:color w:val="auto"/>
          <w:highlight w:val="none"/>
        </w:rPr>
      </w:pPr>
    </w:p>
    <w:p w14:paraId="2D0A876B">
      <w:pPr>
        <w:jc w:val="center"/>
        <w:rPr>
          <w:rFonts w:hint="eastAsia" w:ascii="宋体" w:hAnsi="宋体" w:cs="新宋体"/>
          <w:color w:val="auto"/>
          <w:spacing w:val="40"/>
          <w:sz w:val="30"/>
          <w:szCs w:val="30"/>
          <w:highlight w:val="none"/>
        </w:rPr>
      </w:pPr>
    </w:p>
    <w:p w14:paraId="2ECDCE1E">
      <w:pPr>
        <w:jc w:val="center"/>
        <w:rPr>
          <w:rFonts w:hint="eastAsia" w:ascii="宋体" w:hAnsi="宋体" w:cs="新宋体"/>
          <w:color w:val="auto"/>
          <w:spacing w:val="40"/>
          <w:sz w:val="30"/>
          <w:szCs w:val="30"/>
          <w:highlight w:val="none"/>
        </w:rPr>
      </w:pPr>
    </w:p>
    <w:p w14:paraId="4AF55709">
      <w:pPr>
        <w:jc w:val="center"/>
        <w:rPr>
          <w:rFonts w:hint="eastAsia" w:ascii="宋体" w:hAnsi="宋体" w:cs="新宋体"/>
          <w:color w:val="auto"/>
          <w:spacing w:val="40"/>
          <w:sz w:val="30"/>
          <w:szCs w:val="30"/>
          <w:highlight w:val="none"/>
        </w:rPr>
      </w:pPr>
    </w:p>
    <w:tbl>
      <w:tblPr>
        <w:tblStyle w:val="21"/>
        <w:tblW w:w="0" w:type="auto"/>
        <w:jc w:val="center"/>
        <w:tblLayout w:type="fixed"/>
        <w:tblCellMar>
          <w:top w:w="0" w:type="dxa"/>
          <w:left w:w="108" w:type="dxa"/>
          <w:bottom w:w="0" w:type="dxa"/>
          <w:right w:w="108" w:type="dxa"/>
        </w:tblCellMar>
      </w:tblPr>
      <w:tblGrid>
        <w:gridCol w:w="1483"/>
        <w:gridCol w:w="7298"/>
      </w:tblGrid>
      <w:tr w14:paraId="564E25E1">
        <w:tblPrEx>
          <w:tblCellMar>
            <w:top w:w="0" w:type="dxa"/>
            <w:left w:w="108" w:type="dxa"/>
            <w:bottom w:w="0" w:type="dxa"/>
            <w:right w:w="108" w:type="dxa"/>
          </w:tblCellMar>
        </w:tblPrEx>
        <w:trPr>
          <w:trHeight w:val="707" w:hRule="atLeast"/>
          <w:jc w:val="center"/>
        </w:trPr>
        <w:tc>
          <w:tcPr>
            <w:tcW w:w="1483" w:type="dxa"/>
            <w:noWrap w:val="0"/>
            <w:vAlign w:val="center"/>
          </w:tcPr>
          <w:p w14:paraId="643D4B19">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项目编号：</w:t>
            </w:r>
          </w:p>
        </w:tc>
        <w:tc>
          <w:tcPr>
            <w:tcW w:w="7298" w:type="dxa"/>
            <w:noWrap w:val="0"/>
            <w:vAlign w:val="center"/>
          </w:tcPr>
          <w:p w14:paraId="32ABFC7A">
            <w:pPr>
              <w:rPr>
                <w:rFonts w:hint="default" w:ascii="宋体" w:hAnsi="宋体" w:eastAsia="宋体" w:cs="新宋体"/>
                <w:b/>
                <w:color w:val="auto"/>
                <w:sz w:val="28"/>
                <w:szCs w:val="28"/>
                <w:highlight w:val="none"/>
                <w:lang w:val="en-US" w:eastAsia="zh-CN"/>
              </w:rPr>
            </w:pPr>
            <w:r>
              <w:rPr>
                <w:rFonts w:hint="eastAsia" w:ascii="宋体" w:hAnsi="宋体" w:cs="新宋体"/>
                <w:b/>
                <w:color w:val="auto"/>
                <w:sz w:val="28"/>
                <w:szCs w:val="28"/>
                <w:highlight w:val="none"/>
                <w:lang w:eastAsia="zh-CN"/>
              </w:rPr>
              <w:t>ZJSK-LC-202</w:t>
            </w:r>
            <w:r>
              <w:rPr>
                <w:rFonts w:hint="eastAsia" w:ascii="宋体" w:hAnsi="宋体" w:cs="新宋体"/>
                <w:b/>
                <w:color w:val="auto"/>
                <w:sz w:val="28"/>
                <w:szCs w:val="28"/>
                <w:highlight w:val="none"/>
                <w:lang w:val="en-US" w:eastAsia="zh-CN"/>
              </w:rPr>
              <w:t>5</w:t>
            </w:r>
            <w:r>
              <w:rPr>
                <w:rFonts w:hint="eastAsia" w:ascii="宋体" w:hAnsi="宋体" w:cs="新宋体"/>
                <w:b/>
                <w:color w:val="auto"/>
                <w:sz w:val="28"/>
                <w:szCs w:val="28"/>
                <w:highlight w:val="none"/>
                <w:lang w:eastAsia="zh-CN"/>
              </w:rPr>
              <w:t>05</w:t>
            </w:r>
            <w:r>
              <w:rPr>
                <w:rFonts w:hint="eastAsia" w:ascii="宋体" w:hAnsi="宋体" w:cs="新宋体"/>
                <w:b/>
                <w:color w:val="auto"/>
                <w:sz w:val="28"/>
                <w:szCs w:val="28"/>
                <w:highlight w:val="none"/>
                <w:lang w:val="en-US" w:eastAsia="zh-CN"/>
              </w:rPr>
              <w:t>06</w:t>
            </w:r>
          </w:p>
        </w:tc>
      </w:tr>
      <w:tr w14:paraId="7EEC9715">
        <w:tblPrEx>
          <w:tblCellMar>
            <w:top w:w="0" w:type="dxa"/>
            <w:left w:w="108" w:type="dxa"/>
            <w:bottom w:w="0" w:type="dxa"/>
            <w:right w:w="108" w:type="dxa"/>
          </w:tblCellMar>
        </w:tblPrEx>
        <w:trPr>
          <w:trHeight w:val="942" w:hRule="atLeast"/>
          <w:jc w:val="center"/>
        </w:trPr>
        <w:tc>
          <w:tcPr>
            <w:tcW w:w="1483" w:type="dxa"/>
            <w:noWrap w:val="0"/>
            <w:vAlign w:val="center"/>
          </w:tcPr>
          <w:p w14:paraId="595FEAC1">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项目名称：</w:t>
            </w:r>
          </w:p>
        </w:tc>
        <w:tc>
          <w:tcPr>
            <w:tcW w:w="7298" w:type="dxa"/>
            <w:noWrap w:val="0"/>
            <w:vAlign w:val="center"/>
          </w:tcPr>
          <w:p w14:paraId="20EBBA3B">
            <w:pPr>
              <w:rPr>
                <w:rFonts w:hint="eastAsia" w:ascii="宋体" w:hAnsi="宋体" w:eastAsia="宋体" w:cs="新宋体"/>
                <w:b/>
                <w:color w:val="auto"/>
                <w:sz w:val="28"/>
                <w:szCs w:val="28"/>
                <w:highlight w:val="none"/>
                <w:lang w:eastAsia="zh-CN"/>
              </w:rPr>
            </w:pPr>
            <w:r>
              <w:rPr>
                <w:rFonts w:hint="eastAsia" w:ascii="宋体" w:hAnsi="宋体" w:cs="新宋体"/>
                <w:b/>
                <w:color w:val="auto"/>
                <w:sz w:val="28"/>
                <w:szCs w:val="28"/>
                <w:highlight w:val="none"/>
                <w:lang w:eastAsia="zh-CN"/>
              </w:rPr>
              <w:t>2025年-2026年山福镇农村生活污水处理设备及管网运维服务采购项目</w:t>
            </w:r>
          </w:p>
        </w:tc>
      </w:tr>
      <w:tr w14:paraId="7842CEFA">
        <w:tblPrEx>
          <w:tblCellMar>
            <w:top w:w="0" w:type="dxa"/>
            <w:left w:w="108" w:type="dxa"/>
            <w:bottom w:w="0" w:type="dxa"/>
            <w:right w:w="108" w:type="dxa"/>
          </w:tblCellMar>
        </w:tblPrEx>
        <w:trPr>
          <w:trHeight w:val="707" w:hRule="atLeast"/>
          <w:jc w:val="center"/>
        </w:trPr>
        <w:tc>
          <w:tcPr>
            <w:tcW w:w="1483" w:type="dxa"/>
            <w:noWrap w:val="0"/>
            <w:vAlign w:val="center"/>
          </w:tcPr>
          <w:p w14:paraId="1BB490ED">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采购方式：</w:t>
            </w:r>
          </w:p>
        </w:tc>
        <w:tc>
          <w:tcPr>
            <w:tcW w:w="7298" w:type="dxa"/>
            <w:noWrap w:val="0"/>
            <w:vAlign w:val="center"/>
          </w:tcPr>
          <w:p w14:paraId="69548D02">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公开招标</w:t>
            </w:r>
          </w:p>
        </w:tc>
      </w:tr>
    </w:tbl>
    <w:p w14:paraId="0D342276">
      <w:pPr>
        <w:spacing w:line="600" w:lineRule="exact"/>
        <w:jc w:val="center"/>
        <w:rPr>
          <w:rFonts w:hint="eastAsia" w:ascii="宋体" w:hAnsi="宋体" w:cs="新宋体"/>
          <w:b/>
          <w:color w:val="auto"/>
          <w:sz w:val="30"/>
          <w:szCs w:val="30"/>
          <w:highlight w:val="none"/>
        </w:rPr>
      </w:pPr>
    </w:p>
    <w:p w14:paraId="3D56D970">
      <w:pPr>
        <w:spacing w:line="600" w:lineRule="exact"/>
        <w:jc w:val="center"/>
        <w:rPr>
          <w:rFonts w:hint="eastAsia" w:ascii="宋体" w:hAnsi="宋体" w:cs="新宋体"/>
          <w:b/>
          <w:color w:val="auto"/>
          <w:sz w:val="30"/>
          <w:szCs w:val="30"/>
          <w:highlight w:val="none"/>
        </w:rPr>
      </w:pPr>
    </w:p>
    <w:p w14:paraId="76F2853A">
      <w:pPr>
        <w:spacing w:line="600" w:lineRule="exact"/>
        <w:jc w:val="center"/>
        <w:rPr>
          <w:rFonts w:hint="eastAsia" w:ascii="宋体" w:hAnsi="宋体" w:cs="新宋体"/>
          <w:b/>
          <w:color w:val="auto"/>
          <w:sz w:val="30"/>
          <w:szCs w:val="30"/>
          <w:highlight w:val="none"/>
        </w:rPr>
      </w:pPr>
    </w:p>
    <w:tbl>
      <w:tblPr>
        <w:tblStyle w:val="21"/>
        <w:tblW w:w="0" w:type="auto"/>
        <w:jc w:val="center"/>
        <w:tblLayout w:type="fixed"/>
        <w:tblCellMar>
          <w:top w:w="0" w:type="dxa"/>
          <w:left w:w="108" w:type="dxa"/>
          <w:bottom w:w="0" w:type="dxa"/>
          <w:right w:w="108" w:type="dxa"/>
        </w:tblCellMar>
      </w:tblPr>
      <w:tblGrid>
        <w:gridCol w:w="1342"/>
        <w:gridCol w:w="236"/>
        <w:gridCol w:w="5167"/>
      </w:tblGrid>
      <w:tr w14:paraId="2930EFC5">
        <w:tblPrEx>
          <w:tblCellMar>
            <w:top w:w="0" w:type="dxa"/>
            <w:left w:w="108" w:type="dxa"/>
            <w:bottom w:w="0" w:type="dxa"/>
            <w:right w:w="108" w:type="dxa"/>
          </w:tblCellMar>
        </w:tblPrEx>
        <w:trPr>
          <w:trHeight w:val="707" w:hRule="atLeast"/>
          <w:jc w:val="center"/>
        </w:trPr>
        <w:tc>
          <w:tcPr>
            <w:tcW w:w="1342" w:type="dxa"/>
            <w:noWrap w:val="0"/>
            <w:vAlign w:val="center"/>
          </w:tcPr>
          <w:p w14:paraId="0454433A">
            <w:pPr>
              <w:jc w:val="distribute"/>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采购人</w:t>
            </w:r>
          </w:p>
        </w:tc>
        <w:tc>
          <w:tcPr>
            <w:tcW w:w="236" w:type="dxa"/>
            <w:noWrap w:val="0"/>
            <w:vAlign w:val="center"/>
          </w:tcPr>
          <w:p w14:paraId="7DA0406D">
            <w:pPr>
              <w:jc w:val="distribute"/>
              <w:rPr>
                <w:rFonts w:hint="eastAsia" w:ascii="宋体" w:hAnsi="宋体" w:cs="新宋体"/>
                <w:b/>
                <w:color w:val="auto"/>
                <w:sz w:val="28"/>
                <w:szCs w:val="28"/>
                <w:highlight w:val="none"/>
                <w:lang w:eastAsia="zh-CN"/>
              </w:rPr>
            </w:pPr>
            <w:r>
              <w:rPr>
                <w:rFonts w:hint="eastAsia" w:ascii="宋体" w:hAnsi="宋体" w:cs="新宋体"/>
                <w:b/>
                <w:color w:val="auto"/>
                <w:sz w:val="28"/>
                <w:szCs w:val="28"/>
                <w:highlight w:val="none"/>
                <w:lang w:eastAsia="zh-CN"/>
              </w:rPr>
              <w:t>：</w:t>
            </w:r>
          </w:p>
        </w:tc>
        <w:tc>
          <w:tcPr>
            <w:tcW w:w="5167" w:type="dxa"/>
            <w:noWrap w:val="0"/>
            <w:vAlign w:val="center"/>
          </w:tcPr>
          <w:p w14:paraId="5EE1F7DE">
            <w:pPr>
              <w:jc w:val="distribute"/>
              <w:rPr>
                <w:rFonts w:hint="eastAsia" w:ascii="宋体" w:hAnsi="宋体" w:cs="新宋体"/>
                <w:b/>
                <w:color w:val="auto"/>
                <w:sz w:val="28"/>
                <w:szCs w:val="28"/>
                <w:highlight w:val="none"/>
                <w:lang w:eastAsia="zh-CN"/>
              </w:rPr>
            </w:pPr>
            <w:r>
              <w:rPr>
                <w:rFonts w:hint="eastAsia" w:ascii="宋体" w:hAnsi="宋体" w:cs="新宋体"/>
                <w:b/>
                <w:color w:val="auto"/>
                <w:sz w:val="28"/>
                <w:szCs w:val="28"/>
                <w:highlight w:val="none"/>
                <w:lang w:eastAsia="zh-CN"/>
              </w:rPr>
              <w:t>温州市鹿城区山福镇人民政府</w:t>
            </w:r>
          </w:p>
        </w:tc>
      </w:tr>
      <w:tr w14:paraId="30FB96DA">
        <w:tblPrEx>
          <w:tblCellMar>
            <w:top w:w="0" w:type="dxa"/>
            <w:left w:w="108" w:type="dxa"/>
            <w:bottom w:w="0" w:type="dxa"/>
            <w:right w:w="108" w:type="dxa"/>
          </w:tblCellMar>
        </w:tblPrEx>
        <w:trPr>
          <w:trHeight w:val="707" w:hRule="atLeast"/>
          <w:jc w:val="center"/>
        </w:trPr>
        <w:tc>
          <w:tcPr>
            <w:tcW w:w="1342" w:type="dxa"/>
            <w:noWrap w:val="0"/>
            <w:vAlign w:val="center"/>
          </w:tcPr>
          <w:p w14:paraId="3C25BB2D">
            <w:pPr>
              <w:jc w:val="distribute"/>
              <w:rPr>
                <w:rFonts w:hint="eastAsia" w:ascii="宋体" w:hAnsi="宋体" w:cs="新宋体"/>
                <w:b/>
                <w:color w:val="auto"/>
                <w:sz w:val="28"/>
                <w:szCs w:val="28"/>
                <w:highlight w:val="none"/>
              </w:rPr>
            </w:pPr>
            <w:r>
              <w:rPr>
                <w:rFonts w:hint="eastAsia" w:ascii="宋体" w:hAnsi="宋体" w:cs="新宋体"/>
                <w:b/>
                <w:color w:val="auto"/>
                <w:sz w:val="28"/>
                <w:szCs w:val="28"/>
                <w:highlight w:val="none"/>
              </w:rPr>
              <w:t>代理机构</w:t>
            </w:r>
          </w:p>
        </w:tc>
        <w:tc>
          <w:tcPr>
            <w:tcW w:w="236" w:type="dxa"/>
            <w:noWrap w:val="0"/>
            <w:vAlign w:val="center"/>
          </w:tcPr>
          <w:p w14:paraId="5CB59B15">
            <w:pPr>
              <w:jc w:val="distribute"/>
              <w:rPr>
                <w:rFonts w:hint="eastAsia" w:ascii="宋体" w:hAnsi="宋体" w:cs="新宋体"/>
                <w:b/>
                <w:color w:val="auto"/>
                <w:sz w:val="28"/>
                <w:szCs w:val="28"/>
                <w:highlight w:val="none"/>
              </w:rPr>
            </w:pPr>
            <w:r>
              <w:rPr>
                <w:rFonts w:hint="eastAsia" w:ascii="宋体" w:hAnsi="宋体" w:cs="新宋体"/>
                <w:b/>
                <w:color w:val="auto"/>
                <w:sz w:val="28"/>
                <w:szCs w:val="28"/>
                <w:highlight w:val="none"/>
              </w:rPr>
              <w:t>：</w:t>
            </w:r>
          </w:p>
        </w:tc>
        <w:tc>
          <w:tcPr>
            <w:tcW w:w="5167" w:type="dxa"/>
            <w:noWrap w:val="0"/>
            <w:vAlign w:val="center"/>
          </w:tcPr>
          <w:p w14:paraId="5D6381F1">
            <w:pPr>
              <w:jc w:val="distribute"/>
              <w:rPr>
                <w:rFonts w:hint="eastAsia" w:ascii="宋体" w:hAnsi="宋体" w:eastAsia="宋体" w:cs="新宋体"/>
                <w:b/>
                <w:color w:val="auto"/>
                <w:sz w:val="28"/>
                <w:szCs w:val="28"/>
                <w:highlight w:val="none"/>
                <w:lang w:eastAsia="zh-CN"/>
              </w:rPr>
            </w:pPr>
            <w:r>
              <w:rPr>
                <w:rFonts w:hint="eastAsia" w:ascii="宋体" w:hAnsi="宋体" w:cs="新宋体"/>
                <w:b/>
                <w:color w:val="auto"/>
                <w:sz w:val="28"/>
                <w:szCs w:val="28"/>
                <w:highlight w:val="none"/>
                <w:lang w:eastAsia="zh-CN"/>
              </w:rPr>
              <w:t>浙江三凯工程管理有限公司</w:t>
            </w:r>
          </w:p>
        </w:tc>
      </w:tr>
    </w:tbl>
    <w:p w14:paraId="1C2250A8">
      <w:pPr>
        <w:spacing w:line="600" w:lineRule="exact"/>
        <w:jc w:val="center"/>
        <w:rPr>
          <w:rFonts w:hint="eastAsia" w:ascii="宋体" w:hAnsi="宋体" w:cs="新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2" w:right="1134" w:bottom="1134" w:left="1134" w:header="851" w:footer="992" w:gutter="0"/>
          <w:cols w:space="720" w:num="1"/>
          <w:titlePg/>
          <w:docGrid w:linePitch="312" w:charSpace="0"/>
        </w:sectPr>
      </w:pPr>
      <w:r>
        <w:rPr>
          <w:rFonts w:hint="eastAsia" w:ascii="宋体" w:hAnsi="宋体" w:cs="新宋体"/>
          <w:b/>
          <w:color w:val="auto"/>
          <w:sz w:val="30"/>
          <w:szCs w:val="30"/>
          <w:highlight w:val="none"/>
        </w:rPr>
        <w:t xml:space="preserve">     二○二</w:t>
      </w:r>
      <w:r>
        <w:rPr>
          <w:rFonts w:hint="eastAsia" w:ascii="宋体" w:hAnsi="宋体" w:cs="新宋体"/>
          <w:b/>
          <w:color w:val="auto"/>
          <w:sz w:val="30"/>
          <w:szCs w:val="30"/>
          <w:highlight w:val="none"/>
          <w:lang w:val="en-US" w:eastAsia="zh-CN"/>
        </w:rPr>
        <w:t>五</w:t>
      </w:r>
      <w:r>
        <w:rPr>
          <w:rFonts w:hint="eastAsia" w:ascii="宋体" w:hAnsi="宋体" w:cs="新宋体"/>
          <w:b/>
          <w:color w:val="auto"/>
          <w:sz w:val="30"/>
          <w:szCs w:val="30"/>
          <w:highlight w:val="none"/>
        </w:rPr>
        <w:t>年</w:t>
      </w:r>
      <w:r>
        <w:rPr>
          <w:rFonts w:hint="eastAsia" w:ascii="宋体" w:hAnsi="宋体" w:cs="新宋体"/>
          <w:b/>
          <w:color w:val="auto"/>
          <w:sz w:val="30"/>
          <w:szCs w:val="30"/>
          <w:highlight w:val="none"/>
          <w:lang w:val="en-US" w:eastAsia="zh-CN"/>
        </w:rPr>
        <w:t>五</w:t>
      </w:r>
      <w:r>
        <w:rPr>
          <w:rFonts w:hint="eastAsia" w:ascii="宋体" w:hAnsi="宋体" w:cs="新宋体"/>
          <w:b/>
          <w:color w:val="auto"/>
          <w:sz w:val="30"/>
          <w:szCs w:val="30"/>
          <w:highlight w:val="none"/>
        </w:rPr>
        <w:t>月</w:t>
      </w:r>
    </w:p>
    <w:p w14:paraId="3CE61F59">
      <w:pPr>
        <w:pStyle w:val="16"/>
        <w:tabs>
          <w:tab w:val="right" w:leader="dot" w:pos="9638"/>
        </w:tabs>
        <w:ind w:left="1030" w:hanging="1030"/>
        <w:jc w:val="center"/>
        <w:rPr>
          <w:rFonts w:hint="eastAsia" w:ascii="宋体" w:hAnsi="宋体" w:eastAsia="宋体" w:cs="新宋体"/>
          <w:b/>
          <w:bCs/>
          <w:color w:val="auto"/>
          <w:sz w:val="30"/>
          <w:szCs w:val="30"/>
          <w:highlight w:val="none"/>
        </w:rPr>
      </w:pPr>
      <w:r>
        <w:rPr>
          <w:rFonts w:hint="eastAsia" w:ascii="宋体" w:hAnsi="宋体" w:eastAsia="宋体" w:cs="新宋体"/>
          <w:b/>
          <w:bCs/>
          <w:color w:val="auto"/>
          <w:sz w:val="30"/>
          <w:szCs w:val="30"/>
          <w:highlight w:val="none"/>
        </w:rPr>
        <w:t>目 录</w:t>
      </w:r>
    </w:p>
    <w:p w14:paraId="036E78B3">
      <w:pPr>
        <w:rPr>
          <w:rFonts w:hint="eastAsia" w:ascii="宋体" w:hAnsi="宋体"/>
          <w:color w:val="auto"/>
          <w:highlight w:val="none"/>
        </w:rPr>
      </w:pPr>
    </w:p>
    <w:p w14:paraId="03651690">
      <w:pPr>
        <w:pStyle w:val="16"/>
        <w:tabs>
          <w:tab w:val="right" w:leader="dot" w:pos="9628"/>
        </w:tabs>
        <w:spacing w:line="480" w:lineRule="auto"/>
        <w:ind w:left="1" w:firstLine="0" w:firstLineChars="0"/>
        <w:rPr>
          <w:rFonts w:hint="eastAsia" w:ascii="宋体" w:hAnsi="宋体" w:eastAsia="宋体" w:cs="新宋体"/>
          <w:b/>
          <w:bCs/>
          <w:color w:val="auto"/>
          <w:szCs w:val="21"/>
          <w:highlight w:val="none"/>
        </w:rPr>
      </w:pPr>
    </w:p>
    <w:p w14:paraId="063901C1">
      <w:pPr>
        <w:pStyle w:val="16"/>
        <w:tabs>
          <w:tab w:val="right" w:leader="dot" w:pos="9628"/>
        </w:tabs>
        <w:spacing w:line="480" w:lineRule="auto"/>
        <w:ind w:left="1" w:firstLine="0" w:firstLineChars="0"/>
        <w:rPr>
          <w:rFonts w:ascii="宋体" w:hAnsi="宋体" w:eastAsia="宋体" w:cs="Times New Roman"/>
          <w:color w:val="auto"/>
          <w:sz w:val="24"/>
          <w:highlight w:val="none"/>
        </w:rPr>
      </w:pPr>
      <w:r>
        <w:rPr>
          <w:rFonts w:hint="eastAsia" w:ascii="宋体" w:hAnsi="宋体" w:eastAsia="宋体" w:cs="新宋体"/>
          <w:b/>
          <w:bCs/>
          <w:color w:val="auto"/>
          <w:sz w:val="24"/>
          <w:highlight w:val="none"/>
        </w:rPr>
        <w:fldChar w:fldCharType="begin"/>
      </w:r>
      <w:r>
        <w:rPr>
          <w:rFonts w:hint="eastAsia" w:ascii="宋体" w:hAnsi="宋体" w:eastAsia="宋体" w:cs="新宋体"/>
          <w:b/>
          <w:bCs/>
          <w:color w:val="auto"/>
          <w:sz w:val="24"/>
          <w:highlight w:val="none"/>
        </w:rPr>
        <w:instrText xml:space="preserve">TOC \o "1-3" \h \u </w:instrText>
      </w:r>
      <w:r>
        <w:rPr>
          <w:rFonts w:hint="eastAsia" w:ascii="宋体" w:hAnsi="宋体" w:eastAsia="宋体" w:cs="新宋体"/>
          <w:b/>
          <w:bCs/>
          <w:color w:val="auto"/>
          <w:sz w:val="24"/>
          <w:highlight w:val="none"/>
        </w:rPr>
        <w:fldChar w:fldCharType="separate"/>
      </w: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"_Toc34572026"</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lang w:eastAsia="zh-CN"/>
        </w:rPr>
        <w:t>浙江三凯工程管理有限公司</w:t>
      </w:r>
      <w:r>
        <w:rPr>
          <w:rStyle w:val="25"/>
          <w:rFonts w:hint="eastAsia" w:ascii="宋体" w:hAnsi="宋体" w:eastAsia="宋体" w:cs="新宋体"/>
          <w:color w:val="auto"/>
          <w:sz w:val="24"/>
          <w:szCs w:val="24"/>
          <w:highlight w:val="none"/>
        </w:rPr>
        <w:t>关于</w:t>
      </w:r>
      <w:r>
        <w:rPr>
          <w:rStyle w:val="25"/>
          <w:rFonts w:hint="eastAsia" w:ascii="宋体" w:hAnsi="宋体" w:eastAsia="宋体" w:cs="新宋体"/>
          <w:color w:val="auto"/>
          <w:sz w:val="24"/>
          <w:szCs w:val="24"/>
          <w:highlight w:val="none"/>
          <w:lang w:eastAsia="zh-CN"/>
        </w:rPr>
        <w:t>2025年-2026年山福镇农村生活污水处理设备及管网运维服务采购项目</w:t>
      </w:r>
      <w:r>
        <w:rPr>
          <w:rStyle w:val="25"/>
          <w:rFonts w:hint="eastAsia" w:ascii="宋体" w:hAnsi="宋体" w:eastAsia="宋体" w:cs="新宋体"/>
          <w:color w:val="auto"/>
          <w:sz w:val="24"/>
          <w:szCs w:val="24"/>
          <w:highlight w:val="none"/>
        </w:rPr>
        <w:t>的公开招标公告</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_Toc34572026 \h </w:instrText>
      </w:r>
      <w:r>
        <w:rPr>
          <w:rFonts w:ascii="宋体" w:hAnsi="宋体" w:eastAsia="宋体"/>
          <w:color w:val="auto"/>
          <w:sz w:val="24"/>
          <w:highlight w:val="none"/>
        </w:rPr>
        <w:fldChar w:fldCharType="separate"/>
      </w:r>
      <w:r>
        <w:rPr>
          <w:rFonts w:ascii="宋体" w:hAnsi="宋体" w:eastAsia="宋体"/>
          <w:color w:val="auto"/>
          <w:sz w:val="24"/>
          <w:highlight w:val="none"/>
        </w:rPr>
        <w:t>3</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59D6F0D8">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"_Toc34572027"</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第一部分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投标人须知</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_Toc34572027 \h </w:instrText>
      </w:r>
      <w:r>
        <w:rPr>
          <w:rFonts w:ascii="宋体" w:hAnsi="宋体" w:eastAsia="宋体"/>
          <w:color w:val="auto"/>
          <w:sz w:val="24"/>
          <w:highlight w:val="none"/>
        </w:rPr>
        <w:fldChar w:fldCharType="separate"/>
      </w:r>
      <w:r>
        <w:rPr>
          <w:rFonts w:ascii="宋体" w:hAnsi="宋体" w:eastAsia="宋体"/>
          <w:color w:val="auto"/>
          <w:sz w:val="24"/>
          <w:highlight w:val="none"/>
        </w:rPr>
        <w:t>6</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60D2F2E2">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"_Toc34572028"</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投标人须知前附表</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_Toc34572028 \h </w:instrText>
      </w:r>
      <w:r>
        <w:rPr>
          <w:rFonts w:ascii="宋体" w:hAnsi="宋体" w:eastAsia="宋体"/>
          <w:color w:val="auto"/>
          <w:sz w:val="24"/>
          <w:highlight w:val="none"/>
        </w:rPr>
        <w:fldChar w:fldCharType="separate"/>
      </w:r>
      <w:r>
        <w:rPr>
          <w:rFonts w:ascii="宋体" w:hAnsi="宋体" w:eastAsia="宋体"/>
          <w:color w:val="auto"/>
          <w:sz w:val="24"/>
          <w:highlight w:val="none"/>
        </w:rPr>
        <w:t>6</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34521945">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"_Toc34572029"</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一、</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说明</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_Toc34572029 \h </w:instrText>
      </w:r>
      <w:r>
        <w:rPr>
          <w:rFonts w:ascii="宋体" w:hAnsi="宋体"/>
          <w:color w:val="auto"/>
          <w:sz w:val="24"/>
          <w:highlight w:val="none"/>
        </w:rPr>
        <w:fldChar w:fldCharType="separate"/>
      </w:r>
      <w:r>
        <w:rPr>
          <w:rFonts w:ascii="宋体" w:hAnsi="宋体"/>
          <w:color w:val="auto"/>
          <w:sz w:val="24"/>
          <w:highlight w:val="none"/>
        </w:rPr>
        <w:t>11</w:t>
      </w:r>
      <w:r>
        <w:rPr>
          <w:rFonts w:ascii="宋体" w:hAnsi="宋体"/>
          <w:color w:val="auto"/>
          <w:sz w:val="24"/>
          <w:highlight w:val="none"/>
        </w:rPr>
        <w:fldChar w:fldCharType="end"/>
      </w:r>
      <w:r>
        <w:rPr>
          <w:rFonts w:ascii="宋体" w:hAnsi="宋体"/>
          <w:color w:val="auto"/>
          <w:sz w:val="24"/>
          <w:highlight w:val="none"/>
        </w:rPr>
        <w:fldChar w:fldCharType="end"/>
      </w:r>
    </w:p>
    <w:p w14:paraId="653B2E8A">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"_Toc34572030"</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二、</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采购文件</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_Toc34572030 \h </w:instrText>
      </w:r>
      <w:r>
        <w:rPr>
          <w:rFonts w:ascii="宋体" w:hAnsi="宋体"/>
          <w:color w:val="auto"/>
          <w:sz w:val="24"/>
          <w:highlight w:val="none"/>
        </w:rPr>
        <w:fldChar w:fldCharType="separate"/>
      </w:r>
      <w:r>
        <w:rPr>
          <w:rFonts w:ascii="宋体" w:hAnsi="宋体"/>
          <w:color w:val="auto"/>
          <w:sz w:val="24"/>
          <w:highlight w:val="none"/>
        </w:rPr>
        <w:t>12</w:t>
      </w:r>
      <w:r>
        <w:rPr>
          <w:rFonts w:ascii="宋体" w:hAnsi="宋体"/>
          <w:color w:val="auto"/>
          <w:sz w:val="24"/>
          <w:highlight w:val="none"/>
        </w:rPr>
        <w:fldChar w:fldCharType="end"/>
      </w:r>
      <w:r>
        <w:rPr>
          <w:rFonts w:ascii="宋体" w:hAnsi="宋体"/>
          <w:color w:val="auto"/>
          <w:sz w:val="24"/>
          <w:highlight w:val="none"/>
        </w:rPr>
        <w:fldChar w:fldCharType="end"/>
      </w:r>
    </w:p>
    <w:p w14:paraId="5C7DC7DC">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"_Toc34572031"</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三、</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投标文件的编制</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_Toc34572031 \h </w:instrText>
      </w:r>
      <w:r>
        <w:rPr>
          <w:rFonts w:ascii="宋体" w:hAnsi="宋体"/>
          <w:color w:val="auto"/>
          <w:sz w:val="24"/>
          <w:highlight w:val="none"/>
        </w:rPr>
        <w:fldChar w:fldCharType="separate"/>
      </w:r>
      <w:r>
        <w:rPr>
          <w:rFonts w:ascii="宋体" w:hAnsi="宋体"/>
          <w:color w:val="auto"/>
          <w:sz w:val="24"/>
          <w:highlight w:val="none"/>
        </w:rPr>
        <w:t>13</w:t>
      </w:r>
      <w:r>
        <w:rPr>
          <w:rFonts w:ascii="宋体" w:hAnsi="宋体"/>
          <w:color w:val="auto"/>
          <w:sz w:val="24"/>
          <w:highlight w:val="none"/>
        </w:rPr>
        <w:fldChar w:fldCharType="end"/>
      </w:r>
      <w:r>
        <w:rPr>
          <w:rFonts w:ascii="宋体" w:hAnsi="宋体"/>
          <w:color w:val="auto"/>
          <w:sz w:val="24"/>
          <w:highlight w:val="none"/>
        </w:rPr>
        <w:fldChar w:fldCharType="end"/>
      </w:r>
    </w:p>
    <w:p w14:paraId="3E5238DF">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"_Toc34572032"</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四、</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投标文件的递交</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_Toc34572032 \h </w:instrText>
      </w:r>
      <w:r>
        <w:rPr>
          <w:rFonts w:ascii="宋体" w:hAnsi="宋体"/>
          <w:color w:val="auto"/>
          <w:sz w:val="24"/>
          <w:highlight w:val="none"/>
        </w:rPr>
        <w:fldChar w:fldCharType="separate"/>
      </w:r>
      <w:r>
        <w:rPr>
          <w:rFonts w:ascii="宋体" w:hAnsi="宋体"/>
          <w:color w:val="auto"/>
          <w:sz w:val="24"/>
          <w:highlight w:val="none"/>
        </w:rPr>
        <w:t>17</w:t>
      </w:r>
      <w:r>
        <w:rPr>
          <w:rFonts w:ascii="宋体" w:hAnsi="宋体"/>
          <w:color w:val="auto"/>
          <w:sz w:val="24"/>
          <w:highlight w:val="none"/>
        </w:rPr>
        <w:fldChar w:fldCharType="end"/>
      </w:r>
      <w:r>
        <w:rPr>
          <w:rFonts w:ascii="宋体" w:hAnsi="宋体"/>
          <w:color w:val="auto"/>
          <w:sz w:val="24"/>
          <w:highlight w:val="none"/>
        </w:rPr>
        <w:fldChar w:fldCharType="end"/>
      </w:r>
    </w:p>
    <w:p w14:paraId="63817EA8">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"_Toc34572033"</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五、</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开标</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_Toc34572033 \h </w:instrText>
      </w:r>
      <w:r>
        <w:rPr>
          <w:rFonts w:ascii="宋体" w:hAnsi="宋体"/>
          <w:color w:val="auto"/>
          <w:sz w:val="24"/>
          <w:highlight w:val="none"/>
        </w:rPr>
        <w:fldChar w:fldCharType="separate"/>
      </w:r>
      <w:r>
        <w:rPr>
          <w:rFonts w:ascii="宋体" w:hAnsi="宋体"/>
          <w:color w:val="auto"/>
          <w:sz w:val="24"/>
          <w:highlight w:val="none"/>
        </w:rPr>
        <w:t>17</w:t>
      </w:r>
      <w:r>
        <w:rPr>
          <w:rFonts w:ascii="宋体" w:hAnsi="宋体"/>
          <w:color w:val="auto"/>
          <w:sz w:val="24"/>
          <w:highlight w:val="none"/>
        </w:rPr>
        <w:fldChar w:fldCharType="end"/>
      </w:r>
      <w:r>
        <w:rPr>
          <w:rFonts w:ascii="宋体" w:hAnsi="宋体"/>
          <w:color w:val="auto"/>
          <w:sz w:val="24"/>
          <w:highlight w:val="none"/>
        </w:rPr>
        <w:fldChar w:fldCharType="end"/>
      </w:r>
    </w:p>
    <w:p w14:paraId="46413699">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"_Toc34572034"</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六、</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评</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标</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_Toc34572034 \h </w:instrText>
      </w:r>
      <w:r>
        <w:rPr>
          <w:rFonts w:ascii="宋体" w:hAnsi="宋体"/>
          <w:color w:val="auto"/>
          <w:sz w:val="24"/>
          <w:highlight w:val="none"/>
        </w:rPr>
        <w:fldChar w:fldCharType="separate"/>
      </w:r>
      <w:r>
        <w:rPr>
          <w:rFonts w:ascii="宋体" w:hAnsi="宋体"/>
          <w:color w:val="auto"/>
          <w:sz w:val="24"/>
          <w:highlight w:val="none"/>
        </w:rPr>
        <w:t>19</w:t>
      </w:r>
      <w:r>
        <w:rPr>
          <w:rFonts w:ascii="宋体" w:hAnsi="宋体"/>
          <w:color w:val="auto"/>
          <w:sz w:val="24"/>
          <w:highlight w:val="none"/>
        </w:rPr>
        <w:fldChar w:fldCharType="end"/>
      </w:r>
      <w:r>
        <w:rPr>
          <w:rFonts w:ascii="宋体" w:hAnsi="宋体"/>
          <w:color w:val="auto"/>
          <w:sz w:val="24"/>
          <w:highlight w:val="none"/>
        </w:rPr>
        <w:fldChar w:fldCharType="end"/>
      </w:r>
    </w:p>
    <w:p w14:paraId="7AE0202E">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"_Toc34572035"</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七、</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授予合同</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_Toc34572035 \h </w:instrText>
      </w:r>
      <w:r>
        <w:rPr>
          <w:rFonts w:ascii="宋体" w:hAnsi="宋体"/>
          <w:color w:val="auto"/>
          <w:sz w:val="24"/>
          <w:highlight w:val="none"/>
        </w:rPr>
        <w:fldChar w:fldCharType="separate"/>
      </w:r>
      <w:r>
        <w:rPr>
          <w:rFonts w:ascii="宋体" w:hAnsi="宋体"/>
          <w:color w:val="auto"/>
          <w:sz w:val="24"/>
          <w:highlight w:val="none"/>
        </w:rPr>
        <w:t>22</w:t>
      </w:r>
      <w:r>
        <w:rPr>
          <w:rFonts w:ascii="宋体" w:hAnsi="宋体"/>
          <w:color w:val="auto"/>
          <w:sz w:val="24"/>
          <w:highlight w:val="none"/>
        </w:rPr>
        <w:fldChar w:fldCharType="end"/>
      </w:r>
      <w:r>
        <w:rPr>
          <w:rFonts w:ascii="宋体" w:hAnsi="宋体"/>
          <w:color w:val="auto"/>
          <w:sz w:val="24"/>
          <w:highlight w:val="none"/>
        </w:rPr>
        <w:fldChar w:fldCharType="end"/>
      </w:r>
    </w:p>
    <w:p w14:paraId="2F89D84D">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"_Toc34572036"</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第二部分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政府采购政策功能相关说明</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_Toc34572036 \h </w:instrText>
      </w:r>
      <w:r>
        <w:rPr>
          <w:rFonts w:ascii="宋体" w:hAnsi="宋体" w:eastAsia="宋体"/>
          <w:color w:val="auto"/>
          <w:sz w:val="24"/>
          <w:highlight w:val="none"/>
        </w:rPr>
        <w:fldChar w:fldCharType="separate"/>
      </w:r>
      <w:r>
        <w:rPr>
          <w:rFonts w:ascii="宋体" w:hAnsi="宋体" w:eastAsia="宋体"/>
          <w:color w:val="auto"/>
          <w:sz w:val="24"/>
          <w:highlight w:val="none"/>
        </w:rPr>
        <w:t>25</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3BCC28DF">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"_Toc34572037"</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第三部分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合同条款及</w:t>
      </w:r>
      <w:bookmarkStart w:id="0" w:name="_Hlt37102774"/>
      <w:bookmarkStart w:id="1" w:name="_Hlt37102775"/>
      <w:r>
        <w:rPr>
          <w:rStyle w:val="25"/>
          <w:rFonts w:hint="eastAsia" w:ascii="宋体" w:hAnsi="宋体" w:eastAsia="宋体" w:cs="新宋体"/>
          <w:color w:val="auto"/>
          <w:sz w:val="24"/>
          <w:szCs w:val="24"/>
          <w:highlight w:val="none"/>
        </w:rPr>
        <w:t>格</w:t>
      </w:r>
      <w:bookmarkEnd w:id="0"/>
      <w:bookmarkEnd w:id="1"/>
      <w:r>
        <w:rPr>
          <w:rStyle w:val="25"/>
          <w:rFonts w:hint="eastAsia" w:ascii="宋体" w:hAnsi="宋体" w:eastAsia="宋体" w:cs="新宋体"/>
          <w:color w:val="auto"/>
          <w:sz w:val="24"/>
          <w:szCs w:val="24"/>
          <w:highlight w:val="none"/>
        </w:rPr>
        <w:t>式</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_Toc34572037 \h </w:instrText>
      </w:r>
      <w:r>
        <w:rPr>
          <w:rFonts w:ascii="宋体" w:hAnsi="宋体" w:eastAsia="宋体"/>
          <w:color w:val="auto"/>
          <w:sz w:val="24"/>
          <w:highlight w:val="none"/>
        </w:rPr>
        <w:fldChar w:fldCharType="separate"/>
      </w:r>
      <w:r>
        <w:rPr>
          <w:rFonts w:ascii="宋体" w:hAnsi="宋体" w:eastAsia="宋体"/>
          <w:color w:val="auto"/>
          <w:sz w:val="24"/>
          <w:highlight w:val="none"/>
        </w:rPr>
        <w:t>28</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7F38ED25">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"_Toc34572038"</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第四部分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投标文件格式</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_Toc34572038 \h </w:instrText>
      </w:r>
      <w:r>
        <w:rPr>
          <w:rFonts w:ascii="宋体" w:hAnsi="宋体" w:eastAsia="宋体"/>
          <w:color w:val="auto"/>
          <w:sz w:val="24"/>
          <w:highlight w:val="none"/>
        </w:rPr>
        <w:fldChar w:fldCharType="separate"/>
      </w:r>
      <w:r>
        <w:rPr>
          <w:rFonts w:ascii="宋体" w:hAnsi="宋体" w:eastAsia="宋体"/>
          <w:color w:val="auto"/>
          <w:sz w:val="24"/>
          <w:highlight w:val="none"/>
        </w:rPr>
        <w:t>57</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6EA7A916">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"_Toc34572039"</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第五部分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采购内容及要求</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_Toc34572039 \h </w:instrText>
      </w:r>
      <w:r>
        <w:rPr>
          <w:rFonts w:ascii="宋体" w:hAnsi="宋体" w:eastAsia="宋体"/>
          <w:color w:val="auto"/>
          <w:sz w:val="24"/>
          <w:highlight w:val="none"/>
        </w:rPr>
        <w:fldChar w:fldCharType="separate"/>
      </w:r>
      <w:r>
        <w:rPr>
          <w:rFonts w:ascii="宋体" w:hAnsi="宋体" w:eastAsia="宋体"/>
          <w:color w:val="auto"/>
          <w:sz w:val="24"/>
          <w:highlight w:val="none"/>
        </w:rPr>
        <w:t>74</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75194338">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"_Toc34572094"</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第六部分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评标原则及方法</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_Toc34572094 \h </w:instrText>
      </w:r>
      <w:r>
        <w:rPr>
          <w:rFonts w:ascii="宋体" w:hAnsi="宋体" w:eastAsia="宋体"/>
          <w:color w:val="auto"/>
          <w:sz w:val="24"/>
          <w:highlight w:val="none"/>
        </w:rPr>
        <w:fldChar w:fldCharType="separate"/>
      </w:r>
      <w:r>
        <w:rPr>
          <w:rFonts w:ascii="宋体" w:hAnsi="宋体" w:eastAsia="宋体"/>
          <w:color w:val="auto"/>
          <w:sz w:val="24"/>
          <w:highlight w:val="none"/>
        </w:rPr>
        <w:t>90</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2A726E02">
      <w:pPr>
        <w:pStyle w:val="7"/>
        <w:spacing w:line="480" w:lineRule="auto"/>
        <w:ind w:left="-720"/>
        <w:rPr>
          <w:rFonts w:ascii="宋体" w:hAnsi="宋体" w:cs="新宋体"/>
          <w:b/>
          <w:bCs/>
          <w:color w:val="auto"/>
          <w:szCs w:val="21"/>
          <w:highlight w:val="none"/>
        </w:rPr>
      </w:pPr>
      <w:r>
        <w:rPr>
          <w:rFonts w:hint="eastAsia" w:ascii="宋体" w:hAnsi="宋体" w:cs="新宋体"/>
          <w:bCs/>
          <w:color w:val="auto"/>
          <w:sz w:val="24"/>
          <w:highlight w:val="none"/>
        </w:rPr>
        <w:fldChar w:fldCharType="end"/>
      </w:r>
      <w:bookmarkStart w:id="2" w:name="_Toc26845"/>
      <w:bookmarkStart w:id="3" w:name="_Toc34572026"/>
      <w:bookmarkStart w:id="4" w:name="_Toc445914867"/>
      <w:bookmarkStart w:id="5" w:name="_Toc363576971"/>
      <w:bookmarkStart w:id="6" w:name="_Toc361035134"/>
    </w:p>
    <w:p w14:paraId="78C6FA95">
      <w:pPr>
        <w:pStyle w:val="8"/>
        <w:ind w:firstLine="321"/>
        <w:jc w:val="center"/>
        <w:rPr>
          <w:rFonts w:hint="eastAsia" w:ascii="宋体" w:hAnsi="宋体"/>
          <w:bCs/>
          <w:color w:val="auto"/>
          <w:highlight w:val="none"/>
        </w:rPr>
      </w:pPr>
      <w:r>
        <w:rPr>
          <w:rFonts w:ascii="宋体" w:hAnsi="宋体"/>
          <w:bCs/>
          <w:color w:val="auto"/>
          <w:szCs w:val="21"/>
          <w:highlight w:val="none"/>
        </w:rPr>
        <w:br w:type="page"/>
      </w:r>
      <w:r>
        <w:rPr>
          <w:rFonts w:hint="eastAsia" w:ascii="宋体" w:hAnsi="宋体"/>
          <w:color w:val="auto"/>
          <w:highlight w:val="none"/>
          <w:lang w:eastAsia="zh-CN"/>
        </w:rPr>
        <w:t>浙江三凯工程管理有限公司</w:t>
      </w:r>
      <w:r>
        <w:rPr>
          <w:rFonts w:hint="eastAsia" w:ascii="宋体" w:hAnsi="宋体"/>
          <w:color w:val="auto"/>
          <w:highlight w:val="none"/>
        </w:rPr>
        <w:t>关于</w:t>
      </w:r>
      <w:r>
        <w:rPr>
          <w:rFonts w:hint="eastAsia" w:ascii="宋体" w:hAnsi="宋体"/>
          <w:color w:val="auto"/>
          <w:highlight w:val="none"/>
          <w:lang w:eastAsia="zh-CN"/>
        </w:rPr>
        <w:t>2025年-2026年山福镇农村生活污水处理设备及管网运维服务采购项目</w:t>
      </w:r>
      <w:r>
        <w:rPr>
          <w:rFonts w:hint="eastAsia" w:ascii="宋体" w:hAnsi="宋体"/>
          <w:color w:val="auto"/>
          <w:highlight w:val="none"/>
        </w:rPr>
        <w:t>的公开招标公告</w:t>
      </w:r>
      <w:bookmarkEnd w:id="2"/>
      <w:bookmarkEnd w:id="3"/>
    </w:p>
    <w:p w14:paraId="0774B4CC">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hint="eastAsia" w:ascii="宋体" w:hAnsi="宋体"/>
          <w:color w:val="auto"/>
          <w:sz w:val="22"/>
          <w:szCs w:val="22"/>
          <w:highlight w:val="none"/>
        </w:rPr>
        <w:t>项目概况</w:t>
      </w:r>
    </w:p>
    <w:p w14:paraId="5015C949">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hint="eastAsia" w:ascii="宋体" w:hAnsi="宋体"/>
          <w:bCs/>
          <w:color w:val="auto"/>
          <w:sz w:val="22"/>
          <w:szCs w:val="22"/>
          <w:highlight w:val="none"/>
          <w:u w:val="single"/>
          <w:lang w:eastAsia="zh-CN"/>
        </w:rPr>
        <w:t>2025年-2026年山福镇农村生活污水处理设备及管网运维服务采购项目</w:t>
      </w:r>
      <w:r>
        <w:rPr>
          <w:rFonts w:hint="eastAsia" w:ascii="宋体" w:hAnsi="宋体"/>
          <w:color w:val="auto"/>
          <w:sz w:val="22"/>
          <w:szCs w:val="22"/>
          <w:highlight w:val="none"/>
        </w:rPr>
        <w:t>采购项目的潜在供应商应在</w:t>
      </w:r>
      <w:r>
        <w:rPr>
          <w:rFonts w:hint="eastAsia" w:ascii="宋体" w:hAnsi="宋体"/>
          <w:bCs/>
          <w:color w:val="auto"/>
          <w:sz w:val="22"/>
          <w:szCs w:val="22"/>
          <w:highlight w:val="none"/>
          <w:u w:val="single"/>
        </w:rPr>
        <w:t>政采云平台</w:t>
      </w:r>
      <w:r>
        <w:rPr>
          <w:rFonts w:hint="eastAsia" w:ascii="宋体" w:hAnsi="宋体"/>
          <w:color w:val="auto"/>
          <w:sz w:val="22"/>
          <w:szCs w:val="22"/>
          <w:highlight w:val="none"/>
        </w:rPr>
        <w:t>获取采购文件，并于</w:t>
      </w:r>
      <w:r>
        <w:rPr>
          <w:rFonts w:ascii="宋体" w:hAnsi="宋体"/>
          <w:color w:val="auto"/>
          <w:sz w:val="22"/>
          <w:szCs w:val="22"/>
          <w:highlight w:val="none"/>
          <w:u w:val="single"/>
        </w:rPr>
        <w:t>20</w:t>
      </w:r>
      <w:r>
        <w:rPr>
          <w:rFonts w:hint="eastAsia" w:ascii="宋体" w:hAnsi="宋体"/>
          <w:color w:val="auto"/>
          <w:sz w:val="22"/>
          <w:szCs w:val="22"/>
          <w:highlight w:val="none"/>
          <w:u w:val="single"/>
          <w:lang w:val="en-US" w:eastAsia="zh-CN"/>
        </w:rPr>
        <w:t>25</w:t>
      </w:r>
      <w:r>
        <w:rPr>
          <w:rFonts w:ascii="宋体" w:hAnsi="宋体"/>
          <w:color w:val="auto"/>
          <w:sz w:val="22"/>
          <w:szCs w:val="22"/>
          <w:highlight w:val="none"/>
          <w:u w:val="single"/>
        </w:rPr>
        <w:t>年</w:t>
      </w:r>
      <w:r>
        <w:rPr>
          <w:rFonts w:ascii="宋体" w:hAnsi="宋体"/>
          <w:bCs/>
          <w:color w:val="auto"/>
          <w:sz w:val="22"/>
          <w:szCs w:val="22"/>
          <w:highlight w:val="none"/>
          <w:u w:val="single"/>
        </w:rPr>
        <w:t xml:space="preserve"> </w:t>
      </w:r>
      <w:r>
        <w:rPr>
          <w:rFonts w:hint="eastAsia" w:ascii="宋体" w:hAnsi="宋体"/>
          <w:bCs/>
          <w:color w:val="auto"/>
          <w:sz w:val="22"/>
          <w:szCs w:val="22"/>
          <w:highlight w:val="none"/>
          <w:u w:val="single"/>
          <w:lang w:val="en-US" w:eastAsia="zh-CN"/>
        </w:rPr>
        <w:t xml:space="preserve">7 </w:t>
      </w:r>
      <w:r>
        <w:rPr>
          <w:rFonts w:hint="eastAsia" w:ascii="宋体" w:hAnsi="宋体"/>
          <w:bCs/>
          <w:color w:val="auto"/>
          <w:sz w:val="22"/>
          <w:szCs w:val="22"/>
          <w:highlight w:val="none"/>
          <w:u w:val="single"/>
        </w:rPr>
        <w:t>月</w:t>
      </w:r>
      <w:r>
        <w:rPr>
          <w:rFonts w:hint="eastAsia" w:ascii="宋体" w:hAnsi="宋体"/>
          <w:bCs/>
          <w:color w:val="auto"/>
          <w:sz w:val="22"/>
          <w:szCs w:val="22"/>
          <w:highlight w:val="none"/>
          <w:u w:val="single"/>
          <w:lang w:val="en-US" w:eastAsia="zh-CN"/>
        </w:rPr>
        <w:t xml:space="preserve"> 7</w:t>
      </w:r>
      <w:r>
        <w:rPr>
          <w:rFonts w:hint="eastAsia" w:ascii="宋体" w:hAnsi="宋体"/>
          <w:bCs/>
          <w:color w:val="auto"/>
          <w:sz w:val="22"/>
          <w:szCs w:val="22"/>
          <w:highlight w:val="none"/>
          <w:u w:val="single"/>
        </w:rPr>
        <w:t xml:space="preserve"> 日</w:t>
      </w:r>
      <w:r>
        <w:rPr>
          <w:rFonts w:hint="eastAsia" w:ascii="宋体" w:hAnsi="宋体"/>
          <w:bCs/>
          <w:color w:val="auto"/>
          <w:sz w:val="22"/>
          <w:szCs w:val="22"/>
          <w:highlight w:val="none"/>
          <w:u w:val="single"/>
          <w:lang w:val="en-US" w:eastAsia="zh-CN"/>
        </w:rPr>
        <w:t xml:space="preserve"> 9 </w:t>
      </w:r>
      <w:r>
        <w:rPr>
          <w:rFonts w:hint="eastAsia" w:ascii="宋体" w:hAnsi="宋体"/>
          <w:bCs/>
          <w:color w:val="auto"/>
          <w:sz w:val="22"/>
          <w:szCs w:val="22"/>
          <w:highlight w:val="none"/>
          <w:u w:val="single"/>
        </w:rPr>
        <w:t>点</w:t>
      </w:r>
      <w:r>
        <w:rPr>
          <w:rFonts w:hint="eastAsia" w:ascii="宋体" w:hAnsi="宋体"/>
          <w:bCs/>
          <w:color w:val="auto"/>
          <w:sz w:val="22"/>
          <w:szCs w:val="22"/>
          <w:highlight w:val="none"/>
          <w:u w:val="single"/>
          <w:lang w:val="en-US" w:eastAsia="zh-CN"/>
        </w:rPr>
        <w:t xml:space="preserve"> 30 </w:t>
      </w:r>
      <w:r>
        <w:rPr>
          <w:rFonts w:hint="eastAsia" w:ascii="宋体" w:hAnsi="宋体"/>
          <w:bCs/>
          <w:color w:val="auto"/>
          <w:sz w:val="22"/>
          <w:szCs w:val="22"/>
          <w:highlight w:val="none"/>
          <w:u w:val="single"/>
        </w:rPr>
        <w:t>分整</w:t>
      </w:r>
      <w:r>
        <w:rPr>
          <w:rFonts w:hint="eastAsia" w:ascii="宋体" w:hAnsi="宋体"/>
          <w:bCs/>
          <w:color w:val="auto"/>
          <w:sz w:val="22"/>
          <w:szCs w:val="22"/>
          <w:highlight w:val="none"/>
        </w:rPr>
        <w:t>（北京时间）前提交响应</w:t>
      </w:r>
      <w:r>
        <w:rPr>
          <w:rFonts w:ascii="宋体" w:hAnsi="宋体"/>
          <w:bCs/>
          <w:color w:val="auto"/>
          <w:sz w:val="22"/>
          <w:szCs w:val="22"/>
          <w:highlight w:val="none"/>
        </w:rPr>
        <w:t>文件</w:t>
      </w:r>
      <w:r>
        <w:rPr>
          <w:rFonts w:hint="eastAsia" w:ascii="宋体" w:hAnsi="宋体"/>
          <w:color w:val="auto"/>
          <w:sz w:val="22"/>
          <w:szCs w:val="22"/>
          <w:highlight w:val="none"/>
        </w:rPr>
        <w:t>。</w:t>
      </w:r>
    </w:p>
    <w:p w14:paraId="75BEE6F1">
      <w:pPr>
        <w:rPr>
          <w:rFonts w:ascii="宋体" w:hAnsi="宋体"/>
          <w:color w:val="auto"/>
          <w:sz w:val="22"/>
          <w:szCs w:val="22"/>
          <w:highlight w:val="none"/>
        </w:rPr>
      </w:pPr>
      <w:r>
        <w:rPr>
          <w:rFonts w:hint="eastAsia" w:ascii="宋体" w:hAnsi="宋体"/>
          <w:color w:val="auto"/>
          <w:sz w:val="22"/>
          <w:szCs w:val="22"/>
          <w:highlight w:val="none"/>
        </w:rPr>
        <w:t>一、项目基本情况</w:t>
      </w:r>
    </w:p>
    <w:p w14:paraId="2125E9EC">
      <w:pPr>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项目编号：</w:t>
      </w:r>
      <w:r>
        <w:rPr>
          <w:rFonts w:hint="eastAsia" w:ascii="宋体" w:hAnsi="宋体"/>
          <w:color w:val="auto"/>
          <w:kern w:val="0"/>
          <w:sz w:val="22"/>
          <w:szCs w:val="22"/>
          <w:highlight w:val="none"/>
          <w:lang w:eastAsia="zh-CN"/>
        </w:rPr>
        <w:t>ZJSK-LC-202</w:t>
      </w:r>
      <w:r>
        <w:rPr>
          <w:rFonts w:hint="eastAsia" w:ascii="宋体" w:hAnsi="宋体"/>
          <w:color w:val="auto"/>
          <w:kern w:val="0"/>
          <w:sz w:val="22"/>
          <w:szCs w:val="22"/>
          <w:highlight w:val="none"/>
          <w:lang w:val="en-US" w:eastAsia="zh-CN"/>
        </w:rPr>
        <w:t>5</w:t>
      </w:r>
      <w:r>
        <w:rPr>
          <w:rFonts w:hint="eastAsia" w:ascii="宋体" w:hAnsi="宋体"/>
          <w:color w:val="auto"/>
          <w:kern w:val="0"/>
          <w:sz w:val="22"/>
          <w:szCs w:val="22"/>
          <w:highlight w:val="none"/>
          <w:lang w:eastAsia="zh-CN"/>
        </w:rPr>
        <w:t>0506</w:t>
      </w:r>
    </w:p>
    <w:p w14:paraId="0BFFD70A">
      <w:pPr>
        <w:ind w:firstLine="440" w:firstLineChars="200"/>
        <w:rPr>
          <w:rFonts w:hint="eastAsia" w:ascii="宋体" w:hAnsi="宋体" w:eastAsia="宋体"/>
          <w:color w:val="auto"/>
          <w:kern w:val="0"/>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kern w:val="0"/>
          <w:sz w:val="22"/>
          <w:szCs w:val="22"/>
          <w:highlight w:val="none"/>
          <w:lang w:eastAsia="zh-CN"/>
        </w:rPr>
        <w:t>2025年-2026年山福镇农村生活污水处理设备及管网运维服务采购项目</w:t>
      </w:r>
    </w:p>
    <w:p w14:paraId="1ABE8EE9">
      <w:pPr>
        <w:ind w:firstLine="440" w:firstLineChars="200"/>
        <w:rPr>
          <w:rFonts w:ascii="宋体" w:hAnsi="宋体"/>
          <w:color w:val="auto"/>
          <w:sz w:val="22"/>
          <w:szCs w:val="22"/>
          <w:highlight w:val="none"/>
        </w:rPr>
      </w:pPr>
      <w:r>
        <w:rPr>
          <w:rFonts w:hint="eastAsia" w:ascii="宋体" w:hAnsi="宋体"/>
          <w:color w:val="auto"/>
          <w:sz w:val="22"/>
          <w:szCs w:val="22"/>
          <w:highlight w:val="none"/>
        </w:rPr>
        <w:t>最高限价：</w:t>
      </w:r>
      <w:r>
        <w:rPr>
          <w:rFonts w:hint="eastAsia" w:ascii="宋体" w:hAnsi="宋体" w:cs="新宋体"/>
          <w:color w:val="auto"/>
          <w:sz w:val="22"/>
          <w:szCs w:val="22"/>
          <w:highlight w:val="none"/>
          <w:lang w:val="en-US" w:eastAsia="zh-CN"/>
        </w:rPr>
        <w:t>64万元</w:t>
      </w:r>
    </w:p>
    <w:p w14:paraId="79352A91">
      <w:pPr>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采购需求：</w:t>
      </w:r>
    </w:p>
    <w:tbl>
      <w:tblPr>
        <w:tblStyle w:val="21"/>
        <w:tblW w:w="0" w:type="auto"/>
        <w:jc w:val="center"/>
        <w:tblLayout w:type="fixed"/>
        <w:tblCellMar>
          <w:top w:w="0" w:type="dxa"/>
          <w:left w:w="108" w:type="dxa"/>
          <w:bottom w:w="0" w:type="dxa"/>
          <w:right w:w="108" w:type="dxa"/>
        </w:tblCellMar>
      </w:tblPr>
      <w:tblGrid>
        <w:gridCol w:w="786"/>
        <w:gridCol w:w="2693"/>
        <w:gridCol w:w="709"/>
        <w:gridCol w:w="992"/>
        <w:gridCol w:w="1276"/>
        <w:gridCol w:w="3052"/>
      </w:tblGrid>
      <w:tr w14:paraId="404AA1AE">
        <w:tblPrEx>
          <w:tblCellMar>
            <w:top w:w="0" w:type="dxa"/>
            <w:left w:w="108" w:type="dxa"/>
            <w:bottom w:w="0" w:type="dxa"/>
            <w:right w:w="108" w:type="dxa"/>
          </w:tblCellMar>
        </w:tblPrEx>
        <w:trPr>
          <w:trHeight w:val="597" w:hRule="atLeast"/>
          <w:jc w:val="center"/>
        </w:trPr>
        <w:tc>
          <w:tcPr>
            <w:tcW w:w="7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32268">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序号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0C8A2">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标项内容</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25B563">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数量</w:t>
            </w: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98B84">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E8FD51">
            <w:pPr>
              <w:jc w:val="center"/>
              <w:rPr>
                <w:rFonts w:hint="eastAsia" w:ascii="宋体" w:hAnsi="宋体" w:cs="新宋体"/>
                <w:color w:val="auto"/>
                <w:sz w:val="22"/>
                <w:szCs w:val="22"/>
                <w:highlight w:val="none"/>
              </w:rPr>
            </w:pPr>
            <w:r>
              <w:rPr>
                <w:rFonts w:hint="eastAsia" w:ascii="宋体" w:hAnsi="宋体"/>
                <w:color w:val="auto"/>
                <w:sz w:val="22"/>
                <w:szCs w:val="22"/>
                <w:highlight w:val="none"/>
                <w:lang w:val="en-US" w:eastAsia="zh-CN"/>
              </w:rPr>
              <w:t>最高限价</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29BA64FA">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简要技术要求、用途</w:t>
            </w:r>
          </w:p>
        </w:tc>
      </w:tr>
      <w:tr w14:paraId="288433E8">
        <w:tblPrEx>
          <w:tblCellMar>
            <w:top w:w="0" w:type="dxa"/>
            <w:left w:w="108" w:type="dxa"/>
            <w:bottom w:w="0" w:type="dxa"/>
            <w:right w:w="108" w:type="dxa"/>
          </w:tblCellMar>
        </w:tblPrEx>
        <w:trPr>
          <w:trHeight w:val="914" w:hRule="atLeast"/>
          <w:jc w:val="center"/>
        </w:trPr>
        <w:tc>
          <w:tcPr>
            <w:tcW w:w="7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5D48B4">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1</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18E37">
            <w:pPr>
              <w:jc w:val="center"/>
              <w:rPr>
                <w:rFonts w:hint="eastAsia" w:ascii="宋体" w:hAnsi="宋体" w:eastAsia="宋体" w:cs="新宋体"/>
                <w:color w:val="auto"/>
                <w:sz w:val="22"/>
                <w:szCs w:val="22"/>
                <w:highlight w:val="none"/>
                <w:lang w:eastAsia="zh-CN"/>
              </w:rPr>
            </w:pPr>
            <w:r>
              <w:rPr>
                <w:rFonts w:hint="eastAsia" w:ascii="宋体" w:hAnsi="宋体"/>
                <w:color w:val="auto"/>
                <w:kern w:val="0"/>
                <w:sz w:val="22"/>
                <w:szCs w:val="22"/>
                <w:highlight w:val="none"/>
                <w:lang w:eastAsia="zh-CN"/>
              </w:rPr>
              <w:t>2025年-2026年山福镇农村生活污水处理设备及管网运维服务采购项目</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FADA7">
            <w:pPr>
              <w:widowControl/>
              <w:spacing w:before="60" w:after="60"/>
              <w:ind w:right="60"/>
              <w:jc w:val="center"/>
              <w:rPr>
                <w:rFonts w:hint="eastAsia" w:ascii="宋体" w:hAnsi="宋体" w:cs="新宋体"/>
                <w:color w:val="auto"/>
                <w:sz w:val="22"/>
                <w:szCs w:val="22"/>
                <w:highlight w:val="none"/>
              </w:rPr>
            </w:pPr>
            <w:r>
              <w:rPr>
                <w:rFonts w:hint="eastAsia" w:ascii="宋体" w:hAnsi="宋体" w:cs="新宋体"/>
                <w:bCs/>
                <w:color w:val="auto"/>
                <w:kern w:val="0"/>
                <w:sz w:val="22"/>
                <w:szCs w:val="22"/>
                <w:highlight w:val="none"/>
              </w:rPr>
              <w:t>1</w:t>
            </w: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F90381">
            <w:pPr>
              <w:widowControl/>
              <w:spacing w:before="60" w:after="60"/>
              <w:ind w:right="60"/>
              <w:jc w:val="center"/>
              <w:rPr>
                <w:rFonts w:hint="eastAsia" w:ascii="宋体" w:hAnsi="宋体" w:cs="新宋体"/>
                <w:color w:val="auto"/>
                <w:sz w:val="22"/>
                <w:szCs w:val="22"/>
                <w:highlight w:val="none"/>
              </w:rPr>
            </w:pPr>
            <w:r>
              <w:rPr>
                <w:rFonts w:hint="eastAsia" w:ascii="宋体" w:hAnsi="宋体" w:cs="新宋体"/>
                <w:bCs/>
                <w:color w:val="auto"/>
                <w:kern w:val="0"/>
                <w:sz w:val="22"/>
                <w:szCs w:val="22"/>
                <w:highlight w:val="none"/>
              </w:rPr>
              <w:t>项</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95C5C6">
            <w:pPr>
              <w:widowControl/>
              <w:spacing w:before="60" w:after="60"/>
              <w:ind w:right="60"/>
              <w:jc w:val="left"/>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64万元</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5FCA2E9B">
            <w:pPr>
              <w:widowControl/>
              <w:spacing w:before="60" w:after="60"/>
              <w:ind w:right="60"/>
              <w:jc w:val="left"/>
              <w:rPr>
                <w:rFonts w:hint="eastAsia" w:ascii="宋体" w:hAnsi="宋体" w:cs="新宋体"/>
                <w:color w:val="auto"/>
                <w:kern w:val="0"/>
                <w:sz w:val="22"/>
                <w:szCs w:val="22"/>
                <w:highlight w:val="none"/>
              </w:rPr>
            </w:pPr>
            <w:r>
              <w:rPr>
                <w:rFonts w:hint="eastAsia" w:ascii="宋体" w:hAnsi="宋体"/>
                <w:color w:val="auto"/>
                <w:kern w:val="0"/>
                <w:sz w:val="22"/>
                <w:szCs w:val="22"/>
                <w:highlight w:val="none"/>
              </w:rPr>
              <w:t>农村生活污水处理设备及管网运维服务采购项目</w:t>
            </w:r>
            <w:r>
              <w:rPr>
                <w:rFonts w:hint="eastAsia" w:ascii="宋体" w:hAnsi="宋体" w:cs="新宋体"/>
                <w:color w:val="auto"/>
                <w:kern w:val="0"/>
                <w:sz w:val="22"/>
                <w:szCs w:val="22"/>
                <w:highlight w:val="none"/>
              </w:rPr>
              <w:t>，具体采购内容及需求见招标文件相关部分。</w:t>
            </w:r>
          </w:p>
        </w:tc>
      </w:tr>
    </w:tbl>
    <w:p w14:paraId="0E19B95B">
      <w:pPr>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合同履行期限：</w:t>
      </w:r>
      <w:r>
        <w:rPr>
          <w:rFonts w:hint="eastAsia" w:ascii="宋体" w:hAnsi="宋体"/>
          <w:color w:val="auto"/>
          <w:sz w:val="22"/>
          <w:highlight w:val="none"/>
        </w:rPr>
        <w:t>一年。</w:t>
      </w:r>
    </w:p>
    <w:p w14:paraId="0FBD11D3">
      <w:pPr>
        <w:rPr>
          <w:rFonts w:ascii="宋体" w:hAnsi="宋体"/>
          <w:color w:val="auto"/>
          <w:sz w:val="22"/>
          <w:szCs w:val="22"/>
          <w:highlight w:val="none"/>
        </w:rPr>
      </w:pPr>
      <w:r>
        <w:rPr>
          <w:rFonts w:hint="eastAsia" w:ascii="宋体" w:hAnsi="宋体"/>
          <w:color w:val="auto"/>
          <w:sz w:val="22"/>
          <w:szCs w:val="22"/>
          <w:highlight w:val="none"/>
        </w:rPr>
        <w:t>二、申请人的资格要求：</w:t>
      </w:r>
      <w:r>
        <w:rPr>
          <w:rFonts w:ascii="宋体" w:hAnsi="宋体"/>
          <w:color w:val="auto"/>
          <w:sz w:val="22"/>
          <w:szCs w:val="22"/>
          <w:highlight w:val="none"/>
        </w:rPr>
        <w:t xml:space="preserve"> </w:t>
      </w:r>
    </w:p>
    <w:p w14:paraId="7FBED15E">
      <w:pPr>
        <w:widowControl/>
        <w:numPr>
          <w:ilvl w:val="0"/>
          <w:numId w:val="1"/>
        </w:numPr>
        <w:spacing w:line="460" w:lineRule="exact"/>
        <w:ind w:right="62"/>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A2E908">
      <w:pPr>
        <w:widowControl/>
        <w:numPr>
          <w:ilvl w:val="0"/>
          <w:numId w:val="1"/>
        </w:numPr>
        <w:spacing w:line="460" w:lineRule="exact"/>
        <w:ind w:right="62"/>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落实政府采购政策需满足的资格要求：供应商为中小企业/小微企业（监狱企业、残疾人福利企业视同小型、微型企业）；</w:t>
      </w:r>
    </w:p>
    <w:p w14:paraId="4DA65A1F">
      <w:pPr>
        <w:widowControl/>
        <w:numPr>
          <w:ilvl w:val="0"/>
          <w:numId w:val="0"/>
        </w:numPr>
        <w:spacing w:line="460" w:lineRule="exact"/>
        <w:ind w:left="400" w:leftChars="0" w:right="60" w:rightChars="0"/>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lang w:val="en-US" w:eastAsia="zh-CN"/>
        </w:rPr>
        <w:t>3.</w:t>
      </w:r>
      <w:r>
        <w:rPr>
          <w:rFonts w:hint="eastAsia" w:ascii="宋体" w:hAnsi="宋体" w:cs="新宋体"/>
          <w:color w:val="auto"/>
          <w:kern w:val="0"/>
          <w:sz w:val="22"/>
          <w:szCs w:val="22"/>
          <w:highlight w:val="none"/>
        </w:rPr>
        <w:t>特殊资格条件：</w:t>
      </w:r>
    </w:p>
    <w:p w14:paraId="5A136D68">
      <w:pPr>
        <w:widowControl/>
        <w:snapToGrid w:val="0"/>
        <w:spacing w:line="420" w:lineRule="exact"/>
        <w:ind w:left="400"/>
        <w:jc w:val="left"/>
        <w:rPr>
          <w:rFonts w:hint="eastAsia" w:ascii="宋体" w:hAnsi="宋体"/>
          <w:b/>
          <w:bCs/>
          <w:color w:val="auto"/>
          <w:sz w:val="22"/>
          <w:szCs w:val="22"/>
          <w:highlight w:val="none"/>
          <w:lang w:eastAsia="zh-CN"/>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1</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投标人具有具备环保工程专业承包叁级及以上资质</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在人员、设备等方面具有相应的履约能力</w:t>
      </w:r>
      <w:r>
        <w:rPr>
          <w:rFonts w:hint="eastAsia" w:ascii="宋体" w:hAnsi="宋体"/>
          <w:b/>
          <w:bCs/>
          <w:color w:val="auto"/>
          <w:sz w:val="22"/>
          <w:szCs w:val="22"/>
          <w:highlight w:val="none"/>
          <w:lang w:eastAsia="zh-CN"/>
        </w:rPr>
        <w:t>。</w:t>
      </w:r>
    </w:p>
    <w:p w14:paraId="0B8C28C3">
      <w:pPr>
        <w:widowControl/>
        <w:snapToGrid w:val="0"/>
        <w:spacing w:line="420" w:lineRule="exact"/>
        <w:ind w:left="400"/>
        <w:jc w:val="left"/>
        <w:rPr>
          <w:rFonts w:hint="eastAsia" w:ascii="宋体" w:hAnsi="宋体"/>
          <w:b/>
          <w:bCs/>
          <w:color w:val="auto"/>
          <w:sz w:val="22"/>
          <w:szCs w:val="22"/>
          <w:highlight w:val="none"/>
          <w:lang w:val="en-US" w:eastAsia="zh-CN"/>
        </w:rPr>
      </w:pPr>
      <w:r>
        <w:rPr>
          <w:rFonts w:hint="eastAsia" w:ascii="宋体" w:hAnsi="宋体"/>
          <w:b/>
          <w:bCs/>
          <w:sz w:val="22"/>
          <w:szCs w:val="22"/>
          <w:highlight w:val="none"/>
        </w:rPr>
        <w:t>（2）投标人具有有效安全生产许可证（或有效的安全生产许可证电子证书打印件）及A类人员证书；</w:t>
      </w:r>
    </w:p>
    <w:p w14:paraId="05590E9D">
      <w:pPr>
        <w:widowControl/>
        <w:numPr>
          <w:ilvl w:val="0"/>
          <w:numId w:val="0"/>
        </w:numPr>
        <w:spacing w:line="460" w:lineRule="exact"/>
        <w:ind w:left="400" w:leftChars="0" w:right="60" w:rightChars="0"/>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lang w:val="en-US" w:eastAsia="zh-CN"/>
        </w:rPr>
        <w:t>4.</w:t>
      </w:r>
      <w:r>
        <w:rPr>
          <w:rFonts w:hint="eastAsia" w:ascii="宋体" w:hAnsi="宋体" w:cs="新宋体"/>
          <w:color w:val="auto"/>
          <w:kern w:val="0"/>
          <w:sz w:val="22"/>
          <w:szCs w:val="22"/>
          <w:highlight w:val="none"/>
        </w:rPr>
        <w:t>本项目不接受联合体投标。</w:t>
      </w:r>
    </w:p>
    <w:p w14:paraId="65C00EAD">
      <w:pPr>
        <w:rPr>
          <w:rFonts w:ascii="宋体" w:hAnsi="宋体"/>
          <w:color w:val="auto"/>
          <w:sz w:val="22"/>
          <w:szCs w:val="22"/>
          <w:highlight w:val="none"/>
        </w:rPr>
      </w:pPr>
      <w:r>
        <w:rPr>
          <w:rFonts w:hint="eastAsia" w:ascii="宋体" w:hAnsi="宋体"/>
          <w:color w:val="auto"/>
          <w:sz w:val="22"/>
          <w:szCs w:val="22"/>
          <w:highlight w:val="none"/>
        </w:rPr>
        <w:t>三、获取采购文件</w:t>
      </w:r>
    </w:p>
    <w:p w14:paraId="2D2ED9C3">
      <w:pPr>
        <w:widowControl/>
        <w:numPr>
          <w:ilvl w:val="0"/>
          <w:numId w:val="2"/>
        </w:numPr>
        <w:spacing w:line="460" w:lineRule="exact"/>
        <w:ind w:right="62"/>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公告发布之日起至投标文件提交截止时间止。本项目采购文件实行“政采云平台”在线获取，不提供采购文件纸质版。供应商获取采购文件前应先完成“政采云平台”的账号注册同时办理CA领取。</w:t>
      </w:r>
    </w:p>
    <w:p w14:paraId="274FD825">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地点：政采云平台（http://zfcg.czt.zj.gov.cn）。</w:t>
      </w:r>
    </w:p>
    <w:p w14:paraId="170D488F">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方式：潜在投标人登陆政采云平台，在线申请获取采购文件（进入“项目采购”应用，在获取采购文件菜单中选择项目，申请获取采购文件，本项目采购文件不收取工本费；仅需</w:t>
      </w:r>
      <w:r>
        <w:rPr>
          <w:rFonts w:ascii="宋体" w:hAnsi="宋体" w:cs="新宋体"/>
          <w:bCs/>
          <w:color w:val="auto"/>
          <w:kern w:val="0"/>
          <w:sz w:val="22"/>
          <w:szCs w:val="22"/>
          <w:highlight w:val="none"/>
        </w:rPr>
        <w:t>浏览</w:t>
      </w:r>
      <w:r>
        <w:rPr>
          <w:rFonts w:hint="eastAsia" w:ascii="宋体" w:hAnsi="宋体" w:cs="新宋体"/>
          <w:bCs/>
          <w:color w:val="auto"/>
          <w:kern w:val="0"/>
          <w:sz w:val="22"/>
          <w:szCs w:val="22"/>
          <w:highlight w:val="none"/>
        </w:rPr>
        <w:t>采购文件的供应商可点击“游客，</w:t>
      </w:r>
      <w:r>
        <w:rPr>
          <w:rFonts w:ascii="宋体" w:hAnsi="宋体" w:cs="新宋体"/>
          <w:bCs/>
          <w:color w:val="auto"/>
          <w:kern w:val="0"/>
          <w:sz w:val="22"/>
          <w:szCs w:val="22"/>
          <w:highlight w:val="none"/>
        </w:rPr>
        <w:t>浏览</w:t>
      </w:r>
      <w:r>
        <w:rPr>
          <w:rFonts w:hint="eastAsia" w:ascii="宋体" w:hAnsi="宋体" w:cs="新宋体"/>
          <w:bCs/>
          <w:color w:val="auto"/>
          <w:kern w:val="0"/>
          <w:sz w:val="22"/>
          <w:szCs w:val="22"/>
          <w:highlight w:val="none"/>
        </w:rPr>
        <w:t>采购文件”直接下载采购文件</w:t>
      </w:r>
      <w:r>
        <w:rPr>
          <w:rFonts w:ascii="宋体" w:hAnsi="宋体" w:cs="新宋体"/>
          <w:bCs/>
          <w:color w:val="auto"/>
          <w:kern w:val="0"/>
          <w:sz w:val="22"/>
          <w:szCs w:val="22"/>
          <w:highlight w:val="none"/>
        </w:rPr>
        <w:t>浏览</w:t>
      </w:r>
      <w:r>
        <w:rPr>
          <w:rFonts w:hint="eastAsia" w:ascii="宋体" w:hAnsi="宋体" w:cs="新宋体"/>
          <w:bCs/>
          <w:color w:val="auto"/>
          <w:kern w:val="0"/>
          <w:sz w:val="22"/>
          <w:szCs w:val="22"/>
          <w:highlight w:val="none"/>
        </w:rPr>
        <w:t>）。</w:t>
      </w:r>
    </w:p>
    <w:p w14:paraId="5F80DFEE">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供应商获取采购文件时须提交的文件资料：无。</w:t>
      </w:r>
    </w:p>
    <w:p w14:paraId="5D54DD05">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提示：招标公告附件内的采购文件（或采购需求）仅供阅览使用，供应商只有在“政采云平台”完成获取采购文件申请并下载了采购文件后才视作依法获取采购文件（法律法规所指的供应商获取采购文件时间以供应商完成获取采购文件申请后下载采购文件的时间为准）。</w:t>
      </w:r>
    </w:p>
    <w:p w14:paraId="2F052BB0">
      <w:pPr>
        <w:widowControl/>
        <w:spacing w:line="460" w:lineRule="exact"/>
        <w:ind w:right="62" w:firstLine="440" w:firstLineChars="200"/>
        <w:jc w:val="left"/>
        <w:rPr>
          <w:rFonts w:hint="eastAsia" w:ascii="宋体" w:hAnsi="宋体" w:cs="新宋体"/>
          <w:color w:val="auto"/>
          <w:kern w:val="0"/>
          <w:sz w:val="22"/>
          <w:szCs w:val="22"/>
          <w:highlight w:val="none"/>
        </w:rPr>
      </w:pPr>
      <w:r>
        <w:rPr>
          <w:rFonts w:hint="eastAsia" w:ascii="宋体" w:hAnsi="宋体" w:cs="新宋体"/>
          <w:bCs/>
          <w:color w:val="auto"/>
          <w:kern w:val="0"/>
          <w:sz w:val="22"/>
          <w:szCs w:val="22"/>
          <w:highlight w:val="none"/>
        </w:rPr>
        <w:t>注：请供应商按上述要求获取采购文件，如未在“政采云”系统内完成相关流程，引起的投标无效责任自负</w:t>
      </w:r>
      <w:r>
        <w:rPr>
          <w:rFonts w:hint="eastAsia" w:ascii="宋体" w:hAnsi="宋体"/>
          <w:bCs/>
          <w:color w:val="auto"/>
          <w:sz w:val="22"/>
          <w:szCs w:val="22"/>
          <w:highlight w:val="none"/>
        </w:rPr>
        <w:t>。</w:t>
      </w:r>
    </w:p>
    <w:p w14:paraId="66252D95">
      <w:pPr>
        <w:rPr>
          <w:rFonts w:ascii="宋体" w:hAnsi="宋体"/>
          <w:color w:val="auto"/>
          <w:sz w:val="22"/>
          <w:szCs w:val="22"/>
          <w:highlight w:val="none"/>
        </w:rPr>
      </w:pPr>
      <w:r>
        <w:rPr>
          <w:rFonts w:hint="eastAsia" w:ascii="宋体" w:hAnsi="宋体"/>
          <w:color w:val="auto"/>
          <w:sz w:val="22"/>
          <w:szCs w:val="22"/>
          <w:highlight w:val="none"/>
        </w:rPr>
        <w:t>四、提交投标文件截止时间、开标时间和地点</w:t>
      </w:r>
    </w:p>
    <w:p w14:paraId="67B882C8">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color w:val="auto"/>
          <w:sz w:val="22"/>
          <w:highlight w:val="none"/>
        </w:rPr>
      </w:pPr>
      <w:r>
        <w:rPr>
          <w:rFonts w:hint="eastAsia" w:ascii="宋体" w:hAnsi="宋体"/>
          <w:color w:val="auto"/>
          <w:sz w:val="22"/>
          <w:highlight w:val="none"/>
        </w:rPr>
        <w:t>1.</w:t>
      </w:r>
      <w:r>
        <w:rPr>
          <w:rFonts w:hint="eastAsia" w:ascii="宋体" w:hAnsi="宋体"/>
          <w:color w:val="auto"/>
          <w:sz w:val="22"/>
          <w:highlight w:val="none"/>
          <w:lang w:val="en-US" w:eastAsia="zh-CN"/>
        </w:rPr>
        <w:t>投标</w:t>
      </w:r>
      <w:r>
        <w:rPr>
          <w:rFonts w:hint="eastAsia" w:ascii="宋体" w:hAnsi="宋体"/>
          <w:color w:val="auto"/>
          <w:sz w:val="22"/>
          <w:highlight w:val="none"/>
        </w:rPr>
        <w:t>截止时间：</w:t>
      </w:r>
      <w:r>
        <w:rPr>
          <w:rFonts w:hint="eastAsia" w:ascii="宋体" w:hAnsi="宋体"/>
          <w:b/>
          <w:color w:val="auto"/>
          <w:sz w:val="22"/>
          <w:highlight w:val="none"/>
          <w:lang w:eastAsia="zh-CN"/>
        </w:rPr>
        <w:t>20</w:t>
      </w:r>
      <w:r>
        <w:rPr>
          <w:rFonts w:hint="eastAsia" w:ascii="宋体" w:hAnsi="宋体"/>
          <w:b/>
          <w:color w:val="auto"/>
          <w:sz w:val="22"/>
          <w:highlight w:val="none"/>
          <w:lang w:val="en-US" w:eastAsia="zh-CN"/>
        </w:rPr>
        <w:t>25</w:t>
      </w:r>
      <w:r>
        <w:rPr>
          <w:rFonts w:hint="eastAsia" w:ascii="宋体" w:hAnsi="宋体"/>
          <w:b/>
          <w:color w:val="auto"/>
          <w:sz w:val="22"/>
          <w:highlight w:val="none"/>
          <w:lang w:eastAsia="zh-CN"/>
        </w:rPr>
        <w:t>年</w:t>
      </w:r>
      <w:r>
        <w:rPr>
          <w:rFonts w:hint="eastAsia" w:ascii="宋体" w:hAnsi="宋体"/>
          <w:b/>
          <w:color w:val="auto"/>
          <w:sz w:val="22"/>
          <w:highlight w:val="none"/>
          <w:lang w:val="en-US" w:eastAsia="zh-CN"/>
        </w:rPr>
        <w:t>7</w:t>
      </w:r>
      <w:r>
        <w:rPr>
          <w:rFonts w:hint="eastAsia" w:ascii="宋体" w:hAnsi="宋体"/>
          <w:b/>
          <w:color w:val="auto"/>
          <w:sz w:val="22"/>
          <w:highlight w:val="none"/>
          <w:lang w:eastAsia="zh-CN"/>
        </w:rPr>
        <w:t>月</w:t>
      </w:r>
      <w:r>
        <w:rPr>
          <w:rFonts w:hint="eastAsia" w:ascii="宋体" w:hAnsi="宋体"/>
          <w:b/>
          <w:color w:val="auto"/>
          <w:sz w:val="22"/>
          <w:highlight w:val="none"/>
          <w:lang w:val="en-US" w:eastAsia="zh-CN"/>
        </w:rPr>
        <w:t xml:space="preserve"> 7 </w:t>
      </w:r>
      <w:r>
        <w:rPr>
          <w:rFonts w:hint="eastAsia" w:ascii="宋体" w:hAnsi="宋体"/>
          <w:b/>
          <w:color w:val="auto"/>
          <w:sz w:val="22"/>
          <w:highlight w:val="none"/>
          <w:lang w:eastAsia="zh-CN"/>
        </w:rPr>
        <w:t>日</w:t>
      </w:r>
      <w:r>
        <w:rPr>
          <w:rFonts w:hint="eastAsia" w:ascii="宋体" w:hAnsi="宋体"/>
          <w:b/>
          <w:color w:val="auto"/>
          <w:sz w:val="22"/>
          <w:highlight w:val="none"/>
          <w:lang w:val="en-US" w:eastAsia="zh-CN"/>
        </w:rPr>
        <w:t>9:30</w:t>
      </w:r>
      <w:r>
        <w:rPr>
          <w:rFonts w:hint="eastAsia" w:ascii="宋体" w:hAnsi="宋体"/>
          <w:b/>
          <w:color w:val="auto"/>
          <w:sz w:val="22"/>
          <w:highlight w:val="none"/>
        </w:rPr>
        <w:t xml:space="preserve"> ；</w:t>
      </w:r>
    </w:p>
    <w:p w14:paraId="07AB3AD2">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b/>
          <w:bCs/>
          <w:color w:val="auto"/>
          <w:kern w:val="0"/>
          <w:sz w:val="22"/>
          <w:highlight w:val="none"/>
          <w:u w:val="single"/>
        </w:rPr>
      </w:pPr>
      <w:r>
        <w:rPr>
          <w:rFonts w:hint="eastAsia" w:ascii="宋体" w:hAnsi="宋体"/>
          <w:color w:val="auto"/>
          <w:sz w:val="22"/>
          <w:highlight w:val="none"/>
        </w:rPr>
        <w:t>2.</w:t>
      </w:r>
      <w:r>
        <w:rPr>
          <w:rFonts w:hint="eastAsia" w:ascii="宋体" w:hAnsi="宋体"/>
          <w:color w:val="auto"/>
          <w:sz w:val="22"/>
          <w:highlight w:val="none"/>
          <w:lang w:val="en-US" w:eastAsia="zh-CN"/>
        </w:rPr>
        <w:t>投标</w:t>
      </w:r>
      <w:r>
        <w:rPr>
          <w:rFonts w:hint="eastAsia" w:ascii="宋体" w:hAnsi="宋体"/>
          <w:color w:val="auto"/>
          <w:sz w:val="22"/>
          <w:highlight w:val="none"/>
        </w:rPr>
        <w:t>平台：</w:t>
      </w:r>
      <w:r>
        <w:rPr>
          <w:rFonts w:hint="eastAsia" w:ascii="宋体" w:hAnsi="宋体"/>
          <w:b/>
          <w:bCs/>
          <w:color w:val="auto"/>
          <w:kern w:val="0"/>
          <w:sz w:val="22"/>
          <w:highlight w:val="none"/>
          <w:u w:val="single"/>
        </w:rPr>
        <w:t>政府采购云平台</w:t>
      </w:r>
      <w:r>
        <w:rPr>
          <w:rFonts w:hint="eastAsia" w:ascii="宋体" w:hAnsi="宋体"/>
          <w:b/>
          <w:bCs/>
          <w:color w:val="auto"/>
          <w:kern w:val="0"/>
          <w:sz w:val="22"/>
          <w:highlight w:val="none"/>
          <w:u w:val="single"/>
          <w:lang w:eastAsia="zh-CN"/>
        </w:rPr>
        <w:t>（www.zcygov.cn）</w:t>
      </w:r>
      <w:r>
        <w:rPr>
          <w:rFonts w:hint="eastAsia" w:ascii="宋体" w:hAnsi="宋体"/>
          <w:b/>
          <w:bCs/>
          <w:color w:val="auto"/>
          <w:kern w:val="0"/>
          <w:sz w:val="22"/>
          <w:highlight w:val="none"/>
          <w:u w:val="single"/>
        </w:rPr>
        <w:t>；</w:t>
      </w:r>
    </w:p>
    <w:p w14:paraId="2573C44A">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color w:val="auto"/>
          <w:sz w:val="22"/>
          <w:highlight w:val="none"/>
        </w:rPr>
      </w:pPr>
      <w:r>
        <w:rPr>
          <w:rFonts w:hint="eastAsia" w:ascii="宋体" w:hAnsi="宋体"/>
          <w:color w:val="auto"/>
          <w:sz w:val="22"/>
          <w:highlight w:val="none"/>
        </w:rPr>
        <w:t>3.</w:t>
      </w:r>
      <w:r>
        <w:rPr>
          <w:rFonts w:hint="eastAsia" w:ascii="宋体" w:hAnsi="宋体"/>
          <w:color w:val="auto"/>
          <w:sz w:val="22"/>
          <w:highlight w:val="none"/>
          <w:lang w:val="en-US" w:eastAsia="zh-CN"/>
        </w:rPr>
        <w:t>投标</w:t>
      </w:r>
      <w:r>
        <w:rPr>
          <w:rFonts w:hint="eastAsia" w:ascii="宋体" w:hAnsi="宋体"/>
          <w:color w:val="auto"/>
          <w:sz w:val="22"/>
          <w:highlight w:val="none"/>
        </w:rPr>
        <w:t>文件递交形式：通过政采云平台</w:t>
      </w:r>
      <w:r>
        <w:rPr>
          <w:rFonts w:hint="eastAsia" w:ascii="宋体" w:hAnsi="宋体"/>
          <w:color w:val="auto"/>
          <w:sz w:val="22"/>
          <w:highlight w:val="none"/>
          <w:lang w:bidi="ar"/>
        </w:rPr>
        <w:t>“电子加密</w:t>
      </w:r>
      <w:r>
        <w:rPr>
          <w:rFonts w:hint="eastAsia" w:ascii="宋体" w:hAnsi="宋体"/>
          <w:color w:val="auto"/>
          <w:sz w:val="22"/>
          <w:highlight w:val="none"/>
          <w:lang w:val="en-US" w:eastAsia="zh-CN" w:bidi="ar"/>
        </w:rPr>
        <w:t>投标</w:t>
      </w:r>
      <w:r>
        <w:rPr>
          <w:rFonts w:hint="eastAsia" w:ascii="宋体" w:hAnsi="宋体"/>
          <w:color w:val="auto"/>
          <w:sz w:val="22"/>
          <w:highlight w:val="none"/>
          <w:lang w:bidi="ar"/>
        </w:rPr>
        <w:t>文件”后在线上传递交；</w:t>
      </w:r>
    </w:p>
    <w:p w14:paraId="3096023D">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b/>
          <w:color w:val="auto"/>
          <w:sz w:val="22"/>
          <w:highlight w:val="none"/>
        </w:rPr>
      </w:pPr>
      <w:r>
        <w:rPr>
          <w:rFonts w:hint="eastAsia" w:ascii="宋体" w:hAnsi="宋体"/>
          <w:b/>
          <w:color w:val="auto"/>
          <w:sz w:val="22"/>
          <w:highlight w:val="none"/>
        </w:rPr>
        <w:t>4.</w:t>
      </w:r>
      <w:r>
        <w:rPr>
          <w:rFonts w:hint="eastAsia" w:ascii="宋体" w:hAnsi="宋体"/>
          <w:b/>
          <w:color w:val="auto"/>
          <w:sz w:val="22"/>
          <w:highlight w:val="none"/>
          <w:lang w:val="en-US" w:eastAsia="zh-CN"/>
        </w:rPr>
        <w:t>评标</w:t>
      </w:r>
      <w:r>
        <w:rPr>
          <w:rFonts w:hint="eastAsia" w:ascii="宋体" w:hAnsi="宋体"/>
          <w:b/>
          <w:color w:val="auto"/>
          <w:sz w:val="22"/>
          <w:highlight w:val="none"/>
        </w:rPr>
        <w:t>开始时间：</w:t>
      </w:r>
      <w:r>
        <w:rPr>
          <w:rFonts w:hint="eastAsia" w:ascii="宋体" w:hAnsi="宋体"/>
          <w:b/>
          <w:color w:val="auto"/>
          <w:sz w:val="22"/>
          <w:highlight w:val="none"/>
          <w:lang w:eastAsia="zh-CN"/>
        </w:rPr>
        <w:t>202</w:t>
      </w:r>
      <w:r>
        <w:rPr>
          <w:rFonts w:hint="eastAsia" w:ascii="宋体" w:hAnsi="宋体"/>
          <w:b/>
          <w:color w:val="auto"/>
          <w:sz w:val="22"/>
          <w:highlight w:val="none"/>
          <w:lang w:val="en-US" w:eastAsia="zh-CN"/>
        </w:rPr>
        <w:t>5</w:t>
      </w:r>
      <w:r>
        <w:rPr>
          <w:rFonts w:hint="eastAsia" w:ascii="宋体" w:hAnsi="宋体"/>
          <w:b/>
          <w:color w:val="auto"/>
          <w:sz w:val="22"/>
          <w:highlight w:val="none"/>
          <w:lang w:eastAsia="zh-CN"/>
        </w:rPr>
        <w:t>年</w:t>
      </w:r>
      <w:r>
        <w:rPr>
          <w:rFonts w:hint="eastAsia" w:ascii="宋体" w:hAnsi="宋体"/>
          <w:b/>
          <w:color w:val="auto"/>
          <w:sz w:val="22"/>
          <w:highlight w:val="none"/>
          <w:lang w:val="en-US" w:eastAsia="zh-CN"/>
        </w:rPr>
        <w:t xml:space="preserve"> 7  </w:t>
      </w:r>
      <w:r>
        <w:rPr>
          <w:rFonts w:hint="eastAsia" w:ascii="宋体" w:hAnsi="宋体"/>
          <w:b/>
          <w:color w:val="auto"/>
          <w:sz w:val="22"/>
          <w:highlight w:val="none"/>
          <w:lang w:eastAsia="zh-CN"/>
        </w:rPr>
        <w:t>月</w:t>
      </w:r>
      <w:r>
        <w:rPr>
          <w:rFonts w:hint="eastAsia" w:ascii="宋体" w:hAnsi="宋体"/>
          <w:b/>
          <w:color w:val="auto"/>
          <w:sz w:val="22"/>
          <w:highlight w:val="none"/>
          <w:lang w:val="en-US" w:eastAsia="zh-CN"/>
        </w:rPr>
        <w:t xml:space="preserve"> 7 </w:t>
      </w:r>
      <w:r>
        <w:rPr>
          <w:rFonts w:hint="eastAsia" w:ascii="宋体" w:hAnsi="宋体"/>
          <w:b/>
          <w:color w:val="auto"/>
          <w:sz w:val="22"/>
          <w:highlight w:val="none"/>
          <w:lang w:eastAsia="zh-CN"/>
        </w:rPr>
        <w:t>日</w:t>
      </w:r>
      <w:r>
        <w:rPr>
          <w:rFonts w:hint="eastAsia" w:ascii="宋体" w:hAnsi="宋体"/>
          <w:b/>
          <w:color w:val="auto"/>
          <w:sz w:val="22"/>
          <w:highlight w:val="none"/>
          <w:lang w:val="en-US" w:eastAsia="zh-CN"/>
        </w:rPr>
        <w:t>9:30</w:t>
      </w:r>
      <w:r>
        <w:rPr>
          <w:rFonts w:hint="eastAsia" w:ascii="宋体" w:hAnsi="宋体"/>
          <w:b/>
          <w:color w:val="auto"/>
          <w:sz w:val="22"/>
          <w:highlight w:val="none"/>
        </w:rPr>
        <w:t xml:space="preserve"> ；</w:t>
      </w:r>
    </w:p>
    <w:p w14:paraId="1F0365C1">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color w:val="auto"/>
          <w:highlight w:val="none"/>
        </w:rPr>
      </w:pPr>
      <w:r>
        <w:rPr>
          <w:rFonts w:hint="eastAsia" w:ascii="宋体" w:hAnsi="宋体"/>
          <w:b/>
          <w:color w:val="auto"/>
          <w:sz w:val="22"/>
          <w:highlight w:val="none"/>
        </w:rPr>
        <w:t>5</w:t>
      </w:r>
      <w:r>
        <w:rPr>
          <w:rFonts w:hint="eastAsia" w:ascii="宋体" w:hAnsi="宋体"/>
          <w:color w:val="auto"/>
          <w:sz w:val="22"/>
          <w:highlight w:val="none"/>
        </w:rPr>
        <w:t>.开标地点：</w:t>
      </w:r>
      <w:r>
        <w:rPr>
          <w:rFonts w:hint="eastAsia" w:ascii="宋体" w:hAnsi="宋体"/>
          <w:b/>
          <w:bCs/>
          <w:color w:val="auto"/>
          <w:kern w:val="0"/>
          <w:sz w:val="22"/>
          <w:highlight w:val="none"/>
          <w:u w:val="single"/>
        </w:rPr>
        <w:t>政府采购云平台</w:t>
      </w:r>
      <w:r>
        <w:rPr>
          <w:rFonts w:hint="eastAsia" w:ascii="宋体" w:hAnsi="宋体"/>
          <w:b/>
          <w:bCs/>
          <w:color w:val="auto"/>
          <w:kern w:val="0"/>
          <w:sz w:val="22"/>
          <w:highlight w:val="none"/>
          <w:u w:val="single"/>
          <w:lang w:eastAsia="zh-CN"/>
        </w:rPr>
        <w:t>（www.zcygov.cn）</w:t>
      </w:r>
      <w:r>
        <w:rPr>
          <w:rFonts w:hint="eastAsia" w:ascii="宋体" w:hAnsi="宋体"/>
          <w:b/>
          <w:bCs/>
          <w:color w:val="auto"/>
          <w:kern w:val="0"/>
          <w:sz w:val="22"/>
          <w:highlight w:val="none"/>
          <w:u w:val="single"/>
        </w:rPr>
        <w:t>；</w:t>
      </w:r>
    </w:p>
    <w:p w14:paraId="792004B6">
      <w:pPr>
        <w:keepNext w:val="0"/>
        <w:keepLines w:val="0"/>
        <w:pageBreakBefore w:val="0"/>
        <w:kinsoku/>
        <w:wordWrap/>
        <w:overflowPunct/>
        <w:topLinePunct w:val="0"/>
        <w:bidi w:val="0"/>
        <w:adjustRightInd/>
        <w:snapToGrid w:val="0"/>
        <w:spacing w:line="400" w:lineRule="exact"/>
        <w:ind w:firstLine="440" w:firstLineChars="200"/>
        <w:textAlignment w:val="auto"/>
        <w:rPr>
          <w:rFonts w:hint="eastAsia" w:ascii="宋体" w:hAnsi="宋体"/>
          <w:b/>
          <w:bCs/>
          <w:color w:val="auto"/>
          <w:kern w:val="0"/>
          <w:sz w:val="22"/>
          <w:highlight w:val="none"/>
          <w:u w:val="single"/>
          <w:lang w:eastAsia="zh-CN"/>
        </w:rPr>
      </w:pPr>
      <w:r>
        <w:rPr>
          <w:rFonts w:hint="eastAsia" w:ascii="宋体" w:hAnsi="宋体"/>
          <w:b/>
          <w:color w:val="auto"/>
          <w:sz w:val="22"/>
          <w:highlight w:val="none"/>
        </w:rPr>
        <w:t>6.评审地点：</w:t>
      </w:r>
      <w:r>
        <w:rPr>
          <w:rFonts w:hint="eastAsia" w:ascii="宋体" w:hAnsi="宋体"/>
          <w:b/>
          <w:color w:val="auto"/>
          <w:sz w:val="22"/>
          <w:highlight w:val="none"/>
          <w:u w:val="single"/>
          <w:lang w:eastAsia="zh-CN"/>
        </w:rPr>
        <w:t>浙江省温州市鹿城区南汇街道铁道大厦701室评标室</w:t>
      </w:r>
      <w:r>
        <w:rPr>
          <w:rFonts w:hint="eastAsia" w:ascii="宋体" w:hAnsi="宋体"/>
          <w:b/>
          <w:bCs/>
          <w:color w:val="auto"/>
          <w:kern w:val="0"/>
          <w:sz w:val="22"/>
          <w:highlight w:val="none"/>
          <w:u w:val="single"/>
          <w:lang w:eastAsia="zh-CN"/>
        </w:rPr>
        <w:t>，通过“政府采购云平台（www.zcygov.cn）”线上开启。</w:t>
      </w:r>
    </w:p>
    <w:p w14:paraId="1AB14541">
      <w:pPr>
        <w:rPr>
          <w:rFonts w:ascii="宋体" w:hAnsi="宋体"/>
          <w:color w:val="auto"/>
          <w:sz w:val="22"/>
          <w:szCs w:val="22"/>
          <w:highlight w:val="none"/>
        </w:rPr>
      </w:pPr>
      <w:r>
        <w:rPr>
          <w:rFonts w:hint="eastAsia" w:ascii="宋体" w:hAnsi="宋体"/>
          <w:color w:val="auto"/>
          <w:sz w:val="22"/>
          <w:szCs w:val="22"/>
          <w:highlight w:val="none"/>
        </w:rPr>
        <w:t>五、公告期限</w:t>
      </w:r>
    </w:p>
    <w:p w14:paraId="0541EB58">
      <w:pPr>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65F49F36">
      <w:pPr>
        <w:rPr>
          <w:rFonts w:ascii="宋体" w:hAnsi="宋体"/>
          <w:color w:val="auto"/>
          <w:sz w:val="22"/>
          <w:szCs w:val="22"/>
          <w:highlight w:val="none"/>
        </w:rPr>
      </w:pPr>
      <w:r>
        <w:rPr>
          <w:rFonts w:hint="eastAsia" w:ascii="宋体" w:hAnsi="宋体"/>
          <w:color w:val="auto"/>
          <w:sz w:val="22"/>
          <w:szCs w:val="22"/>
          <w:highlight w:val="none"/>
        </w:rPr>
        <w:t>六、其他补充事宜</w:t>
      </w:r>
    </w:p>
    <w:p w14:paraId="74F5DCAF">
      <w:pPr>
        <w:numPr>
          <w:ilvl w:val="0"/>
          <w:numId w:val="3"/>
        </w:numPr>
        <w:spacing w:line="460" w:lineRule="exact"/>
        <w:ind w:left="0" w:firstLine="426"/>
        <w:rPr>
          <w:rFonts w:hint="eastAsia" w:ascii="宋体" w:hAnsi="宋体" w:cs="Arial"/>
          <w:color w:val="auto"/>
          <w:sz w:val="22"/>
          <w:szCs w:val="22"/>
          <w:highlight w:val="none"/>
        </w:rPr>
      </w:pPr>
      <w:r>
        <w:rPr>
          <w:rFonts w:hint="eastAsia" w:ascii="宋体" w:hAnsi="宋体" w:cs="Arial"/>
          <w:color w:val="auto"/>
          <w:sz w:val="22"/>
          <w:szCs w:val="22"/>
          <w:highlight w:val="none"/>
        </w:rPr>
        <w:t>本项目通过“政采云平台（</w:t>
      </w:r>
      <w:r>
        <w:rPr>
          <w:rFonts w:ascii="宋体" w:hAnsi="宋体" w:cs="Arial"/>
          <w:color w:val="auto"/>
          <w:sz w:val="22"/>
          <w:szCs w:val="22"/>
          <w:highlight w:val="none"/>
        </w:rPr>
        <w:t>www.</w:t>
      </w:r>
      <w:r>
        <w:rPr>
          <w:rFonts w:hint="eastAsia" w:ascii="宋体" w:hAnsi="宋体" w:cs="Arial"/>
          <w:color w:val="auto"/>
          <w:sz w:val="22"/>
          <w:szCs w:val="22"/>
          <w:highlight w:val="none"/>
        </w:rPr>
        <w:t>zcy</w:t>
      </w:r>
      <w:r>
        <w:rPr>
          <w:rFonts w:ascii="宋体" w:hAnsi="宋体" w:cs="Arial"/>
          <w:color w:val="auto"/>
          <w:sz w:val="22"/>
          <w:szCs w:val="22"/>
          <w:highlight w:val="none"/>
        </w:rPr>
        <w:t>gov.cn</w:t>
      </w:r>
      <w:r>
        <w:rPr>
          <w:rFonts w:hint="eastAsia" w:ascii="宋体" w:hAnsi="宋体" w:cs="Arial"/>
          <w:color w:val="auto"/>
          <w:sz w:val="22"/>
          <w:szCs w:val="22"/>
          <w:highlight w:val="none"/>
        </w:rPr>
        <w:t>）”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p>
    <w:p w14:paraId="674A2374">
      <w:pPr>
        <w:widowControl/>
        <w:numPr>
          <w:ilvl w:val="0"/>
          <w:numId w:val="3"/>
        </w:numPr>
        <w:spacing w:line="460" w:lineRule="exact"/>
        <w:ind w:left="0" w:firstLine="426"/>
        <w:jc w:val="left"/>
        <w:rPr>
          <w:rFonts w:hint="eastAsia" w:ascii="宋体" w:hAnsi="宋体" w:cs="Arial"/>
          <w:color w:val="auto"/>
          <w:sz w:val="22"/>
          <w:szCs w:val="22"/>
          <w:highlight w:val="none"/>
        </w:rPr>
      </w:pPr>
      <w:r>
        <w:rPr>
          <w:rFonts w:hint="eastAsia" w:ascii="宋体" w:hAnsi="宋体" w:cs="Arial"/>
          <w:color w:val="auto"/>
          <w:sz w:val="22"/>
          <w:szCs w:val="22"/>
          <w:highlight w:val="none"/>
        </w:rPr>
        <w:t>电子投标操作指南详见：“</w:t>
      </w:r>
      <w:r>
        <w:rPr>
          <w:rFonts w:hint="eastAsia" w:ascii="宋体" w:hAnsi="宋体" w:cs="Arial"/>
          <w:color w:val="auto"/>
          <w:sz w:val="22"/>
          <w:szCs w:val="22"/>
          <w:highlight w:val="none"/>
        </w:rPr>
        <w:fldChar w:fldCharType="begin"/>
      </w:r>
      <w:r>
        <w:rPr>
          <w:rFonts w:hint="eastAsia" w:ascii="宋体" w:hAnsi="宋体" w:cs="Arial"/>
          <w:color w:val="auto"/>
          <w:sz w:val="22"/>
          <w:szCs w:val="22"/>
          <w:highlight w:val="none"/>
        </w:rPr>
        <w:instrText xml:space="preserve"> HYPERLINK "https://edu.zcygov.cn/luban/e-biding" </w:instrText>
      </w:r>
      <w:r>
        <w:rPr>
          <w:rFonts w:hint="eastAsia" w:ascii="宋体" w:hAnsi="宋体" w:cs="Arial"/>
          <w:color w:val="auto"/>
          <w:sz w:val="22"/>
          <w:szCs w:val="22"/>
          <w:highlight w:val="none"/>
        </w:rPr>
        <w:fldChar w:fldCharType="separate"/>
      </w:r>
      <w:r>
        <w:rPr>
          <w:rFonts w:hint="eastAsia" w:ascii="宋体" w:hAnsi="宋体" w:cs="Arial"/>
          <w:color w:val="auto"/>
          <w:sz w:val="22"/>
          <w:szCs w:val="22"/>
          <w:highlight w:val="none"/>
        </w:rPr>
        <w:t>https://edu.zcygov.cn/luban/e-biding</w:t>
      </w:r>
      <w:r>
        <w:rPr>
          <w:rFonts w:hint="eastAsia" w:ascii="宋体" w:hAnsi="宋体" w:cs="Arial"/>
          <w:color w:val="auto"/>
          <w:sz w:val="22"/>
          <w:szCs w:val="22"/>
          <w:highlight w:val="none"/>
        </w:rPr>
        <w:fldChar w:fldCharType="end"/>
      </w:r>
      <w:r>
        <w:rPr>
          <w:rFonts w:hint="eastAsia" w:ascii="宋体" w:hAnsi="宋体" w:cs="Arial"/>
          <w:color w:val="auto"/>
          <w:sz w:val="22"/>
          <w:szCs w:val="22"/>
          <w:highlight w:val="none"/>
        </w:rPr>
        <w:t>”。</w:t>
      </w:r>
    </w:p>
    <w:p w14:paraId="7C7B326E">
      <w:pPr>
        <w:widowControl/>
        <w:spacing w:before="60" w:after="60" w:line="400" w:lineRule="exact"/>
        <w:ind w:left="440" w:right="62"/>
        <w:jc w:val="left"/>
        <w:rPr>
          <w:rFonts w:ascii="宋体" w:hAnsi="宋体"/>
          <w:bCs/>
          <w:color w:val="auto"/>
          <w:kern w:val="0"/>
          <w:sz w:val="22"/>
          <w:szCs w:val="22"/>
          <w:highlight w:val="none"/>
        </w:rPr>
      </w:pPr>
      <w:r>
        <w:rPr>
          <w:rFonts w:hint="eastAsia" w:ascii="宋体" w:hAnsi="宋体"/>
          <w:bCs/>
          <w:color w:val="auto"/>
          <w:kern w:val="0"/>
          <w:sz w:val="22"/>
          <w:szCs w:val="22"/>
          <w:highlight w:val="none"/>
          <w:lang w:val="en-US" w:eastAsia="zh-CN"/>
        </w:rPr>
        <w:t>3</w:t>
      </w:r>
      <w:r>
        <w:rPr>
          <w:rFonts w:hint="eastAsia" w:ascii="宋体" w:hAnsi="宋体"/>
          <w:bCs/>
          <w:color w:val="auto"/>
          <w:kern w:val="0"/>
          <w:sz w:val="22"/>
          <w:szCs w:val="22"/>
          <w:highlight w:val="none"/>
        </w:rPr>
        <w:t>.其他相关说明</w:t>
      </w:r>
    </w:p>
    <w:p w14:paraId="28C5BA8C">
      <w:pPr>
        <w:widowControl/>
        <w:spacing w:before="60" w:after="60" w:line="400" w:lineRule="exact"/>
        <w:ind w:right="62" w:firstLine="424" w:firstLineChars="193"/>
        <w:jc w:val="left"/>
        <w:rPr>
          <w:rFonts w:ascii="宋体" w:hAnsi="宋体"/>
          <w:bCs/>
          <w:color w:val="auto"/>
          <w:kern w:val="0"/>
          <w:sz w:val="22"/>
          <w:szCs w:val="22"/>
          <w:highlight w:val="none"/>
        </w:rPr>
      </w:pPr>
      <w:r>
        <w:rPr>
          <w:rFonts w:hint="eastAsia" w:ascii="宋体" w:hAnsi="宋体"/>
          <w:bCs/>
          <w:color w:val="auto"/>
          <w:kern w:val="0"/>
          <w:sz w:val="22"/>
          <w:szCs w:val="22"/>
          <w:highlight w:val="none"/>
        </w:rPr>
        <w:t>（1）供应商必须先在浙江政府采购网进行登记注册，相关事宜请参照（《供应商网上注册操作指南》“浙江政府采购网首页-办事指南-注册-供应商注册申请”），登录浙江政府采购网后台依法进行网上自主下载。（温馨提示：供应商注册审核通过不代表已获取成功）。</w:t>
      </w:r>
    </w:p>
    <w:p w14:paraId="04DCFCE3">
      <w:pPr>
        <w:widowControl/>
        <w:spacing w:before="60" w:after="60" w:line="400" w:lineRule="exact"/>
        <w:ind w:left="142" w:right="62" w:firstLine="297" w:firstLineChars="135"/>
        <w:jc w:val="left"/>
        <w:rPr>
          <w:rFonts w:ascii="宋体" w:hAnsi="宋体"/>
          <w:bCs/>
          <w:color w:val="auto"/>
          <w:kern w:val="0"/>
          <w:sz w:val="22"/>
          <w:szCs w:val="22"/>
          <w:highlight w:val="none"/>
        </w:rPr>
      </w:pPr>
      <w:r>
        <w:rPr>
          <w:rFonts w:hint="eastAsia" w:ascii="宋体" w:hAnsi="宋体"/>
          <w:bCs/>
          <w:color w:val="auto"/>
          <w:kern w:val="0"/>
          <w:sz w:val="22"/>
          <w:szCs w:val="22"/>
          <w:highlight w:val="none"/>
        </w:rPr>
        <w:t>（2）供应商认为采购文件使自己的权益受到损害的，可以自收到采购文件之日（发售截止日之后收到采购文件的，以发售截止日为准）或者采购文件招标公告发布后的第6个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0BEDF5E">
      <w:pPr>
        <w:widowControl/>
        <w:spacing w:before="60" w:after="60" w:line="400" w:lineRule="exact"/>
        <w:ind w:left="140" w:leftChars="67" w:right="62" w:firstLine="297" w:firstLineChars="135"/>
        <w:jc w:val="left"/>
        <w:rPr>
          <w:rFonts w:ascii="宋体" w:hAnsi="宋体"/>
          <w:bCs/>
          <w:color w:val="auto"/>
          <w:kern w:val="0"/>
          <w:sz w:val="22"/>
          <w:szCs w:val="22"/>
          <w:highlight w:val="none"/>
        </w:rPr>
      </w:pPr>
      <w:r>
        <w:rPr>
          <w:rFonts w:hint="eastAsia" w:ascii="宋体" w:hAnsi="宋体"/>
          <w:bCs/>
          <w:color w:val="auto"/>
          <w:kern w:val="0"/>
          <w:sz w:val="22"/>
          <w:szCs w:val="22"/>
          <w:highlight w:val="none"/>
        </w:rPr>
        <w:t>（3）投标文件递交截止时间之前，所有潜在供应商可以获取采购文件，但该供应商如对采购文件有疑问应按采购文件规定的询疑截止时间前提出，逾期提出的，采购组织机构可以不予受理、答复。</w:t>
      </w:r>
    </w:p>
    <w:p w14:paraId="5AA879D8">
      <w:pPr>
        <w:widowControl/>
        <w:spacing w:before="60" w:after="60" w:line="400" w:lineRule="exact"/>
        <w:ind w:left="440" w:right="62"/>
        <w:jc w:val="left"/>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（4）书面质疑受理地点：</w:t>
      </w:r>
      <w:r>
        <w:rPr>
          <w:rFonts w:hint="eastAsia" w:ascii="宋体" w:hAnsi="宋体" w:cs="新宋体"/>
          <w:bCs/>
          <w:color w:val="auto"/>
          <w:kern w:val="0"/>
          <w:sz w:val="22"/>
          <w:szCs w:val="22"/>
          <w:highlight w:val="none"/>
          <w:lang w:eastAsia="zh-CN"/>
        </w:rPr>
        <w:t>浙江省温州市鹿城区南汇街道铁道大厦701室</w:t>
      </w:r>
      <w:r>
        <w:rPr>
          <w:rFonts w:hint="eastAsia" w:ascii="宋体" w:hAnsi="宋体"/>
          <w:bCs/>
          <w:color w:val="auto"/>
          <w:kern w:val="0"/>
          <w:sz w:val="22"/>
          <w:szCs w:val="22"/>
          <w:highlight w:val="none"/>
        </w:rPr>
        <w:t>，联系人：</w:t>
      </w:r>
      <w:r>
        <w:rPr>
          <w:rFonts w:hint="eastAsia" w:ascii="宋体" w:hAnsi="宋体"/>
          <w:bCs/>
          <w:color w:val="auto"/>
          <w:kern w:val="0"/>
          <w:sz w:val="22"/>
          <w:szCs w:val="22"/>
          <w:highlight w:val="none"/>
          <w:lang w:val="en-US" w:eastAsia="zh-CN"/>
        </w:rPr>
        <w:t>郑先生</w:t>
      </w:r>
      <w:r>
        <w:rPr>
          <w:rFonts w:hint="eastAsia" w:ascii="宋体" w:hAnsi="宋体"/>
          <w:bCs/>
          <w:color w:val="auto"/>
          <w:kern w:val="0"/>
          <w:sz w:val="22"/>
          <w:szCs w:val="22"/>
          <w:highlight w:val="none"/>
        </w:rPr>
        <w:t>，联系电话：</w:t>
      </w:r>
      <w:r>
        <w:rPr>
          <w:rFonts w:hint="eastAsia" w:ascii="宋体" w:hAnsi="宋体" w:cs="宋体"/>
          <w:color w:val="auto"/>
          <w:sz w:val="22"/>
          <w:szCs w:val="22"/>
          <w:highlight w:val="none"/>
          <w:lang w:val="en-US" w:eastAsia="zh-CN" w:bidi="ar"/>
        </w:rPr>
        <w:t>13566224125</w:t>
      </w:r>
      <w:r>
        <w:rPr>
          <w:rFonts w:hint="eastAsia" w:ascii="宋体" w:hAnsi="宋体"/>
          <w:bCs/>
          <w:color w:val="auto"/>
          <w:kern w:val="0"/>
          <w:sz w:val="22"/>
          <w:szCs w:val="22"/>
          <w:highlight w:val="none"/>
        </w:rPr>
        <w:t>。</w:t>
      </w:r>
    </w:p>
    <w:p w14:paraId="609347EA">
      <w:pPr>
        <w:rPr>
          <w:rFonts w:ascii="宋体" w:hAnsi="宋体"/>
          <w:color w:val="auto"/>
          <w:sz w:val="22"/>
          <w:szCs w:val="22"/>
          <w:highlight w:val="none"/>
        </w:rPr>
      </w:pPr>
      <w:r>
        <w:rPr>
          <w:rFonts w:hint="eastAsia" w:ascii="宋体" w:hAnsi="宋体"/>
          <w:color w:val="auto"/>
          <w:sz w:val="22"/>
          <w:szCs w:val="22"/>
          <w:highlight w:val="none"/>
        </w:rPr>
        <w:t>七、对本次招标提出询问，请按</w:t>
      </w:r>
      <w:r>
        <w:rPr>
          <w:rFonts w:ascii="宋体" w:hAnsi="宋体"/>
          <w:color w:val="auto"/>
          <w:sz w:val="22"/>
          <w:szCs w:val="22"/>
          <w:highlight w:val="none"/>
        </w:rPr>
        <w:t>以下方式</w:t>
      </w:r>
      <w:r>
        <w:rPr>
          <w:rFonts w:hint="eastAsia" w:ascii="宋体" w:hAnsi="宋体"/>
          <w:color w:val="auto"/>
          <w:sz w:val="22"/>
          <w:szCs w:val="22"/>
          <w:highlight w:val="none"/>
        </w:rPr>
        <w:t>联系。</w:t>
      </w:r>
    </w:p>
    <w:p w14:paraId="1DA84A06">
      <w:pPr>
        <w:widowControl/>
        <w:spacing w:line="460" w:lineRule="exact"/>
        <w:ind w:left="420"/>
        <w:jc w:val="left"/>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rPr>
        <w:t>1.采购人名称：</w:t>
      </w:r>
      <w:r>
        <w:rPr>
          <w:rFonts w:hint="eastAsia" w:ascii="宋体" w:hAnsi="宋体" w:cs="新宋体"/>
          <w:color w:val="auto"/>
          <w:kern w:val="0"/>
          <w:sz w:val="22"/>
          <w:szCs w:val="22"/>
          <w:highlight w:val="none"/>
          <w:lang w:eastAsia="zh-CN"/>
        </w:rPr>
        <w:t>温州市鹿城区山福镇人民政府</w:t>
      </w:r>
    </w:p>
    <w:p w14:paraId="64322B21">
      <w:pPr>
        <w:widowControl/>
        <w:spacing w:line="460" w:lineRule="exact"/>
        <w:ind w:left="400" w:right="62"/>
        <w:jc w:val="left"/>
        <w:rPr>
          <w:rFonts w:hint="eastAsia" w:ascii="宋体" w:hAnsi="宋体" w:eastAsia="宋体" w:cs="新宋体"/>
          <w:color w:val="auto"/>
          <w:kern w:val="0"/>
          <w:sz w:val="22"/>
          <w:szCs w:val="22"/>
          <w:highlight w:val="none"/>
          <w:lang w:eastAsia="zh-CN"/>
        </w:rPr>
      </w:pPr>
      <w:r>
        <w:rPr>
          <w:rFonts w:hint="eastAsia" w:ascii="宋体" w:hAnsi="宋体" w:cs="新宋体"/>
          <w:color w:val="auto"/>
          <w:kern w:val="0"/>
          <w:sz w:val="22"/>
          <w:szCs w:val="22"/>
          <w:highlight w:val="none"/>
        </w:rPr>
        <w:t>联系地址：</w:t>
      </w:r>
      <w:r>
        <w:rPr>
          <w:rFonts w:hint="eastAsia" w:ascii="宋体" w:hAnsi="宋体" w:cs="新宋体"/>
          <w:color w:val="auto"/>
          <w:kern w:val="0"/>
          <w:sz w:val="22"/>
          <w:szCs w:val="22"/>
          <w:highlight w:val="none"/>
          <w:lang w:eastAsia="zh-CN"/>
        </w:rPr>
        <w:t>温州市鹿城区山福镇临江东街208号</w:t>
      </w:r>
    </w:p>
    <w:p w14:paraId="05670165">
      <w:pPr>
        <w:widowControl/>
        <w:spacing w:line="460" w:lineRule="exact"/>
        <w:ind w:left="400" w:right="62"/>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联系人：</w:t>
      </w:r>
      <w:r>
        <w:rPr>
          <w:rFonts w:hint="eastAsia" w:ascii="宋体" w:hAnsi="宋体" w:cs="新宋体"/>
          <w:color w:val="auto"/>
          <w:kern w:val="0"/>
          <w:sz w:val="22"/>
          <w:szCs w:val="22"/>
          <w:highlight w:val="none"/>
          <w:lang w:eastAsia="zh-CN"/>
        </w:rPr>
        <w:t>詹</w:t>
      </w:r>
      <w:r>
        <w:rPr>
          <w:rFonts w:hint="eastAsia" w:ascii="宋体" w:hAnsi="宋体" w:cs="新宋体"/>
          <w:color w:val="auto"/>
          <w:kern w:val="0"/>
          <w:sz w:val="22"/>
          <w:szCs w:val="22"/>
          <w:highlight w:val="none"/>
          <w:lang w:val="en-US" w:eastAsia="zh-CN"/>
        </w:rPr>
        <w:t>先生</w:t>
      </w:r>
      <w:r>
        <w:rPr>
          <w:rFonts w:hint="eastAsia" w:ascii="宋体" w:hAnsi="宋体" w:cs="新宋体"/>
          <w:color w:val="auto"/>
          <w:kern w:val="0"/>
          <w:sz w:val="22"/>
          <w:szCs w:val="22"/>
          <w:highlight w:val="none"/>
        </w:rPr>
        <w:t xml:space="preserve">  联系电话：</w:t>
      </w:r>
      <w:r>
        <w:rPr>
          <w:rFonts w:hint="eastAsia" w:ascii="宋体" w:hAnsi="宋体" w:cs="新宋体"/>
          <w:color w:val="auto"/>
          <w:kern w:val="0"/>
          <w:sz w:val="22"/>
          <w:szCs w:val="22"/>
          <w:highlight w:val="none"/>
          <w:lang w:val="en-US" w:eastAsia="zh-CN"/>
        </w:rPr>
        <w:t xml:space="preserve">0577-85957691  </w:t>
      </w:r>
      <w:r>
        <w:rPr>
          <w:rFonts w:hint="eastAsia" w:ascii="宋体" w:hAnsi="宋体" w:cs="新宋体"/>
          <w:color w:val="auto"/>
          <w:kern w:val="0"/>
          <w:sz w:val="22"/>
          <w:szCs w:val="22"/>
          <w:highlight w:val="none"/>
        </w:rPr>
        <w:t xml:space="preserve"> </w:t>
      </w:r>
    </w:p>
    <w:p w14:paraId="348A6A24">
      <w:pPr>
        <w:widowControl/>
        <w:spacing w:line="460" w:lineRule="exact"/>
        <w:ind w:left="426"/>
        <w:jc w:val="left"/>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rPr>
        <w:t>2.采购代理机构名称：</w:t>
      </w:r>
      <w:r>
        <w:rPr>
          <w:rFonts w:hint="eastAsia" w:ascii="宋体" w:hAnsi="宋体" w:cs="Arial"/>
          <w:color w:val="auto"/>
          <w:sz w:val="22"/>
          <w:szCs w:val="22"/>
          <w:highlight w:val="none"/>
          <w:lang w:eastAsia="zh-CN"/>
        </w:rPr>
        <w:t>浙江三凯工程管理有限公司</w:t>
      </w:r>
    </w:p>
    <w:p w14:paraId="77BA1CD9">
      <w:pPr>
        <w:widowControl/>
        <w:spacing w:line="460" w:lineRule="exact"/>
        <w:ind w:left="400" w:right="62"/>
        <w:jc w:val="left"/>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地 址：</w:t>
      </w:r>
      <w:r>
        <w:rPr>
          <w:rFonts w:hint="eastAsia" w:ascii="宋体" w:hAnsi="宋体" w:cs="新宋体"/>
          <w:bCs/>
          <w:color w:val="auto"/>
          <w:kern w:val="0"/>
          <w:sz w:val="22"/>
          <w:szCs w:val="22"/>
          <w:highlight w:val="none"/>
          <w:lang w:eastAsia="zh-CN"/>
        </w:rPr>
        <w:t>浙江省温州市鹿城区南汇街道铁道大厦701室</w:t>
      </w:r>
    </w:p>
    <w:p w14:paraId="3D22B64E">
      <w:pPr>
        <w:autoSpaceDE w:val="0"/>
        <w:autoSpaceDN w:val="0"/>
        <w:spacing w:line="460" w:lineRule="exact"/>
        <w:ind w:right="60" w:firstLine="426"/>
        <w:jc w:val="left"/>
        <w:rPr>
          <w:rFonts w:hint="default" w:ascii="宋体" w:hAnsi="宋体" w:eastAsia="宋体" w:cs="新宋体"/>
          <w:bCs/>
          <w:color w:val="auto"/>
          <w:kern w:val="0"/>
          <w:sz w:val="22"/>
          <w:szCs w:val="22"/>
          <w:highlight w:val="none"/>
          <w:lang w:val="en-US" w:eastAsia="zh-CN"/>
        </w:rPr>
      </w:pPr>
      <w:r>
        <w:rPr>
          <w:rFonts w:hint="eastAsia" w:ascii="宋体" w:hAnsi="宋体" w:cs="新宋体"/>
          <w:bCs/>
          <w:color w:val="auto"/>
          <w:kern w:val="0"/>
          <w:sz w:val="22"/>
          <w:szCs w:val="22"/>
          <w:highlight w:val="none"/>
        </w:rPr>
        <w:t>联系人：</w:t>
      </w:r>
      <w:r>
        <w:rPr>
          <w:rFonts w:hint="eastAsia" w:ascii="宋体" w:hAnsi="宋体" w:cs="新宋体"/>
          <w:bCs/>
          <w:color w:val="auto"/>
          <w:kern w:val="0"/>
          <w:sz w:val="22"/>
          <w:szCs w:val="22"/>
          <w:highlight w:val="none"/>
          <w:lang w:val="en-US" w:eastAsia="zh-CN"/>
        </w:rPr>
        <w:t>王</w:t>
      </w:r>
      <w:r>
        <w:rPr>
          <w:rFonts w:hint="eastAsia" w:ascii="宋体" w:hAnsi="宋体" w:cs="新宋体"/>
          <w:bCs/>
          <w:color w:val="auto"/>
          <w:kern w:val="0"/>
          <w:sz w:val="22"/>
          <w:szCs w:val="22"/>
          <w:highlight w:val="none"/>
          <w:lang w:eastAsia="zh-CN"/>
        </w:rPr>
        <w:t>先生</w:t>
      </w:r>
      <w:r>
        <w:rPr>
          <w:rFonts w:hint="eastAsia" w:ascii="宋体" w:hAnsi="宋体" w:cs="新宋体"/>
          <w:bCs/>
          <w:color w:val="auto"/>
          <w:kern w:val="0"/>
          <w:sz w:val="22"/>
          <w:szCs w:val="22"/>
          <w:highlight w:val="none"/>
        </w:rPr>
        <w:t xml:space="preserve">    联系电话：</w:t>
      </w:r>
      <w:r>
        <w:rPr>
          <w:rFonts w:hint="eastAsia" w:ascii="宋体" w:hAnsi="宋体" w:cs="新宋体"/>
          <w:bCs/>
          <w:color w:val="auto"/>
          <w:kern w:val="0"/>
          <w:sz w:val="22"/>
          <w:szCs w:val="22"/>
          <w:highlight w:val="none"/>
          <w:lang w:val="en-US" w:eastAsia="zh-CN"/>
        </w:rPr>
        <w:t>18814094460</w:t>
      </w:r>
    </w:p>
    <w:p w14:paraId="5FC3BA8F">
      <w:pPr>
        <w:widowControl/>
        <w:spacing w:line="460" w:lineRule="exact"/>
        <w:ind w:left="400" w:right="62"/>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3.同级政府采购监督管理部门：温州市鹿城区财政局（浙江省政府采购行政裁决服务中心（温州））</w:t>
      </w:r>
    </w:p>
    <w:p w14:paraId="288B920A">
      <w:pPr>
        <w:autoSpaceDE w:val="0"/>
        <w:autoSpaceDN w:val="0"/>
        <w:spacing w:line="460" w:lineRule="exact"/>
        <w:ind w:right="60" w:firstLine="426"/>
        <w:jc w:val="left"/>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地    址：</w:t>
      </w:r>
      <w:r>
        <w:rPr>
          <w:rFonts w:hint="eastAsia" w:ascii="宋体" w:hAnsi="宋体" w:cs="新宋体"/>
          <w:bCs/>
          <w:color w:val="auto"/>
          <w:kern w:val="0"/>
          <w:sz w:val="22"/>
          <w:szCs w:val="22"/>
          <w:highlight w:val="none"/>
          <w:lang w:eastAsia="zh-CN"/>
        </w:rPr>
        <w:t>温州市鹿城区滨江街道瓯江路展银大厦1606室</w:t>
      </w:r>
    </w:p>
    <w:p w14:paraId="165EF92D">
      <w:pPr>
        <w:autoSpaceDE w:val="0"/>
        <w:autoSpaceDN w:val="0"/>
        <w:spacing w:line="460" w:lineRule="exact"/>
        <w:ind w:right="60" w:firstLine="426"/>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联系人：李老师、王老师</w:t>
      </w:r>
    </w:p>
    <w:p w14:paraId="4090574F">
      <w:pPr>
        <w:autoSpaceDE w:val="0"/>
        <w:autoSpaceDN w:val="0"/>
        <w:spacing w:line="460" w:lineRule="exact"/>
        <w:ind w:right="60" w:firstLine="426"/>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联系电话：0577-85501561，0577-85501562</w:t>
      </w:r>
    </w:p>
    <w:bookmarkEnd w:id="4"/>
    <w:bookmarkEnd w:id="5"/>
    <w:bookmarkEnd w:id="6"/>
    <w:p w14:paraId="0492E017">
      <w:pPr>
        <w:pStyle w:val="2"/>
        <w:rPr>
          <w:rFonts w:hint="eastAsia" w:ascii="宋体" w:hAnsi="宋体" w:eastAsia="宋体" w:cs="新宋体"/>
          <w:color w:val="auto"/>
          <w:sz w:val="36"/>
          <w:szCs w:val="36"/>
          <w:highlight w:val="none"/>
        </w:rPr>
      </w:pPr>
      <w:r>
        <w:rPr>
          <w:rFonts w:hint="eastAsia" w:ascii="宋体" w:hAnsi="宋体" w:eastAsia="宋体" w:cs="新宋体"/>
          <w:b w:val="0"/>
          <w:color w:val="auto"/>
          <w:sz w:val="36"/>
          <w:szCs w:val="36"/>
          <w:highlight w:val="none"/>
        </w:rPr>
        <w:br w:type="page"/>
      </w:r>
      <w:bookmarkStart w:id="7" w:name="_Toc34572027"/>
      <w:bookmarkStart w:id="8" w:name="_Toc32301"/>
      <w:r>
        <w:rPr>
          <w:rFonts w:hint="eastAsia" w:ascii="宋体" w:hAnsi="宋体" w:eastAsia="宋体" w:cs="新宋体"/>
          <w:color w:val="auto"/>
          <w:sz w:val="36"/>
          <w:szCs w:val="36"/>
          <w:highlight w:val="none"/>
        </w:rPr>
        <w:t>第一部分   投标人须知</w:t>
      </w:r>
      <w:bookmarkEnd w:id="7"/>
    </w:p>
    <w:p w14:paraId="21759FB6">
      <w:pPr>
        <w:pStyle w:val="2"/>
        <w:rPr>
          <w:rFonts w:hint="eastAsia" w:ascii="宋体" w:hAnsi="宋体" w:eastAsia="宋体" w:cs="新宋体"/>
          <w:color w:val="auto"/>
          <w:sz w:val="36"/>
          <w:szCs w:val="36"/>
          <w:highlight w:val="none"/>
        </w:rPr>
      </w:pPr>
      <w:bookmarkStart w:id="9" w:name="_Toc34572028"/>
      <w:r>
        <w:rPr>
          <w:rFonts w:hint="eastAsia" w:ascii="宋体" w:hAnsi="宋体" w:eastAsia="宋体" w:cs="新宋体"/>
          <w:color w:val="auto"/>
          <w:sz w:val="36"/>
          <w:szCs w:val="36"/>
          <w:highlight w:val="none"/>
        </w:rPr>
        <w:t>投标人须知前附表</w:t>
      </w:r>
      <w:bookmarkEnd w:id="8"/>
      <w:bookmarkEnd w:id="9"/>
    </w:p>
    <w:tbl>
      <w:tblPr>
        <w:tblStyle w:val="21"/>
        <w:tblW w:w="10123" w:type="dxa"/>
        <w:tblInd w:w="0" w:type="dxa"/>
        <w:tblLayout w:type="fixed"/>
        <w:tblCellMar>
          <w:top w:w="0" w:type="dxa"/>
          <w:left w:w="108" w:type="dxa"/>
          <w:bottom w:w="0" w:type="dxa"/>
          <w:right w:w="108" w:type="dxa"/>
        </w:tblCellMar>
      </w:tblPr>
      <w:tblGrid>
        <w:gridCol w:w="667"/>
        <w:gridCol w:w="2037"/>
        <w:gridCol w:w="7419"/>
      </w:tblGrid>
      <w:tr w14:paraId="36102AE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C6C755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27EA36F">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1BC108E">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编列内容</w:t>
            </w:r>
          </w:p>
        </w:tc>
      </w:tr>
      <w:tr w14:paraId="33CB44C1">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DFF5FB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FC388E0">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F8D7D3A">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采购人名称：温州市鹿城区山福镇人民政府</w:t>
            </w:r>
          </w:p>
          <w:p w14:paraId="71F3B540">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联系地址：温州市鹿城区山福镇临江东街208号</w:t>
            </w:r>
          </w:p>
          <w:p w14:paraId="7D870760">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联系人：</w:t>
            </w:r>
            <w:r>
              <w:rPr>
                <w:rFonts w:hint="eastAsia" w:ascii="宋体" w:hAnsi="宋体" w:cs="新宋体"/>
                <w:bCs/>
                <w:color w:val="auto"/>
                <w:kern w:val="0"/>
                <w:sz w:val="22"/>
                <w:szCs w:val="22"/>
                <w:highlight w:val="none"/>
                <w:lang w:val="en-US" w:eastAsia="zh-CN"/>
              </w:rPr>
              <w:t xml:space="preserve">詹先生   </w:t>
            </w:r>
            <w:r>
              <w:rPr>
                <w:rFonts w:hint="eastAsia" w:ascii="宋体" w:hAnsi="宋体" w:cs="新宋体"/>
                <w:bCs/>
                <w:color w:val="auto"/>
                <w:kern w:val="0"/>
                <w:sz w:val="22"/>
                <w:szCs w:val="22"/>
                <w:highlight w:val="none"/>
                <w:lang w:eastAsia="zh-CN"/>
              </w:rPr>
              <w:t>联系电话：</w:t>
            </w:r>
            <w:r>
              <w:rPr>
                <w:rFonts w:hint="eastAsia" w:ascii="宋体" w:hAnsi="宋体" w:cs="新宋体"/>
                <w:bCs/>
                <w:color w:val="auto"/>
                <w:kern w:val="0"/>
                <w:sz w:val="22"/>
                <w:szCs w:val="22"/>
                <w:highlight w:val="none"/>
                <w:lang w:val="en-US" w:eastAsia="zh-CN"/>
              </w:rPr>
              <w:t xml:space="preserve">0577-85957691              </w:t>
            </w:r>
            <w:r>
              <w:rPr>
                <w:rFonts w:hint="eastAsia" w:ascii="宋体" w:hAnsi="宋体" w:cs="新宋体"/>
                <w:bCs/>
                <w:color w:val="auto"/>
                <w:kern w:val="0"/>
                <w:sz w:val="22"/>
                <w:szCs w:val="22"/>
                <w:highlight w:val="none"/>
                <w:lang w:eastAsia="zh-CN"/>
              </w:rPr>
              <w:t xml:space="preserve"> </w:t>
            </w:r>
          </w:p>
        </w:tc>
      </w:tr>
      <w:tr w14:paraId="74F9D036">
        <w:tblPrEx>
          <w:tblCellMar>
            <w:top w:w="0" w:type="dxa"/>
            <w:left w:w="108" w:type="dxa"/>
            <w:bottom w:w="0" w:type="dxa"/>
            <w:right w:w="108" w:type="dxa"/>
          </w:tblCellMar>
        </w:tblPrEx>
        <w:trPr>
          <w:trHeight w:val="1303"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ABE1428">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DE8388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7FA9325">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采购代理机构名称：浙江三凯工程管理有限公司</w:t>
            </w:r>
          </w:p>
          <w:p w14:paraId="04EC9CAE">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地 址：浙江省温州市鹿城区南汇街道铁道大厦701室</w:t>
            </w:r>
          </w:p>
          <w:p w14:paraId="5E5E7407">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联系人：王先生</w:t>
            </w:r>
          </w:p>
          <w:p w14:paraId="0BED047E">
            <w:pPr>
              <w:keepNext w:val="0"/>
              <w:keepLines w:val="0"/>
              <w:pageBreakBefore w:val="0"/>
              <w:kinsoku/>
              <w:wordWrap/>
              <w:overflowPunct/>
              <w:topLinePunct w:val="0"/>
              <w:bidi w:val="0"/>
              <w:spacing w:line="360" w:lineRule="exact"/>
              <w:textAlignment w:val="auto"/>
              <w:rPr>
                <w:rFonts w:hint="default" w:ascii="宋体" w:hAnsi="宋体" w:cs="新宋体"/>
                <w:bCs/>
                <w:color w:val="auto"/>
                <w:kern w:val="0"/>
                <w:sz w:val="22"/>
                <w:szCs w:val="22"/>
                <w:highlight w:val="none"/>
                <w:lang w:val="en-US" w:eastAsia="zh-CN"/>
              </w:rPr>
            </w:pPr>
            <w:r>
              <w:rPr>
                <w:rFonts w:hint="eastAsia" w:ascii="宋体" w:hAnsi="宋体" w:cs="新宋体"/>
                <w:bCs/>
                <w:color w:val="auto"/>
                <w:kern w:val="0"/>
                <w:sz w:val="22"/>
                <w:szCs w:val="22"/>
                <w:highlight w:val="none"/>
                <w:lang w:eastAsia="zh-CN"/>
              </w:rPr>
              <w:t>联系电话：</w:t>
            </w:r>
            <w:r>
              <w:rPr>
                <w:rFonts w:hint="eastAsia" w:ascii="宋体" w:hAnsi="宋体" w:cs="新宋体"/>
                <w:bCs/>
                <w:color w:val="auto"/>
                <w:kern w:val="0"/>
                <w:sz w:val="22"/>
                <w:szCs w:val="22"/>
                <w:highlight w:val="none"/>
                <w:lang w:val="en-US" w:eastAsia="zh-CN"/>
              </w:rPr>
              <w:t>18814094460</w:t>
            </w:r>
          </w:p>
        </w:tc>
      </w:tr>
      <w:tr w14:paraId="39B25EF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16A2380">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FDE337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项目名称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5CD1DA95">
            <w:pPr>
              <w:keepNext w:val="0"/>
              <w:keepLines w:val="0"/>
              <w:pageBreakBefore w:val="0"/>
              <w:kinsoku/>
              <w:wordWrap/>
              <w:overflowPunct/>
              <w:topLinePunct w:val="0"/>
              <w:bidi w:val="0"/>
              <w:spacing w:line="360" w:lineRule="exact"/>
              <w:textAlignment w:val="auto"/>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2025年-2026年山福镇农村生活污水处理设备及管网运维服务采购项目</w:t>
            </w:r>
          </w:p>
          <w:p w14:paraId="7EF30D3E">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项目编号：</w:t>
            </w:r>
            <w:r>
              <w:rPr>
                <w:rFonts w:hint="eastAsia" w:ascii="宋体" w:hAnsi="宋体"/>
                <w:color w:val="auto"/>
                <w:kern w:val="0"/>
                <w:sz w:val="22"/>
                <w:szCs w:val="22"/>
                <w:highlight w:val="none"/>
                <w:lang w:eastAsia="zh-CN"/>
              </w:rPr>
              <w:t>ZJSK-LC-202</w:t>
            </w:r>
            <w:r>
              <w:rPr>
                <w:rFonts w:hint="eastAsia" w:ascii="宋体" w:hAnsi="宋体"/>
                <w:color w:val="auto"/>
                <w:kern w:val="0"/>
                <w:sz w:val="22"/>
                <w:szCs w:val="22"/>
                <w:highlight w:val="none"/>
                <w:lang w:val="en-US" w:eastAsia="zh-CN"/>
              </w:rPr>
              <w:t>5</w:t>
            </w:r>
            <w:r>
              <w:rPr>
                <w:rFonts w:hint="eastAsia" w:ascii="宋体" w:hAnsi="宋体"/>
                <w:color w:val="auto"/>
                <w:kern w:val="0"/>
                <w:sz w:val="22"/>
                <w:szCs w:val="22"/>
                <w:highlight w:val="none"/>
                <w:lang w:eastAsia="zh-CN"/>
              </w:rPr>
              <w:t>05</w:t>
            </w:r>
            <w:r>
              <w:rPr>
                <w:rFonts w:hint="eastAsia" w:ascii="宋体" w:hAnsi="宋体"/>
                <w:color w:val="auto"/>
                <w:kern w:val="0"/>
                <w:sz w:val="22"/>
                <w:szCs w:val="22"/>
                <w:highlight w:val="none"/>
                <w:lang w:val="en-US" w:eastAsia="zh-CN"/>
              </w:rPr>
              <w:t>06</w:t>
            </w:r>
            <w:r>
              <w:rPr>
                <w:rFonts w:hint="eastAsia" w:ascii="宋体" w:hAnsi="宋体" w:cs="新宋体"/>
                <w:bCs/>
                <w:color w:val="auto"/>
                <w:kern w:val="0"/>
                <w:sz w:val="22"/>
                <w:szCs w:val="22"/>
                <w:highlight w:val="none"/>
              </w:rPr>
              <w:t xml:space="preserve"> </w:t>
            </w:r>
          </w:p>
        </w:tc>
      </w:tr>
      <w:tr w14:paraId="6F50315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9DF09E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55599E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D29AD49">
            <w:pPr>
              <w:keepNext w:val="0"/>
              <w:keepLines w:val="0"/>
              <w:pageBreakBefore w:val="0"/>
              <w:widowControl/>
              <w:kinsoku/>
              <w:wordWrap/>
              <w:overflowPunct/>
              <w:topLinePunct w:val="0"/>
              <w:bidi w:val="0"/>
              <w:spacing w:line="360" w:lineRule="exact"/>
              <w:ind w:right="60"/>
              <w:jc w:val="left"/>
              <w:textAlignment w:val="auto"/>
              <w:rPr>
                <w:rFonts w:hint="eastAsia" w:ascii="宋体" w:hAnsi="宋体" w:cs="新宋体"/>
                <w:color w:val="auto"/>
                <w:sz w:val="22"/>
                <w:szCs w:val="22"/>
                <w:highlight w:val="none"/>
              </w:rPr>
            </w:pPr>
            <w:r>
              <w:rPr>
                <w:rFonts w:hint="eastAsia" w:ascii="宋体" w:hAnsi="宋体" w:cs="新宋体"/>
                <w:bCs/>
                <w:color w:val="auto"/>
                <w:kern w:val="0"/>
                <w:sz w:val="22"/>
                <w:szCs w:val="22"/>
                <w:highlight w:val="none"/>
              </w:rPr>
              <w:t>农村生活污水处理设备及管网运维服务采购项目</w:t>
            </w:r>
            <w:r>
              <w:rPr>
                <w:rFonts w:hint="eastAsia" w:ascii="宋体" w:hAnsi="宋体" w:cs="新宋体"/>
                <w:color w:val="auto"/>
                <w:sz w:val="22"/>
                <w:szCs w:val="22"/>
                <w:highlight w:val="none"/>
              </w:rPr>
              <w:t>，具体采购内容及需求见招标文件相关部分。</w:t>
            </w:r>
          </w:p>
        </w:tc>
      </w:tr>
      <w:tr w14:paraId="70149EFA">
        <w:tblPrEx>
          <w:tblCellMar>
            <w:top w:w="0" w:type="dxa"/>
            <w:left w:w="108" w:type="dxa"/>
            <w:bottom w:w="0" w:type="dxa"/>
            <w:right w:w="108" w:type="dxa"/>
          </w:tblCellMar>
        </w:tblPrEx>
        <w:trPr>
          <w:trHeight w:val="733"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D166EB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D76FB3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服务期</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77A0163">
            <w:pPr>
              <w:keepNext w:val="0"/>
              <w:keepLines w:val="0"/>
              <w:pageBreakBefore w:val="0"/>
              <w:widowControl/>
              <w:kinsoku/>
              <w:wordWrap/>
              <w:overflowPunct/>
              <w:topLinePunct w:val="0"/>
              <w:bidi w:val="0"/>
              <w:spacing w:line="360" w:lineRule="exact"/>
              <w:ind w:right="60"/>
              <w:jc w:val="left"/>
              <w:textAlignment w:val="auto"/>
              <w:rPr>
                <w:rFonts w:hint="eastAsia" w:ascii="宋体" w:hAnsi="宋体" w:cs="新宋体"/>
                <w:color w:val="auto"/>
                <w:kern w:val="0"/>
                <w:sz w:val="22"/>
                <w:szCs w:val="22"/>
                <w:highlight w:val="none"/>
              </w:rPr>
            </w:pPr>
            <w:r>
              <w:rPr>
                <w:rFonts w:hint="eastAsia" w:ascii="宋体" w:hAnsi="宋体" w:cs="新宋体"/>
                <w:color w:val="auto"/>
                <w:sz w:val="22"/>
                <w:szCs w:val="22"/>
                <w:highlight w:val="none"/>
              </w:rPr>
              <w:t>服务期：一年，具体详见招标文件合同条款。</w:t>
            </w:r>
          </w:p>
        </w:tc>
      </w:tr>
      <w:tr w14:paraId="7FAFFBEB">
        <w:tblPrEx>
          <w:tblCellMar>
            <w:top w:w="0" w:type="dxa"/>
            <w:left w:w="108" w:type="dxa"/>
            <w:bottom w:w="0" w:type="dxa"/>
            <w:right w:w="108" w:type="dxa"/>
          </w:tblCellMar>
        </w:tblPrEx>
        <w:trPr>
          <w:trHeight w:val="778"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AE0C2D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8805010">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供应商资格要求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75160E3">
            <w:pPr>
              <w:keepNext w:val="0"/>
              <w:keepLines w:val="0"/>
              <w:pageBreakBefore w:val="0"/>
              <w:widowControl/>
              <w:kinsoku/>
              <w:wordWrap/>
              <w:overflowPunct/>
              <w:topLinePunct w:val="0"/>
              <w:bidi w:val="0"/>
              <w:spacing w:line="360" w:lineRule="exact"/>
              <w:ind w:right="60"/>
              <w:jc w:val="left"/>
              <w:textAlignment w:val="auto"/>
              <w:rPr>
                <w:rFonts w:hint="eastAsia" w:ascii="宋体" w:hAnsi="宋体" w:cs="新宋体"/>
                <w:bCs/>
                <w:color w:val="auto"/>
                <w:sz w:val="22"/>
                <w:szCs w:val="22"/>
                <w:highlight w:val="none"/>
              </w:rPr>
            </w:pPr>
            <w:r>
              <w:rPr>
                <w:rFonts w:hint="eastAsia" w:ascii="宋体" w:hAnsi="宋体" w:cs="新宋体"/>
                <w:color w:val="auto"/>
                <w:kern w:val="0"/>
                <w:sz w:val="22"/>
                <w:szCs w:val="22"/>
                <w:highlight w:val="none"/>
              </w:rPr>
              <w:t>见招标公告</w:t>
            </w:r>
          </w:p>
        </w:tc>
      </w:tr>
      <w:tr w14:paraId="4543A82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4FD13B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43C98C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13E22D3">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不接受</w:t>
            </w:r>
          </w:p>
          <w:p w14:paraId="708D6D88">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□接受，应满足下列要求：</w:t>
            </w:r>
          </w:p>
        </w:tc>
      </w:tr>
      <w:tr w14:paraId="0353FB9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795DAB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39D573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F2776C4">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□组织</w:t>
            </w:r>
          </w:p>
          <w:p w14:paraId="2EA0B316">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不组织，供应商自行前往项目现场进行踏勘。</w:t>
            </w:r>
          </w:p>
        </w:tc>
      </w:tr>
      <w:tr w14:paraId="14B532CC">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6115DA6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B43D1E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4E9F7FB">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□召开</w:t>
            </w:r>
          </w:p>
          <w:p w14:paraId="39C643BA">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不召开</w:t>
            </w:r>
          </w:p>
        </w:tc>
      </w:tr>
      <w:tr w14:paraId="6F98AE4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24B9208">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96AC282">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DB3A260">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详见招标公告</w:t>
            </w:r>
          </w:p>
        </w:tc>
      </w:tr>
      <w:tr w14:paraId="5111A813">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3E5FB75">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1C28E48">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2674D445">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□允许</w:t>
            </w:r>
          </w:p>
          <w:p w14:paraId="5C27BFEE">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不允许</w:t>
            </w:r>
          </w:p>
        </w:tc>
      </w:tr>
      <w:tr w14:paraId="5250B64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DA22EA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DA6C7F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029631B">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1473A630">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71BED2F">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188699F">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7BF26F5">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投标文件自投标截止时间起生效，有效期</w:t>
            </w:r>
            <w:r>
              <w:rPr>
                <w:rFonts w:hint="eastAsia" w:ascii="宋体" w:hAnsi="宋体" w:cs="新宋体"/>
                <w:color w:val="auto"/>
                <w:kern w:val="0"/>
                <w:sz w:val="22"/>
                <w:szCs w:val="22"/>
                <w:highlight w:val="none"/>
                <w:u w:val="single"/>
              </w:rPr>
              <w:t>90</w:t>
            </w:r>
            <w:r>
              <w:rPr>
                <w:rFonts w:hint="eastAsia" w:ascii="宋体" w:hAnsi="宋体" w:cs="新宋体"/>
                <w:color w:val="auto"/>
                <w:kern w:val="0"/>
                <w:sz w:val="22"/>
                <w:szCs w:val="22"/>
                <w:highlight w:val="none"/>
              </w:rPr>
              <w:t>天。</w:t>
            </w:r>
          </w:p>
        </w:tc>
      </w:tr>
      <w:tr w14:paraId="20B66BE7">
        <w:tblPrEx>
          <w:tblCellMar>
            <w:top w:w="0" w:type="dxa"/>
            <w:left w:w="108" w:type="dxa"/>
            <w:bottom w:w="0" w:type="dxa"/>
            <w:right w:w="108" w:type="dxa"/>
          </w:tblCellMar>
        </w:tblPrEx>
        <w:trPr>
          <w:trHeight w:val="2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98CA9D2">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6236B46">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2EF5D78B">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无须提交。</w:t>
            </w:r>
          </w:p>
        </w:tc>
      </w:tr>
      <w:tr w14:paraId="258E071B">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9418154">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4102A5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BA9227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完整的投标文件由资格审查资料、技术资信文件、报价文件三个部分组成。</w:t>
            </w:r>
          </w:p>
        </w:tc>
      </w:tr>
      <w:tr w14:paraId="2707B258">
        <w:tblPrEx>
          <w:tblCellMar>
            <w:top w:w="0" w:type="dxa"/>
            <w:left w:w="108" w:type="dxa"/>
            <w:bottom w:w="0" w:type="dxa"/>
            <w:right w:w="108" w:type="dxa"/>
          </w:tblCellMar>
        </w:tblPrEx>
        <w:trPr>
          <w:trHeight w:val="24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452C86B">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2F037B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2617598">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54FC0B1F">
        <w:tblPrEx>
          <w:tblCellMar>
            <w:top w:w="0" w:type="dxa"/>
            <w:left w:w="108" w:type="dxa"/>
            <w:bottom w:w="0" w:type="dxa"/>
            <w:right w:w="108" w:type="dxa"/>
          </w:tblCellMar>
        </w:tblPrEx>
        <w:trPr>
          <w:trHeight w:val="21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A4E57B0">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B564B6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63F21E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投标文件的相应位置应加盖：电子签章。（或先制作word版打印，相应位置签字或盖章后再扫描上传）</w:t>
            </w:r>
          </w:p>
        </w:tc>
      </w:tr>
      <w:tr w14:paraId="5E76A77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982990F">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9F7448B">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B264B81">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本项目实行在线投标响应（电子投标）。</w:t>
            </w:r>
          </w:p>
          <w:p w14:paraId="6B6ECDF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投标人须准备电子投标文件（包括“电子加密投标文件”和“备份投标文件”两类，在投标文件编制完成后同时生成）。</w:t>
            </w:r>
          </w:p>
          <w:p w14:paraId="70B3D9C3">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60EA9BB7">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7C97BAC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以上两类投标文件均由资格审查资料、技术资信文件、报价文件三部分组成。</w:t>
            </w:r>
          </w:p>
        </w:tc>
      </w:tr>
      <w:tr w14:paraId="1B8CDAE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DB26D2E">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032BAF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58059A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（1）“电子加密投标文件”：在线上传递交、一份。</w:t>
            </w:r>
          </w:p>
          <w:p w14:paraId="11A5546D">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cs="新宋体"/>
                <w:color w:val="auto"/>
                <w:kern w:val="0"/>
                <w:sz w:val="22"/>
                <w:szCs w:val="22"/>
                <w:highlight w:val="none"/>
              </w:rPr>
            </w:pPr>
            <w:r>
              <w:rPr>
                <w:rFonts w:hint="eastAsia" w:ascii="宋体" w:hAnsi="宋体" w:cs="新宋体"/>
                <w:color w:val="auto"/>
                <w:kern w:val="0"/>
                <w:sz w:val="22"/>
                <w:szCs w:val="22"/>
                <w:highlight w:val="none"/>
                <w:lang w:val="zh-CN"/>
              </w:rPr>
              <w:t>（2）“备份投标文件”：供应商在系统里上传好加密电子投标文件后，可以（建议）在投标截止时间前将系统生成的备份电子投标文件（后缀格式为.bfbs）以电子邮件形式发送至采购代理机构指定邮箱：836454981@qq.com.com，传送的备份电子响应文件需打包压缩并加密，加密密码由供应商自行保管。</w:t>
            </w:r>
          </w:p>
        </w:tc>
      </w:tr>
      <w:tr w14:paraId="30EB95F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F4A64D9">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3096421">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0E47E4E">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（1）“电子加密投标文件”的上传、递交：</w:t>
            </w:r>
          </w:p>
          <w:p w14:paraId="6E37CCF6">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a.投标人应在投标文件递交截止时间前将“电子加密投标文件”成功上传递交至“政采云平台”，否则投标无效。</w:t>
            </w:r>
          </w:p>
          <w:p w14:paraId="452ABCAC">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b.“电子加密投标文件”成功上传递交后，供应商可自行打印投标文件接收回执。</w:t>
            </w:r>
          </w:p>
          <w:p w14:paraId="14B74DAB">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（2）“备份投标文件”的密封包装、递交</w:t>
            </w:r>
            <w:r>
              <w:rPr>
                <w:rFonts w:hint="eastAsia" w:cs="新宋体"/>
                <w:b/>
                <w:color w:val="auto"/>
                <w:sz w:val="22"/>
                <w:highlight w:val="none"/>
              </w:rPr>
              <w:t>：</w:t>
            </w:r>
          </w:p>
          <w:p w14:paraId="31B07DE8">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eastAsia="宋体" w:cs="新宋体"/>
                <w:color w:val="auto"/>
                <w:kern w:val="0"/>
                <w:sz w:val="22"/>
                <w:szCs w:val="22"/>
                <w:highlight w:val="none"/>
                <w:lang w:val="en-US" w:eastAsia="zh-CN"/>
              </w:rPr>
              <w:t>a.</w:t>
            </w:r>
            <w:r>
              <w:rPr>
                <w:rFonts w:hint="eastAsia" w:ascii="宋体" w:hAnsi="宋体" w:eastAsia="宋体" w:cs="新宋体"/>
                <w:color w:val="auto"/>
                <w:kern w:val="0"/>
                <w:sz w:val="22"/>
                <w:szCs w:val="22"/>
                <w:highlight w:val="none"/>
                <w:lang w:val="zh-CN" w:eastAsia="zh-CN"/>
              </w:rPr>
              <w:t>供应商在系统里上传好加密电子投标文件后，可以（建议）在投标截止时间前将</w:t>
            </w:r>
            <w:r>
              <w:rPr>
                <w:rFonts w:hint="eastAsia" w:ascii="宋体" w:hAnsi="宋体" w:cs="新宋体"/>
                <w:color w:val="auto"/>
                <w:kern w:val="0"/>
                <w:sz w:val="22"/>
                <w:szCs w:val="22"/>
                <w:highlight w:val="none"/>
                <w:lang w:val="zh-CN"/>
              </w:rPr>
              <w:t>系统生成的备份电子投标文件（后缀格式为.bfbs）以电子邮件形式发送至采购代理机构指定邮箱：836454981@qq.com.com，传送的备份电子响应文件需打包压缩并加密，加密密码由供应商自行保管。</w:t>
            </w:r>
          </w:p>
          <w:p w14:paraId="0BF92553">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en-US" w:eastAsia="zh-CN"/>
              </w:rPr>
              <w:t>b</w:t>
            </w:r>
            <w:r>
              <w:rPr>
                <w:rFonts w:hint="eastAsia" w:ascii="宋体" w:hAnsi="宋体" w:cs="新宋体"/>
                <w:color w:val="auto"/>
                <w:kern w:val="0"/>
                <w:sz w:val="22"/>
                <w:szCs w:val="22"/>
                <w:highlight w:val="none"/>
                <w:lang w:val="zh-CN"/>
              </w:rPr>
              <w:t>.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14:paraId="3BBFDAE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F6B0428">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2FF9E1B">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53C73E0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p>
          <w:p w14:paraId="11DA5FBC">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730BF7CA">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（3）投标文件递交截止时间前，投标人仅递交了“备份投标文件”而未将电子加密投标文件上传至“政采云平台”的，投标无效。</w:t>
            </w:r>
          </w:p>
          <w:p w14:paraId="4EE0A46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1.请务必确保磋商响应文件制作客户端为最新版本，旧版本可能导致磋商响应文件解密失败。</w:t>
            </w:r>
          </w:p>
          <w:p w14:paraId="07576B6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2.请务必确保</w:t>
            </w:r>
            <w:r>
              <w:rPr>
                <w:rFonts w:hint="eastAsia" w:ascii="宋体" w:hAnsi="宋体" w:cs="新宋体"/>
                <w:color w:val="auto"/>
                <w:kern w:val="0"/>
                <w:sz w:val="22"/>
                <w:szCs w:val="22"/>
                <w:highlight w:val="none"/>
                <w:lang w:val="en-US" w:eastAsia="zh-CN"/>
              </w:rPr>
              <w:t>投标</w:t>
            </w:r>
            <w:r>
              <w:rPr>
                <w:rFonts w:hint="eastAsia" w:ascii="宋体" w:hAnsi="宋体" w:cs="新宋体"/>
                <w:color w:val="auto"/>
                <w:kern w:val="0"/>
                <w:sz w:val="22"/>
                <w:szCs w:val="22"/>
                <w:highlight w:val="none"/>
                <w:lang w:val="zh-CN"/>
              </w:rPr>
              <w:t>响应文件制作时所用的 CA 锁与</w:t>
            </w:r>
            <w:r>
              <w:rPr>
                <w:rFonts w:hint="eastAsia" w:ascii="宋体" w:hAnsi="宋体" w:cs="新宋体"/>
                <w:color w:val="auto"/>
                <w:kern w:val="0"/>
                <w:sz w:val="22"/>
                <w:szCs w:val="22"/>
                <w:highlight w:val="none"/>
                <w:lang w:val="en-US" w:eastAsia="zh-CN"/>
              </w:rPr>
              <w:t>投标</w:t>
            </w:r>
            <w:r>
              <w:rPr>
                <w:rFonts w:hint="eastAsia" w:ascii="宋体" w:hAnsi="宋体" w:cs="新宋体"/>
                <w:color w:val="auto"/>
                <w:kern w:val="0"/>
                <w:sz w:val="22"/>
                <w:szCs w:val="22"/>
                <w:highlight w:val="none"/>
                <w:lang w:val="zh-CN"/>
              </w:rPr>
              <w:t>响应文件解密时的 CA 锁为同一把，否则可能导致</w:t>
            </w:r>
            <w:r>
              <w:rPr>
                <w:rFonts w:hint="eastAsia" w:ascii="宋体" w:hAnsi="宋体" w:cs="新宋体"/>
                <w:color w:val="auto"/>
                <w:kern w:val="0"/>
                <w:sz w:val="22"/>
                <w:szCs w:val="22"/>
                <w:highlight w:val="none"/>
                <w:lang w:val="en-US" w:eastAsia="zh-CN"/>
              </w:rPr>
              <w:t>投标</w:t>
            </w:r>
            <w:r>
              <w:rPr>
                <w:rFonts w:hint="eastAsia" w:ascii="宋体" w:hAnsi="宋体" w:cs="新宋体"/>
                <w:color w:val="auto"/>
                <w:kern w:val="0"/>
                <w:sz w:val="22"/>
                <w:szCs w:val="22"/>
                <w:highlight w:val="none"/>
                <w:lang w:val="zh-CN"/>
              </w:rPr>
              <w:t>响应文件解密失败。</w:t>
            </w:r>
          </w:p>
          <w:p w14:paraId="4D4C4B0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yellow"/>
                <w:lang w:val="zh-CN"/>
              </w:rPr>
            </w:pPr>
            <w:r>
              <w:rPr>
                <w:rFonts w:hint="eastAsia" w:ascii="宋体" w:hAnsi="宋体" w:cs="新宋体"/>
                <w:color w:val="auto"/>
                <w:kern w:val="0"/>
                <w:sz w:val="22"/>
                <w:szCs w:val="22"/>
                <w:highlight w:val="none"/>
                <w:lang w:val="zh-CN"/>
              </w:rPr>
              <w:t>3.</w:t>
            </w:r>
            <w:r>
              <w:rPr>
                <w:rFonts w:hint="eastAsia" w:ascii="宋体" w:hAnsi="宋体" w:cs="新宋体"/>
                <w:color w:val="auto"/>
                <w:kern w:val="0"/>
                <w:sz w:val="22"/>
                <w:szCs w:val="22"/>
                <w:highlight w:val="yellow"/>
                <w:lang w:val="zh-CN"/>
              </w:rPr>
              <w:t>中标供应商需提供全套纸质投标文件3份（加盖公章和法人章）邮寄至代理单位用于后期项目资料归档。（浙江三凯工程管理有限公司，浙江省温州市鹿城区南汇街道温州大道铁道大厦701室，</w:t>
            </w:r>
            <w:r>
              <w:rPr>
                <w:rFonts w:hint="eastAsia" w:ascii="宋体" w:hAnsi="宋体" w:cs="新宋体"/>
                <w:color w:val="auto"/>
                <w:kern w:val="0"/>
                <w:sz w:val="22"/>
                <w:szCs w:val="22"/>
                <w:highlight w:val="yellow"/>
                <w:lang w:val="en-US" w:eastAsia="zh-CN"/>
              </w:rPr>
              <w:t>王天琦</w:t>
            </w:r>
            <w:r>
              <w:rPr>
                <w:rFonts w:hint="eastAsia" w:ascii="宋体" w:hAnsi="宋体" w:cs="新宋体"/>
                <w:color w:val="auto"/>
                <w:kern w:val="0"/>
                <w:sz w:val="22"/>
                <w:szCs w:val="22"/>
                <w:highlight w:val="yellow"/>
                <w:lang w:val="zh-CN"/>
              </w:rPr>
              <w:t xml:space="preserve"> </w:t>
            </w:r>
            <w:r>
              <w:rPr>
                <w:rFonts w:hint="eastAsia" w:ascii="宋体" w:hAnsi="宋体" w:cs="新宋体"/>
                <w:color w:val="auto"/>
                <w:kern w:val="0"/>
                <w:sz w:val="22"/>
                <w:szCs w:val="22"/>
                <w:highlight w:val="yellow"/>
                <w:lang w:val="en-US" w:eastAsia="zh-CN"/>
              </w:rPr>
              <w:t>18814094460</w:t>
            </w:r>
            <w:r>
              <w:rPr>
                <w:rFonts w:hint="eastAsia" w:ascii="宋体" w:hAnsi="宋体" w:cs="新宋体"/>
                <w:color w:val="auto"/>
                <w:kern w:val="0"/>
                <w:sz w:val="22"/>
                <w:szCs w:val="22"/>
                <w:highlight w:val="yellow"/>
                <w:lang w:val="zh-CN"/>
              </w:rPr>
              <w:t xml:space="preserve"> ）</w:t>
            </w:r>
          </w:p>
          <w:p w14:paraId="49201F2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4.投标人上传投标文件时须充分考虑网络、投标文件大小等因素，逾期未完成上传或未按规定时间完成文件解密，招标人予以拒收。</w:t>
            </w:r>
          </w:p>
          <w:p w14:paraId="56D0CE8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5.本项目的招标文件下载、获取以及投标文件上传、解密等均通过互联网操作，请各投标人充分考虑网络拥堵及平台操作所需时间等因素，保证在开评标期间电脑、网络、预留电话等能够正常使用。</w:t>
            </w:r>
          </w:p>
          <w:p w14:paraId="332C91A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6. 因供应商使用的操作终端（软件或硬件）发生故障或参数设置等问题，导致不能参与交易活动，由供应商自行承担一切后果。</w:t>
            </w:r>
          </w:p>
        </w:tc>
      </w:tr>
      <w:tr w14:paraId="4AB526F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DD62D55">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52FAF7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递交投标</w:t>
            </w:r>
          </w:p>
          <w:p w14:paraId="6A35F49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AA61017">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通过“政府采购云平台（www.zcygov.cn）”在线开标。</w:t>
            </w:r>
          </w:p>
        </w:tc>
      </w:tr>
      <w:tr w14:paraId="6B95C31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F10ACB3">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E7367B8">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开标时间</w:t>
            </w:r>
          </w:p>
          <w:p w14:paraId="01BEA36C">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和地点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8E88A7E">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开标时间：</w:t>
            </w:r>
            <w:r>
              <w:rPr>
                <w:rFonts w:hint="eastAsia" w:ascii="宋体" w:hAnsi="宋体" w:cs="新宋体"/>
                <w:color w:val="auto"/>
                <w:kern w:val="0"/>
                <w:sz w:val="22"/>
                <w:szCs w:val="22"/>
                <w:highlight w:val="none"/>
              </w:rPr>
              <w:t>详见招标公告。</w:t>
            </w:r>
          </w:p>
          <w:p w14:paraId="6A8EC47D">
            <w:pPr>
              <w:keepNext w:val="0"/>
              <w:keepLines w:val="0"/>
              <w:pageBreakBefore w:val="0"/>
              <w:kinsoku/>
              <w:wordWrap/>
              <w:overflowPunct/>
              <w:topLinePunct w:val="0"/>
              <w:bidi w:val="0"/>
              <w:spacing w:line="360" w:lineRule="exact"/>
              <w:textAlignment w:val="auto"/>
              <w:rPr>
                <w:rFonts w:ascii="宋体" w:hAnsi="宋体" w:cs="新宋体"/>
                <w:color w:val="auto"/>
                <w:kern w:val="0"/>
                <w:sz w:val="22"/>
                <w:szCs w:val="22"/>
                <w:highlight w:val="none"/>
              </w:rPr>
            </w:pPr>
            <w:r>
              <w:rPr>
                <w:rFonts w:hint="eastAsia" w:ascii="宋体" w:hAnsi="宋体" w:cs="新宋体"/>
                <w:color w:val="auto"/>
                <w:kern w:val="0"/>
                <w:sz w:val="22"/>
                <w:szCs w:val="22"/>
                <w:highlight w:val="none"/>
                <w:lang w:val="zh-CN"/>
              </w:rPr>
              <w:t>开标地点：</w:t>
            </w:r>
            <w:r>
              <w:rPr>
                <w:rFonts w:hint="eastAsia" w:ascii="宋体" w:hAnsi="宋体"/>
                <w:color w:val="auto"/>
                <w:sz w:val="22"/>
                <w:szCs w:val="22"/>
                <w:highlight w:val="none"/>
              </w:rPr>
              <w:t>本项目采取电子评标。</w:t>
            </w:r>
          </w:p>
        </w:tc>
      </w:tr>
      <w:tr w14:paraId="77CC428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5955883">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AE4E37F">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评标委员会</w:t>
            </w:r>
          </w:p>
          <w:p w14:paraId="6D8076F9">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D71D2ED">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20B49BC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36CEC9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12E7142">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zh-CN"/>
              </w:rPr>
            </w:pPr>
            <w:r>
              <w:rPr>
                <w:rFonts w:hint="eastAsia" w:ascii="宋体" w:hAnsi="宋体" w:cs="新宋体"/>
                <w:bCs/>
                <w:color w:val="auto"/>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A0859FB">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eastAsia="zh-CN"/>
              </w:rPr>
              <w:t>☑</w:t>
            </w:r>
            <w:r>
              <w:rPr>
                <w:rFonts w:hint="eastAsia" w:ascii="宋体" w:hAnsi="宋体" w:cs="新宋体"/>
                <w:bCs/>
                <w:color w:val="auto"/>
                <w:sz w:val="22"/>
                <w:szCs w:val="22"/>
                <w:highlight w:val="none"/>
              </w:rPr>
              <w:t>不需要</w:t>
            </w:r>
          </w:p>
        </w:tc>
      </w:tr>
      <w:tr w14:paraId="096A695E">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084746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4B6FDAF">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政府采购</w:t>
            </w:r>
          </w:p>
          <w:p w14:paraId="2C7DC141">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zh-CN"/>
              </w:rPr>
            </w:pPr>
            <w:r>
              <w:rPr>
                <w:rFonts w:hint="eastAsia" w:ascii="宋体" w:hAnsi="宋体" w:cs="新宋体"/>
                <w:bCs/>
                <w:color w:val="auto"/>
                <w:sz w:val="22"/>
                <w:szCs w:val="22"/>
                <w:highlight w:val="none"/>
              </w:rPr>
              <w:t>扶持政策</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F86D25C">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1、本项目属于预留份额专门面向中小企业/小微企业采购项目，监狱企业、残疾人福利性单位视为小型、微型企业。</w:t>
            </w:r>
          </w:p>
          <w:p w14:paraId="7B110596">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2、中小企业/小微企业为满足转发财政部 工业和信息化部关于印发《政府采购促进中小企业发展管理办法》（财库﹝2020﹞46 号）的规定的中小企业。</w:t>
            </w:r>
          </w:p>
          <w:p w14:paraId="30F9A224">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3、专门面向中小企业/小微企业采购的项目，不再执行价格评审优惠的扶持政策。</w:t>
            </w:r>
          </w:p>
          <w:p w14:paraId="0F004F0F">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zh-CN"/>
              </w:rPr>
            </w:pPr>
            <w:r>
              <w:rPr>
                <w:rFonts w:hint="eastAsia" w:ascii="宋体" w:hAnsi="宋体" w:cs="新宋体"/>
                <w:bCs/>
                <w:color w:val="auto"/>
                <w:sz w:val="22"/>
                <w:szCs w:val="22"/>
                <w:highlight w:val="none"/>
              </w:rPr>
              <w:t>4、本次采购标的为服务采购，对应的中小企业划分标准所属行业是：其他未列明行业 。</w:t>
            </w:r>
          </w:p>
        </w:tc>
      </w:tr>
      <w:tr w14:paraId="01FAF9C9">
        <w:tblPrEx>
          <w:tblCellMar>
            <w:top w:w="0" w:type="dxa"/>
            <w:left w:w="108" w:type="dxa"/>
            <w:bottom w:w="0" w:type="dxa"/>
            <w:right w:w="108" w:type="dxa"/>
          </w:tblCellMar>
        </w:tblPrEx>
        <w:trPr>
          <w:trHeight w:val="51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CEC4AE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6674273">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投标人信用</w:t>
            </w:r>
          </w:p>
          <w:p w14:paraId="5F2A242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7CD5C3BD">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（1）供应商信用信息查询的查询渠道：“信用中国”(</w:t>
            </w:r>
            <w:r>
              <w:rPr>
                <w:rFonts w:hint="eastAsia" w:ascii="宋体" w:hAnsi="宋体" w:cs="新宋体"/>
                <w:color w:val="auto"/>
                <w:sz w:val="22"/>
                <w:szCs w:val="22"/>
                <w:highlight w:val="none"/>
              </w:rPr>
              <w:fldChar w:fldCharType="begin"/>
            </w:r>
            <w:r>
              <w:rPr>
                <w:rFonts w:hint="eastAsia" w:ascii="宋体" w:hAnsi="宋体" w:cs="新宋体"/>
                <w:color w:val="auto"/>
                <w:sz w:val="22"/>
                <w:szCs w:val="22"/>
                <w:highlight w:val="none"/>
              </w:rPr>
              <w:instrText xml:space="preserve"> HYPERLINK "http://www.creditchina.gov.cn" </w:instrText>
            </w:r>
            <w:r>
              <w:rPr>
                <w:rFonts w:hint="eastAsia" w:ascii="宋体" w:hAnsi="宋体" w:cs="新宋体"/>
                <w:color w:val="auto"/>
                <w:sz w:val="22"/>
                <w:szCs w:val="22"/>
                <w:highlight w:val="none"/>
              </w:rPr>
              <w:fldChar w:fldCharType="separate"/>
            </w:r>
            <w:r>
              <w:rPr>
                <w:rFonts w:hint="eastAsia" w:ascii="宋体" w:hAnsi="宋体" w:cs="新宋体"/>
                <w:color w:val="auto"/>
                <w:sz w:val="22"/>
                <w:szCs w:val="22"/>
                <w:highlight w:val="none"/>
              </w:rPr>
              <w:t>www.creditchina.gov.cn</w:t>
            </w:r>
            <w:r>
              <w:rPr>
                <w:rFonts w:hint="eastAsia" w:ascii="宋体" w:hAnsi="宋体" w:cs="新宋体"/>
                <w:color w:val="auto"/>
                <w:sz w:val="22"/>
                <w:szCs w:val="22"/>
                <w:highlight w:val="none"/>
              </w:rPr>
              <w:fldChar w:fldCharType="end"/>
            </w:r>
            <w:r>
              <w:rPr>
                <w:rFonts w:hint="eastAsia" w:ascii="宋体" w:hAnsi="宋体" w:cs="新宋体"/>
                <w:color w:val="auto"/>
                <w:sz w:val="22"/>
                <w:szCs w:val="22"/>
                <w:highlight w:val="none"/>
              </w:rPr>
              <w:t>)；“中国政府采购网”（http://www.ccgp.gov.cn/）；</w:t>
            </w:r>
          </w:p>
          <w:p w14:paraId="6203C988">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（2）供应商信用信息查询截止时点：本项目投标文件递交截止时间。</w:t>
            </w:r>
          </w:p>
          <w:p w14:paraId="1189267E">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（3）供应商信用信息查询记录和证据留存的具体方式：网页截图打印；</w:t>
            </w:r>
          </w:p>
          <w:p w14:paraId="3D03D2E4">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（4）信用信息的使用规则：</w:t>
            </w:r>
          </w:p>
          <w:p w14:paraId="2252A4E6">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①在“信用中国”具有负面记录：列入失信被执行人、重大税收违法案件当事人名单、政府采购严重违法失信行为名单；</w:t>
            </w:r>
          </w:p>
          <w:p w14:paraId="19DE318F">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②被“中国政府采购网”(www.ccgp.gov.cn)列入政府采购严重违法失信行为记录名单。</w:t>
            </w:r>
          </w:p>
          <w:p w14:paraId="466D1EF3">
            <w:pPr>
              <w:keepNext w:val="0"/>
              <w:keepLines w:val="0"/>
              <w:pageBreakBefore w:val="0"/>
              <w:kinsoku/>
              <w:wordWrap/>
              <w:overflowPunct/>
              <w:topLinePunct w:val="0"/>
              <w:bidi w:val="0"/>
              <w:spacing w:line="360" w:lineRule="exact"/>
              <w:jc w:val="left"/>
              <w:textAlignment w:val="auto"/>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（5）具有以上（4）所述信息记录的供应商，其投标做无效投标处理。</w:t>
            </w:r>
          </w:p>
          <w:p w14:paraId="0F85D121">
            <w:pPr>
              <w:keepNext w:val="0"/>
              <w:keepLines w:val="0"/>
              <w:pageBreakBefore w:val="0"/>
              <w:kinsoku/>
              <w:wordWrap/>
              <w:overflowPunct/>
              <w:topLinePunct w:val="0"/>
              <w:bidi w:val="0"/>
              <w:spacing w:line="360" w:lineRule="exact"/>
              <w:textAlignment w:val="auto"/>
              <w:rPr>
                <w:rFonts w:hint="eastAsia" w:ascii="宋体" w:hAnsi="宋体" w:cs="新宋体"/>
                <w:color w:val="auto"/>
                <w:highlight w:val="none"/>
              </w:rPr>
            </w:pPr>
            <w:r>
              <w:rPr>
                <w:rFonts w:hint="eastAsia" w:ascii="宋体" w:hAnsi="宋体" w:cs="新宋体"/>
                <w:b/>
                <w:bCs/>
                <w:color w:val="auto"/>
                <w:szCs w:val="21"/>
                <w:highlight w:val="none"/>
                <w:u w:val="single"/>
              </w:rPr>
              <w:t>（6）▲</w:t>
            </w:r>
            <w:r>
              <w:rPr>
                <w:rFonts w:hint="eastAsia" w:ascii="宋体" w:hAnsi="宋体" w:cs="新宋体"/>
                <w:b/>
                <w:color w:val="auto"/>
                <w:sz w:val="22"/>
                <w:szCs w:val="22"/>
                <w:highlight w:val="none"/>
                <w:u w:val="single"/>
              </w:rPr>
              <w:t>关于</w:t>
            </w:r>
            <w:r>
              <w:rPr>
                <w:rFonts w:hint="eastAsia" w:ascii="宋体" w:hAnsi="宋体" w:cs="新宋体"/>
                <w:b/>
                <w:bCs/>
                <w:color w:val="auto"/>
                <w:sz w:val="22"/>
                <w:szCs w:val="22"/>
                <w:highlight w:val="none"/>
                <w:u w:val="single"/>
              </w:rPr>
              <w:t>“信用中国”(www.creditchina.gov.cn) 信用记录网页截图相关说明</w:t>
            </w:r>
            <w:r>
              <w:rPr>
                <w:rFonts w:hint="eastAsia" w:ascii="宋体" w:hAnsi="宋体" w:cs="新宋体"/>
                <w:bCs/>
                <w:color w:val="auto"/>
                <w:sz w:val="22"/>
                <w:szCs w:val="22"/>
                <w:highlight w:val="none"/>
              </w:rPr>
              <w:t>：</w:t>
            </w:r>
          </w:p>
          <w:p w14:paraId="65561011">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7964FB68">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②若供应商在“信用中国”无数据，亦须将搜索结果页面打印，并附说明。</w:t>
            </w:r>
          </w:p>
          <w:p w14:paraId="409AE4EB">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③未按照以上①-③条要求提供“信用中国”查询结果记录的，将按照资格审查不通过处理。</w:t>
            </w:r>
          </w:p>
          <w:p w14:paraId="60FC9B8B">
            <w:pPr>
              <w:keepNext w:val="0"/>
              <w:keepLines w:val="0"/>
              <w:pageBreakBefore w:val="0"/>
              <w:kinsoku/>
              <w:wordWrap/>
              <w:overflowPunct/>
              <w:topLinePunct w:val="0"/>
              <w:bidi w:val="0"/>
              <w:spacing w:line="360" w:lineRule="exact"/>
              <w:textAlignment w:val="auto"/>
              <w:rPr>
                <w:rFonts w:hint="eastAsia" w:ascii="宋体" w:hAnsi="宋体"/>
                <w:color w:val="auto"/>
                <w:highlight w:val="none"/>
              </w:rPr>
            </w:pPr>
            <w:r>
              <w:rPr>
                <w:rFonts w:hint="eastAsia" w:ascii="宋体" w:hAnsi="宋体" w:cs="新宋体"/>
                <w:bCs/>
                <w:color w:val="auto"/>
                <w:sz w:val="22"/>
                <w:szCs w:val="22"/>
                <w:highlight w:val="none"/>
              </w:rPr>
              <w:t>（7）具体结果以开标当日采购人或采购代理机构对</w:t>
            </w:r>
            <w:r>
              <w:rPr>
                <w:rFonts w:hint="eastAsia" w:ascii="宋体" w:hAnsi="宋体" w:cs="楷体"/>
                <w:color w:val="auto"/>
                <w:kern w:val="0"/>
                <w:sz w:val="22"/>
                <w:szCs w:val="22"/>
                <w:highlight w:val="none"/>
              </w:rPr>
              <w:t>投标人信用查询网页的</w:t>
            </w:r>
            <w:r>
              <w:rPr>
                <w:rFonts w:hint="eastAsia" w:ascii="宋体" w:hAnsi="宋体" w:cs="新宋体"/>
                <w:bCs/>
                <w:color w:val="auto"/>
                <w:sz w:val="22"/>
                <w:szCs w:val="22"/>
                <w:highlight w:val="none"/>
              </w:rPr>
              <w:t>查询结果为准。</w:t>
            </w:r>
          </w:p>
        </w:tc>
      </w:tr>
      <w:tr w14:paraId="4B7CD9C9">
        <w:tblPrEx>
          <w:tblCellMar>
            <w:top w:w="0" w:type="dxa"/>
            <w:left w:w="108" w:type="dxa"/>
            <w:bottom w:w="0" w:type="dxa"/>
            <w:right w:w="108" w:type="dxa"/>
          </w:tblCellMar>
        </w:tblPrEx>
        <w:trPr>
          <w:trHeight w:val="83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3B96CD2">
            <w:pPr>
              <w:keepNext w:val="0"/>
              <w:keepLines w:val="0"/>
              <w:pageBreakBefore w:val="0"/>
              <w:kinsoku/>
              <w:wordWrap/>
              <w:overflowPunct/>
              <w:topLinePunct w:val="0"/>
              <w:bidi w:val="0"/>
              <w:spacing w:line="360" w:lineRule="exact"/>
              <w:jc w:val="center"/>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3EC805E">
            <w:pPr>
              <w:pStyle w:val="27"/>
              <w:keepNext w:val="0"/>
              <w:keepLines w:val="0"/>
              <w:pageBreakBefore w:val="0"/>
              <w:kinsoku/>
              <w:wordWrap/>
              <w:overflowPunct/>
              <w:topLinePunct w:val="0"/>
              <w:bidi w:val="0"/>
              <w:snapToGrid w:val="0"/>
              <w:spacing w:line="360" w:lineRule="exact"/>
              <w:ind w:firstLine="440"/>
              <w:textAlignment w:val="auto"/>
              <w:rPr>
                <w:rFonts w:cs="新宋体"/>
                <w:bCs/>
                <w:color w:val="auto"/>
                <w:sz w:val="22"/>
                <w:szCs w:val="22"/>
                <w:highlight w:val="none"/>
                <w:lang w:val="en-US" w:eastAsia="zh-CN"/>
              </w:rPr>
            </w:pPr>
            <w:r>
              <w:rPr>
                <w:rFonts w:cs="新宋体"/>
                <w:bCs/>
                <w:color w:val="auto"/>
                <w:sz w:val="22"/>
                <w:szCs w:val="22"/>
                <w:highlight w:val="none"/>
                <w:lang w:val="en-US" w:eastAsia="zh-CN"/>
              </w:rPr>
              <w:t>环境标志产品</w:t>
            </w:r>
          </w:p>
          <w:p w14:paraId="071F7AAE">
            <w:pPr>
              <w:pStyle w:val="27"/>
              <w:keepNext w:val="0"/>
              <w:keepLines w:val="0"/>
              <w:pageBreakBefore w:val="0"/>
              <w:kinsoku/>
              <w:wordWrap/>
              <w:overflowPunct/>
              <w:topLinePunct w:val="0"/>
              <w:bidi w:val="0"/>
              <w:snapToGrid w:val="0"/>
              <w:spacing w:line="360" w:lineRule="exact"/>
              <w:ind w:firstLine="440"/>
              <w:textAlignment w:val="auto"/>
              <w:rPr>
                <w:rFonts w:cs="新宋体"/>
                <w:bCs/>
                <w:color w:val="auto"/>
                <w:sz w:val="22"/>
                <w:szCs w:val="22"/>
                <w:highlight w:val="none"/>
                <w:lang w:val="en-US" w:eastAsia="zh-CN"/>
              </w:rPr>
            </w:pPr>
            <w:r>
              <w:rPr>
                <w:rFonts w:cs="新宋体"/>
                <w:bCs/>
                <w:color w:val="auto"/>
                <w:sz w:val="22"/>
                <w:szCs w:val="22"/>
                <w:highlight w:val="none"/>
                <w:lang w:val="en-US" w:eastAsia="zh-CN"/>
              </w:rPr>
              <w:t>节能产品</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2E48EF4">
            <w:pPr>
              <w:keepNext w:val="0"/>
              <w:keepLines w:val="0"/>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新宋体"/>
                <w:bCs/>
                <w:color w:val="auto"/>
                <w:sz w:val="22"/>
                <w:szCs w:val="22"/>
                <w:highlight w:val="none"/>
              </w:rPr>
            </w:pPr>
            <w:r>
              <w:rPr>
                <w:rFonts w:ascii="宋体" w:hAnsi="宋体" w:cs="新宋体"/>
                <w:bCs/>
                <w:color w:val="auto"/>
                <w:sz w:val="22"/>
                <w:szCs w:val="22"/>
                <w:highlight w:val="none"/>
              </w:rPr>
              <w:t>本项目为</w:t>
            </w:r>
            <w:r>
              <w:rPr>
                <w:rFonts w:hint="eastAsia" w:ascii="宋体" w:hAnsi="宋体" w:cs="新宋体"/>
                <w:bCs/>
                <w:color w:val="auto"/>
                <w:sz w:val="22"/>
                <w:szCs w:val="22"/>
                <w:highlight w:val="none"/>
              </w:rPr>
              <w:t>服务项目</w:t>
            </w:r>
          </w:p>
          <w:p w14:paraId="547DFC38">
            <w:pPr>
              <w:keepNext w:val="0"/>
              <w:keepLines w:val="0"/>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优先采购环境标志产品政策，节能产品政策</w:t>
            </w:r>
          </w:p>
          <w:p w14:paraId="6A6859DA">
            <w:pPr>
              <w:keepNext w:val="0"/>
              <w:keepLines w:val="0"/>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fldChar w:fldCharType="begin"/>
            </w:r>
            <w:r>
              <w:rPr>
                <w:rFonts w:hint="eastAsia" w:ascii="宋体" w:hAnsi="宋体" w:cs="新宋体"/>
                <w:bCs/>
                <w:color w:val="auto"/>
                <w:sz w:val="22"/>
                <w:szCs w:val="22"/>
                <w:highlight w:val="none"/>
              </w:rPr>
              <w:instrText xml:space="preserve"> eq \o\ac(□,√)</w:instrText>
            </w:r>
            <w:r>
              <w:rPr>
                <w:rFonts w:hint="eastAsia" w:ascii="宋体" w:hAnsi="宋体" w:cs="新宋体"/>
                <w:bCs/>
                <w:color w:val="auto"/>
                <w:sz w:val="22"/>
                <w:szCs w:val="22"/>
                <w:highlight w:val="none"/>
              </w:rPr>
              <w:fldChar w:fldCharType="end"/>
            </w:r>
            <w:r>
              <w:rPr>
                <w:rFonts w:hint="eastAsia" w:ascii="宋体" w:hAnsi="宋体" w:cs="新宋体"/>
                <w:bCs/>
                <w:color w:val="auto"/>
                <w:sz w:val="22"/>
                <w:szCs w:val="22"/>
                <w:highlight w:val="none"/>
              </w:rPr>
              <w:t xml:space="preserve">不适用  □适用  </w:t>
            </w:r>
          </w:p>
        </w:tc>
      </w:tr>
      <w:tr w14:paraId="429A3024">
        <w:tblPrEx>
          <w:tblCellMar>
            <w:top w:w="0" w:type="dxa"/>
            <w:left w:w="108" w:type="dxa"/>
            <w:bottom w:w="0" w:type="dxa"/>
            <w:right w:w="108" w:type="dxa"/>
          </w:tblCellMar>
        </w:tblPrEx>
        <w:trPr>
          <w:trHeight w:val="1226"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776AFD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3308BA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5E6C30A3">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（1）中标投标人须在中标通知书发出之日起30日历天内与采购人签订合同。</w:t>
            </w:r>
          </w:p>
          <w:p w14:paraId="788811CD">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kern w:val="0"/>
                <w:sz w:val="22"/>
                <w:szCs w:val="22"/>
                <w:highlight w:val="none"/>
              </w:rPr>
            </w:pPr>
            <w:r>
              <w:rPr>
                <w:rFonts w:hint="eastAsia" w:ascii="宋体" w:hAnsi="宋体" w:cs="新宋体"/>
                <w:color w:val="auto"/>
                <w:sz w:val="22"/>
                <w:szCs w:val="22"/>
                <w:highlight w:val="none"/>
              </w:rPr>
              <w:t>（2）中标投标人与采购人签订合同后，2日历天内将合同扫描件电子版发给招标代理机构邮箱：</w:t>
            </w:r>
            <w:r>
              <w:rPr>
                <w:rFonts w:hint="eastAsia" w:ascii="宋体" w:hAnsi="宋体" w:cs="新宋体"/>
                <w:b/>
                <w:color w:val="auto"/>
                <w:sz w:val="22"/>
                <w:szCs w:val="22"/>
                <w:highlight w:val="none"/>
                <w:u w:val="single"/>
                <w:lang w:val="en-US" w:eastAsia="zh-CN"/>
              </w:rPr>
              <w:t>836454981@qq</w:t>
            </w:r>
            <w:r>
              <w:rPr>
                <w:rFonts w:hint="eastAsia" w:ascii="宋体" w:hAnsi="宋体" w:cs="新宋体"/>
                <w:b/>
                <w:color w:val="auto"/>
                <w:sz w:val="22"/>
                <w:szCs w:val="22"/>
                <w:highlight w:val="none"/>
                <w:u w:val="single"/>
                <w:lang w:eastAsia="zh-CN"/>
              </w:rPr>
              <w:t>.com</w:t>
            </w:r>
            <w:r>
              <w:rPr>
                <w:rFonts w:hint="eastAsia" w:ascii="宋体" w:hAnsi="宋体" w:cs="新宋体"/>
                <w:color w:val="auto"/>
                <w:sz w:val="22"/>
                <w:szCs w:val="22"/>
                <w:highlight w:val="none"/>
              </w:rPr>
              <w:t>。</w:t>
            </w:r>
          </w:p>
        </w:tc>
      </w:tr>
      <w:tr w14:paraId="7015DA1B">
        <w:tblPrEx>
          <w:tblCellMar>
            <w:top w:w="0" w:type="dxa"/>
            <w:left w:w="108" w:type="dxa"/>
            <w:bottom w:w="0" w:type="dxa"/>
            <w:right w:w="108" w:type="dxa"/>
          </w:tblCellMar>
        </w:tblPrEx>
        <w:trPr>
          <w:trHeight w:val="94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083091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12771A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C96EBA7">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302DE3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6DAE9FAC">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A2610C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8B8DCA6">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35CDF3F">
        <w:tblPrEx>
          <w:tblCellMar>
            <w:top w:w="0" w:type="dxa"/>
            <w:left w:w="108" w:type="dxa"/>
            <w:bottom w:w="0" w:type="dxa"/>
            <w:right w:w="108" w:type="dxa"/>
          </w:tblCellMar>
        </w:tblPrEx>
        <w:trPr>
          <w:trHeight w:val="110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9AF9A4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9823D1E">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420788A">
            <w:pPr>
              <w:rPr>
                <w:rFonts w:ascii="宋体" w:hAnsi="宋体" w:cs="新宋体"/>
                <w:sz w:val="22"/>
                <w:szCs w:val="22"/>
                <w:highlight w:val="none"/>
              </w:rPr>
            </w:pPr>
            <w:r>
              <w:rPr>
                <w:rFonts w:hint="eastAsia" w:ascii="宋体" w:hAnsi="宋体" w:cs="新宋体"/>
                <w:sz w:val="22"/>
                <w:szCs w:val="22"/>
                <w:highlight w:val="none"/>
              </w:rPr>
              <w:t>1）</w:t>
            </w:r>
            <w:r>
              <w:rPr>
                <w:rFonts w:hint="eastAsia" w:ascii="宋体" w:hAnsi="宋体"/>
                <w:sz w:val="22"/>
                <w:szCs w:val="22"/>
                <w:highlight w:val="none"/>
              </w:rPr>
              <w:t>采购代理服务费</w:t>
            </w:r>
            <w:r>
              <w:rPr>
                <w:rFonts w:hint="eastAsia" w:ascii="宋体" w:hAnsi="宋体"/>
                <w:sz w:val="22"/>
                <w:szCs w:val="22"/>
                <w:highlight w:val="none"/>
                <w:lang w:val="en-US" w:eastAsia="zh-CN"/>
              </w:rPr>
              <w:t>捌仟元整（￥8000.00）</w:t>
            </w:r>
            <w:r>
              <w:rPr>
                <w:rFonts w:hint="eastAsia" w:ascii="宋体" w:hAnsi="宋体" w:cs="宋体"/>
                <w:sz w:val="22"/>
                <w:szCs w:val="22"/>
                <w:highlight w:val="none"/>
              </w:rPr>
              <w:t>收取，</w:t>
            </w:r>
            <w:r>
              <w:rPr>
                <w:rFonts w:ascii="宋体" w:hAnsi="宋体" w:cs="宋体"/>
                <w:sz w:val="22"/>
                <w:szCs w:val="22"/>
                <w:highlight w:val="none"/>
              </w:rPr>
              <w:t>由</w:t>
            </w:r>
            <w:r>
              <w:rPr>
                <w:rFonts w:hint="eastAsia" w:ascii="宋体" w:hAnsi="宋体" w:cs="宋体"/>
                <w:sz w:val="22"/>
                <w:szCs w:val="22"/>
                <w:highlight w:val="none"/>
              </w:rPr>
              <w:t>中标（成交）单位一次性支付给采购代理机构，</w:t>
            </w:r>
            <w:r>
              <w:rPr>
                <w:rFonts w:ascii="宋体" w:hAnsi="宋体" w:cs="宋体"/>
                <w:sz w:val="22"/>
                <w:szCs w:val="22"/>
                <w:highlight w:val="none"/>
              </w:rPr>
              <w:t>投标供应商在报价时应充分考虑</w:t>
            </w:r>
            <w:r>
              <w:rPr>
                <w:rFonts w:hint="eastAsia" w:ascii="宋体" w:hAnsi="宋体" w:cs="宋体"/>
                <w:sz w:val="22"/>
                <w:szCs w:val="22"/>
                <w:highlight w:val="none"/>
              </w:rPr>
              <w:t>该</w:t>
            </w:r>
            <w:r>
              <w:rPr>
                <w:rFonts w:ascii="宋体" w:hAnsi="宋体" w:cs="宋体"/>
                <w:sz w:val="22"/>
                <w:szCs w:val="22"/>
                <w:highlight w:val="none"/>
              </w:rPr>
              <w:t>部分费用</w:t>
            </w:r>
            <w:r>
              <w:rPr>
                <w:rFonts w:hint="eastAsia" w:ascii="宋体" w:hAnsi="宋体" w:cs="宋体"/>
                <w:sz w:val="22"/>
                <w:szCs w:val="22"/>
                <w:highlight w:val="none"/>
              </w:rPr>
              <w:t>；</w:t>
            </w:r>
          </w:p>
          <w:p w14:paraId="05E130FD">
            <w:pPr>
              <w:keepNext w:val="0"/>
              <w:keepLines w:val="0"/>
              <w:pageBreakBefore w:val="0"/>
              <w:kinsoku/>
              <w:wordWrap/>
              <w:overflowPunct/>
              <w:topLinePunct w:val="0"/>
              <w:bidi w:val="0"/>
              <w:spacing w:line="360" w:lineRule="exact"/>
              <w:textAlignment w:val="auto"/>
              <w:rPr>
                <w:rFonts w:hint="eastAsia" w:ascii="宋体" w:hAnsi="宋体" w:cs="新宋体"/>
                <w:color w:val="auto"/>
                <w:sz w:val="22"/>
                <w:szCs w:val="22"/>
                <w:highlight w:val="none"/>
              </w:rPr>
            </w:pPr>
            <w:r>
              <w:rPr>
                <w:rFonts w:hint="eastAsia" w:ascii="宋体" w:hAnsi="宋体" w:cs="新宋体"/>
                <w:sz w:val="22"/>
                <w:szCs w:val="22"/>
                <w:highlight w:val="none"/>
              </w:rPr>
              <w:t>（2）采购代理服务费可以是现金、支票或汇票。</w:t>
            </w:r>
          </w:p>
        </w:tc>
      </w:tr>
    </w:tbl>
    <w:p w14:paraId="3004DB05">
      <w:pPr>
        <w:pStyle w:val="3"/>
        <w:spacing w:line="500" w:lineRule="exact"/>
        <w:jc w:val="center"/>
        <w:rPr>
          <w:rFonts w:hint="eastAsia" w:ascii="宋体" w:hAnsi="宋体" w:eastAsia="宋体"/>
          <w:color w:val="auto"/>
          <w:sz w:val="24"/>
          <w:szCs w:val="24"/>
          <w:highlight w:val="none"/>
        </w:rPr>
      </w:pPr>
      <w:r>
        <w:rPr>
          <w:rFonts w:hint="eastAsia" w:ascii="宋体" w:hAnsi="宋体" w:eastAsia="宋体" w:cs="新宋体"/>
          <w:color w:val="auto"/>
          <w:sz w:val="36"/>
          <w:szCs w:val="36"/>
          <w:highlight w:val="none"/>
        </w:rPr>
        <w:br w:type="page"/>
      </w:r>
      <w:bookmarkStart w:id="10" w:name="_Toc221423616"/>
      <w:bookmarkStart w:id="11" w:name="_Toc239145351"/>
      <w:bookmarkStart w:id="12" w:name="_Toc221356948"/>
      <w:bookmarkStart w:id="13" w:name="_Toc34572029"/>
      <w:bookmarkStart w:id="14" w:name="_Toc221374623"/>
      <w:bookmarkStart w:id="15" w:name="_Toc265529380"/>
      <w:bookmarkStart w:id="16" w:name="_Toc34508130"/>
      <w:bookmarkStart w:id="17" w:name="_Toc241404199"/>
      <w:bookmarkStart w:id="18" w:name="_Toc223715995"/>
      <w:bookmarkStart w:id="19" w:name="_Toc222114876"/>
      <w:bookmarkStart w:id="20" w:name="_Toc221356883"/>
      <w:bookmarkStart w:id="21" w:name="_Toc393699549"/>
      <w:r>
        <w:rPr>
          <w:rFonts w:hint="eastAsia" w:ascii="宋体" w:hAnsi="宋体" w:eastAsia="宋体"/>
          <w:color w:val="auto"/>
          <w:sz w:val="24"/>
          <w:szCs w:val="24"/>
          <w:highlight w:val="none"/>
        </w:rPr>
        <w:t>一、  说明</w:t>
      </w:r>
      <w:bookmarkEnd w:id="10"/>
      <w:bookmarkEnd w:id="11"/>
      <w:bookmarkEnd w:id="12"/>
      <w:bookmarkEnd w:id="13"/>
      <w:bookmarkEnd w:id="14"/>
      <w:bookmarkEnd w:id="15"/>
      <w:bookmarkEnd w:id="16"/>
      <w:bookmarkEnd w:id="17"/>
      <w:bookmarkEnd w:id="18"/>
      <w:bookmarkEnd w:id="19"/>
      <w:bookmarkEnd w:id="20"/>
    </w:p>
    <w:p w14:paraId="76253EEB">
      <w:pPr>
        <w:tabs>
          <w:tab w:val="left" w:pos="540"/>
          <w:tab w:val="left" w:pos="90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本次招标是参照《中华人民共和国政府采购法》、《中华人民共和国政府采购法实施条例》、《政府采购货物和服务招标投标管理办法》和《关于进一步规范政府采购活动的若干意见》等法律及有关法规组织和实施的。</w:t>
      </w:r>
    </w:p>
    <w:p w14:paraId="250219FD">
      <w:pPr>
        <w:tabs>
          <w:tab w:val="left" w:pos="540"/>
          <w:tab w:val="left" w:pos="900"/>
        </w:tabs>
        <w:spacing w:line="46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2.合格投标人要求以招标公告对投标人资格条件要求的表述为准。</w:t>
      </w:r>
    </w:p>
    <w:p w14:paraId="58EFE071">
      <w:pPr>
        <w:tabs>
          <w:tab w:val="left" w:pos="540"/>
          <w:tab w:val="left" w:pos="90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3.投标人代表</w:t>
      </w:r>
    </w:p>
    <w:p w14:paraId="479218C4">
      <w:pPr>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指全权代表投标人参加投标活动并签署投标文件的人。如果投标人代表不是法定代表人，须持有《法定代表人授权书》。</w:t>
      </w:r>
    </w:p>
    <w:p w14:paraId="4197CCC2">
      <w:pPr>
        <w:tabs>
          <w:tab w:val="left" w:pos="540"/>
          <w:tab w:val="left" w:pos="90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4.投标费用</w:t>
      </w:r>
    </w:p>
    <w:p w14:paraId="79C75B2E">
      <w:pPr>
        <w:spacing w:line="44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投标人应承担所有与准备和参加投标有关费用，不论投标的结果如何，采购人和招标代理机构均无义务和责任承担这些费用。</w:t>
      </w:r>
    </w:p>
    <w:p w14:paraId="01501D75">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5.优化政府采购金融服务</w:t>
      </w:r>
    </w:p>
    <w:p w14:paraId="0074B108">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5AEE0F29">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2A58A99D">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6.特别说明：</w:t>
      </w:r>
    </w:p>
    <w:p w14:paraId="5457D997">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6.1投标人应仔细阅读采购文件的所有内容，按照采购文件的要求提交投标文件，并对所提供的全部资料的真实性承担法律责任。</w:t>
      </w:r>
    </w:p>
    <w:p w14:paraId="47CA76DE">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6.2</w:t>
      </w:r>
      <w:bookmarkStart w:id="22" w:name="_Hlk37697637"/>
      <w:r>
        <w:rPr>
          <w:rFonts w:hint="eastAsia" w:ascii="宋体" w:hAnsi="宋体" w:cs="宋体"/>
          <w:bCs/>
          <w:color w:val="auto"/>
          <w:spacing w:val="6"/>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A5C0214">
      <w:pPr>
        <w:spacing w:line="400" w:lineRule="exact"/>
        <w:ind w:firstLine="464" w:firstLineChars="200"/>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bookmarkEnd w:id="22"/>
    </w:p>
    <w:p w14:paraId="204F4C25">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8A53494">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324B6E5">
      <w:pPr>
        <w:spacing w:line="460" w:lineRule="exact"/>
        <w:rPr>
          <w:rFonts w:hint="eastAsia" w:ascii="宋体" w:hAnsi="宋体" w:cs="新宋体"/>
          <w:color w:val="auto"/>
          <w:sz w:val="22"/>
          <w:szCs w:val="22"/>
          <w:highlight w:val="none"/>
        </w:rPr>
      </w:pPr>
      <w:r>
        <w:rPr>
          <w:rFonts w:hint="eastAsia" w:ascii="宋体" w:hAnsi="宋体" w:cs="宋体"/>
          <w:bCs/>
          <w:color w:val="auto"/>
          <w:spacing w:val="6"/>
          <w:sz w:val="22"/>
          <w:szCs w:val="22"/>
          <w:highlight w:val="none"/>
        </w:rPr>
        <w:t>6.5</w:t>
      </w:r>
      <w:r>
        <w:rPr>
          <w:rFonts w:hint="eastAsia" w:ascii="宋体" w:hAnsi="宋体" w:cs="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4A18307C">
      <w:pPr>
        <w:pStyle w:val="3"/>
        <w:spacing w:line="500" w:lineRule="exact"/>
        <w:jc w:val="center"/>
        <w:rPr>
          <w:rFonts w:hint="eastAsia" w:ascii="宋体" w:hAnsi="宋体" w:eastAsia="宋体"/>
          <w:color w:val="auto"/>
          <w:sz w:val="24"/>
          <w:szCs w:val="24"/>
          <w:highlight w:val="none"/>
        </w:rPr>
      </w:pPr>
      <w:bookmarkStart w:id="23" w:name="_Toc221374624"/>
      <w:bookmarkStart w:id="24" w:name="_Toc221356949"/>
      <w:bookmarkStart w:id="25" w:name="_Toc34508131"/>
      <w:bookmarkStart w:id="26" w:name="_Toc34572030"/>
      <w:bookmarkStart w:id="27" w:name="_Toc222114877"/>
      <w:bookmarkStart w:id="28" w:name="_Toc221423617"/>
      <w:bookmarkStart w:id="29" w:name="_Toc221356884"/>
      <w:bookmarkStart w:id="30" w:name="_Toc239145352"/>
      <w:bookmarkStart w:id="31" w:name="_Toc265529381"/>
      <w:bookmarkStart w:id="32" w:name="_Toc223715996"/>
      <w:bookmarkStart w:id="33" w:name="_Toc241404200"/>
      <w:r>
        <w:rPr>
          <w:rFonts w:hint="eastAsia" w:ascii="宋体" w:hAnsi="宋体" w:eastAsia="宋体"/>
          <w:color w:val="auto"/>
          <w:sz w:val="24"/>
          <w:szCs w:val="24"/>
          <w:highlight w:val="none"/>
        </w:rPr>
        <w:t>二、 采购文件</w:t>
      </w:r>
      <w:bookmarkEnd w:id="23"/>
      <w:bookmarkEnd w:id="24"/>
      <w:bookmarkEnd w:id="25"/>
      <w:bookmarkEnd w:id="26"/>
      <w:bookmarkEnd w:id="27"/>
      <w:bookmarkEnd w:id="28"/>
      <w:bookmarkEnd w:id="29"/>
      <w:bookmarkEnd w:id="30"/>
      <w:bookmarkEnd w:id="31"/>
      <w:bookmarkEnd w:id="32"/>
      <w:bookmarkEnd w:id="33"/>
    </w:p>
    <w:p w14:paraId="109DA28C">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7.采购文件由采购文件目录所列内容及相关资料组成。</w:t>
      </w:r>
    </w:p>
    <w:p w14:paraId="152EFA54">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8.质疑</w:t>
      </w:r>
    </w:p>
    <w:p w14:paraId="3DD104DF">
      <w:pPr>
        <w:tabs>
          <w:tab w:val="left" w:pos="540"/>
        </w:tabs>
        <w:spacing w:line="460" w:lineRule="exact"/>
        <w:rPr>
          <w:rFonts w:hint="eastAsia" w:ascii="宋体" w:hAnsi="宋体" w:cs="宋体"/>
          <w:color w:val="auto"/>
          <w:spacing w:val="6"/>
          <w:sz w:val="22"/>
          <w:highlight w:val="none"/>
        </w:rPr>
      </w:pPr>
      <w:r>
        <w:rPr>
          <w:rFonts w:hint="eastAsia" w:ascii="宋体" w:hAnsi="宋体" w:cs="新宋体"/>
          <w:color w:val="auto"/>
          <w:sz w:val="22"/>
          <w:szCs w:val="22"/>
          <w:highlight w:val="none"/>
        </w:rPr>
        <w:t>8.1</w:t>
      </w:r>
      <w:r>
        <w:rPr>
          <w:rFonts w:hint="eastAsia" w:ascii="宋体" w:hAnsi="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7D8AE07B">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15819AD3">
      <w:pPr>
        <w:tabs>
          <w:tab w:val="left" w:pos="540"/>
        </w:tabs>
        <w:spacing w:line="460" w:lineRule="exact"/>
        <w:rPr>
          <w:rFonts w:hint="eastAsia" w:ascii="宋体" w:hAnsi="宋体" w:cs="宋体"/>
          <w:bCs/>
          <w:color w:val="auto"/>
          <w:spacing w:val="6"/>
          <w:sz w:val="22"/>
          <w:highlight w:val="none"/>
        </w:rPr>
      </w:pPr>
      <w:r>
        <w:rPr>
          <w:rFonts w:hint="eastAsia" w:ascii="宋体" w:hAnsi="宋体" w:cs="宋体"/>
          <w:color w:val="auto"/>
          <w:spacing w:val="6"/>
          <w:sz w:val="22"/>
          <w:highlight w:val="none"/>
        </w:rPr>
        <w:t>8.3提出质疑的投标人应当是参与本项目招标活动的投标人。</w:t>
      </w:r>
      <w:r>
        <w:rPr>
          <w:rFonts w:hint="eastAsia" w:ascii="宋体" w:hAnsi="宋体" w:cs="宋体"/>
          <w:bCs/>
          <w:color w:val="auto"/>
          <w:spacing w:val="6"/>
          <w:sz w:val="22"/>
          <w:highlight w:val="none"/>
        </w:rPr>
        <w:t>投标人在法定质疑期内一次性提出针对同一采购程序环节的质疑。</w:t>
      </w:r>
    </w:p>
    <w:p w14:paraId="731371F4">
      <w:pPr>
        <w:tabs>
          <w:tab w:val="left" w:pos="540"/>
        </w:tabs>
        <w:spacing w:line="460" w:lineRule="exact"/>
        <w:rPr>
          <w:rFonts w:hint="eastAsia" w:ascii="宋体" w:hAnsi="宋体" w:cs="宋体"/>
          <w:color w:val="auto"/>
          <w:spacing w:val="6"/>
          <w:sz w:val="22"/>
          <w:highlight w:val="none"/>
        </w:rPr>
      </w:pPr>
      <w:r>
        <w:rPr>
          <w:rFonts w:hint="eastAsia" w:ascii="宋体" w:hAnsi="宋体" w:cs="宋体"/>
          <w:bCs/>
          <w:color w:val="auto"/>
          <w:spacing w:val="6"/>
          <w:sz w:val="22"/>
          <w:highlight w:val="none"/>
        </w:rPr>
        <w:t>8.4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1416A263">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9.投诉</w:t>
      </w:r>
    </w:p>
    <w:p w14:paraId="64C957D9">
      <w:pPr>
        <w:tabs>
          <w:tab w:val="left" w:pos="540"/>
        </w:tabs>
        <w:spacing w:line="460" w:lineRule="exact"/>
        <w:rPr>
          <w:rFonts w:hint="eastAsia" w:ascii="宋体" w:hAnsi="宋体" w:cs="新宋体"/>
          <w:color w:val="auto"/>
          <w:sz w:val="22"/>
          <w:szCs w:val="22"/>
          <w:highlight w:val="none"/>
        </w:rPr>
      </w:pPr>
      <w:r>
        <w:rPr>
          <w:rFonts w:hint="eastAsia" w:ascii="宋体" w:hAnsi="宋体" w:cs="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20F581A">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10.采购文件的澄清或修改</w:t>
      </w:r>
    </w:p>
    <w:p w14:paraId="60D6EC8E">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2045DB60">
      <w:pPr>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10.2澄清或者修改的内容可能影响投标文件编制的，采购人或者采购代理机构应当在投标截止时间至少15日前，以书面形式（在浙江政府采购网上发布公告）通知所有获取采购文件的潜在投标人；不足15日的，采购人或者采购代理机构应当顺延提交投标文件的截止时间（不改变实质性内容的除外）。</w:t>
      </w:r>
    </w:p>
    <w:p w14:paraId="4A65A1EE">
      <w:pPr>
        <w:tabs>
          <w:tab w:val="left" w:pos="540"/>
        </w:tabs>
        <w:spacing w:line="460" w:lineRule="exact"/>
        <w:rPr>
          <w:rFonts w:hint="eastAsia" w:ascii="宋体" w:hAnsi="宋体" w:cs="新宋体"/>
          <w:color w:val="auto"/>
          <w:sz w:val="22"/>
          <w:szCs w:val="22"/>
          <w:highlight w:val="none"/>
        </w:rPr>
      </w:pPr>
      <w:r>
        <w:rPr>
          <w:rFonts w:hint="eastAsia" w:ascii="宋体" w:hAnsi="宋体" w:cs="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2DACB2D4">
      <w:pPr>
        <w:pStyle w:val="3"/>
        <w:spacing w:line="500" w:lineRule="exact"/>
        <w:jc w:val="center"/>
        <w:rPr>
          <w:rFonts w:hint="eastAsia" w:ascii="宋体" w:hAnsi="宋体" w:eastAsia="宋体"/>
          <w:color w:val="auto"/>
          <w:sz w:val="24"/>
          <w:szCs w:val="24"/>
          <w:highlight w:val="none"/>
        </w:rPr>
      </w:pPr>
      <w:bookmarkStart w:id="34" w:name="_Toc221374625"/>
      <w:bookmarkStart w:id="35" w:name="_Toc265529382"/>
      <w:bookmarkStart w:id="36" w:name="_Toc221356950"/>
      <w:bookmarkStart w:id="37" w:name="_Toc34508132"/>
      <w:bookmarkStart w:id="38" w:name="_Toc223715997"/>
      <w:bookmarkStart w:id="39" w:name="_Toc241404201"/>
      <w:bookmarkStart w:id="40" w:name="_Toc221356885"/>
      <w:bookmarkStart w:id="41" w:name="_Toc221423618"/>
      <w:bookmarkStart w:id="42" w:name="_Toc239145353"/>
      <w:bookmarkStart w:id="43" w:name="_Toc222114878"/>
      <w:bookmarkStart w:id="44" w:name="_Toc34572031"/>
      <w:r>
        <w:rPr>
          <w:rFonts w:hint="eastAsia" w:ascii="宋体" w:hAnsi="宋体" w:eastAsia="宋体"/>
          <w:color w:val="auto"/>
          <w:sz w:val="24"/>
          <w:szCs w:val="24"/>
          <w:highlight w:val="none"/>
        </w:rPr>
        <w:t>三、 投标文件的编制</w:t>
      </w:r>
      <w:bookmarkEnd w:id="34"/>
      <w:bookmarkEnd w:id="35"/>
      <w:bookmarkEnd w:id="36"/>
      <w:bookmarkEnd w:id="37"/>
      <w:bookmarkEnd w:id="38"/>
      <w:bookmarkEnd w:id="39"/>
      <w:bookmarkEnd w:id="40"/>
      <w:bookmarkEnd w:id="41"/>
      <w:bookmarkEnd w:id="42"/>
      <w:bookmarkEnd w:id="43"/>
      <w:bookmarkEnd w:id="44"/>
    </w:p>
    <w:p w14:paraId="006F83DA">
      <w:pPr>
        <w:spacing w:line="440" w:lineRule="exact"/>
        <w:rPr>
          <w:rFonts w:hint="eastAsia" w:ascii="宋体" w:hAnsi="宋体" w:cs="新宋体"/>
          <w:snapToGrid w:val="0"/>
          <w:color w:val="auto"/>
          <w:sz w:val="22"/>
          <w:szCs w:val="22"/>
          <w:highlight w:val="none"/>
        </w:rPr>
      </w:pPr>
      <w:bookmarkStart w:id="45" w:name="_Toc221356886"/>
      <w:r>
        <w:rPr>
          <w:rFonts w:hint="eastAsia" w:ascii="宋体" w:hAnsi="宋体" w:cs="新宋体"/>
          <w:snapToGrid w:val="0"/>
          <w:color w:val="auto"/>
          <w:sz w:val="22"/>
          <w:szCs w:val="22"/>
          <w:highlight w:val="none"/>
        </w:rPr>
        <w:t>11. 投标文件的形式和效力</w:t>
      </w:r>
    </w:p>
    <w:p w14:paraId="0ECEC909">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11.1投标文件分为 “电子加密投标文件”和“备份投标文件”两类，在投标文件编制完成后同时生成。</w:t>
      </w:r>
    </w:p>
    <w:p w14:paraId="7E6D9533">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11.2“电子加密投标文件”是指通过“政采云电子交易客户端”完成投标文件编制后生成并加密的数据电文形式的投标文件。</w:t>
      </w:r>
    </w:p>
    <w:p w14:paraId="61BF53DA">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656C5D98">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62E8D176">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12. 投标文件的构成</w:t>
      </w:r>
    </w:p>
    <w:p w14:paraId="31B04123">
      <w:pPr>
        <w:tabs>
          <w:tab w:val="left" w:pos="360"/>
        </w:tabs>
        <w:spacing w:line="460" w:lineRule="exact"/>
        <w:rPr>
          <w:rFonts w:hint="eastAsia" w:ascii="宋体" w:hAnsi="宋体" w:cs="新宋体"/>
          <w:b/>
          <w:color w:val="auto"/>
          <w:sz w:val="22"/>
          <w:szCs w:val="22"/>
          <w:highlight w:val="none"/>
        </w:rPr>
      </w:pPr>
      <w:r>
        <w:rPr>
          <w:rFonts w:hint="eastAsia" w:ascii="宋体" w:hAnsi="宋体" w:cs="新宋体"/>
          <w:b/>
          <w:bCs/>
          <w:color w:val="auto"/>
          <w:sz w:val="22"/>
          <w:szCs w:val="22"/>
          <w:highlight w:val="none"/>
        </w:rPr>
        <w:t>12.1 投标文件包括资格审查资料、技术资信文件、报价文件三部分。</w:t>
      </w:r>
    </w:p>
    <w:p w14:paraId="3F1139C4">
      <w:pPr>
        <w:spacing w:line="430" w:lineRule="exact"/>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12.2 投标文件资格审查资料须包括下列部分：</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2D4A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14:paraId="6A0E15A5">
            <w:pPr>
              <w:overflowPunct w:val="0"/>
              <w:spacing w:line="430" w:lineRule="exact"/>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9115" w:type="dxa"/>
            <w:noWrap w:val="0"/>
            <w:vAlign w:val="center"/>
          </w:tcPr>
          <w:p w14:paraId="43BD943F">
            <w:pPr>
              <w:overflowPunct w:val="0"/>
              <w:spacing w:line="430" w:lineRule="exact"/>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内 容（以下内容投标供应商必须提供，否则不能通过资格审查的，责任自负。）</w:t>
            </w:r>
          </w:p>
        </w:tc>
      </w:tr>
      <w:tr w14:paraId="1974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8AD300B">
            <w:pPr>
              <w:overflowPunct w:val="0"/>
              <w:spacing w:line="430" w:lineRule="exact"/>
              <w:jc w:val="center"/>
              <w:rPr>
                <w:rFonts w:hint="eastAsia" w:ascii="宋体" w:hAnsi="宋体" w:cs="新宋体"/>
                <w:bCs/>
                <w:color w:val="auto"/>
                <w:sz w:val="22"/>
                <w:szCs w:val="22"/>
                <w:highlight w:val="none"/>
              </w:rPr>
            </w:pPr>
            <w:bookmarkStart w:id="46" w:name="_Hlk16667472"/>
            <w:r>
              <w:rPr>
                <w:rFonts w:hint="eastAsia" w:ascii="宋体" w:hAnsi="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43AA22F4">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法定代表人（单位负责人）授权书和被授权人有效身份证明。</w:t>
            </w:r>
          </w:p>
        </w:tc>
      </w:tr>
      <w:tr w14:paraId="25A4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6870F8A">
            <w:pPr>
              <w:overflowPunct w:val="0"/>
              <w:spacing w:line="430" w:lineRule="exact"/>
              <w:jc w:val="center"/>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5917BDED">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营业执照(或事业法人登记证书或其它工商等登记证明材料)。</w:t>
            </w:r>
          </w:p>
        </w:tc>
      </w:tr>
      <w:tr w14:paraId="76CA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575B0532">
            <w:pPr>
              <w:overflowPunct w:val="0"/>
              <w:spacing w:line="430" w:lineRule="exact"/>
              <w:jc w:val="center"/>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0BA4217F">
            <w:pPr>
              <w:rPr>
                <w:rFonts w:hint="eastAsia" w:ascii="宋体" w:hAnsi="宋体"/>
                <w:bCs/>
                <w:color w:val="auto"/>
                <w:kern w:val="0"/>
                <w:sz w:val="22"/>
                <w:szCs w:val="22"/>
                <w:highlight w:val="none"/>
              </w:rPr>
            </w:pPr>
            <w:r>
              <w:rPr>
                <w:rFonts w:hint="eastAsia" w:ascii="宋体" w:hAnsi="宋体" w:cs="宋体"/>
                <w:color w:val="auto"/>
                <w:sz w:val="22"/>
                <w:szCs w:val="22"/>
                <w:highlight w:val="none"/>
              </w:rPr>
              <w:t>符合参加政府采购活动应当具备的一般条件的承诺函</w:t>
            </w:r>
          </w:p>
        </w:tc>
      </w:tr>
      <w:tr w14:paraId="38BC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036C0865">
            <w:pPr>
              <w:overflowPunct w:val="0"/>
              <w:spacing w:line="430" w:lineRule="exact"/>
              <w:jc w:val="center"/>
              <w:rPr>
                <w:rFonts w:hint="default"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76DA951E">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特殊资格条件：资质证书、有效安全生产许可证（或有效的安全生产许可证电子证书打印件）及A类人员证书</w:t>
            </w:r>
          </w:p>
        </w:tc>
      </w:tr>
      <w:tr w14:paraId="74C3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52057">
            <w:pPr>
              <w:overflowPunct w:val="0"/>
              <w:spacing w:line="430" w:lineRule="exact"/>
              <w:jc w:val="center"/>
              <w:rPr>
                <w:rFonts w:hint="eastAsia" w:ascii="宋体" w:hAnsi="宋体" w:eastAsia="宋体" w:cs="新宋体"/>
                <w:bCs/>
                <w:color w:val="auto"/>
                <w:kern w:val="2"/>
                <w:sz w:val="22"/>
                <w:szCs w:val="22"/>
                <w:highlight w:val="none"/>
                <w:lang w:val="en-US" w:eastAsia="zh-CN" w:bidi="ar-SA"/>
              </w:rPr>
            </w:pPr>
            <w:r>
              <w:rPr>
                <w:rFonts w:hint="eastAsia" w:ascii="宋体" w:hAnsi="宋体" w:cs="新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ABC86D">
            <w:pPr>
              <w:rPr>
                <w:rFonts w:hint="eastAsia"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有效的分管安全生产副经理的任职文件、无行贿犯罪档案记录查询打印件</w:t>
            </w:r>
          </w:p>
        </w:tc>
      </w:tr>
      <w:tr w14:paraId="33C5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735DE">
            <w:pPr>
              <w:overflowPunct w:val="0"/>
              <w:spacing w:line="430" w:lineRule="exact"/>
              <w:jc w:val="center"/>
              <w:rPr>
                <w:rFonts w:hint="default"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977D4">
            <w:pPr>
              <w:rPr>
                <w:rFonts w:hint="eastAsia" w:ascii="宋体" w:hAnsi="宋体" w:eastAsia="宋体" w:cs="宋体"/>
                <w:bCs/>
                <w:color w:val="auto"/>
                <w:sz w:val="22"/>
                <w:highlight w:val="none"/>
              </w:rPr>
            </w:pPr>
            <w:bookmarkStart w:id="433" w:name="_GoBack"/>
            <w:r>
              <w:rPr>
                <w:rFonts w:hint="eastAsia" w:ascii="宋体" w:hAnsi="宋体" w:eastAsia="宋体" w:cs="宋体"/>
                <w:bCs/>
                <w:color w:val="auto"/>
                <w:sz w:val="22"/>
                <w:highlight w:val="none"/>
              </w:rPr>
              <w:t>中小企业声明函（或残疾人福利性单位声明函或监狱企业声明函）</w:t>
            </w:r>
            <w:bookmarkEnd w:id="433"/>
          </w:p>
        </w:tc>
      </w:tr>
      <w:bookmarkEnd w:id="46"/>
    </w:tbl>
    <w:p w14:paraId="599A74B0">
      <w:pPr>
        <w:spacing w:line="430" w:lineRule="exact"/>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备注：</w:t>
      </w:r>
    </w:p>
    <w:p w14:paraId="248A151C">
      <w:pPr>
        <w:numPr>
          <w:ilvl w:val="0"/>
          <w:numId w:val="4"/>
        </w:numPr>
        <w:spacing w:line="430" w:lineRule="exact"/>
        <w:rPr>
          <w:rFonts w:hint="eastAsia" w:ascii="宋体" w:hAnsi="宋体" w:cs="新宋体"/>
          <w:color w:val="auto"/>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C6BCA87">
      <w:pPr>
        <w:numPr>
          <w:ilvl w:val="0"/>
          <w:numId w:val="4"/>
        </w:numPr>
        <w:spacing w:line="430" w:lineRule="exact"/>
        <w:rPr>
          <w:rFonts w:hint="eastAsia" w:ascii="宋体" w:hAnsi="宋体" w:cs="新宋体"/>
          <w:color w:val="auto"/>
          <w:sz w:val="22"/>
          <w:szCs w:val="22"/>
          <w:highlight w:val="none"/>
        </w:rPr>
      </w:pPr>
      <w:r>
        <w:rPr>
          <w:rFonts w:hint="eastAsia" w:ascii="宋体" w:hAnsi="宋体" w:cs="新宋体"/>
          <w:b/>
          <w:bCs/>
          <w:color w:val="auto"/>
          <w:szCs w:val="21"/>
          <w:highlight w:val="none"/>
          <w:u w:val="single"/>
        </w:rPr>
        <w:t>▲</w:t>
      </w:r>
      <w:r>
        <w:rPr>
          <w:rFonts w:hint="eastAsia" w:ascii="宋体" w:hAnsi="宋体" w:cs="新宋体"/>
          <w:b/>
          <w:color w:val="auto"/>
          <w:sz w:val="22"/>
          <w:szCs w:val="22"/>
          <w:highlight w:val="none"/>
          <w:u w:val="single"/>
        </w:rPr>
        <w:t>以上所需的各种证书、证件、证明等若系复印件、扫描件，须加盖投标人有效的公章（电子签章）。</w:t>
      </w:r>
    </w:p>
    <w:p w14:paraId="68F8F0AA">
      <w:pPr>
        <w:numPr>
          <w:ilvl w:val="0"/>
          <w:numId w:val="4"/>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相关证书、报告等如遇年检或换证等特殊情况须按要求提供相应的证明材料。</w:t>
      </w:r>
    </w:p>
    <w:p w14:paraId="68FF062D">
      <w:pPr>
        <w:tabs>
          <w:tab w:val="left" w:pos="360"/>
        </w:tabs>
        <w:spacing w:line="460" w:lineRule="exact"/>
        <w:rPr>
          <w:rFonts w:hint="eastAsia" w:ascii="宋体" w:hAnsi="宋体" w:cs="新宋体"/>
          <w:b/>
          <w:color w:val="auto"/>
          <w:sz w:val="22"/>
          <w:szCs w:val="22"/>
          <w:highlight w:val="none"/>
        </w:rPr>
      </w:pPr>
      <w:r>
        <w:rPr>
          <w:rFonts w:hint="eastAsia" w:ascii="宋体" w:hAnsi="宋体" w:cs="新宋体"/>
          <w:b/>
          <w:bCs/>
          <w:color w:val="auto"/>
          <w:sz w:val="22"/>
          <w:szCs w:val="22"/>
          <w:highlight w:val="none"/>
        </w:rPr>
        <w:t>12.3 投标文件技术资信文件应包括下列部分：</w:t>
      </w:r>
      <w:r>
        <w:rPr>
          <w:rFonts w:hint="eastAsia" w:ascii="宋体" w:hAnsi="宋体" w:cs="新宋体"/>
          <w:b/>
          <w:color w:val="auto"/>
          <w:sz w:val="22"/>
          <w:szCs w:val="22"/>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846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C7FD07D">
            <w:pPr>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9109" w:type="dxa"/>
            <w:noWrap w:val="0"/>
            <w:vAlign w:val="center"/>
          </w:tcPr>
          <w:p w14:paraId="77CC9F5D">
            <w:pPr>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内容</w:t>
            </w:r>
          </w:p>
        </w:tc>
      </w:tr>
      <w:tr w14:paraId="0592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338C069C">
            <w:pPr>
              <w:jc w:val="center"/>
              <w:rPr>
                <w:rFonts w:hint="eastAsia" w:ascii="宋体" w:hAnsi="宋体" w:cs="新宋体"/>
                <w:b/>
                <w:color w:val="auto"/>
                <w:sz w:val="22"/>
                <w:szCs w:val="22"/>
                <w:highlight w:val="none"/>
              </w:rPr>
            </w:pPr>
            <w:r>
              <w:rPr>
                <w:rFonts w:hint="eastAsia" w:ascii="宋体" w:hAnsi="宋体" w:cs="新宋体"/>
                <w:color w:val="auto"/>
                <w:sz w:val="22"/>
                <w:szCs w:val="22"/>
                <w:highlight w:val="none"/>
              </w:rPr>
              <w:t>1</w:t>
            </w:r>
          </w:p>
        </w:tc>
        <w:tc>
          <w:tcPr>
            <w:tcW w:w="9109" w:type="dxa"/>
            <w:noWrap w:val="0"/>
            <w:vAlign w:val="center"/>
          </w:tcPr>
          <w:p w14:paraId="43E3E8E2">
            <w:pPr>
              <w:jc w:val="left"/>
              <w:rPr>
                <w:rFonts w:hint="eastAsia" w:ascii="宋体" w:hAnsi="宋体" w:cs="新宋体"/>
                <w:b/>
                <w:color w:val="auto"/>
                <w:sz w:val="22"/>
                <w:szCs w:val="22"/>
                <w:highlight w:val="none"/>
              </w:rPr>
            </w:pPr>
            <w:r>
              <w:rPr>
                <w:rFonts w:hint="eastAsia" w:ascii="宋体" w:hAnsi="宋体" w:cs="新宋体"/>
                <w:bCs/>
                <w:color w:val="auto"/>
                <w:sz w:val="22"/>
                <w:szCs w:val="22"/>
                <w:highlight w:val="none"/>
              </w:rPr>
              <w:t>针对评分细则，编制目录索引，注明评标细则项目所在投标文件页码，格式自拟</w:t>
            </w:r>
          </w:p>
        </w:tc>
      </w:tr>
      <w:tr w14:paraId="792D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2507A260">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2</w:t>
            </w:r>
          </w:p>
        </w:tc>
        <w:tc>
          <w:tcPr>
            <w:tcW w:w="9109" w:type="dxa"/>
            <w:noWrap w:val="0"/>
            <w:vAlign w:val="center"/>
          </w:tcPr>
          <w:p w14:paraId="6A821D03">
            <w:pPr>
              <w:rPr>
                <w:rFonts w:hint="eastAsia" w:ascii="宋体" w:hAnsi="宋体" w:cs="新宋体"/>
                <w:b/>
                <w:color w:val="auto"/>
                <w:sz w:val="22"/>
                <w:szCs w:val="22"/>
                <w:highlight w:val="none"/>
              </w:rPr>
            </w:pPr>
            <w:r>
              <w:rPr>
                <w:rFonts w:hint="eastAsia" w:ascii="宋体" w:hAnsi="宋体" w:cs="新宋体"/>
                <w:color w:val="auto"/>
                <w:sz w:val="22"/>
                <w:szCs w:val="22"/>
                <w:highlight w:val="none"/>
              </w:rPr>
              <w:t>投标函</w:t>
            </w:r>
          </w:p>
        </w:tc>
      </w:tr>
      <w:tr w14:paraId="566C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9BCC4B8">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3</w:t>
            </w:r>
          </w:p>
        </w:tc>
        <w:tc>
          <w:tcPr>
            <w:tcW w:w="9109" w:type="dxa"/>
            <w:noWrap w:val="0"/>
            <w:vAlign w:val="center"/>
          </w:tcPr>
          <w:p w14:paraId="29076F96">
            <w:pPr>
              <w:rPr>
                <w:rFonts w:hint="eastAsia" w:ascii="宋体" w:hAnsi="宋体" w:cs="新宋体"/>
                <w:color w:val="auto"/>
                <w:sz w:val="22"/>
                <w:szCs w:val="22"/>
                <w:highlight w:val="none"/>
              </w:rPr>
            </w:pPr>
            <w:r>
              <w:rPr>
                <w:rFonts w:hint="eastAsia" w:ascii="宋体" w:hAnsi="宋体" w:cs="新宋体"/>
                <w:color w:val="auto"/>
                <w:sz w:val="22"/>
                <w:szCs w:val="22"/>
                <w:highlight w:val="none"/>
              </w:rPr>
              <w:t>技术要求应答表、商务条款偏离表</w:t>
            </w:r>
          </w:p>
        </w:tc>
      </w:tr>
      <w:tr w14:paraId="4588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466ADB4">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4</w:t>
            </w:r>
          </w:p>
        </w:tc>
        <w:tc>
          <w:tcPr>
            <w:tcW w:w="9109" w:type="dxa"/>
            <w:noWrap w:val="0"/>
            <w:vAlign w:val="center"/>
          </w:tcPr>
          <w:p w14:paraId="51935310">
            <w:pPr>
              <w:rPr>
                <w:rFonts w:hint="eastAsia" w:ascii="宋体" w:hAnsi="宋体" w:cs="新宋体"/>
                <w:b/>
                <w:color w:val="auto"/>
                <w:sz w:val="22"/>
                <w:szCs w:val="22"/>
                <w:highlight w:val="none"/>
                <w:u w:val="single"/>
              </w:rPr>
            </w:pPr>
            <w:r>
              <w:rPr>
                <w:rFonts w:hint="eastAsia" w:ascii="宋体" w:hAnsi="宋体" w:cs="新宋体"/>
                <w:b/>
                <w:bCs/>
                <w:color w:val="auto"/>
                <w:sz w:val="22"/>
                <w:szCs w:val="22"/>
                <w:highlight w:val="none"/>
              </w:rPr>
              <w:t>投标技术方案（按“评标细则”相关评分内容逐项编制，格式自拟）</w:t>
            </w:r>
          </w:p>
        </w:tc>
      </w:tr>
      <w:tr w14:paraId="1227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321312BC">
            <w:pPr>
              <w:jc w:val="center"/>
              <w:rPr>
                <w:rFonts w:hint="eastAsia" w:ascii="宋体" w:hAnsi="宋体" w:cs="新宋体"/>
                <w:color w:val="auto"/>
                <w:sz w:val="22"/>
                <w:szCs w:val="22"/>
                <w:highlight w:val="none"/>
              </w:rPr>
            </w:pPr>
            <w:r>
              <w:rPr>
                <w:rFonts w:ascii="宋体" w:hAnsi="宋体" w:cs="新宋体"/>
                <w:color w:val="auto"/>
                <w:sz w:val="22"/>
                <w:szCs w:val="22"/>
                <w:highlight w:val="none"/>
              </w:rPr>
              <w:t>5</w:t>
            </w:r>
          </w:p>
        </w:tc>
        <w:tc>
          <w:tcPr>
            <w:tcW w:w="9109" w:type="dxa"/>
            <w:noWrap w:val="0"/>
            <w:vAlign w:val="center"/>
          </w:tcPr>
          <w:p w14:paraId="5C38C609">
            <w:pP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资信证明文件（本部分为</w:t>
            </w:r>
            <w:r>
              <w:rPr>
                <w:rFonts w:hint="eastAsia" w:ascii="宋体" w:hAnsi="宋体" w:cs="新宋体"/>
                <w:b/>
                <w:bCs/>
                <w:color w:val="auto"/>
                <w:sz w:val="22"/>
                <w:szCs w:val="22"/>
                <w:highlight w:val="none"/>
              </w:rPr>
              <w:t>技术资信文件</w:t>
            </w:r>
            <w:r>
              <w:rPr>
                <w:rFonts w:hint="eastAsia" w:ascii="宋体" w:hAnsi="宋体" w:cs="新宋体"/>
                <w:b/>
                <w:color w:val="auto"/>
                <w:sz w:val="22"/>
                <w:szCs w:val="22"/>
                <w:highlight w:val="none"/>
              </w:rPr>
              <w:t>评分内容，各供应商参照评分标准根据自身情况提供）</w:t>
            </w:r>
          </w:p>
        </w:tc>
      </w:tr>
    </w:tbl>
    <w:p w14:paraId="783D8288">
      <w:pPr>
        <w:spacing w:line="43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备注：</w:t>
      </w:r>
    </w:p>
    <w:p w14:paraId="6FA8C14F">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投标人可根据采购文件中的采购内容及需求和技术资信文件评分细则，提供投标人认为需要提供的文件和资料。</w:t>
      </w:r>
    </w:p>
    <w:p w14:paraId="6CEEB745">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E1BFBD9">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以上所需的各种证书、证件、证明等若系复印件、扫描件，须加盖投标人有效的公章。</w:t>
      </w:r>
    </w:p>
    <w:p w14:paraId="22BC9801">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相关证书、报告等如遇年检或换证等特殊情况须按要求提供相应的证明材料。</w:t>
      </w:r>
    </w:p>
    <w:p w14:paraId="47E42BB0">
      <w:pPr>
        <w:tabs>
          <w:tab w:val="left" w:pos="360"/>
        </w:tabs>
        <w:spacing w:line="460" w:lineRule="exact"/>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 xml:space="preserve">12.4 投标文件商务报价标应包括下列部分： </w:t>
      </w:r>
    </w:p>
    <w:tbl>
      <w:tblPr>
        <w:tblStyle w:val="21"/>
        <w:tblW w:w="9854" w:type="dxa"/>
        <w:tblInd w:w="0" w:type="dxa"/>
        <w:tblLayout w:type="fixed"/>
        <w:tblCellMar>
          <w:top w:w="0" w:type="dxa"/>
          <w:left w:w="108" w:type="dxa"/>
          <w:bottom w:w="0" w:type="dxa"/>
          <w:right w:w="108" w:type="dxa"/>
        </w:tblCellMar>
      </w:tblPr>
      <w:tblGrid>
        <w:gridCol w:w="966"/>
        <w:gridCol w:w="8888"/>
      </w:tblGrid>
      <w:tr w14:paraId="7392E3A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1C3BAC">
            <w:pPr>
              <w:autoSpaceDE w:val="0"/>
              <w:autoSpaceDN w:val="0"/>
              <w:adjustRightInd w:val="0"/>
              <w:spacing w:line="430" w:lineRule="atLeast"/>
              <w:jc w:val="center"/>
              <w:rPr>
                <w:rFonts w:hint="eastAsia" w:ascii="宋体" w:hAnsi="宋体" w:cs="新宋体"/>
                <w:b/>
                <w:bCs/>
                <w:color w:val="auto"/>
                <w:kern w:val="0"/>
                <w:sz w:val="22"/>
                <w:szCs w:val="22"/>
                <w:highlight w:val="none"/>
                <w:lang w:val="zh-CN"/>
              </w:rPr>
            </w:pPr>
            <w:r>
              <w:rPr>
                <w:rFonts w:hint="eastAsia" w:ascii="宋体" w:hAnsi="宋体" w:cs="新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A865F8">
            <w:pPr>
              <w:autoSpaceDE w:val="0"/>
              <w:autoSpaceDN w:val="0"/>
              <w:adjustRightInd w:val="0"/>
              <w:spacing w:line="430" w:lineRule="atLeast"/>
              <w:jc w:val="center"/>
              <w:rPr>
                <w:rFonts w:hint="eastAsia" w:ascii="宋体" w:hAnsi="宋体" w:cs="新宋体"/>
                <w:b/>
                <w:bCs/>
                <w:color w:val="auto"/>
                <w:kern w:val="0"/>
                <w:sz w:val="22"/>
                <w:szCs w:val="22"/>
                <w:highlight w:val="none"/>
                <w:lang w:val="zh-CN"/>
              </w:rPr>
            </w:pPr>
            <w:r>
              <w:rPr>
                <w:rFonts w:hint="eastAsia" w:ascii="宋体" w:hAnsi="宋体" w:cs="新宋体"/>
                <w:b/>
                <w:bCs/>
                <w:color w:val="auto"/>
                <w:kern w:val="0"/>
                <w:sz w:val="22"/>
                <w:szCs w:val="22"/>
                <w:highlight w:val="none"/>
                <w:lang w:val="zh-CN"/>
              </w:rPr>
              <w:t>内容</w:t>
            </w:r>
          </w:p>
        </w:tc>
      </w:tr>
      <w:tr w14:paraId="0769CA0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7E1C0E">
            <w:pPr>
              <w:autoSpaceDE w:val="0"/>
              <w:autoSpaceDN w:val="0"/>
              <w:adjustRightInd w:val="0"/>
              <w:spacing w:line="430" w:lineRule="atLeast"/>
              <w:jc w:val="center"/>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D5997D">
            <w:pPr>
              <w:autoSpaceDE w:val="0"/>
              <w:autoSpaceDN w:val="0"/>
              <w:adjustRightInd w:val="0"/>
              <w:spacing w:line="43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开标一览表</w:t>
            </w:r>
          </w:p>
        </w:tc>
      </w:tr>
      <w:tr w14:paraId="53E42CA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47A04A">
            <w:pPr>
              <w:autoSpaceDE w:val="0"/>
              <w:autoSpaceDN w:val="0"/>
              <w:adjustRightInd w:val="0"/>
              <w:spacing w:line="430" w:lineRule="atLeast"/>
              <w:jc w:val="center"/>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BF8439">
            <w:pPr>
              <w:autoSpaceDE w:val="0"/>
              <w:autoSpaceDN w:val="0"/>
              <w:adjustRightInd w:val="0"/>
              <w:spacing w:line="43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投标分项报价表</w:t>
            </w:r>
          </w:p>
        </w:tc>
      </w:tr>
      <w:tr w14:paraId="389B0A2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78A0F11">
            <w:pPr>
              <w:autoSpaceDE w:val="0"/>
              <w:autoSpaceDN w:val="0"/>
              <w:adjustRightInd w:val="0"/>
              <w:spacing w:line="430" w:lineRule="atLeast"/>
              <w:jc w:val="center"/>
              <w:rPr>
                <w:rFonts w:hint="eastAsia" w:ascii="宋体" w:hAnsi="宋体" w:eastAsia="宋体" w:cs="新宋体"/>
                <w:color w:val="auto"/>
                <w:kern w:val="0"/>
                <w:sz w:val="22"/>
                <w:szCs w:val="22"/>
                <w:highlight w:val="none"/>
                <w:lang w:eastAsia="zh-CN"/>
              </w:rPr>
            </w:pPr>
            <w:r>
              <w:rPr>
                <w:rFonts w:hint="eastAsia" w:ascii="宋体" w:hAnsi="宋体" w:cs="新宋体"/>
                <w:color w:val="auto"/>
                <w:kern w:val="0"/>
                <w:sz w:val="22"/>
                <w:szCs w:val="22"/>
                <w:highlight w:val="none"/>
                <w:lang w:val="en-US" w:eastAsia="zh-CN"/>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3AA0F31">
            <w:pPr>
              <w:autoSpaceDE w:val="0"/>
              <w:autoSpaceDN w:val="0"/>
              <w:adjustRightInd w:val="0"/>
              <w:spacing w:line="43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投标人认为的其他资料</w:t>
            </w:r>
          </w:p>
        </w:tc>
      </w:tr>
      <w:bookmarkEnd w:id="45"/>
    </w:tbl>
    <w:p w14:paraId="48920CFF">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13.投标文件编制</w:t>
      </w:r>
    </w:p>
    <w:p w14:paraId="68D0F391">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4FFAE9D3">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13.2投标人应当按照本章节 “投标文件组成”规定的内容及顺序在“政采云电子交易客户端”编制投标文件。其中“资格审查资料”和“技术资信文件”中不得出现本项目投标报价，如因投标人原因提前泄露投标报价，是投标人的责任。</w:t>
      </w:r>
    </w:p>
    <w:p w14:paraId="3C0B615D">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6B0E34AF">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13.4投标文件内容不完整、编排混乱导致投标文件被误读、漏读或者查找不到相关内容的，是投标人的责任。</w:t>
      </w:r>
    </w:p>
    <w:p w14:paraId="4D152E84">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13.5投标文件因字迹潦草或表达不清所引起的后果由投标人负责。</w:t>
      </w:r>
    </w:p>
    <w:p w14:paraId="12978FB8">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75C4EE9C">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14.投标文件的签章</w:t>
      </w:r>
    </w:p>
    <w:p w14:paraId="4C18D627">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14.1投标文件的签章要求：投标人须知前附表第17款；</w:t>
      </w:r>
    </w:p>
    <w:p w14:paraId="1A991D5A">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14.2投标文件应由投标人法定代表人或其授权代表签章（电子签章），并同时加盖投标人公章（电子签章）。</w:t>
      </w:r>
      <w:r>
        <w:rPr>
          <w:rFonts w:hint="eastAsia" w:ascii="宋体" w:hAnsi="宋体" w:cs="新宋体"/>
          <w:color w:val="auto"/>
          <w:kern w:val="0"/>
          <w:sz w:val="22"/>
          <w:szCs w:val="22"/>
          <w:highlight w:val="none"/>
          <w:lang w:val="zh-CN"/>
        </w:rPr>
        <w:t>（或先制作word版打印，相应位置签字或盖章后再扫描上传）</w:t>
      </w:r>
    </w:p>
    <w:p w14:paraId="60D61281">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14.</w:t>
      </w:r>
      <w:r>
        <w:rPr>
          <w:rFonts w:ascii="宋体" w:hAnsi="宋体" w:cs="新宋体"/>
          <w:color w:val="auto"/>
          <w:sz w:val="22"/>
          <w:szCs w:val="22"/>
          <w:highlight w:val="none"/>
        </w:rPr>
        <w:t>3</w:t>
      </w:r>
      <w:r>
        <w:rPr>
          <w:rFonts w:hint="eastAsia" w:ascii="宋体" w:hAnsi="宋体" w:cs="新宋体"/>
          <w:color w:val="auto"/>
          <w:sz w:val="22"/>
          <w:szCs w:val="22"/>
          <w:highlight w:val="none"/>
        </w:rPr>
        <w:t>电子签章操作指南详见采购公告附件《供应商项目采购-电子招投标操作指南》。</w:t>
      </w:r>
    </w:p>
    <w:p w14:paraId="48F19342">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15.投标文件的形式</w:t>
      </w:r>
    </w:p>
    <w:p w14:paraId="3A5C9F50">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15.1投标文件的形式：见投标人须知前附表第18款；</w:t>
      </w:r>
    </w:p>
    <w:p w14:paraId="198B02C5">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15.2“电子加密投标文件”：“电子加密投标文件”是指通过“政采云电子交易客户端”完成投标文件编制后生成并加密的数据电文形式的投标文件。</w:t>
      </w:r>
    </w:p>
    <w:p w14:paraId="6F38710C">
      <w:pPr>
        <w:tabs>
          <w:tab w:val="left" w:pos="360"/>
        </w:tabs>
        <w:spacing w:line="460" w:lineRule="exact"/>
        <w:rPr>
          <w:rFonts w:hint="eastAsia" w:ascii="宋体" w:hAnsi="宋体" w:cs="Arial"/>
          <w:b/>
          <w:color w:val="auto"/>
          <w:sz w:val="24"/>
          <w:highlight w:val="none"/>
        </w:rPr>
      </w:pPr>
      <w:r>
        <w:rPr>
          <w:rFonts w:hint="eastAsia" w:ascii="宋体" w:hAnsi="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453A8E65">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16.投标文件的份数</w:t>
      </w:r>
    </w:p>
    <w:p w14:paraId="42FFC2EE">
      <w:pPr>
        <w:tabs>
          <w:tab w:val="left" w:pos="5355"/>
        </w:tabs>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16.1投标文件的份数：见投标人须知前附表第19款。</w:t>
      </w:r>
    </w:p>
    <w:p w14:paraId="1DF787B9">
      <w:pPr>
        <w:tabs>
          <w:tab w:val="left" w:pos="540"/>
        </w:tabs>
        <w:spacing w:line="460" w:lineRule="exact"/>
        <w:rPr>
          <w:rFonts w:hint="eastAsia" w:ascii="宋体" w:hAnsi="宋体" w:cs="新宋体"/>
          <w:color w:val="auto"/>
          <w:sz w:val="22"/>
          <w:szCs w:val="22"/>
          <w:highlight w:val="none"/>
        </w:rPr>
      </w:pPr>
      <w:r>
        <w:rPr>
          <w:rFonts w:hint="eastAsia" w:ascii="宋体" w:hAnsi="宋体" w:cs="新宋体"/>
          <w:bCs/>
          <w:color w:val="auto"/>
          <w:sz w:val="22"/>
          <w:szCs w:val="22"/>
          <w:highlight w:val="none"/>
        </w:rPr>
        <w:t>17.投标报价</w:t>
      </w:r>
    </w:p>
    <w:p w14:paraId="298C4847">
      <w:pPr>
        <w:autoSpaceDE w:val="0"/>
        <w:autoSpaceDN w:val="0"/>
        <w:adjustRightInd w:val="0"/>
        <w:spacing w:line="450" w:lineRule="exact"/>
        <w:ind w:firstLine="440" w:firstLineChars="200"/>
        <w:rPr>
          <w:rFonts w:hint="eastAsia" w:ascii="宋体" w:hAnsi="宋体"/>
          <w:b/>
          <w:bCs/>
          <w:color w:val="auto"/>
          <w:sz w:val="22"/>
          <w:szCs w:val="22"/>
          <w:highlight w:val="none"/>
        </w:rPr>
      </w:pPr>
      <w:r>
        <w:rPr>
          <w:rFonts w:hint="eastAsia" w:ascii="宋体" w:hAnsi="宋体" w:cs="新宋体"/>
          <w:b/>
          <w:color w:val="auto"/>
          <w:sz w:val="22"/>
          <w:szCs w:val="22"/>
          <w:highlight w:val="none"/>
        </w:rPr>
        <w:t xml:space="preserve">17.1 </w:t>
      </w:r>
      <w:r>
        <w:rPr>
          <w:rFonts w:hint="eastAsia" w:ascii="宋体" w:hAnsi="宋体"/>
          <w:b/>
          <w:color w:val="auto"/>
          <w:sz w:val="22"/>
          <w:szCs w:val="22"/>
          <w:highlight w:val="none"/>
        </w:rPr>
        <w:t>投标报是指中标供应商在正确地完全履行合同义务后采购人应支付给中标供应商所有的合同价款。投标报价</w:t>
      </w:r>
      <w:r>
        <w:rPr>
          <w:rFonts w:ascii="宋体" w:hAnsi="宋体"/>
          <w:b/>
          <w:color w:val="auto"/>
          <w:sz w:val="22"/>
          <w:szCs w:val="22"/>
          <w:highlight w:val="none"/>
        </w:rPr>
        <w:t>必须包括在承包区域内所需的一切人员工资、奖金、餐费、各种社会保险、食宿与交通、</w:t>
      </w:r>
      <w:r>
        <w:rPr>
          <w:rFonts w:hint="eastAsia" w:ascii="宋体" w:hAnsi="宋体"/>
          <w:b/>
          <w:color w:val="auto"/>
          <w:sz w:val="22"/>
          <w:szCs w:val="22"/>
          <w:highlight w:val="none"/>
        </w:rPr>
        <w:t>应包括公共处理设施（含接户井、污水管道、检查井、处理终端等）的运维费</w:t>
      </w:r>
      <w:r>
        <w:rPr>
          <w:rFonts w:hint="eastAsia" w:ascii="宋体" w:hAnsi="宋体"/>
          <w:b/>
          <w:color w:val="auto"/>
          <w:sz w:val="22"/>
          <w:szCs w:val="22"/>
          <w:highlight w:val="none"/>
          <w:lang w:val="en-US" w:eastAsia="zh-CN"/>
        </w:rPr>
        <w:t>及运维产生的垃圾处置费用</w:t>
      </w:r>
      <w:r>
        <w:rPr>
          <w:rFonts w:hint="eastAsia" w:ascii="宋体" w:hAnsi="宋体"/>
          <w:b/>
          <w:color w:val="auto"/>
          <w:sz w:val="22"/>
          <w:szCs w:val="22"/>
          <w:highlight w:val="none"/>
        </w:rPr>
        <w:t>（含归属主体为</w:t>
      </w:r>
      <w:r>
        <w:rPr>
          <w:rFonts w:hint="eastAsia" w:ascii="宋体" w:hAnsi="宋体"/>
          <w:b/>
          <w:color w:val="auto"/>
          <w:sz w:val="22"/>
          <w:szCs w:val="22"/>
          <w:highlight w:val="none"/>
          <w:lang w:eastAsia="zh-CN"/>
        </w:rPr>
        <w:t>采购人</w:t>
      </w:r>
      <w:r>
        <w:rPr>
          <w:rFonts w:hint="eastAsia" w:ascii="宋体" w:hAnsi="宋体"/>
          <w:b/>
          <w:color w:val="auto"/>
          <w:sz w:val="22"/>
          <w:szCs w:val="22"/>
          <w:highlight w:val="none"/>
        </w:rPr>
        <w:t>或村集体的隔油池</w:t>
      </w: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厨房清扫井</w:t>
      </w:r>
      <w:r>
        <w:rPr>
          <w:rFonts w:hint="eastAsia" w:ascii="宋体" w:hAnsi="宋体"/>
          <w:b/>
          <w:color w:val="auto"/>
          <w:sz w:val="22"/>
          <w:szCs w:val="22"/>
          <w:highlight w:val="none"/>
        </w:rPr>
        <w:t>和化粪池的清掏、日常定期巡检、消毒杀虫、泵站的养护费（包括现有泵站、终端改泵站）、水质自检及应急运维所需的技术服务费、人工费、一般材料费和机械费等）、污泥清掏运输</w:t>
      </w:r>
      <w:r>
        <w:rPr>
          <w:rFonts w:hint="eastAsia" w:ascii="宋体" w:hAnsi="宋体"/>
          <w:b/>
          <w:color w:val="auto"/>
          <w:sz w:val="22"/>
          <w:szCs w:val="22"/>
          <w:highlight w:val="none"/>
          <w:lang w:val="en-US" w:eastAsia="zh-CN"/>
        </w:rPr>
        <w:t>处置</w:t>
      </w:r>
      <w:r>
        <w:rPr>
          <w:rFonts w:hint="eastAsia" w:ascii="宋体" w:hAnsi="宋体"/>
          <w:b/>
          <w:color w:val="auto"/>
          <w:sz w:val="22"/>
          <w:szCs w:val="22"/>
          <w:highlight w:val="none"/>
        </w:rPr>
        <w:t>费（运至</w:t>
      </w:r>
      <w:r>
        <w:rPr>
          <w:rFonts w:hint="eastAsia" w:ascii="宋体" w:hAnsi="宋体"/>
          <w:b/>
          <w:color w:val="auto"/>
          <w:sz w:val="22"/>
          <w:szCs w:val="22"/>
          <w:highlight w:val="none"/>
          <w:lang w:val="en-US" w:eastAsia="zh-CN"/>
        </w:rPr>
        <w:t>合法消纳</w:t>
      </w:r>
      <w:r>
        <w:rPr>
          <w:rFonts w:hint="eastAsia" w:ascii="宋体" w:hAnsi="宋体"/>
          <w:b/>
          <w:color w:val="auto"/>
          <w:sz w:val="22"/>
          <w:szCs w:val="22"/>
          <w:highlight w:val="none"/>
        </w:rPr>
        <w:t>地点）、收割后人工湿地植物处置费、设备日常维修更新、设施配套费、办公场所使用费、自备专用车辆仪器工具使用费（含折旧费、油料费、保险费、人工费等）、劳保和安全用品使用费、经营管理费、税费、利润、招标代理等</w:t>
      </w:r>
      <w:r>
        <w:rPr>
          <w:rFonts w:ascii="宋体" w:hAnsi="宋体"/>
          <w:b/>
          <w:color w:val="auto"/>
          <w:sz w:val="22"/>
          <w:szCs w:val="22"/>
          <w:highlight w:val="none"/>
        </w:rPr>
        <w:t>完成合同所需的一切本身和不可或缺的所有工作开支、政策性文件规定及合同包含的所有风险、责任等各项全部费用并承担一切风险责任。</w:t>
      </w:r>
      <w:r>
        <w:rPr>
          <w:rFonts w:hint="eastAsia" w:ascii="宋体" w:hAnsi="宋体"/>
          <w:b/>
          <w:color w:val="auto"/>
          <w:sz w:val="22"/>
          <w:szCs w:val="22"/>
          <w:highlight w:val="none"/>
        </w:rPr>
        <w:t>供应商须负责对员工进行安全培训，确保安全生产。合同承包期内，供应商的工作人员、车辆、工具出现安全事故导致人员伤亡、器械损毁的情况，均由中标供应商自负责任。各供应商须在报价中考虑风险。供应商在投标报价中应充分考虑所有可能发生的费用，否则采购人将视投标报价中已包括所有费用。</w:t>
      </w:r>
    </w:p>
    <w:p w14:paraId="53F63FA0">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17.2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14:paraId="49CBAF85">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17.3 投标人必须按第三部分附件的开标一览表（统一格式）、投标分项报价表（统一格式）的内容填写单价、合价及其他事项，并由法定代表人或授权代表签署。</w:t>
      </w:r>
    </w:p>
    <w:p w14:paraId="712D3954">
      <w:pPr>
        <w:tabs>
          <w:tab w:val="left" w:pos="540"/>
        </w:tabs>
        <w:spacing w:line="460" w:lineRule="exact"/>
        <w:rPr>
          <w:rFonts w:hint="eastAsia" w:ascii="宋体" w:hAnsi="宋体" w:cs="新宋体"/>
          <w:b/>
          <w:color w:val="auto"/>
          <w:sz w:val="22"/>
          <w:szCs w:val="22"/>
          <w:highlight w:val="none"/>
        </w:rPr>
      </w:pPr>
      <w:r>
        <w:rPr>
          <w:rFonts w:hint="eastAsia" w:ascii="宋体" w:hAnsi="宋体" w:cs="新宋体"/>
          <w:color w:val="auto"/>
          <w:sz w:val="22"/>
          <w:szCs w:val="22"/>
          <w:highlight w:val="none"/>
        </w:rPr>
        <w:t>17.4 所有投标报价均以人民币报价。</w:t>
      </w:r>
    </w:p>
    <w:p w14:paraId="48BF7562">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17.5 采购人不接受任何选择报价，对每一项货物/服务只允许一个报价。</w:t>
      </w:r>
    </w:p>
    <w:p w14:paraId="715901D5">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17.6 采购人要求分类报价是为了方便评标，但在任何情况下不限制采购人以其认为最合适的条款、条件签订合同的权利。</w:t>
      </w:r>
    </w:p>
    <w:p w14:paraId="690023AA">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17.7 报价是成交的一个重要因素，但最低报价不是成交的唯一依据。</w:t>
      </w:r>
    </w:p>
    <w:p w14:paraId="46E562F0">
      <w:pPr>
        <w:tabs>
          <w:tab w:val="left" w:pos="-180"/>
          <w:tab w:val="left" w:pos="180"/>
          <w:tab w:val="left" w:pos="360"/>
        </w:tabs>
        <w:spacing w:line="440" w:lineRule="exact"/>
        <w:ind w:left="660" w:hanging="660" w:hangingChars="300"/>
        <w:rPr>
          <w:rFonts w:hint="eastAsia" w:ascii="宋体" w:hAnsi="宋体"/>
          <w:b/>
          <w:bCs/>
          <w:color w:val="auto"/>
          <w:sz w:val="22"/>
          <w:szCs w:val="22"/>
          <w:highlight w:val="none"/>
        </w:rPr>
      </w:pPr>
      <w:r>
        <w:rPr>
          <w:rFonts w:hint="eastAsia" w:ascii="宋体" w:hAnsi="宋体" w:cs="新宋体"/>
          <w:bCs/>
          <w:color w:val="auto"/>
          <w:sz w:val="22"/>
          <w:szCs w:val="22"/>
          <w:highlight w:val="none"/>
        </w:rPr>
        <w:t>1</w:t>
      </w:r>
      <w:r>
        <w:rPr>
          <w:rFonts w:ascii="宋体" w:hAnsi="宋体" w:cs="新宋体"/>
          <w:bCs/>
          <w:color w:val="auto"/>
          <w:sz w:val="22"/>
          <w:szCs w:val="22"/>
          <w:highlight w:val="none"/>
        </w:rPr>
        <w:t>8</w:t>
      </w:r>
      <w:r>
        <w:rPr>
          <w:rFonts w:hint="eastAsia" w:ascii="宋体" w:hAnsi="宋体" w:cs="新宋体"/>
          <w:bCs/>
          <w:color w:val="auto"/>
          <w:sz w:val="22"/>
          <w:szCs w:val="22"/>
          <w:highlight w:val="none"/>
        </w:rPr>
        <w:t xml:space="preserve">. </w:t>
      </w:r>
      <w:r>
        <w:rPr>
          <w:rFonts w:hint="eastAsia" w:ascii="宋体" w:hAnsi="宋体"/>
          <w:b/>
          <w:bCs/>
          <w:color w:val="auto"/>
          <w:sz w:val="22"/>
          <w:szCs w:val="22"/>
          <w:highlight w:val="none"/>
        </w:rPr>
        <w:t>投标人如发生下列情况之一，将上报同级政府采购监督管理部门，追究其责任：</w:t>
      </w:r>
    </w:p>
    <w:p w14:paraId="5A2D1595">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投标人在采购文件规定的投标有效期内撤回投标；</w:t>
      </w:r>
    </w:p>
    <w:p w14:paraId="669EFBA1">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中标人未按中标通知书中规定的时间与采购人签订合同；</w:t>
      </w:r>
    </w:p>
    <w:p w14:paraId="3DA62CAB">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投标人在采购文件中提供虚假技术指标及参数，经评标委员会确认属实的。</w:t>
      </w:r>
    </w:p>
    <w:p w14:paraId="1D15D051">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经同级政府采购监督管理部门审查认定投标人有违反《中华人民共和国政府采购法》等有关法律法规的行为。</w:t>
      </w:r>
    </w:p>
    <w:p w14:paraId="392385D3">
      <w:pPr>
        <w:tabs>
          <w:tab w:val="left" w:pos="-180"/>
          <w:tab w:val="left" w:pos="180"/>
          <w:tab w:val="left" w:pos="360"/>
        </w:tabs>
        <w:spacing w:line="440" w:lineRule="exact"/>
        <w:rPr>
          <w:rFonts w:hint="eastAsia" w:ascii="宋体" w:hAnsi="宋体"/>
          <w:b/>
          <w:bCs/>
          <w:color w:val="auto"/>
          <w:sz w:val="22"/>
          <w:szCs w:val="22"/>
          <w:highlight w:val="none"/>
        </w:rPr>
      </w:pPr>
      <w:bookmarkStart w:id="47" w:name="_Toc221356951"/>
      <w:bookmarkStart w:id="48" w:name="_Toc221423619"/>
      <w:bookmarkStart w:id="49" w:name="_Toc221356887"/>
      <w:bookmarkStart w:id="50" w:name="_Toc221374626"/>
      <w:bookmarkStart w:id="51" w:name="_Toc265529383"/>
      <w:bookmarkStart w:id="52" w:name="_Toc239145354"/>
      <w:bookmarkStart w:id="53" w:name="_Toc223715998"/>
      <w:bookmarkStart w:id="54" w:name="_Toc222114879"/>
      <w:bookmarkStart w:id="55" w:name="_Toc241404202"/>
      <w:r>
        <w:rPr>
          <w:rFonts w:hint="eastAsia" w:ascii="宋体" w:hAnsi="宋体"/>
          <w:b/>
          <w:bCs/>
          <w:color w:val="auto"/>
          <w:sz w:val="22"/>
          <w:szCs w:val="22"/>
          <w:highlight w:val="none"/>
        </w:rPr>
        <w:t>19. 投标有效期</w:t>
      </w:r>
    </w:p>
    <w:p w14:paraId="063D35F9">
      <w:pPr>
        <w:tabs>
          <w:tab w:val="left" w:pos="540"/>
          <w:tab w:val="left" w:pos="992"/>
        </w:tabs>
        <w:autoSpaceDE w:val="0"/>
        <w:autoSpaceDN w:val="0"/>
        <w:adjustRightInd w:val="0"/>
        <w:spacing w:line="460" w:lineRule="atLeas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19.1 自开标之日起 90天内投标应保持有效。投标有效期短于这个规定期限的投标将视为非响应性投标而予以拒绝。</w:t>
      </w:r>
    </w:p>
    <w:p w14:paraId="39055264">
      <w:pPr>
        <w:spacing w:line="440" w:lineRule="exact"/>
        <w:rPr>
          <w:rFonts w:hint="eastAsia" w:ascii="宋体" w:hAnsi="宋体" w:cs="新宋体"/>
          <w:color w:val="auto"/>
          <w:sz w:val="22"/>
          <w:szCs w:val="22"/>
          <w:highlight w:val="none"/>
        </w:rPr>
      </w:pPr>
      <w:r>
        <w:rPr>
          <w:rFonts w:hint="eastAsia" w:ascii="宋体" w:hAnsi="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7950FE36">
      <w:pPr>
        <w:pStyle w:val="3"/>
        <w:spacing w:line="500" w:lineRule="exact"/>
        <w:jc w:val="center"/>
        <w:rPr>
          <w:rFonts w:hint="eastAsia" w:ascii="宋体" w:hAnsi="宋体" w:eastAsia="宋体"/>
          <w:color w:val="auto"/>
          <w:sz w:val="24"/>
          <w:szCs w:val="24"/>
          <w:highlight w:val="none"/>
        </w:rPr>
      </w:pPr>
      <w:bookmarkStart w:id="56" w:name="_Toc34572032"/>
      <w:bookmarkStart w:id="57" w:name="_Toc34508133"/>
      <w:r>
        <w:rPr>
          <w:rFonts w:hint="eastAsia" w:ascii="宋体" w:hAnsi="宋体" w:eastAsia="宋体"/>
          <w:color w:val="auto"/>
          <w:sz w:val="24"/>
          <w:szCs w:val="24"/>
          <w:highlight w:val="none"/>
        </w:rPr>
        <w:t>四、 投标文件的递交</w:t>
      </w:r>
      <w:bookmarkEnd w:id="47"/>
      <w:bookmarkEnd w:id="48"/>
      <w:bookmarkEnd w:id="49"/>
      <w:bookmarkEnd w:id="50"/>
      <w:bookmarkEnd w:id="51"/>
      <w:bookmarkEnd w:id="52"/>
      <w:bookmarkEnd w:id="53"/>
      <w:bookmarkEnd w:id="54"/>
      <w:bookmarkEnd w:id="55"/>
      <w:bookmarkEnd w:id="56"/>
      <w:bookmarkEnd w:id="57"/>
    </w:p>
    <w:p w14:paraId="1C2F09D8">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20. 投标文件的递交</w:t>
      </w:r>
    </w:p>
    <w:p w14:paraId="548C48CA">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20.1投标文件的上传、递交：见投标人须知前附表第20款。</w:t>
      </w:r>
    </w:p>
    <w:p w14:paraId="1DB24EF3">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21. “电子加密投标文件”解密和异常情况处理。</w:t>
      </w:r>
    </w:p>
    <w:p w14:paraId="17A5519A">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21.1“电子加密投标文件”解密：见投标人须知前附表第21款。</w:t>
      </w:r>
    </w:p>
    <w:p w14:paraId="36DFC742">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22. 投标文件的补充、修改或撤回</w:t>
      </w:r>
    </w:p>
    <w:p w14:paraId="723F89B9">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5763BF5">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22.2</w:t>
      </w:r>
      <w:r>
        <w:rPr>
          <w:rFonts w:ascii="宋体" w:hAnsi="宋体" w:cs="新宋体"/>
          <w:bCs/>
          <w:color w:val="auto"/>
          <w:kern w:val="0"/>
          <w:sz w:val="22"/>
          <w:szCs w:val="22"/>
          <w:highlight w:val="none"/>
        </w:rPr>
        <w:t>投标文件递交截止时间后，投标人不得撤回、修改</w:t>
      </w:r>
      <w:r>
        <w:rPr>
          <w:rFonts w:hint="eastAsia" w:ascii="宋体" w:hAnsi="宋体" w:cs="新宋体"/>
          <w:bCs/>
          <w:color w:val="auto"/>
          <w:kern w:val="0"/>
          <w:sz w:val="22"/>
          <w:szCs w:val="22"/>
          <w:highlight w:val="none"/>
        </w:rPr>
        <w:t>投标文件。</w:t>
      </w:r>
    </w:p>
    <w:p w14:paraId="237CA5EE">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
          <w:bCs/>
          <w:color w:val="auto"/>
          <w:kern w:val="0"/>
          <w:sz w:val="22"/>
          <w:szCs w:val="22"/>
          <w:highlight w:val="none"/>
        </w:rPr>
        <w:t>23. 投标文件的备选方案</w:t>
      </w:r>
    </w:p>
    <w:p w14:paraId="42E7699F">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23.1投标人不得递交任何的</w:t>
      </w:r>
      <w:r>
        <w:rPr>
          <w:rFonts w:ascii="宋体" w:hAnsi="宋体" w:cs="新宋体"/>
          <w:bCs/>
          <w:color w:val="auto"/>
          <w:kern w:val="0"/>
          <w:sz w:val="22"/>
          <w:szCs w:val="22"/>
          <w:highlight w:val="none"/>
        </w:rPr>
        <w:t>投标备选（替代）方案</w:t>
      </w:r>
      <w:r>
        <w:rPr>
          <w:rFonts w:hint="eastAsia" w:ascii="宋体" w:hAnsi="宋体" w:cs="新宋体"/>
          <w:bCs/>
          <w:color w:val="auto"/>
          <w:kern w:val="0"/>
          <w:sz w:val="22"/>
          <w:szCs w:val="22"/>
          <w:highlight w:val="none"/>
        </w:rPr>
        <w:t>，否则其投标文件将作无效标处理。与“电子加密投标文件”同时生成的“备份投标文件”不是投标备选（替代）方案。</w:t>
      </w:r>
    </w:p>
    <w:p w14:paraId="4FEA544A">
      <w:pPr>
        <w:tabs>
          <w:tab w:val="left" w:pos="540"/>
        </w:tabs>
        <w:spacing w:line="460" w:lineRule="exact"/>
        <w:rPr>
          <w:rFonts w:hint="eastAsia" w:ascii="宋体" w:hAnsi="宋体" w:cs="新宋体"/>
          <w:b/>
          <w:color w:val="auto"/>
          <w:sz w:val="22"/>
          <w:szCs w:val="22"/>
          <w:highlight w:val="none"/>
        </w:rPr>
      </w:pPr>
    </w:p>
    <w:p w14:paraId="1065862D">
      <w:pPr>
        <w:pStyle w:val="3"/>
        <w:spacing w:line="500" w:lineRule="exact"/>
        <w:jc w:val="center"/>
        <w:rPr>
          <w:rFonts w:hint="eastAsia" w:ascii="宋体" w:hAnsi="宋体" w:eastAsia="宋体"/>
          <w:color w:val="auto"/>
          <w:sz w:val="24"/>
          <w:szCs w:val="24"/>
          <w:highlight w:val="none"/>
        </w:rPr>
      </w:pPr>
      <w:bookmarkStart w:id="58" w:name="_Toc34508134"/>
      <w:bookmarkStart w:id="59" w:name="_Toc222114880"/>
      <w:bookmarkStart w:id="60" w:name="_Toc34572033"/>
      <w:bookmarkStart w:id="61" w:name="_Toc221356888"/>
      <w:bookmarkStart w:id="62" w:name="_Toc241404203"/>
      <w:bookmarkStart w:id="63" w:name="_Toc221374627"/>
      <w:bookmarkStart w:id="64" w:name="_Toc221423620"/>
      <w:bookmarkStart w:id="65" w:name="_Toc221356952"/>
      <w:bookmarkStart w:id="66" w:name="_Toc239145355"/>
      <w:bookmarkStart w:id="67" w:name="_Toc265529384"/>
      <w:bookmarkStart w:id="68" w:name="_Toc223715999"/>
      <w:r>
        <w:rPr>
          <w:rFonts w:hint="eastAsia" w:ascii="宋体" w:hAnsi="宋体" w:eastAsia="宋体"/>
          <w:color w:val="auto"/>
          <w:sz w:val="24"/>
          <w:szCs w:val="24"/>
          <w:highlight w:val="none"/>
        </w:rPr>
        <w:t>五、 开标</w:t>
      </w:r>
      <w:bookmarkEnd w:id="58"/>
      <w:bookmarkEnd w:id="59"/>
      <w:bookmarkEnd w:id="60"/>
      <w:bookmarkEnd w:id="61"/>
      <w:bookmarkEnd w:id="62"/>
      <w:bookmarkEnd w:id="63"/>
      <w:bookmarkEnd w:id="64"/>
      <w:bookmarkEnd w:id="65"/>
      <w:bookmarkEnd w:id="66"/>
      <w:bookmarkEnd w:id="67"/>
      <w:bookmarkEnd w:id="68"/>
    </w:p>
    <w:p w14:paraId="02C8F3E0">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24. 开标形式</w:t>
      </w:r>
    </w:p>
    <w:p w14:paraId="44FC7506">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24.1 采购组织机构将按照采购文件规定的时间通过“政采云平台”组织开标、开启投标文件，所有供应商均应当准时在线参加。</w:t>
      </w:r>
    </w:p>
    <w:p w14:paraId="3F0A00CA">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 xml:space="preserve">25. </w:t>
      </w:r>
      <w:r>
        <w:rPr>
          <w:rFonts w:ascii="宋体" w:hAnsi="宋体" w:cs="新宋体"/>
          <w:b/>
          <w:bCs/>
          <w:color w:val="auto"/>
          <w:kern w:val="0"/>
          <w:sz w:val="22"/>
          <w:szCs w:val="22"/>
          <w:highlight w:val="none"/>
        </w:rPr>
        <w:t>开标准备</w:t>
      </w:r>
    </w:p>
    <w:p w14:paraId="4CFF547A">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25.1开标的准备工作由采购组织机构负责落实。</w:t>
      </w:r>
    </w:p>
    <w:p w14:paraId="6BCD55CF">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25.2采购组织机构将按照采购文件规定的时间通过“政采云平台”组织开标、开启投标文件，所有供应商均应当准时在线参加。投标人</w:t>
      </w:r>
      <w:r>
        <w:rPr>
          <w:rFonts w:ascii="宋体" w:hAnsi="宋体" w:cs="新宋体"/>
          <w:bCs/>
          <w:color w:val="auto"/>
          <w:kern w:val="0"/>
          <w:sz w:val="22"/>
          <w:szCs w:val="22"/>
          <w:highlight w:val="none"/>
        </w:rPr>
        <w:t>如不</w:t>
      </w:r>
      <w:r>
        <w:rPr>
          <w:rFonts w:hint="eastAsia" w:ascii="宋体" w:hAnsi="宋体" w:cs="新宋体"/>
          <w:bCs/>
          <w:color w:val="auto"/>
          <w:kern w:val="0"/>
          <w:sz w:val="22"/>
          <w:szCs w:val="22"/>
          <w:highlight w:val="none"/>
        </w:rPr>
        <w:t>参加</w:t>
      </w:r>
      <w:r>
        <w:rPr>
          <w:rFonts w:ascii="宋体" w:hAnsi="宋体" w:cs="新宋体"/>
          <w:bCs/>
          <w:color w:val="auto"/>
          <w:kern w:val="0"/>
          <w:sz w:val="22"/>
          <w:szCs w:val="22"/>
          <w:highlight w:val="none"/>
        </w:rPr>
        <w:t>开标大会的，</w:t>
      </w:r>
      <w:r>
        <w:rPr>
          <w:rFonts w:hint="eastAsia" w:ascii="宋体" w:hAnsi="宋体" w:cs="新宋体"/>
          <w:bCs/>
          <w:color w:val="auto"/>
          <w:kern w:val="0"/>
          <w:sz w:val="22"/>
          <w:szCs w:val="22"/>
          <w:highlight w:val="none"/>
        </w:rPr>
        <w:t>视同认可开标结果，</w:t>
      </w:r>
      <w:r>
        <w:rPr>
          <w:rFonts w:ascii="宋体" w:hAnsi="宋体" w:cs="新宋体"/>
          <w:bCs/>
          <w:color w:val="auto"/>
          <w:kern w:val="0"/>
          <w:sz w:val="22"/>
          <w:szCs w:val="22"/>
          <w:highlight w:val="none"/>
        </w:rPr>
        <w:t>事后不得对采购相关人员、开标过程和开标结果提出异议</w:t>
      </w:r>
      <w:r>
        <w:rPr>
          <w:rFonts w:hint="eastAsia" w:ascii="宋体" w:hAnsi="宋体" w:cs="新宋体"/>
          <w:bCs/>
          <w:color w:val="auto"/>
          <w:kern w:val="0"/>
          <w:sz w:val="22"/>
          <w:szCs w:val="22"/>
          <w:highlight w:val="none"/>
        </w:rPr>
        <w:t>，同时投标人因未在线参加开标而导致投标文件无法按时解密等一切后果由供应商自己承担。</w:t>
      </w:r>
    </w:p>
    <w:p w14:paraId="0222E557">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26.</w:t>
      </w:r>
      <w:r>
        <w:rPr>
          <w:rFonts w:ascii="宋体" w:hAnsi="宋体" w:cs="新宋体"/>
          <w:b/>
          <w:bCs/>
          <w:color w:val="auto"/>
          <w:kern w:val="0"/>
          <w:sz w:val="22"/>
          <w:szCs w:val="22"/>
          <w:highlight w:val="none"/>
        </w:rPr>
        <w:t>开标</w:t>
      </w:r>
      <w:r>
        <w:rPr>
          <w:rFonts w:hint="eastAsia" w:ascii="宋体" w:hAnsi="宋体" w:cs="新宋体"/>
          <w:b/>
          <w:bCs/>
          <w:color w:val="auto"/>
          <w:kern w:val="0"/>
          <w:sz w:val="22"/>
          <w:szCs w:val="22"/>
          <w:highlight w:val="none"/>
        </w:rPr>
        <w:t>流程（两阶段）</w:t>
      </w:r>
    </w:p>
    <w:p w14:paraId="6E655189">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26.1开标第一阶段</w:t>
      </w:r>
    </w:p>
    <w:p w14:paraId="381E7039">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w:t>
      </w:r>
      <w:r>
        <w:rPr>
          <w:rFonts w:ascii="宋体" w:hAnsi="宋体" w:cs="新宋体"/>
          <w:b/>
          <w:bCs/>
          <w:color w:val="auto"/>
          <w:kern w:val="0"/>
          <w:sz w:val="22"/>
          <w:szCs w:val="22"/>
          <w:highlight w:val="none"/>
        </w:rPr>
        <w:t>1</w:t>
      </w:r>
      <w:r>
        <w:rPr>
          <w:rFonts w:hint="eastAsia" w:ascii="宋体" w:hAnsi="宋体" w:cs="新宋体"/>
          <w:b/>
          <w:bCs/>
          <w:color w:val="auto"/>
          <w:kern w:val="0"/>
          <w:sz w:val="22"/>
          <w:szCs w:val="22"/>
          <w:highlight w:val="none"/>
        </w:rPr>
        <w:t>）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63881C1F">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w:t>
      </w:r>
      <w:r>
        <w:rPr>
          <w:rFonts w:ascii="宋体" w:hAnsi="宋体" w:cs="新宋体"/>
          <w:b/>
          <w:bCs/>
          <w:color w:val="auto"/>
          <w:kern w:val="0"/>
          <w:sz w:val="22"/>
          <w:szCs w:val="22"/>
          <w:highlight w:val="none"/>
        </w:rPr>
        <w:t>2</w:t>
      </w:r>
      <w:r>
        <w:rPr>
          <w:rFonts w:hint="eastAsia" w:ascii="宋体" w:hAnsi="宋体" w:cs="新宋体"/>
          <w:b/>
          <w:bCs/>
          <w:color w:val="auto"/>
          <w:kern w:val="0"/>
          <w:sz w:val="22"/>
          <w:szCs w:val="22"/>
          <w:highlight w:val="none"/>
        </w:rPr>
        <w:t>）开启投标文件，进入资格审查；</w:t>
      </w:r>
    </w:p>
    <w:p w14:paraId="5BDDE67D">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（3）开启资格审查通过的投标人的技术资信文件进入符合性审查、技术资信评审；</w:t>
      </w:r>
    </w:p>
    <w:p w14:paraId="6BC7394E">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（4）第一阶段开标结束。</w:t>
      </w:r>
    </w:p>
    <w:p w14:paraId="4AE4AD76">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备注：开标大会的第一阶段结束后，采购人或采购代理机构将对依法对投标人的资格进行审查，资格审查结束后进入符合性审查和技术资信文件的评审工作，具体见本章节“投标人资格审查”相关规定。</w:t>
      </w:r>
    </w:p>
    <w:p w14:paraId="7484F421">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26.2开标大会第二阶段</w:t>
      </w:r>
    </w:p>
    <w:p w14:paraId="02A243EC">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w:t>
      </w:r>
      <w:r>
        <w:rPr>
          <w:rFonts w:ascii="宋体" w:hAnsi="宋体" w:cs="新宋体"/>
          <w:b/>
          <w:bCs/>
          <w:color w:val="auto"/>
          <w:kern w:val="0"/>
          <w:sz w:val="22"/>
          <w:szCs w:val="22"/>
          <w:highlight w:val="none"/>
        </w:rPr>
        <w:t>；公布经</w:t>
      </w:r>
      <w:r>
        <w:rPr>
          <w:rFonts w:hint="eastAsia" w:ascii="宋体" w:hAnsi="宋体" w:cs="新宋体"/>
          <w:b/>
          <w:bCs/>
          <w:color w:val="auto"/>
          <w:kern w:val="0"/>
          <w:sz w:val="22"/>
          <w:szCs w:val="22"/>
          <w:highlight w:val="none"/>
        </w:rPr>
        <w:t>技术资信</w:t>
      </w:r>
      <w:r>
        <w:rPr>
          <w:rFonts w:ascii="宋体" w:hAnsi="宋体" w:cs="新宋体"/>
          <w:b/>
          <w:bCs/>
          <w:color w:val="auto"/>
          <w:kern w:val="0"/>
          <w:sz w:val="22"/>
          <w:szCs w:val="22"/>
          <w:highlight w:val="none"/>
        </w:rPr>
        <w:t>评审</w:t>
      </w:r>
      <w:r>
        <w:rPr>
          <w:rFonts w:hint="eastAsia" w:ascii="宋体" w:hAnsi="宋体" w:cs="新宋体"/>
          <w:b/>
          <w:bCs/>
          <w:color w:val="auto"/>
          <w:kern w:val="0"/>
          <w:sz w:val="22"/>
          <w:szCs w:val="22"/>
          <w:highlight w:val="none"/>
        </w:rPr>
        <w:t>后有效投标人的</w:t>
      </w:r>
      <w:r>
        <w:rPr>
          <w:rFonts w:ascii="宋体" w:hAnsi="宋体" w:cs="新宋体"/>
          <w:b/>
          <w:bCs/>
          <w:color w:val="auto"/>
          <w:kern w:val="0"/>
          <w:sz w:val="22"/>
          <w:szCs w:val="22"/>
          <w:highlight w:val="none"/>
        </w:rPr>
        <w:t>名单，同时公布</w:t>
      </w:r>
      <w:r>
        <w:rPr>
          <w:rFonts w:hint="eastAsia" w:ascii="宋体" w:hAnsi="宋体" w:cs="新宋体"/>
          <w:b/>
          <w:bCs/>
          <w:color w:val="auto"/>
          <w:kern w:val="0"/>
          <w:sz w:val="22"/>
          <w:szCs w:val="22"/>
          <w:highlight w:val="none"/>
        </w:rPr>
        <w:t>其技术资信部分</w:t>
      </w:r>
      <w:r>
        <w:rPr>
          <w:rFonts w:ascii="宋体" w:hAnsi="宋体" w:cs="新宋体"/>
          <w:b/>
          <w:bCs/>
          <w:color w:val="auto"/>
          <w:kern w:val="0"/>
          <w:sz w:val="22"/>
          <w:szCs w:val="22"/>
          <w:highlight w:val="none"/>
        </w:rPr>
        <w:t>得分情况</w:t>
      </w:r>
      <w:r>
        <w:rPr>
          <w:rFonts w:hint="eastAsia" w:ascii="宋体" w:hAnsi="宋体" w:cs="新宋体"/>
          <w:b/>
          <w:bCs/>
          <w:color w:val="auto"/>
          <w:kern w:val="0"/>
          <w:sz w:val="22"/>
          <w:szCs w:val="22"/>
          <w:highlight w:val="none"/>
        </w:rPr>
        <w:t>。</w:t>
      </w:r>
    </w:p>
    <w:p w14:paraId="389204F8">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（2）开启通过符合性审查、技术资信文件评审有效投标人的报价文件，在“政采云平台”系统平台上公布开标一览表有关内容，同时当场制作开标记录</w:t>
      </w:r>
      <w:r>
        <w:rPr>
          <w:rFonts w:ascii="宋体" w:hAnsi="宋体" w:cs="新宋体"/>
          <w:b/>
          <w:bCs/>
          <w:color w:val="auto"/>
          <w:kern w:val="0"/>
          <w:sz w:val="22"/>
          <w:szCs w:val="22"/>
          <w:highlight w:val="none"/>
        </w:rPr>
        <w:t>。</w:t>
      </w:r>
      <w:r>
        <w:rPr>
          <w:rFonts w:hint="eastAsia" w:ascii="宋体" w:hAnsi="宋体" w:cs="新宋体"/>
          <w:b/>
          <w:bCs/>
          <w:color w:val="auto"/>
          <w:kern w:val="0"/>
          <w:sz w:val="22"/>
          <w:szCs w:val="22"/>
          <w:highlight w:val="none"/>
        </w:rPr>
        <w:t>开标</w:t>
      </w:r>
      <w:r>
        <w:rPr>
          <w:rFonts w:ascii="宋体" w:hAnsi="宋体" w:cs="新宋体"/>
          <w:b/>
          <w:bCs/>
          <w:color w:val="auto"/>
          <w:kern w:val="0"/>
          <w:sz w:val="22"/>
          <w:szCs w:val="22"/>
          <w:highlight w:val="none"/>
        </w:rPr>
        <w:t>结束后，由评标委员会对报价的合理性、准确性等进行审查核实</w:t>
      </w:r>
      <w:r>
        <w:rPr>
          <w:rFonts w:hint="eastAsia" w:ascii="宋体" w:hAnsi="宋体" w:cs="新宋体"/>
          <w:b/>
          <w:bCs/>
          <w:color w:val="auto"/>
          <w:kern w:val="0"/>
          <w:sz w:val="22"/>
          <w:szCs w:val="22"/>
          <w:highlight w:val="none"/>
        </w:rPr>
        <w:t>。</w:t>
      </w:r>
    </w:p>
    <w:p w14:paraId="46E0E181">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（3）评审结束后，在“政采云平台”系统平台上公布中标（成交）候选供应商名单，及采购人最终确定中标或成交供应商名单的时间和公告方式等。</w:t>
      </w:r>
    </w:p>
    <w:p w14:paraId="1ED61B0A">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特别说明：如遇“政采云平台”电子化开标或评审程序调整的，按调整后程序执行。</w:t>
      </w:r>
    </w:p>
    <w:p w14:paraId="722B9C03">
      <w:pPr>
        <w:tabs>
          <w:tab w:val="left" w:pos="900"/>
          <w:tab w:val="left" w:pos="5355"/>
        </w:tabs>
        <w:spacing w:line="430" w:lineRule="exact"/>
        <w:ind w:left="-8" w:firstLine="648"/>
        <w:rPr>
          <w:rFonts w:hint="eastAsia" w:ascii="宋体" w:hAnsi="宋体" w:cs="新宋体"/>
          <w:b/>
          <w:bCs/>
          <w:color w:val="auto"/>
          <w:kern w:val="0"/>
          <w:sz w:val="22"/>
          <w:szCs w:val="22"/>
          <w:highlight w:val="none"/>
        </w:rPr>
      </w:pPr>
      <w:r>
        <w:rPr>
          <w:rFonts w:hint="eastAsia" w:ascii="宋体" w:hAnsi="宋体" w:eastAsia="宋体" w:cs="宋体"/>
          <w:color w:val="auto"/>
          <w:sz w:val="22"/>
          <w:szCs w:val="22"/>
          <w:highlight w:val="none"/>
        </w:rPr>
        <w:t>电子投标文件解密结束后，各供应商签署《政府采购活动现场确认声明书》后将扫描件发送至采购代理机构邮箱</w:t>
      </w:r>
      <w:r>
        <w:rPr>
          <w:rFonts w:hint="eastAsia" w:ascii="宋体" w:hAnsi="宋体" w:eastAsia="宋体" w:cs="宋体"/>
          <w:color w:val="auto"/>
          <w:sz w:val="22"/>
          <w:szCs w:val="22"/>
          <w:highlight w:val="none"/>
          <w:lang w:val="en-US" w:eastAsia="zh-CN"/>
        </w:rPr>
        <w:t>836454981</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p w14:paraId="7E882891">
      <w:pPr>
        <w:tabs>
          <w:tab w:val="left" w:pos="540"/>
        </w:tabs>
        <w:spacing w:line="460" w:lineRule="exact"/>
        <w:rPr>
          <w:rFonts w:hint="eastAsia" w:ascii="宋体" w:hAnsi="宋体" w:cs="新宋体"/>
          <w:b/>
          <w:bCs/>
          <w:color w:val="auto"/>
          <w:kern w:val="0"/>
          <w:sz w:val="22"/>
          <w:szCs w:val="22"/>
          <w:highlight w:val="none"/>
        </w:rPr>
      </w:pPr>
      <w:bookmarkStart w:id="69" w:name="_Toc33194393"/>
      <w:bookmarkStart w:id="70" w:name="_Toc24550037"/>
      <w:r>
        <w:rPr>
          <w:rFonts w:hint="eastAsia" w:ascii="宋体" w:hAnsi="宋体" w:cs="新宋体"/>
          <w:b/>
          <w:bCs/>
          <w:color w:val="auto"/>
          <w:kern w:val="0"/>
          <w:sz w:val="22"/>
          <w:szCs w:val="22"/>
          <w:highlight w:val="none"/>
        </w:rPr>
        <w:t>27. 投标人资格审查</w:t>
      </w:r>
      <w:bookmarkEnd w:id="69"/>
      <w:bookmarkEnd w:id="70"/>
    </w:p>
    <w:p w14:paraId="55F0F333">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27.1开标大会第一阶段结束后，采购人或采购代理机构首先依法对各投标人的资格进行审查，审查各投标人的资格是否满足采购文件的要求。</w:t>
      </w:r>
      <w:r>
        <w:rPr>
          <w:rFonts w:ascii="宋体" w:hAnsi="宋体" w:cs="新宋体"/>
          <w:bCs/>
          <w:color w:val="auto"/>
          <w:kern w:val="0"/>
          <w:sz w:val="22"/>
          <w:szCs w:val="22"/>
          <w:highlight w:val="none"/>
        </w:rPr>
        <w:t>采购人或采购代理机构对投标人所</w:t>
      </w:r>
      <w:r>
        <w:rPr>
          <w:rFonts w:hint="eastAsia" w:ascii="宋体" w:hAnsi="宋体" w:cs="新宋体"/>
          <w:bCs/>
          <w:color w:val="auto"/>
          <w:kern w:val="0"/>
          <w:sz w:val="22"/>
          <w:szCs w:val="22"/>
          <w:highlight w:val="none"/>
        </w:rPr>
        <w:t>提交</w:t>
      </w:r>
      <w:r>
        <w:rPr>
          <w:rFonts w:ascii="宋体" w:hAnsi="宋体" w:cs="新宋体"/>
          <w:bCs/>
          <w:color w:val="auto"/>
          <w:kern w:val="0"/>
          <w:sz w:val="22"/>
          <w:szCs w:val="22"/>
          <w:highlight w:val="none"/>
        </w:rPr>
        <w:t>的资格审查材料仅负审核的责任。如发现投标人所提</w:t>
      </w:r>
      <w:r>
        <w:rPr>
          <w:rFonts w:hint="eastAsia" w:ascii="宋体" w:hAnsi="宋体" w:cs="新宋体"/>
          <w:bCs/>
          <w:color w:val="auto"/>
          <w:kern w:val="0"/>
          <w:sz w:val="22"/>
          <w:szCs w:val="22"/>
          <w:highlight w:val="none"/>
        </w:rPr>
        <w:t>交</w:t>
      </w:r>
      <w:r>
        <w:rPr>
          <w:rFonts w:ascii="宋体" w:hAnsi="宋体" w:cs="新宋体"/>
          <w:bCs/>
          <w:color w:val="auto"/>
          <w:kern w:val="0"/>
          <w:sz w:val="22"/>
          <w:szCs w:val="22"/>
          <w:highlight w:val="none"/>
        </w:rPr>
        <w:t>的资格审查材料不合法或</w:t>
      </w:r>
      <w:r>
        <w:rPr>
          <w:rFonts w:hint="eastAsia" w:ascii="宋体" w:hAnsi="宋体" w:cs="新宋体"/>
          <w:bCs/>
          <w:color w:val="auto"/>
          <w:kern w:val="0"/>
          <w:sz w:val="22"/>
          <w:szCs w:val="22"/>
          <w:highlight w:val="none"/>
        </w:rPr>
        <w:t>与事实不符</w:t>
      </w:r>
      <w:r>
        <w:rPr>
          <w:rFonts w:ascii="宋体" w:hAnsi="宋体" w:cs="新宋体"/>
          <w:bCs/>
          <w:color w:val="auto"/>
          <w:kern w:val="0"/>
          <w:sz w:val="22"/>
          <w:szCs w:val="22"/>
          <w:highlight w:val="none"/>
        </w:rPr>
        <w:t>，采购人可取消</w:t>
      </w:r>
      <w:r>
        <w:rPr>
          <w:rFonts w:hint="eastAsia" w:ascii="宋体" w:hAnsi="宋体" w:cs="新宋体"/>
          <w:bCs/>
          <w:color w:val="auto"/>
          <w:kern w:val="0"/>
          <w:sz w:val="22"/>
          <w:szCs w:val="22"/>
          <w:highlight w:val="none"/>
        </w:rPr>
        <w:t>其</w:t>
      </w:r>
      <w:r>
        <w:rPr>
          <w:rFonts w:ascii="宋体" w:hAnsi="宋体" w:cs="新宋体"/>
          <w:bCs/>
          <w:color w:val="auto"/>
          <w:kern w:val="0"/>
          <w:sz w:val="22"/>
          <w:szCs w:val="22"/>
          <w:highlight w:val="none"/>
        </w:rPr>
        <w:t>中标资格并追究投标人的法律责任。</w:t>
      </w:r>
    </w:p>
    <w:p w14:paraId="07DFC2C2">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15CF1E7F">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5AE3DAA2">
      <w:pPr>
        <w:pStyle w:val="3"/>
        <w:spacing w:line="500" w:lineRule="exact"/>
        <w:jc w:val="center"/>
        <w:rPr>
          <w:rFonts w:hint="eastAsia" w:ascii="宋体" w:hAnsi="宋体" w:eastAsia="宋体"/>
          <w:color w:val="auto"/>
          <w:sz w:val="24"/>
          <w:szCs w:val="24"/>
          <w:highlight w:val="none"/>
        </w:rPr>
      </w:pPr>
      <w:bookmarkStart w:id="71" w:name="_Toc34508135"/>
      <w:bookmarkStart w:id="72" w:name="_Toc34221900"/>
      <w:bookmarkStart w:id="73" w:name="_Toc34572034"/>
      <w:r>
        <w:rPr>
          <w:rFonts w:hint="eastAsia" w:ascii="宋体" w:hAnsi="宋体" w:eastAsia="宋体"/>
          <w:color w:val="auto"/>
          <w:sz w:val="24"/>
          <w:szCs w:val="24"/>
          <w:highlight w:val="none"/>
        </w:rPr>
        <w:t>六、 评  标</w:t>
      </w:r>
      <w:bookmarkEnd w:id="71"/>
      <w:bookmarkEnd w:id="72"/>
      <w:bookmarkEnd w:id="73"/>
    </w:p>
    <w:p w14:paraId="67D0282A">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28. 评标委员会</w:t>
      </w:r>
    </w:p>
    <w:p w14:paraId="0461E534">
      <w:pPr>
        <w:spacing w:line="460" w:lineRule="exact"/>
        <w:ind w:firstLine="440" w:firstLineChars="20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254AF6F2">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29. 评标过程的保密性</w:t>
      </w:r>
    </w:p>
    <w:p w14:paraId="79556A1A">
      <w:pPr>
        <w:spacing w:line="460" w:lineRule="exact"/>
        <w:ind w:firstLine="440" w:firstLineChars="20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4F75FEF6">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30. 投标文件的初审（符合性检查）。</w:t>
      </w:r>
    </w:p>
    <w:p w14:paraId="56C99450">
      <w:pPr>
        <w:spacing w:line="460" w:lineRule="exact"/>
        <w:ind w:firstLine="440" w:firstLineChars="20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7CE228F1">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30.1▲</w:t>
      </w:r>
      <w:r>
        <w:rPr>
          <w:rFonts w:hint="eastAsia" w:ascii="宋体" w:hAnsi="宋体" w:cs="新宋体"/>
          <w:b/>
          <w:bCs/>
          <w:color w:val="auto"/>
          <w:kern w:val="0"/>
          <w:sz w:val="22"/>
          <w:szCs w:val="22"/>
          <w:highlight w:val="none"/>
          <w:u w:val="single"/>
        </w:rPr>
        <w:t>投标人存在下列情况之一的，投标无效</w:t>
      </w:r>
      <w:r>
        <w:rPr>
          <w:rFonts w:hint="eastAsia" w:ascii="宋体" w:hAnsi="宋体" w:cs="新宋体"/>
          <w:color w:val="auto"/>
          <w:kern w:val="0"/>
          <w:sz w:val="22"/>
          <w:szCs w:val="22"/>
          <w:highlight w:val="none"/>
        </w:rPr>
        <w:t>:</w:t>
      </w:r>
    </w:p>
    <w:p w14:paraId="0E15B93F">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1）投标文件正本未按采购文件要求签署、盖章的；</w:t>
      </w:r>
    </w:p>
    <w:p w14:paraId="6BFB2A89">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2）不具备采购文件中规定的资格要求的；</w:t>
      </w:r>
    </w:p>
    <w:p w14:paraId="05C1F44C">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3）报价超过采购文件中规定的预算金额或者最高限价的；</w:t>
      </w:r>
    </w:p>
    <w:p w14:paraId="2B4BD3D8">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4）投标文件含有采购人不能接受的附加条件的（包括采购文件中明确要求不得偏离的招标要求，存在负偏离的）；</w:t>
      </w:r>
    </w:p>
    <w:p w14:paraId="1ABA243F">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5）仅提交“备份投标文件”的；</w:t>
      </w:r>
    </w:p>
    <w:p w14:paraId="50C89A6F">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6）对关键条文的偏离、保留或反对，例如关于付款方式、完工期（服务期）、免费质保期、适用法律法规、标准、税费等其他内容；</w:t>
      </w:r>
    </w:p>
    <w:p w14:paraId="6CFED66E">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7）存在串标、抬标或弄虚作假情况的；</w:t>
      </w:r>
    </w:p>
    <w:p w14:paraId="5D36D775">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8）法律、法规和采购文件规定的其他无效情形（或出现重大偏差）。</w:t>
      </w:r>
    </w:p>
    <w:p w14:paraId="55EC52E5">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30.2▲</w:t>
      </w:r>
      <w:r>
        <w:rPr>
          <w:rFonts w:hint="eastAsia" w:ascii="宋体" w:hAnsi="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新宋体"/>
          <w:color w:val="auto"/>
          <w:kern w:val="0"/>
          <w:sz w:val="22"/>
          <w:szCs w:val="22"/>
          <w:highlight w:val="none"/>
        </w:rPr>
        <w:t>：</w:t>
      </w:r>
    </w:p>
    <w:p w14:paraId="3253C6C3">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1）未按采购文件要求编制或字迹模糊、辨认不清的投标文件；</w:t>
      </w:r>
    </w:p>
    <w:p w14:paraId="72F76F2E">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2）除30.1条款以外，出现其它明显不符合技术规格、技术标准的要求或不满足采购文件技术规格书中的主要参数的投标文件；</w:t>
      </w:r>
    </w:p>
    <w:p w14:paraId="3212D849">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3）除30.1条款以外，出现投标项目数量与采购文件对比出现较大偏差；商务报价明细表计算错误，出现较大差错；</w:t>
      </w:r>
    </w:p>
    <w:p w14:paraId="05F8A35F">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b/>
          <w:bCs/>
          <w:color w:val="auto"/>
          <w:kern w:val="0"/>
          <w:sz w:val="22"/>
          <w:szCs w:val="22"/>
          <w:highlight w:val="none"/>
          <w:u w:val="single"/>
        </w:rPr>
        <w:t>4）除30.1条款以外，出现其它不符合采购文件中规定的实质性要求的投标文件，是否为偏离实质性要求由评标委员会认定。</w:t>
      </w:r>
    </w:p>
    <w:p w14:paraId="509E6CCB">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30.3</w:t>
      </w:r>
      <w:r>
        <w:rPr>
          <w:rFonts w:hint="eastAsia" w:ascii="宋体" w:hAnsi="宋体" w:cs="新宋体"/>
          <w:b/>
          <w:bCs/>
          <w:color w:val="auto"/>
          <w:kern w:val="0"/>
          <w:sz w:val="22"/>
          <w:szCs w:val="22"/>
          <w:highlight w:val="none"/>
          <w:u w:val="single"/>
        </w:rPr>
        <w:t>有下列情形之一的，视为投标人串通投标，其投标无效</w:t>
      </w:r>
      <w:r>
        <w:rPr>
          <w:rFonts w:hint="eastAsia" w:ascii="宋体" w:hAnsi="宋体" w:cs="新宋体"/>
          <w:color w:val="auto"/>
          <w:kern w:val="0"/>
          <w:sz w:val="22"/>
          <w:szCs w:val="22"/>
          <w:highlight w:val="none"/>
        </w:rPr>
        <w:t>：</w:t>
      </w:r>
    </w:p>
    <w:p w14:paraId="09CE61A6">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1)不同投标人的投标文件由同一单位或者个人编制；</w:t>
      </w:r>
    </w:p>
    <w:p w14:paraId="4FFB1441">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2)不同投标人委托同一单位或者个人办理投标事宜；</w:t>
      </w:r>
    </w:p>
    <w:p w14:paraId="7AD44340">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3)不同投标人的投标文件载明的项目管理成员或者联系人员为同一人；</w:t>
      </w:r>
    </w:p>
    <w:p w14:paraId="1798A959">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4）不同投标人的投标文件异常一致或者投标报价呈规律性差异；</w:t>
      </w:r>
    </w:p>
    <w:p w14:paraId="0004DE95">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5）不同投标人的投标文件相互混装；</w:t>
      </w:r>
    </w:p>
    <w:p w14:paraId="349EBCC5">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225AD5A3">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59A52721">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31.投标文件的澄清</w:t>
      </w:r>
    </w:p>
    <w:p w14:paraId="01E2CB16">
      <w:pPr>
        <w:spacing w:line="460" w:lineRule="exact"/>
        <w:rPr>
          <w:rFonts w:hint="eastAsia" w:ascii="宋体" w:hAnsi="宋体" w:cs="宋体"/>
          <w:b/>
          <w:bCs/>
          <w:color w:val="auto"/>
          <w:sz w:val="22"/>
          <w:szCs w:val="22"/>
          <w:highlight w:val="none"/>
        </w:rPr>
      </w:pPr>
      <w:r>
        <w:rPr>
          <w:rFonts w:hint="eastAsia" w:ascii="宋体" w:hAnsi="宋体" w:cs="新宋体"/>
          <w:color w:val="auto"/>
          <w:kern w:val="0"/>
          <w:sz w:val="22"/>
          <w:szCs w:val="22"/>
          <w:highlight w:val="none"/>
        </w:rPr>
        <w:t>31.1</w:t>
      </w:r>
      <w:r>
        <w:rPr>
          <w:rFonts w:hint="eastAsia" w:ascii="宋体" w:hAnsi="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092EEBC">
      <w:pPr>
        <w:spacing w:line="460" w:lineRule="exact"/>
        <w:rPr>
          <w:rFonts w:hint="eastAsia" w:ascii="宋体" w:hAnsi="宋体" w:cs="宋体"/>
          <w:b/>
          <w:bCs/>
          <w:color w:val="auto"/>
          <w:sz w:val="22"/>
          <w:szCs w:val="22"/>
          <w:highlight w:val="none"/>
        </w:rPr>
      </w:pPr>
      <w:r>
        <w:rPr>
          <w:rFonts w:hint="eastAsia" w:ascii="宋体" w:hAnsi="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65EF66B">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31.3</w:t>
      </w: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新宋体"/>
          <w:color w:val="auto"/>
          <w:kern w:val="0"/>
          <w:sz w:val="22"/>
          <w:szCs w:val="22"/>
          <w:highlight w:val="none"/>
        </w:rPr>
        <w:t>：</w:t>
      </w:r>
    </w:p>
    <w:p w14:paraId="44B86BEA">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新宋体"/>
          <w:color w:val="auto"/>
          <w:kern w:val="0"/>
          <w:sz w:val="22"/>
          <w:szCs w:val="22"/>
          <w:highlight w:val="none"/>
        </w:rPr>
        <w:t>。</w:t>
      </w:r>
    </w:p>
    <w:p w14:paraId="6381EA40">
      <w:pPr>
        <w:spacing w:line="460" w:lineRule="exact"/>
        <w:ind w:firstLine="418" w:firstLineChars="190"/>
        <w:rPr>
          <w:rFonts w:hint="eastAsia" w:ascii="宋体" w:hAnsi="宋体" w:cs="宋体"/>
          <w:color w:val="auto"/>
          <w:sz w:val="22"/>
          <w:highlight w:val="none"/>
        </w:rPr>
      </w:pPr>
      <w:r>
        <w:rPr>
          <w:rFonts w:hint="eastAsia" w:ascii="宋体" w:hAnsi="宋体" w:cs="新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78284D09">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377499A1">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22A79408">
      <w:pPr>
        <w:spacing w:line="460" w:lineRule="exact"/>
        <w:ind w:firstLine="418" w:firstLineChars="190"/>
        <w:rPr>
          <w:rFonts w:hint="eastAsia"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同时出现两种以上不一致的，按照前款规定的顺序修正。修正后的报价按照本采购文件规定经投标人确认后产生约束力，投标人不确认的，其投标无效。</w:t>
      </w:r>
    </w:p>
    <w:p w14:paraId="61BC4C81">
      <w:pPr>
        <w:spacing w:line="460" w:lineRule="exact"/>
        <w:ind w:firstLine="418" w:firstLineChars="190"/>
        <w:rPr>
          <w:rFonts w:hint="eastAsia" w:ascii="宋体" w:hAnsi="宋体" w:cs="宋体"/>
          <w:b/>
          <w:bCs/>
          <w:color w:val="auto"/>
          <w:sz w:val="22"/>
          <w:highlight w:val="none"/>
          <w:u w:val="single"/>
        </w:rPr>
      </w:pPr>
      <w:r>
        <w:rPr>
          <w:rFonts w:hint="eastAsia" w:ascii="宋体" w:hAnsi="宋体" w:cs="宋体"/>
          <w:b/>
          <w:color w:val="auto"/>
          <w:sz w:val="22"/>
          <w:highlight w:val="none"/>
          <w:u w:val="single"/>
        </w:rPr>
        <w:t>6）</w:t>
      </w:r>
      <w:r>
        <w:rPr>
          <w:rFonts w:hint="eastAsia" w:ascii="宋体" w:hAnsi="宋体" w:cs="宋体"/>
          <w:b/>
          <w:bCs/>
          <w:color w:val="auto"/>
          <w:sz w:val="22"/>
          <w:highlight w:val="none"/>
          <w:u w:val="single"/>
        </w:rPr>
        <w:t>▲如投标供应商缺漏项价格比例达到投标报价的5%（含）以上时，属于商务重大偏离，评标委员会将对其投标按无效标处理。</w:t>
      </w:r>
    </w:p>
    <w:p w14:paraId="3B87928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31.4</w:t>
      </w:r>
      <w:r>
        <w:rPr>
          <w:rFonts w:hint="eastAsia" w:ascii="宋体" w:hAnsi="宋体" w:cs="新宋体"/>
          <w:color w:val="auto"/>
          <w:kern w:val="0"/>
          <w:sz w:val="22"/>
          <w:szCs w:val="22"/>
          <w:highlight w:val="none"/>
        </w:rPr>
        <w:t>▲</w:t>
      </w:r>
      <w:r>
        <w:rPr>
          <w:rFonts w:hint="eastAsia" w:ascii="宋体" w:hAnsi="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新宋体"/>
          <w:color w:val="auto"/>
          <w:kern w:val="0"/>
          <w:sz w:val="22"/>
          <w:szCs w:val="22"/>
          <w:highlight w:val="none"/>
        </w:rPr>
        <w:t>。</w:t>
      </w:r>
    </w:p>
    <w:p w14:paraId="0A974D5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31.5如果投标人代表拒绝按评标委员会要求在“政采云平台”作出在线回复且无其他有效回复方式的，评标委员会可以对其作出否决投标处理。</w:t>
      </w:r>
    </w:p>
    <w:p w14:paraId="6E25B3E4">
      <w:pPr>
        <w:spacing w:line="460" w:lineRule="exact"/>
        <w:rPr>
          <w:rFonts w:hint="eastAsia" w:ascii="宋体" w:hAnsi="宋体" w:cs="新宋体"/>
          <w:color w:val="auto"/>
          <w:kern w:val="0"/>
          <w:sz w:val="22"/>
          <w:szCs w:val="22"/>
          <w:highlight w:val="none"/>
        </w:rPr>
      </w:pPr>
      <w:r>
        <w:rPr>
          <w:rFonts w:hint="eastAsia" w:ascii="宋体" w:hAnsi="宋体" w:cs="宋体"/>
          <w:color w:val="auto"/>
          <w:sz w:val="22"/>
          <w:szCs w:val="22"/>
          <w:highlight w:val="none"/>
        </w:rPr>
        <w:t>31.6</w:t>
      </w:r>
      <w:r>
        <w:rPr>
          <w:rFonts w:hint="eastAsia" w:ascii="宋体" w:hAnsi="宋体" w:cs="宋体"/>
          <w:color w:val="auto"/>
          <w:sz w:val="22"/>
          <w:highlight w:val="none"/>
        </w:rPr>
        <w:t>经澄清后，若偏差仍存在，且不可接受，则投标文件将被认定为“没有实质性响应采购文件要求”，按无效投标处理，不再进入下一步评审。</w:t>
      </w:r>
    </w:p>
    <w:p w14:paraId="606A7A65">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32.</w:t>
      </w:r>
      <w:r>
        <w:rPr>
          <w:rFonts w:hint="eastAsia" w:ascii="宋体" w:hAnsi="宋体" w:cs="宋体"/>
          <w:b/>
          <w:bCs/>
          <w:color w:val="auto"/>
          <w:sz w:val="22"/>
          <w:highlight w:val="none"/>
        </w:rPr>
        <w:t xml:space="preserve"> 评标原则和评标办法</w:t>
      </w:r>
    </w:p>
    <w:p w14:paraId="1B0A7B86">
      <w:pPr>
        <w:pStyle w:val="13"/>
        <w:snapToGrid w:val="0"/>
        <w:spacing w:line="460" w:lineRule="exact"/>
        <w:rPr>
          <w:rFonts w:hAnsi="宋体" w:cs="宋体"/>
          <w:color w:val="auto"/>
          <w:sz w:val="22"/>
          <w:highlight w:val="none"/>
        </w:rPr>
      </w:pPr>
      <w:r>
        <w:rPr>
          <w:rFonts w:hint="eastAsia" w:hAnsi="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1792C132">
      <w:pPr>
        <w:pStyle w:val="19"/>
        <w:spacing w:before="0" w:beforeAutospacing="0" w:after="0" w:afterAutospacing="0" w:line="460" w:lineRule="exact"/>
        <w:jc w:val="both"/>
        <w:rPr>
          <w:color w:val="auto"/>
          <w:sz w:val="22"/>
          <w:highlight w:val="none"/>
        </w:rPr>
      </w:pPr>
      <w:r>
        <w:rPr>
          <w:rFonts w:hint="eastAsia"/>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29BA7B35">
      <w:pPr>
        <w:pStyle w:val="13"/>
        <w:snapToGrid w:val="0"/>
        <w:spacing w:line="460" w:lineRule="exact"/>
        <w:rPr>
          <w:rFonts w:hAnsi="宋体" w:cs="宋体"/>
          <w:color w:val="auto"/>
          <w:sz w:val="22"/>
          <w:highlight w:val="none"/>
        </w:rPr>
      </w:pPr>
      <w:r>
        <w:rPr>
          <w:rFonts w:hint="eastAsia" w:hAnsi="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7CD73D05">
      <w:pPr>
        <w:pStyle w:val="13"/>
        <w:snapToGrid w:val="0"/>
        <w:spacing w:line="460" w:lineRule="exact"/>
        <w:rPr>
          <w:rFonts w:hAnsi="宋体" w:cs="宋体"/>
          <w:color w:val="auto"/>
          <w:sz w:val="22"/>
          <w:highlight w:val="none"/>
        </w:rPr>
      </w:pPr>
      <w:r>
        <w:rPr>
          <w:rFonts w:hint="eastAsia" w:hAnsi="宋体" w:cs="宋体"/>
          <w:color w:val="auto"/>
          <w:sz w:val="22"/>
          <w:highlight w:val="none"/>
        </w:rPr>
        <w:t>32.4本项目评标办法是综合评分法，具体评标内容及评分标准等详见第六部分“评标原则及方法”。</w:t>
      </w:r>
    </w:p>
    <w:p w14:paraId="0BD5ED8E">
      <w:pPr>
        <w:pStyle w:val="13"/>
        <w:snapToGrid w:val="0"/>
        <w:spacing w:line="460" w:lineRule="exact"/>
        <w:rPr>
          <w:rFonts w:hAnsi="宋体" w:cs="宋体"/>
          <w:b/>
          <w:color w:val="auto"/>
          <w:sz w:val="22"/>
          <w:highlight w:val="none"/>
        </w:rPr>
      </w:pPr>
      <w:r>
        <w:rPr>
          <w:rFonts w:hint="eastAsia" w:hAnsi="宋体" w:cs="宋体"/>
          <w:b/>
          <w:color w:val="auto"/>
          <w:sz w:val="22"/>
          <w:highlight w:val="none"/>
          <w:u w:val="single"/>
        </w:rPr>
        <w:t>32.5▲根据《中华人民共和国政府采购法》第三十六条规定：在招标采购中，符合专业条件的投标人或者对采购文件作实质响应的投标人不足三家的，此项目废标，应重新组织采购。</w:t>
      </w:r>
    </w:p>
    <w:p w14:paraId="42B08657">
      <w:pPr>
        <w:spacing w:line="460" w:lineRule="exact"/>
        <w:rPr>
          <w:rFonts w:hint="eastAsia" w:ascii="宋体" w:hAnsi="宋体" w:cs="新宋体"/>
          <w:color w:val="auto"/>
          <w:kern w:val="0"/>
          <w:sz w:val="22"/>
          <w:szCs w:val="22"/>
          <w:highlight w:val="none"/>
        </w:rPr>
      </w:pPr>
      <w:r>
        <w:rPr>
          <w:rFonts w:hint="eastAsia" w:ascii="宋体" w:hAnsi="宋体" w:cs="宋体"/>
          <w:color w:val="auto"/>
          <w:sz w:val="22"/>
          <w:highlight w:val="none"/>
        </w:rPr>
        <w:t>32.6评标过程中遇到特殊情况，由评标委员会遵循公开、公正原则，采取投票方式按照少数服从多数原则决定。</w:t>
      </w:r>
    </w:p>
    <w:p w14:paraId="45C0360B">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33.确定中标候选人</w:t>
      </w:r>
    </w:p>
    <w:p w14:paraId="62FE42ED">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33.1本次招标由评标委员会推荐</w:t>
      </w:r>
      <w:r>
        <w:rPr>
          <w:rFonts w:hint="eastAsia" w:ascii="宋体" w:hAnsi="宋体" w:cs="新宋体"/>
          <w:color w:val="auto"/>
          <w:kern w:val="0"/>
          <w:sz w:val="22"/>
          <w:szCs w:val="22"/>
          <w:highlight w:val="none"/>
          <w:lang w:val="en-US" w:eastAsia="zh-CN"/>
        </w:rPr>
        <w:t>1</w:t>
      </w:r>
      <w:r>
        <w:rPr>
          <w:rFonts w:hint="eastAsia" w:ascii="宋体" w:hAnsi="宋体" w:cs="新宋体"/>
          <w:color w:val="auto"/>
          <w:kern w:val="0"/>
          <w:sz w:val="22"/>
          <w:szCs w:val="22"/>
          <w:highlight w:val="none"/>
        </w:rPr>
        <w:t>名中标候选人，采购人根据评标委员会的推荐结果进行最终确认。</w:t>
      </w:r>
    </w:p>
    <w:p w14:paraId="652CD36D">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33.2</w:t>
      </w:r>
      <w:r>
        <w:rPr>
          <w:rFonts w:hint="eastAsia" w:ascii="宋体" w:hAnsi="宋体" w:cs="新宋体"/>
          <w:color w:val="auto"/>
          <w:sz w:val="22"/>
          <w:szCs w:val="22"/>
          <w:highlight w:val="none"/>
        </w:rPr>
        <w:t>评标委员会依据法律、法规及采购文件有关规定在有效标中按投标人的最终得分（即技术资信分与商务分之和）高低进行排序，得分前一名的投标人推荐为第一中标候选人（得分相同投标报价低的排序第一；得分且投标报价相同的，由评标委员会成员抽签决定排序）</w:t>
      </w:r>
      <w:r>
        <w:rPr>
          <w:rFonts w:hint="eastAsia" w:ascii="宋体" w:hAnsi="宋体" w:cs="新宋体"/>
          <w:color w:val="auto"/>
          <w:kern w:val="0"/>
          <w:sz w:val="22"/>
          <w:szCs w:val="22"/>
          <w:highlight w:val="none"/>
        </w:rPr>
        <w:t>。</w:t>
      </w:r>
    </w:p>
    <w:p w14:paraId="2033DC46">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33.3若出现以下情形之一，采购人可视具体情况确定是否由备选中标人为中标人或重新组织招标：</w:t>
      </w:r>
    </w:p>
    <w:p w14:paraId="5565E917">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1）中标候选人放弃中标资格；</w:t>
      </w:r>
    </w:p>
    <w:p w14:paraId="53194FAB">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2）中标候选人因不可抗力提出不能履行合同；</w:t>
      </w:r>
    </w:p>
    <w:p w14:paraId="19200EBD">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3）中标候选人未能在规定时间内与采购单位签订合同；</w:t>
      </w:r>
    </w:p>
    <w:p w14:paraId="62EF8908">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4）经质疑，采购人审查后，中标候选人确实在本次采购活动中存在违法违规行为或其他原因使质疑成立的。</w:t>
      </w:r>
    </w:p>
    <w:p w14:paraId="0C9F823B">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33.4采购人、采购代理机构及评标委员会对未中标的供应商不作解释。同时根据政府采购法实施条例第四十条规定，本项目不对供应商公布详细的评审情况，不公布具体评标细则中小项得分。</w:t>
      </w:r>
    </w:p>
    <w:p w14:paraId="23BF4502">
      <w:pPr>
        <w:tabs>
          <w:tab w:val="left" w:pos="1365"/>
        </w:tabs>
        <w:spacing w:line="460" w:lineRule="exact"/>
        <w:ind w:left="550" w:hanging="550" w:hangingChars="250"/>
        <w:rPr>
          <w:rFonts w:hint="eastAsia" w:ascii="宋体" w:hAnsi="宋体" w:cs="新宋体"/>
          <w:bCs/>
          <w:color w:val="auto"/>
          <w:sz w:val="22"/>
          <w:szCs w:val="22"/>
          <w:highlight w:val="none"/>
        </w:rPr>
      </w:pPr>
      <w:r>
        <w:rPr>
          <w:rFonts w:hint="eastAsia" w:ascii="宋体" w:hAnsi="宋体" w:cs="新宋体"/>
          <w:color w:val="auto"/>
          <w:kern w:val="0"/>
          <w:sz w:val="22"/>
          <w:szCs w:val="22"/>
          <w:highlight w:val="none"/>
        </w:rPr>
        <w:t>34. 评标细则详见“评标原则及方法”</w:t>
      </w:r>
      <w:r>
        <w:rPr>
          <w:rFonts w:hint="eastAsia" w:ascii="宋体" w:hAnsi="宋体" w:cs="新宋体"/>
          <w:bCs/>
          <w:color w:val="auto"/>
          <w:sz w:val="22"/>
          <w:szCs w:val="22"/>
          <w:highlight w:val="none"/>
        </w:rPr>
        <w:t>。</w:t>
      </w:r>
    </w:p>
    <w:p w14:paraId="274D25E7">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35. 可中止电子交易活动的情形</w:t>
      </w:r>
    </w:p>
    <w:p w14:paraId="268438D2">
      <w:pPr>
        <w:spacing w:line="460" w:lineRule="exac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51DCEC52">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电子交易平台发生故障而无法登录访问的；</w:t>
      </w:r>
    </w:p>
    <w:p w14:paraId="36A85354">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电子交易平台应用或数据库出现错误，不能进行正常操作的；</w:t>
      </w:r>
    </w:p>
    <w:p w14:paraId="6455CCA7">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电子交易平台发现严重安全漏洞，有潜在泄密危险的；</w:t>
      </w:r>
    </w:p>
    <w:p w14:paraId="415EADCC">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病毒发作导致不能进行正常操作的；</w:t>
      </w:r>
    </w:p>
    <w:p w14:paraId="207D1290">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其他无法保证电子交易的公平、公正和安全的情况。</w:t>
      </w:r>
    </w:p>
    <w:p w14:paraId="3360B7CE">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271DD883">
      <w:pPr>
        <w:pStyle w:val="3"/>
        <w:spacing w:line="500" w:lineRule="exact"/>
        <w:jc w:val="center"/>
        <w:rPr>
          <w:rFonts w:hint="eastAsia" w:ascii="宋体" w:hAnsi="宋体" w:eastAsia="宋体"/>
          <w:color w:val="auto"/>
          <w:sz w:val="24"/>
          <w:szCs w:val="24"/>
          <w:highlight w:val="none"/>
        </w:rPr>
      </w:pPr>
      <w:bookmarkStart w:id="74" w:name="_Toc34221901"/>
      <w:bookmarkStart w:id="75" w:name="_Toc34508136"/>
      <w:bookmarkStart w:id="76" w:name="_Toc306613654"/>
      <w:bookmarkStart w:id="77" w:name="_Toc34572035"/>
      <w:r>
        <w:rPr>
          <w:rFonts w:hint="eastAsia" w:ascii="宋体" w:hAnsi="宋体" w:eastAsia="宋体"/>
          <w:color w:val="auto"/>
          <w:sz w:val="24"/>
          <w:szCs w:val="24"/>
          <w:highlight w:val="none"/>
        </w:rPr>
        <w:t>七、 授予合同</w:t>
      </w:r>
      <w:bookmarkEnd w:id="74"/>
      <w:bookmarkEnd w:id="75"/>
      <w:bookmarkEnd w:id="76"/>
      <w:bookmarkEnd w:id="77"/>
    </w:p>
    <w:p w14:paraId="0D3FADC3">
      <w:pPr>
        <w:tabs>
          <w:tab w:val="left" w:pos="540"/>
        </w:tabs>
        <w:spacing w:line="44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36. 确定中标人</w:t>
      </w:r>
    </w:p>
    <w:p w14:paraId="4724B31E">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36.1采购人自收到评标报告之日起5个工作日内，在评标报告确定的中标候选人名单中按顺序确定中标人。</w:t>
      </w:r>
    </w:p>
    <w:p w14:paraId="789C669D">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36.2中标人确定之日起2个工作日内，在“政采云”平台上公示中标结果，中标公告期限为1个工作日；</w:t>
      </w:r>
    </w:p>
    <w:p w14:paraId="71D095D3">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36.3在公告中标结果的同时，采购人向中标人发出中标通知书。</w:t>
      </w:r>
    </w:p>
    <w:p w14:paraId="11926AB8">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36.4各投标人对评标结果如有异议，可在中标结果公示之日起7个工作日内以书面形式向采购人进行署名投诉或提出质疑，但需对投诉或质疑内容的真实性承担法律责任。</w:t>
      </w:r>
    </w:p>
    <w:p w14:paraId="65D69CE5">
      <w:pPr>
        <w:tabs>
          <w:tab w:val="left" w:pos="540"/>
        </w:tabs>
        <w:spacing w:line="44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37. 签订合同</w:t>
      </w:r>
    </w:p>
    <w:p w14:paraId="0B80C1E6">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14:paraId="16DC360C">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37.2采购文件、中标投标人的投标文件及投标修改文件、评标过程中有关澄清文件及经双方签字的询标纪要（承诺）和中标通知书均作为合同附件。</w:t>
      </w:r>
    </w:p>
    <w:p w14:paraId="4C872FAA">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37.3拒签合同的责任</w:t>
      </w:r>
    </w:p>
    <w:p w14:paraId="1EA2F911">
      <w:pPr>
        <w:tabs>
          <w:tab w:val="left" w:pos="640"/>
        </w:tabs>
        <w:spacing w:line="440" w:lineRule="exact"/>
        <w:rPr>
          <w:rFonts w:hint="eastAsia" w:ascii="宋体" w:hAnsi="宋体" w:cs="新宋体"/>
          <w:color w:val="auto"/>
          <w:spacing w:val="6"/>
          <w:sz w:val="22"/>
          <w:szCs w:val="22"/>
          <w:highlight w:val="none"/>
        </w:rPr>
      </w:pPr>
      <w:r>
        <w:rPr>
          <w:rFonts w:hint="eastAsia" w:ascii="宋体" w:hAnsi="宋体" w:cs="新宋体"/>
          <w:color w:val="auto"/>
          <w:sz w:val="22"/>
          <w:szCs w:val="22"/>
          <w:highlight w:val="none"/>
        </w:rPr>
        <w:t>37.4中标投标人在规定时间内（30日历天）借故否认已经承诺的条件、拒签合同，以投标违约处理，并赔偿采购人由此造成的直接经济损失；采购人重新组织招标的，所需费用由原中标投标人承担。</w:t>
      </w:r>
    </w:p>
    <w:p w14:paraId="60482E77">
      <w:pPr>
        <w:pStyle w:val="28"/>
        <w:spacing w:line="500" w:lineRule="exact"/>
        <w:ind w:firstLine="602"/>
        <w:jc w:val="center"/>
        <w:rPr>
          <w:rFonts w:hAnsi="宋体" w:cs="宋体"/>
          <w:b/>
          <w:color w:val="auto"/>
          <w:sz w:val="30"/>
          <w:szCs w:val="30"/>
          <w:highlight w:val="none"/>
        </w:rPr>
      </w:pPr>
      <w:r>
        <w:rPr>
          <w:rFonts w:hAnsi="宋体" w:cs="新宋体"/>
          <w:b/>
          <w:bCs/>
          <w:color w:val="auto"/>
          <w:sz w:val="30"/>
          <w:szCs w:val="30"/>
          <w:highlight w:val="none"/>
        </w:rPr>
        <w:br w:type="page"/>
      </w:r>
      <w:r>
        <w:rPr>
          <w:rFonts w:hint="eastAsia" w:hAnsi="宋体" w:cs="宋体"/>
          <w:b/>
          <w:color w:val="auto"/>
          <w:sz w:val="30"/>
          <w:szCs w:val="30"/>
          <w:highlight w:val="none"/>
        </w:rPr>
        <w:t>政府采购活动现场确认声明书</w:t>
      </w:r>
    </w:p>
    <w:p w14:paraId="439AC716">
      <w:pPr>
        <w:pStyle w:val="28"/>
        <w:spacing w:line="500" w:lineRule="exact"/>
        <w:ind w:firstLine="442"/>
        <w:rPr>
          <w:rFonts w:hint="eastAsia" w:hAnsi="宋体" w:cs="宋体"/>
          <w:b/>
          <w:bCs/>
          <w:color w:val="auto"/>
          <w:sz w:val="22"/>
          <w:szCs w:val="22"/>
          <w:highlight w:val="none"/>
        </w:rPr>
      </w:pPr>
      <w:r>
        <w:rPr>
          <w:rFonts w:hint="eastAsia" w:hAnsi="宋体" w:cs="宋体"/>
          <w:b/>
          <w:bCs/>
          <w:color w:val="auto"/>
          <w:sz w:val="22"/>
          <w:szCs w:val="22"/>
          <w:highlight w:val="none"/>
          <w:lang w:eastAsia="zh-CN"/>
        </w:rPr>
        <w:t>温州市鹿城区山福镇人民政府</w:t>
      </w:r>
      <w:r>
        <w:rPr>
          <w:rFonts w:hint="eastAsia" w:hAnsi="宋体" w:cs="宋体"/>
          <w:b/>
          <w:color w:val="auto"/>
          <w:kern w:val="0"/>
          <w:sz w:val="22"/>
          <w:szCs w:val="22"/>
          <w:highlight w:val="none"/>
        </w:rPr>
        <w:t>：</w:t>
      </w:r>
    </w:p>
    <w:p w14:paraId="54991C9A">
      <w:pPr>
        <w:pStyle w:val="28"/>
        <w:spacing w:line="500" w:lineRule="exact"/>
        <w:ind w:firstLine="442"/>
        <w:rPr>
          <w:rFonts w:hAnsi="宋体" w:cs="宋体"/>
          <w:b/>
          <w:color w:val="auto"/>
          <w:sz w:val="22"/>
          <w:szCs w:val="22"/>
          <w:highlight w:val="none"/>
        </w:rPr>
      </w:pPr>
      <w:r>
        <w:rPr>
          <w:rFonts w:hint="eastAsia" w:hAnsi="宋体" w:cs="宋体"/>
          <w:b/>
          <w:bCs/>
          <w:color w:val="auto"/>
          <w:sz w:val="22"/>
          <w:szCs w:val="22"/>
          <w:highlight w:val="none"/>
          <w:lang w:eastAsia="zh-CN"/>
        </w:rPr>
        <w:t>浙江三凯工程管理有限公司</w:t>
      </w:r>
      <w:r>
        <w:rPr>
          <w:rFonts w:hint="eastAsia" w:hAnsi="宋体" w:cs="宋体"/>
          <w:b/>
          <w:color w:val="auto"/>
          <w:kern w:val="0"/>
          <w:sz w:val="22"/>
          <w:szCs w:val="22"/>
          <w:highlight w:val="none"/>
        </w:rPr>
        <w:t>：</w:t>
      </w:r>
    </w:p>
    <w:p w14:paraId="7D380FAC">
      <w:pPr>
        <w:pStyle w:val="28"/>
        <w:spacing w:line="480" w:lineRule="exact"/>
        <w:ind w:firstLine="464"/>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15865F13">
      <w:pPr>
        <w:pStyle w:val="29"/>
        <w:widowControl/>
        <w:numPr>
          <w:ilvl w:val="0"/>
          <w:numId w:val="8"/>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344D0A28">
      <w:pPr>
        <w:pStyle w:val="29"/>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14:paraId="4C0784C8">
      <w:pPr>
        <w:pStyle w:val="29"/>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14:paraId="4A5C9DC7">
      <w:pPr>
        <w:pStyle w:val="29"/>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69C4C5CD">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7D66BC87">
      <w:pPr>
        <w:pStyle w:val="2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56CA8054">
      <w:pPr>
        <w:pStyle w:val="2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03D4431E">
      <w:pPr>
        <w:pStyle w:val="2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34FA8E30">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5CD04E24">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4CD70899">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6B280B08">
      <w:pPr>
        <w:pStyle w:val="28"/>
        <w:spacing w:line="480" w:lineRule="exact"/>
        <w:ind w:firstLine="440"/>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5104C39C">
      <w:pPr>
        <w:pStyle w:val="28"/>
        <w:spacing w:line="480" w:lineRule="exact"/>
        <w:ind w:firstLine="440"/>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7F87CB62">
      <w:pPr>
        <w:pStyle w:val="29"/>
        <w:widowControl/>
        <w:numPr>
          <w:ilvl w:val="0"/>
          <w:numId w:val="9"/>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420C3B8">
      <w:pPr>
        <w:pStyle w:val="29"/>
        <w:widowControl/>
        <w:numPr>
          <w:ilvl w:val="0"/>
          <w:numId w:val="9"/>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我发现供应商之间存在或可能存在上述第二条第项利害关系。</w:t>
      </w:r>
    </w:p>
    <w:p w14:paraId="4299AB5A">
      <w:pPr>
        <w:pStyle w:val="28"/>
        <w:spacing w:line="500" w:lineRule="exact"/>
        <w:ind w:firstLine="440"/>
        <w:rPr>
          <w:rFonts w:hAnsi="宋体" w:cs="宋体"/>
          <w:color w:val="auto"/>
          <w:sz w:val="22"/>
          <w:szCs w:val="22"/>
          <w:highlight w:val="none"/>
        </w:rPr>
      </w:pPr>
    </w:p>
    <w:p w14:paraId="7C10CA1C">
      <w:pPr>
        <w:pStyle w:val="28"/>
        <w:spacing w:line="500" w:lineRule="exact"/>
        <w:ind w:firstLine="440"/>
        <w:rPr>
          <w:rFonts w:hAnsi="宋体" w:cs="宋体"/>
          <w:color w:val="auto"/>
          <w:sz w:val="22"/>
          <w:szCs w:val="22"/>
          <w:highlight w:val="none"/>
          <w:u w:val="single"/>
        </w:rPr>
      </w:pPr>
      <w:r>
        <w:rPr>
          <w:rFonts w:hint="eastAsia" w:hAnsi="宋体" w:cs="宋体"/>
          <w:color w:val="auto"/>
          <w:sz w:val="22"/>
          <w:szCs w:val="22"/>
          <w:highlight w:val="none"/>
        </w:rPr>
        <w:t>法定代表人的授权代表签字：</w:t>
      </w:r>
    </w:p>
    <w:p w14:paraId="71E5FA6F">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1A7F03FD">
      <w:pPr>
        <w:spacing w:line="440" w:lineRule="exact"/>
        <w:jc w:val="right"/>
        <w:rPr>
          <w:rFonts w:hint="eastAsia" w:ascii="宋体" w:hAnsi="宋体" w:cs="新宋体"/>
          <w:b/>
          <w:bCs/>
          <w:color w:val="auto"/>
          <w:sz w:val="22"/>
          <w:szCs w:val="22"/>
          <w:highlight w:val="none"/>
        </w:rPr>
      </w:pPr>
      <w:r>
        <w:rPr>
          <w:rFonts w:hint="eastAsia" w:ascii="宋体" w:hAnsi="宋体" w:cs="宋体"/>
          <w:color w:val="auto"/>
          <w:sz w:val="22"/>
          <w:szCs w:val="22"/>
          <w:highlight w:val="none"/>
        </w:rPr>
        <w:t xml:space="preserve"> 年  月  日</w:t>
      </w:r>
    </w:p>
    <w:p w14:paraId="3990F3C6">
      <w:pPr>
        <w:spacing w:line="440" w:lineRule="exact"/>
        <w:rPr>
          <w:rFonts w:hint="eastAsia" w:ascii="宋体" w:hAnsi="宋体" w:cs="新宋体"/>
          <w:b/>
          <w:bCs/>
          <w:color w:val="auto"/>
          <w:sz w:val="22"/>
          <w:szCs w:val="22"/>
          <w:highlight w:val="none"/>
        </w:rPr>
      </w:pPr>
    </w:p>
    <w:p w14:paraId="7C34A692">
      <w:pPr>
        <w:pStyle w:val="20"/>
        <w:rPr>
          <w:rFonts w:hint="eastAsia" w:ascii="宋体" w:hAnsi="宋体" w:cs="新宋体"/>
          <w:color w:val="auto"/>
          <w:kern w:val="2"/>
          <w:sz w:val="36"/>
          <w:szCs w:val="36"/>
          <w:highlight w:val="none"/>
        </w:rPr>
      </w:pPr>
      <w:r>
        <w:rPr>
          <w:rFonts w:hint="eastAsia" w:ascii="宋体" w:hAnsi="宋体" w:cs="新宋体"/>
          <w:b w:val="0"/>
          <w:bCs w:val="0"/>
          <w:color w:val="auto"/>
          <w:sz w:val="22"/>
          <w:szCs w:val="22"/>
          <w:highlight w:val="none"/>
        </w:rPr>
        <w:br w:type="page"/>
      </w:r>
      <w:bookmarkStart w:id="78" w:name="_Toc495955195"/>
      <w:bookmarkStart w:id="79" w:name="_Toc34572036"/>
      <w:bookmarkStart w:id="80" w:name="_Toc34508137"/>
      <w:r>
        <w:rPr>
          <w:rFonts w:hint="eastAsia" w:ascii="宋体" w:hAnsi="宋体" w:cs="新宋体"/>
          <w:color w:val="auto"/>
          <w:kern w:val="2"/>
          <w:sz w:val="36"/>
          <w:szCs w:val="36"/>
          <w:highlight w:val="none"/>
        </w:rPr>
        <w:t>第二部分   政府采购政策功能相关说明</w:t>
      </w:r>
      <w:bookmarkEnd w:id="78"/>
      <w:bookmarkEnd w:id="79"/>
      <w:bookmarkEnd w:id="80"/>
    </w:p>
    <w:p w14:paraId="006095D6">
      <w:pPr>
        <w:jc w:val="left"/>
        <w:rPr>
          <w:rFonts w:hint="eastAsia" w:ascii="宋体" w:hAnsi="宋体" w:cs="新宋体"/>
          <w:b/>
          <w:color w:val="auto"/>
          <w:sz w:val="22"/>
          <w:highlight w:val="none"/>
        </w:rPr>
      </w:pPr>
    </w:p>
    <w:p w14:paraId="08A9287E">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63E3B6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1、文件依据</w:t>
      </w:r>
    </w:p>
    <w:p w14:paraId="75B570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（1）关于印发《政府采购促进中小企业发展管理办法》（财库〔2020〕46号）</w:t>
      </w:r>
    </w:p>
    <w:p w14:paraId="6C6380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（2）《工业和信息化部、国家统计局、国家发展和改革委员会、财政部关于印发中小企业划型标准规定的通知》（工信部联企业[2011]300号）</w:t>
      </w:r>
    </w:p>
    <w:p w14:paraId="078F2D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4</w:t>
      </w:r>
      <w:r>
        <w:rPr>
          <w:rFonts w:hint="eastAsia" w:ascii="宋体" w:hAnsi="宋体" w:cs="新宋体"/>
          <w:bCs/>
          <w:color w:val="auto"/>
          <w:sz w:val="22"/>
          <w:highlight w:val="none"/>
        </w:rPr>
        <w:t>）财政部、司法部《关于政府采购支持监狱企业发展有关问题的通知》（财库〔2014〕68号）</w:t>
      </w:r>
    </w:p>
    <w:p w14:paraId="66B5E3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5</w:t>
      </w:r>
      <w:r>
        <w:rPr>
          <w:rFonts w:hint="eastAsia" w:ascii="宋体" w:hAnsi="宋体" w:cs="新宋体"/>
          <w:bCs/>
          <w:color w:val="auto"/>
          <w:sz w:val="22"/>
          <w:highlight w:val="none"/>
        </w:rPr>
        <w:t>）《财政部 民政部 中国残疾人联合会关于促进残疾人就业政府采购政策的通知》（财库〔2017〕 141号）</w:t>
      </w:r>
    </w:p>
    <w:p w14:paraId="3A3FD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026E1C73">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44DB98CD">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0C9A6113">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722C76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0C21FC7A">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w:t>
      </w:r>
      <w:r>
        <w:rPr>
          <w:rFonts w:hint="eastAsia" w:ascii="宋体" w:hAnsi="宋体" w:cs="宋体"/>
          <w:bCs/>
          <w:color w:val="auto"/>
          <w:sz w:val="22"/>
          <w:highlight w:val="none"/>
          <w:lang w:val="en-US" w:eastAsia="zh-CN"/>
        </w:rPr>
        <w:t>/</w:t>
      </w:r>
      <w:r>
        <w:rPr>
          <w:rFonts w:hint="eastAsia" w:ascii="宋体" w:hAnsi="宋体" w:cs="宋体"/>
          <w:bCs/>
          <w:color w:val="auto"/>
          <w:sz w:val="22"/>
          <w:highlight w:val="none"/>
        </w:rPr>
        <w:t>的扣除，用扣除后的价格参与评审。</w:t>
      </w:r>
    </w:p>
    <w:p w14:paraId="00E85906">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60236CBC">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3C11FA9B">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新宋体"/>
          <w:b/>
          <w:color w:val="auto"/>
          <w:sz w:val="22"/>
          <w:highlight w:val="none"/>
        </w:rPr>
      </w:pPr>
      <w:r>
        <w:rPr>
          <w:rFonts w:hint="eastAsia" w:ascii="宋体" w:hAnsi="宋体" w:cs="新宋体"/>
          <w:b/>
          <w:color w:val="auto"/>
          <w:sz w:val="22"/>
          <w:highlight w:val="none"/>
        </w:rPr>
        <w:t>（4）</w:t>
      </w:r>
      <w:r>
        <w:rPr>
          <w:rFonts w:hint="eastAsia" w:ascii="宋体" w:hAnsi="宋体" w:cs="新宋体"/>
          <w:b/>
          <w:color w:val="auto"/>
          <w:sz w:val="22"/>
          <w:highlight w:val="none"/>
          <w:lang w:val="en-US" w:eastAsia="zh-CN"/>
        </w:rPr>
        <w:t>不接受</w:t>
      </w:r>
      <w:r>
        <w:rPr>
          <w:rFonts w:hint="eastAsia" w:ascii="宋体" w:hAnsi="宋体" w:cs="新宋体"/>
          <w:b/>
          <w:color w:val="auto"/>
          <w:sz w:val="22"/>
          <w:highlight w:val="none"/>
        </w:rPr>
        <w:t>联合体形式参加投标。</w:t>
      </w:r>
    </w:p>
    <w:p w14:paraId="470500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
          <w:color w:val="auto"/>
          <w:sz w:val="22"/>
          <w:highlight w:val="none"/>
        </w:rPr>
      </w:pPr>
      <w:r>
        <w:rPr>
          <w:rFonts w:hint="eastAsia" w:ascii="宋体" w:hAnsi="宋体" w:cs="新宋体"/>
          <w:b/>
          <w:color w:val="auto"/>
          <w:sz w:val="22"/>
          <w:highlight w:val="none"/>
        </w:rPr>
        <w:t>（5）本项目为服务类采购项目。</w:t>
      </w:r>
    </w:p>
    <w:p w14:paraId="7B6B69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
          <w:color w:val="auto"/>
          <w:sz w:val="22"/>
          <w:highlight w:val="none"/>
          <w:lang w:val="en-US" w:eastAsia="zh-CN"/>
        </w:rPr>
      </w:pPr>
      <w:r>
        <w:rPr>
          <w:rFonts w:hint="eastAsia" w:ascii="宋体" w:hAnsi="宋体" w:cs="新宋体"/>
          <w:bCs/>
          <w:color w:val="auto"/>
          <w:sz w:val="22"/>
          <w:highlight w:val="none"/>
        </w:rPr>
        <w:t>4、</w:t>
      </w:r>
      <w:r>
        <w:rPr>
          <w:rFonts w:hint="eastAsia" w:ascii="宋体" w:hAnsi="宋体" w:cs="新宋体"/>
          <w:bCs/>
          <w:color w:val="auto"/>
          <w:sz w:val="22"/>
          <w:highlight w:val="none"/>
          <w:u w:val="single"/>
        </w:rPr>
        <w:t>享受小微企业价格折扣应提供以下证明材料（投标文件报价文件中）：</w:t>
      </w:r>
      <w:r>
        <w:rPr>
          <w:rFonts w:hint="eastAsia" w:ascii="宋体" w:hAnsi="宋体" w:cs="新宋体"/>
          <w:b/>
          <w:color w:val="auto"/>
          <w:sz w:val="22"/>
          <w:highlight w:val="none"/>
          <w:lang w:val="en-US" w:eastAsia="zh-CN"/>
        </w:rPr>
        <w:t>/</w:t>
      </w:r>
    </w:p>
    <w:p w14:paraId="2642B8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新宋体"/>
          <w:bCs/>
          <w:color w:val="auto"/>
          <w:sz w:val="22"/>
          <w:highlight w:val="none"/>
          <w:lang w:val="en-US" w:eastAsia="zh-CN"/>
        </w:rPr>
      </w:pPr>
      <w:r>
        <w:rPr>
          <w:rFonts w:hint="eastAsia" w:ascii="宋体" w:hAnsi="宋体" w:cs="新宋体"/>
          <w:bCs/>
          <w:color w:val="auto"/>
          <w:sz w:val="22"/>
          <w:highlight w:val="none"/>
        </w:rPr>
        <w:t>5、</w:t>
      </w:r>
      <w:r>
        <w:rPr>
          <w:rFonts w:hint="eastAsia" w:ascii="宋体" w:hAnsi="宋体" w:cs="新宋体"/>
          <w:bCs/>
          <w:color w:val="auto"/>
          <w:sz w:val="22"/>
          <w:highlight w:val="none"/>
          <w:u w:val="single"/>
        </w:rPr>
        <w:t>享受监狱企业价格折扣应提供以下证明材料（投标文件报价文件中）</w:t>
      </w: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w:t>
      </w:r>
    </w:p>
    <w:p w14:paraId="0D2577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6、</w:t>
      </w:r>
      <w:r>
        <w:rPr>
          <w:rFonts w:hint="eastAsia" w:ascii="宋体" w:hAnsi="宋体" w:cs="新宋体"/>
          <w:bCs/>
          <w:color w:val="auto"/>
          <w:sz w:val="22"/>
          <w:highlight w:val="none"/>
          <w:u w:val="single"/>
        </w:rPr>
        <w:t>享受残疾人福利性单位格折扣应提供以下证明材料（投标文件报价文件中）</w:t>
      </w: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w:t>
      </w:r>
    </w:p>
    <w:p w14:paraId="03D817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
          <w:color w:val="auto"/>
          <w:sz w:val="22"/>
          <w:highlight w:val="none"/>
        </w:rPr>
      </w:pPr>
      <w:r>
        <w:rPr>
          <w:rFonts w:hint="eastAsia" w:ascii="宋体" w:hAnsi="宋体" w:cs="新宋体"/>
          <w:b/>
          <w:color w:val="auto"/>
          <w:sz w:val="22"/>
          <w:highlight w:val="none"/>
        </w:rPr>
        <w:t>7、非单一产品采购的，投标人所投货物必须全部是本企业(或者其他小型、微型企业)制造的货物、承担的工程或服务，否则不能享受价格扣除政策。（备注：小型、微型企业制造的产品如使用了中、大型企业注册商标的，等同于中、大型企业制造的产品，不享受价格扣除政策）。</w:t>
      </w:r>
    </w:p>
    <w:p w14:paraId="1064C1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
          <w:color w:val="auto"/>
          <w:sz w:val="22"/>
          <w:highlight w:val="none"/>
        </w:rPr>
        <w:t>8、</w:t>
      </w:r>
      <w:r>
        <w:rPr>
          <w:rFonts w:hint="eastAsia" w:ascii="宋体" w:hAnsi="宋体" w:cs="新宋体"/>
          <w:bCs/>
          <w:color w:val="auto"/>
          <w:sz w:val="22"/>
          <w:highlight w:val="none"/>
        </w:rPr>
        <w:t>监狱企业、残疾人福利性单位参加投标，视为小型、微型企业，享受小微企业政策扶持，监狱企业、残疾人福利性单位属于小型、微型企业的，不重复享受政策。</w:t>
      </w:r>
    </w:p>
    <w:p w14:paraId="0346977A">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t>附件1：</w:t>
      </w:r>
    </w:p>
    <w:p w14:paraId="0607010B">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w:t>
      </w:r>
    </w:p>
    <w:p w14:paraId="3347329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14:paraId="0D5FD98B">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351F3BB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7ADCD095">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14:paraId="4F500642">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610B88E0">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681D6A34">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451B5161">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46568AF2">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21F1795">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960B41">
      <w:pPr>
        <w:widowControl/>
        <w:tabs>
          <w:tab w:val="left" w:pos="312"/>
        </w:tabs>
        <w:spacing w:before="100" w:beforeAutospacing="1" w:after="100" w:afterAutospacing="1" w:line="440" w:lineRule="atLeas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注1.从业人员、营业收入、资产总额填报上一年度数据，无上一年度数据的新成立企业可不填报。</w:t>
      </w:r>
    </w:p>
    <w:p w14:paraId="0C70B2AC">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132ED0F8">
      <w:pPr>
        <w:widowControl/>
        <w:spacing w:before="100" w:beforeAutospacing="1" w:after="100" w:afterAutospacing="1" w:line="44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235D1201">
      <w:pPr>
        <w:spacing w:line="588" w:lineRule="exact"/>
        <w:rPr>
          <w:rFonts w:hint="eastAsia" w:ascii="宋体" w:hAnsi="宋体" w:cs="宋体"/>
          <w:b/>
          <w:color w:val="auto"/>
          <w:spacing w:val="6"/>
          <w:sz w:val="30"/>
          <w:szCs w:val="30"/>
          <w:highlight w:val="none"/>
        </w:rPr>
      </w:pPr>
    </w:p>
    <w:p w14:paraId="7048EA96">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4E24A9">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1487C7DA">
      <w:pPr>
        <w:spacing w:line="588" w:lineRule="exact"/>
        <w:ind w:firstLine="464" w:firstLineChars="200"/>
        <w:rPr>
          <w:rFonts w:hint="eastAsia" w:ascii="宋体" w:hAnsi="宋体" w:cs="宋体"/>
          <w:color w:val="auto"/>
          <w:spacing w:val="6"/>
          <w:sz w:val="22"/>
          <w:szCs w:val="22"/>
          <w:highlight w:val="none"/>
        </w:rPr>
      </w:pPr>
    </w:p>
    <w:p w14:paraId="4FD2BBAC">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3900B678">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14:paraId="1DA938A1">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2BE45340">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36D546D3">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2831BB07">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5836FB9A">
      <w:pPr>
        <w:spacing w:line="588" w:lineRule="exact"/>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1.如中标，将在中标公示中将此残疾人福利性单位声明函予以公示，接受社会监督。</w:t>
      </w:r>
    </w:p>
    <w:p w14:paraId="6A780DBF">
      <w:pPr>
        <w:tabs>
          <w:tab w:val="left" w:pos="0"/>
        </w:tabs>
        <w:spacing w:line="588" w:lineRule="exact"/>
        <w:ind w:right="114"/>
        <w:jc w:val="left"/>
        <w:rPr>
          <w:rFonts w:ascii="宋体" w:hAnsi="宋体" w:cs="新宋体"/>
          <w:color w:val="auto"/>
          <w:sz w:val="22"/>
          <w:szCs w:val="22"/>
          <w:highlight w:val="none"/>
        </w:rPr>
      </w:pPr>
      <w:r>
        <w:rPr>
          <w:rFonts w:hint="eastAsia" w:ascii="宋体" w:hAnsi="宋体" w:cs="宋体"/>
          <w:color w:val="auto"/>
          <w:spacing w:val="6"/>
          <w:sz w:val="22"/>
          <w:szCs w:val="22"/>
          <w:highlight w:val="none"/>
        </w:rPr>
        <w:t>2.投标人提供的《残疾人福利性单位声明函》与事实不符的，依照《政府采购法》第七十七条第一款的规定追究法律责任。</w:t>
      </w:r>
    </w:p>
    <w:p w14:paraId="2056028E">
      <w:pPr>
        <w:pStyle w:val="7"/>
        <w:rPr>
          <w:rFonts w:ascii="宋体" w:hAnsi="宋体"/>
          <w:color w:val="auto"/>
          <w:highlight w:val="none"/>
        </w:rPr>
      </w:pPr>
    </w:p>
    <w:p w14:paraId="2D84F489">
      <w:pPr>
        <w:pStyle w:val="8"/>
        <w:ind w:firstLine="321"/>
        <w:rPr>
          <w:rFonts w:ascii="宋体" w:hAnsi="宋体"/>
          <w:color w:val="auto"/>
          <w:highlight w:val="none"/>
        </w:rPr>
      </w:pPr>
    </w:p>
    <w:p w14:paraId="0FE268E0">
      <w:pPr>
        <w:pStyle w:val="8"/>
        <w:ind w:firstLine="321"/>
        <w:rPr>
          <w:rFonts w:ascii="宋体" w:hAnsi="宋体"/>
          <w:color w:val="auto"/>
          <w:highlight w:val="none"/>
        </w:rPr>
      </w:pPr>
    </w:p>
    <w:p w14:paraId="554272F8">
      <w:pPr>
        <w:rPr>
          <w:rFonts w:hint="eastAsia" w:ascii="宋体" w:hAnsi="宋体" w:cs="新宋体"/>
          <w:color w:val="auto"/>
          <w:kern w:val="2"/>
          <w:sz w:val="36"/>
          <w:szCs w:val="36"/>
          <w:highlight w:val="none"/>
        </w:rPr>
      </w:pPr>
      <w:bookmarkStart w:id="81" w:name="_Toc9491"/>
      <w:bookmarkStart w:id="82" w:name="_Toc34572037"/>
      <w:r>
        <w:rPr>
          <w:rFonts w:hint="eastAsia" w:ascii="宋体" w:hAnsi="宋体" w:cs="新宋体"/>
          <w:color w:val="auto"/>
          <w:kern w:val="2"/>
          <w:sz w:val="36"/>
          <w:szCs w:val="36"/>
          <w:highlight w:val="none"/>
        </w:rPr>
        <w:br w:type="page"/>
      </w:r>
    </w:p>
    <w:p w14:paraId="5B314B46">
      <w:pPr>
        <w:pStyle w:val="20"/>
        <w:rPr>
          <w:rFonts w:hint="eastAsia" w:ascii="宋体" w:hAnsi="宋体" w:cs="新宋体"/>
          <w:color w:val="auto"/>
          <w:kern w:val="2"/>
          <w:sz w:val="36"/>
          <w:szCs w:val="36"/>
          <w:highlight w:val="none"/>
        </w:rPr>
      </w:pPr>
      <w:r>
        <w:rPr>
          <w:rFonts w:hint="eastAsia" w:ascii="宋体" w:hAnsi="宋体" w:cs="新宋体"/>
          <w:color w:val="auto"/>
          <w:kern w:val="2"/>
          <w:sz w:val="36"/>
          <w:szCs w:val="36"/>
          <w:highlight w:val="none"/>
        </w:rPr>
        <w:t>第三部分   合同条款及格式</w:t>
      </w:r>
      <w:bookmarkEnd w:id="81"/>
      <w:bookmarkEnd w:id="82"/>
    </w:p>
    <w:p w14:paraId="7F4DF11B">
      <w:pPr>
        <w:rPr>
          <w:rFonts w:hint="eastAsia" w:ascii="宋体" w:hAnsi="宋体" w:cs="新宋体"/>
          <w:color w:val="auto"/>
          <w:highlight w:val="none"/>
        </w:rPr>
      </w:pPr>
    </w:p>
    <w:p w14:paraId="0179CBBA">
      <w:pPr>
        <w:pStyle w:val="2"/>
        <w:spacing w:line="400" w:lineRule="exact"/>
        <w:rPr>
          <w:rFonts w:ascii="宋体" w:hAnsi="宋体" w:eastAsia="宋体"/>
          <w:color w:val="auto"/>
          <w:sz w:val="22"/>
          <w:szCs w:val="22"/>
          <w:highlight w:val="none"/>
        </w:rPr>
      </w:pPr>
      <w:bookmarkStart w:id="83" w:name="_Toc11120"/>
      <w:bookmarkStart w:id="84" w:name="_Toc35811969"/>
      <w:bookmarkStart w:id="85" w:name="_Toc10014"/>
      <w:bookmarkStart w:id="86" w:name="_Toc247085768"/>
      <w:bookmarkStart w:id="87" w:name="_Toc221374630"/>
      <w:bookmarkStart w:id="88" w:name="_Toc144974578"/>
      <w:bookmarkStart w:id="89" w:name="_Toc241404206"/>
      <w:bookmarkStart w:id="90" w:name="_Toc246996253"/>
      <w:bookmarkStart w:id="91" w:name="_Toc221356955"/>
      <w:bookmarkStart w:id="92" w:name="_Toc246996996"/>
      <w:bookmarkStart w:id="93" w:name="_Toc152045610"/>
      <w:bookmarkStart w:id="94" w:name="_Toc152042388"/>
      <w:bookmarkStart w:id="95" w:name="_Toc223716002"/>
      <w:bookmarkStart w:id="96" w:name="_Toc222114883"/>
      <w:bookmarkStart w:id="97" w:name="_Toc221423623"/>
      <w:bookmarkStart w:id="98" w:name="_Toc265529387"/>
      <w:bookmarkStart w:id="99" w:name="_Toc221356891"/>
      <w:bookmarkStart w:id="100" w:name="_Toc179632628"/>
      <w:bookmarkStart w:id="101" w:name="_Toc296602498"/>
      <w:bookmarkStart w:id="102" w:name="_Toc239145358"/>
      <w:r>
        <w:rPr>
          <w:rFonts w:ascii="宋体" w:hAnsi="宋体" w:eastAsia="宋体"/>
          <w:color w:val="auto"/>
          <w:sz w:val="22"/>
          <w:szCs w:val="22"/>
          <w:highlight w:val="none"/>
        </w:rPr>
        <w:t>第一部分 合同协议书</w:t>
      </w:r>
      <w:bookmarkEnd w:id="83"/>
      <w:bookmarkEnd w:id="84"/>
    </w:p>
    <w:p w14:paraId="666A6DCB">
      <w:pPr>
        <w:spacing w:line="400" w:lineRule="exact"/>
        <w:rPr>
          <w:rFonts w:ascii="宋体" w:hAnsi="宋体"/>
          <w:b/>
          <w:bCs/>
          <w:color w:val="auto"/>
          <w:sz w:val="22"/>
          <w:szCs w:val="22"/>
          <w:highlight w:val="none"/>
        </w:rPr>
      </w:pPr>
      <w:r>
        <w:rPr>
          <w:rFonts w:ascii="宋体" w:hAnsi="宋体"/>
          <w:b/>
          <w:bCs/>
          <w:color w:val="auto"/>
          <w:sz w:val="22"/>
          <w:szCs w:val="22"/>
          <w:highlight w:val="none"/>
        </w:rPr>
        <w:t>甲方（全称）：</w:t>
      </w:r>
      <w:r>
        <w:rPr>
          <w:rFonts w:ascii="宋体" w:hAnsi="宋体"/>
          <w:b/>
          <w:bCs/>
          <w:color w:val="auto"/>
          <w:sz w:val="22"/>
          <w:szCs w:val="22"/>
          <w:highlight w:val="none"/>
          <w:u w:val="single"/>
        </w:rPr>
        <w:t xml:space="preserve">                                       </w:t>
      </w:r>
    </w:p>
    <w:p w14:paraId="69544EBC">
      <w:pPr>
        <w:spacing w:line="400" w:lineRule="exact"/>
        <w:rPr>
          <w:rFonts w:ascii="宋体" w:hAnsi="宋体"/>
          <w:b/>
          <w:bCs/>
          <w:color w:val="auto"/>
          <w:sz w:val="22"/>
          <w:szCs w:val="22"/>
          <w:highlight w:val="none"/>
        </w:rPr>
      </w:pPr>
      <w:r>
        <w:rPr>
          <w:rFonts w:ascii="宋体" w:hAnsi="宋体"/>
          <w:b/>
          <w:bCs/>
          <w:color w:val="auto"/>
          <w:sz w:val="22"/>
          <w:szCs w:val="22"/>
          <w:highlight w:val="none"/>
        </w:rPr>
        <w:t>乙方（全称）：</w:t>
      </w:r>
      <w:r>
        <w:rPr>
          <w:rFonts w:ascii="宋体" w:hAnsi="宋体"/>
          <w:b/>
          <w:bCs/>
          <w:color w:val="auto"/>
          <w:sz w:val="22"/>
          <w:szCs w:val="22"/>
          <w:highlight w:val="none"/>
          <w:u w:val="single"/>
        </w:rPr>
        <w:t xml:space="preserve">                                       </w:t>
      </w:r>
    </w:p>
    <w:p w14:paraId="1B95B87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根据《</w:t>
      </w:r>
      <w:r>
        <w:rPr>
          <w:rFonts w:hint="eastAsia" w:ascii="宋体" w:hAnsi="宋体"/>
          <w:color w:val="auto"/>
          <w:sz w:val="22"/>
          <w:szCs w:val="22"/>
          <w:highlight w:val="none"/>
          <w:lang w:val="en-US" w:eastAsia="zh-CN"/>
        </w:rPr>
        <w:t>民法典</w:t>
      </w:r>
      <w:r>
        <w:rPr>
          <w:rFonts w:ascii="宋体" w:hAnsi="宋体"/>
          <w:color w:val="auto"/>
          <w:sz w:val="22"/>
          <w:szCs w:val="22"/>
          <w:highlight w:val="none"/>
        </w:rPr>
        <w:t>》、《浙江省农村生活污水处理设施管理条例》、浙江省人民政府办公厅印发的《关于加强农村生活污水治理设施运行维护管理的意见》（浙政办发〔2015〕86号）、农村生活污水处理设施标准化运维评价标准等相关法规、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 xml:space="preserve">规定，遵循平等、自愿、公平和诚实信用的原则，双方就 </w:t>
      </w:r>
      <w:r>
        <w:rPr>
          <w:rFonts w:ascii="宋体" w:hAnsi="宋体"/>
          <w:color w:val="auto"/>
          <w:sz w:val="22"/>
          <w:szCs w:val="22"/>
          <w:highlight w:val="none"/>
          <w:u w:val="single"/>
        </w:rPr>
        <w:t xml:space="preserve">                    </w:t>
      </w:r>
      <w:r>
        <w:rPr>
          <w:rFonts w:ascii="宋体" w:hAnsi="宋体"/>
          <w:color w:val="auto"/>
          <w:sz w:val="22"/>
          <w:szCs w:val="22"/>
          <w:highlight w:val="none"/>
        </w:rPr>
        <w:t>运维服务及有关事宜协商一致，共同达成如下协议。</w:t>
      </w:r>
    </w:p>
    <w:p w14:paraId="32EF351D">
      <w:pPr>
        <w:pStyle w:val="3"/>
        <w:spacing w:before="0" w:after="0" w:line="400" w:lineRule="exact"/>
        <w:ind w:firstLine="422"/>
        <w:rPr>
          <w:rFonts w:ascii="宋体" w:hAnsi="宋体" w:eastAsia="宋体"/>
          <w:color w:val="auto"/>
          <w:sz w:val="22"/>
          <w:szCs w:val="22"/>
          <w:highlight w:val="none"/>
        </w:rPr>
      </w:pPr>
      <w:bookmarkStart w:id="103" w:name="_Toc2014"/>
      <w:bookmarkStart w:id="104" w:name="_Toc35811970"/>
      <w:r>
        <w:rPr>
          <w:rFonts w:ascii="宋体" w:hAnsi="宋体" w:eastAsia="宋体"/>
          <w:color w:val="auto"/>
          <w:sz w:val="22"/>
          <w:szCs w:val="22"/>
          <w:highlight w:val="none"/>
        </w:rPr>
        <w:t>一、</w:t>
      </w:r>
      <w:r>
        <w:rPr>
          <w:rFonts w:hint="eastAsia" w:ascii="宋体" w:hAnsi="宋体" w:eastAsia="宋体"/>
          <w:color w:val="auto"/>
          <w:sz w:val="22"/>
          <w:szCs w:val="22"/>
          <w:highlight w:val="none"/>
        </w:rPr>
        <w:t>运维</w:t>
      </w:r>
      <w:r>
        <w:rPr>
          <w:rFonts w:ascii="宋体" w:hAnsi="宋体" w:eastAsia="宋体"/>
          <w:color w:val="auto"/>
          <w:sz w:val="22"/>
          <w:szCs w:val="22"/>
          <w:highlight w:val="none"/>
        </w:rPr>
        <w:t>项目概况</w:t>
      </w:r>
      <w:bookmarkEnd w:id="103"/>
      <w:bookmarkEnd w:id="104"/>
    </w:p>
    <w:p w14:paraId="289B9DBF">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1.</w:t>
      </w:r>
      <w:r>
        <w:rPr>
          <w:rFonts w:hint="eastAsia" w:ascii="宋体" w:hAnsi="宋体"/>
          <w:color w:val="auto"/>
          <w:sz w:val="22"/>
          <w:szCs w:val="22"/>
          <w:highlight w:val="none"/>
        </w:rPr>
        <w:t>运维</w:t>
      </w:r>
      <w:r>
        <w:rPr>
          <w:rFonts w:ascii="宋体" w:hAnsi="宋体"/>
          <w:color w:val="auto"/>
          <w:sz w:val="22"/>
          <w:szCs w:val="22"/>
          <w:highlight w:val="none"/>
        </w:rPr>
        <w:t>项目名称：</w:t>
      </w:r>
      <w:r>
        <w:rPr>
          <w:rFonts w:ascii="宋体" w:hAnsi="宋体"/>
          <w:color w:val="auto"/>
          <w:sz w:val="22"/>
          <w:szCs w:val="22"/>
          <w:highlight w:val="none"/>
          <w:u w:val="single"/>
        </w:rPr>
        <w:t xml:space="preserve">                         </w:t>
      </w:r>
    </w:p>
    <w:p w14:paraId="339F3266">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2.</w:t>
      </w:r>
      <w:r>
        <w:rPr>
          <w:rFonts w:hint="eastAsia" w:ascii="宋体" w:hAnsi="宋体"/>
          <w:color w:val="auto"/>
          <w:sz w:val="22"/>
          <w:szCs w:val="22"/>
          <w:highlight w:val="none"/>
        </w:rPr>
        <w:t>运维</w:t>
      </w:r>
      <w:r>
        <w:rPr>
          <w:rFonts w:ascii="宋体" w:hAnsi="宋体"/>
          <w:color w:val="auto"/>
          <w:sz w:val="22"/>
          <w:szCs w:val="22"/>
          <w:highlight w:val="none"/>
        </w:rPr>
        <w:t>项目</w:t>
      </w:r>
      <w:r>
        <w:rPr>
          <w:rFonts w:hint="eastAsia" w:ascii="宋体" w:hAnsi="宋体"/>
          <w:color w:val="auto"/>
          <w:sz w:val="22"/>
          <w:szCs w:val="22"/>
          <w:highlight w:val="none"/>
        </w:rPr>
        <w:t>区域</w:t>
      </w:r>
      <w:r>
        <w:rPr>
          <w:rFonts w:ascii="宋体" w:hAnsi="宋体"/>
          <w:color w:val="auto"/>
          <w:sz w:val="22"/>
          <w:szCs w:val="22"/>
          <w:highlight w:val="non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085461DE">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3.</w:t>
      </w:r>
      <w:r>
        <w:rPr>
          <w:rFonts w:hint="eastAsia" w:ascii="宋体" w:hAnsi="宋体"/>
          <w:color w:val="auto"/>
          <w:sz w:val="22"/>
          <w:szCs w:val="22"/>
          <w:highlight w:val="none"/>
        </w:rPr>
        <w:t>运维</w:t>
      </w:r>
      <w:r>
        <w:rPr>
          <w:rFonts w:ascii="宋体" w:hAnsi="宋体"/>
          <w:color w:val="auto"/>
          <w:sz w:val="22"/>
          <w:szCs w:val="22"/>
          <w:highlight w:val="none"/>
        </w:rPr>
        <w:t>项目内容：</w:t>
      </w:r>
      <w:r>
        <w:rPr>
          <w:rFonts w:ascii="宋体" w:hAnsi="宋体"/>
          <w:color w:val="auto"/>
          <w:sz w:val="22"/>
          <w:szCs w:val="22"/>
          <w:highlight w:val="none"/>
          <w:u w:val="single"/>
        </w:rPr>
        <w:t xml:space="preserve">                         </w:t>
      </w:r>
    </w:p>
    <w:p w14:paraId="4719A90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运维</w:t>
      </w:r>
      <w:r>
        <w:rPr>
          <w:rFonts w:ascii="宋体" w:hAnsi="宋体"/>
          <w:color w:val="auto"/>
          <w:sz w:val="22"/>
          <w:szCs w:val="22"/>
          <w:highlight w:val="none"/>
        </w:rPr>
        <w:t>项目服务</w:t>
      </w:r>
      <w:r>
        <w:rPr>
          <w:rFonts w:hint="eastAsia" w:ascii="宋体" w:hAnsi="宋体"/>
          <w:color w:val="auto"/>
          <w:sz w:val="22"/>
          <w:szCs w:val="22"/>
          <w:highlight w:val="none"/>
        </w:rPr>
        <w:t>对象</w:t>
      </w:r>
      <w:r>
        <w:rPr>
          <w:rFonts w:ascii="宋体" w:hAnsi="宋体"/>
          <w:color w:val="auto"/>
          <w:sz w:val="22"/>
          <w:szCs w:val="22"/>
          <w:highlight w:val="none"/>
        </w:rPr>
        <w:t>：</w:t>
      </w:r>
    </w:p>
    <w:p w14:paraId="0813135C">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 xml:space="preserve">4.1 </w:t>
      </w:r>
      <w:r>
        <w:rPr>
          <w:rFonts w:hint="eastAsia" w:ascii="宋体" w:hAnsi="宋体"/>
          <w:color w:val="auto"/>
          <w:sz w:val="22"/>
          <w:szCs w:val="22"/>
          <w:highlight w:val="none"/>
          <w:u w:val="single"/>
        </w:rPr>
        <w:t xml:space="preserve">            项目</w:t>
      </w:r>
      <w:r>
        <w:rPr>
          <w:rFonts w:ascii="宋体" w:hAnsi="宋体"/>
          <w:color w:val="auto"/>
          <w:sz w:val="22"/>
          <w:szCs w:val="22"/>
          <w:highlight w:val="none"/>
        </w:rPr>
        <w:t>，</w:t>
      </w:r>
      <w:r>
        <w:rPr>
          <w:rFonts w:hint="eastAsia" w:ascii="宋体" w:hAnsi="宋体"/>
          <w:color w:val="auto"/>
          <w:sz w:val="22"/>
          <w:szCs w:val="22"/>
          <w:highlight w:val="none"/>
        </w:rPr>
        <w:t>运维服务范围</w:t>
      </w:r>
      <w:r>
        <w:rPr>
          <w:rFonts w:ascii="宋体" w:hAnsi="宋体"/>
          <w:color w:val="auto"/>
          <w:sz w:val="22"/>
          <w:szCs w:val="22"/>
          <w:highlight w:val="none"/>
        </w:rPr>
        <w:t>包含处理设施共</w:t>
      </w:r>
      <w:r>
        <w:rPr>
          <w:rFonts w:hint="eastAsia" w:ascii="宋体" w:hAnsi="宋体"/>
          <w:color w:val="auto"/>
          <w:sz w:val="22"/>
          <w:szCs w:val="22"/>
          <w:highlight w:val="none"/>
          <w:u w:val="single"/>
        </w:rPr>
        <w:t xml:space="preserve">    </w:t>
      </w:r>
      <w:r>
        <w:rPr>
          <w:rFonts w:ascii="宋体" w:hAnsi="宋体"/>
          <w:color w:val="auto"/>
          <w:sz w:val="22"/>
          <w:szCs w:val="22"/>
          <w:highlight w:val="none"/>
        </w:rPr>
        <w:t>个、</w:t>
      </w:r>
      <w:r>
        <w:rPr>
          <w:rFonts w:hint="eastAsia" w:ascii="宋体" w:hAnsi="宋体"/>
          <w:color w:val="auto"/>
          <w:sz w:val="22"/>
          <w:szCs w:val="22"/>
          <w:highlight w:val="none"/>
        </w:rPr>
        <w:t xml:space="preserve">收益农户 </w:t>
      </w:r>
      <w:r>
        <w:rPr>
          <w:rFonts w:hint="eastAsia" w:ascii="宋体" w:hAnsi="宋体"/>
          <w:color w:val="auto"/>
          <w:sz w:val="22"/>
          <w:szCs w:val="22"/>
          <w:highlight w:val="none"/>
          <w:u w:val="single"/>
        </w:rPr>
        <w:t xml:space="preserve">      </w:t>
      </w:r>
      <w:r>
        <w:rPr>
          <w:rFonts w:ascii="宋体" w:hAnsi="宋体"/>
          <w:color w:val="auto"/>
          <w:sz w:val="22"/>
          <w:szCs w:val="22"/>
          <w:highlight w:val="none"/>
        </w:rPr>
        <w:t>户</w:t>
      </w:r>
      <w:r>
        <w:rPr>
          <w:rFonts w:hint="eastAsia" w:ascii="宋体" w:hAnsi="宋体"/>
          <w:color w:val="auto"/>
          <w:sz w:val="22"/>
          <w:szCs w:val="22"/>
          <w:highlight w:val="none"/>
        </w:rPr>
        <w:t>。设计日处理能力共约</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吨</w:t>
      </w:r>
      <w:r>
        <w:rPr>
          <w:rFonts w:ascii="宋体" w:hAnsi="宋体"/>
          <w:color w:val="auto"/>
          <w:sz w:val="22"/>
          <w:szCs w:val="22"/>
          <w:highlight w:val="none"/>
        </w:rPr>
        <w:t>。具体服务内容详见附</w:t>
      </w:r>
      <w:r>
        <w:rPr>
          <w:rFonts w:hint="eastAsia" w:ascii="宋体" w:hAnsi="宋体"/>
          <w:color w:val="auto"/>
          <w:sz w:val="22"/>
          <w:szCs w:val="22"/>
          <w:highlight w:val="none"/>
        </w:rPr>
        <w:t>表</w:t>
      </w:r>
      <w:r>
        <w:rPr>
          <w:rFonts w:ascii="宋体" w:hAnsi="宋体"/>
          <w:color w:val="auto"/>
          <w:sz w:val="22"/>
          <w:szCs w:val="22"/>
          <w:highlight w:val="none"/>
        </w:rPr>
        <w:t>1《</w:t>
      </w:r>
      <w:r>
        <w:rPr>
          <w:rFonts w:hint="eastAsia" w:ascii="宋体" w:hAnsi="宋体"/>
          <w:color w:val="auto"/>
          <w:sz w:val="22"/>
          <w:szCs w:val="22"/>
          <w:highlight w:val="none"/>
        </w:rPr>
        <w:t>运维</w:t>
      </w:r>
      <w:r>
        <w:rPr>
          <w:rFonts w:ascii="宋体" w:hAnsi="宋体"/>
          <w:color w:val="auto"/>
          <w:sz w:val="22"/>
          <w:szCs w:val="22"/>
          <w:highlight w:val="none"/>
        </w:rPr>
        <w:t>项目服务</w:t>
      </w:r>
      <w:r>
        <w:rPr>
          <w:rFonts w:hint="eastAsia" w:ascii="宋体" w:hAnsi="宋体"/>
          <w:color w:val="auto"/>
          <w:sz w:val="22"/>
          <w:szCs w:val="22"/>
          <w:highlight w:val="none"/>
        </w:rPr>
        <w:t>对象一览表</w:t>
      </w:r>
      <w:r>
        <w:rPr>
          <w:rFonts w:ascii="宋体" w:hAnsi="宋体"/>
          <w:color w:val="auto"/>
          <w:sz w:val="22"/>
          <w:szCs w:val="22"/>
          <w:highlight w:val="none"/>
        </w:rPr>
        <w:t>》。</w:t>
      </w:r>
    </w:p>
    <w:p w14:paraId="388F6BB2">
      <w:pPr>
        <w:pStyle w:val="3"/>
        <w:spacing w:before="0" w:after="0" w:line="400" w:lineRule="exact"/>
        <w:ind w:firstLine="422"/>
        <w:rPr>
          <w:rFonts w:ascii="宋体" w:hAnsi="宋体" w:eastAsia="宋体"/>
          <w:color w:val="auto"/>
          <w:sz w:val="22"/>
          <w:szCs w:val="22"/>
          <w:highlight w:val="none"/>
        </w:rPr>
      </w:pPr>
      <w:bookmarkStart w:id="105" w:name="_Toc21041"/>
      <w:bookmarkStart w:id="106" w:name="_Toc35811971"/>
      <w:r>
        <w:rPr>
          <w:rFonts w:ascii="宋体" w:hAnsi="宋体" w:eastAsia="宋体"/>
          <w:color w:val="auto"/>
          <w:sz w:val="22"/>
          <w:szCs w:val="22"/>
          <w:highlight w:val="none"/>
        </w:rPr>
        <w:t>二、合同服务期限</w:t>
      </w:r>
      <w:bookmarkEnd w:id="105"/>
      <w:bookmarkEnd w:id="106"/>
      <w:r>
        <w:rPr>
          <w:rFonts w:ascii="宋体" w:hAnsi="宋体" w:eastAsia="宋体"/>
          <w:color w:val="auto"/>
          <w:sz w:val="22"/>
          <w:szCs w:val="22"/>
          <w:highlight w:val="none"/>
        </w:rPr>
        <w:t xml:space="preserve">      </w:t>
      </w:r>
    </w:p>
    <w:p w14:paraId="22A68FC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本合同服务期限</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1</w:t>
      </w:r>
      <w:r>
        <w:rPr>
          <w:rFonts w:ascii="宋体" w:hAnsi="宋体"/>
          <w:color w:val="auto"/>
          <w:sz w:val="22"/>
          <w:szCs w:val="22"/>
          <w:highlight w:val="none"/>
        </w:rPr>
        <w:t>年。</w:t>
      </w:r>
    </w:p>
    <w:p w14:paraId="46559A3A">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开始日期：</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w:t>
      </w:r>
    </w:p>
    <w:p w14:paraId="67804C11">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终止日期：</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w:t>
      </w:r>
    </w:p>
    <w:p w14:paraId="0C32FA5C">
      <w:pPr>
        <w:pStyle w:val="3"/>
        <w:spacing w:before="0" w:after="0" w:line="400" w:lineRule="exact"/>
        <w:ind w:firstLine="422"/>
        <w:rPr>
          <w:rFonts w:ascii="宋体" w:hAnsi="宋体" w:eastAsia="宋体"/>
          <w:color w:val="auto"/>
          <w:sz w:val="22"/>
          <w:szCs w:val="22"/>
          <w:highlight w:val="none"/>
        </w:rPr>
      </w:pPr>
      <w:bookmarkStart w:id="107" w:name="_Toc35811972"/>
      <w:bookmarkStart w:id="108" w:name="_Toc22867"/>
      <w:r>
        <w:rPr>
          <w:rFonts w:ascii="宋体" w:hAnsi="宋体" w:eastAsia="宋体"/>
          <w:b w:val="0"/>
          <w:bCs w:val="0"/>
          <w:color w:val="auto"/>
          <w:sz w:val="22"/>
          <w:szCs w:val="22"/>
          <w:highlight w:val="none"/>
        </w:rPr>
        <w:t>三、服务费用</w:t>
      </w:r>
      <w:bookmarkEnd w:id="107"/>
      <w:bookmarkEnd w:id="108"/>
      <w:r>
        <w:rPr>
          <w:rFonts w:ascii="宋体" w:hAnsi="宋体" w:eastAsia="宋体"/>
          <w:b w:val="0"/>
          <w:bCs w:val="0"/>
          <w:color w:val="auto"/>
          <w:sz w:val="22"/>
          <w:szCs w:val="22"/>
          <w:highlight w:val="none"/>
        </w:rPr>
        <w:t xml:space="preserve"> </w:t>
      </w:r>
      <w:r>
        <w:rPr>
          <w:rFonts w:ascii="宋体" w:hAnsi="宋体" w:eastAsia="宋体"/>
          <w:color w:val="auto"/>
          <w:sz w:val="22"/>
          <w:szCs w:val="22"/>
          <w:highlight w:val="none"/>
        </w:rPr>
        <w:t xml:space="preserve">   </w:t>
      </w:r>
    </w:p>
    <w:p w14:paraId="53443B1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1、本项目签约合同价为：</w:t>
      </w:r>
    </w:p>
    <w:p w14:paraId="103A7C5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每年人民币（大写）</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ascii="宋体" w:hAnsi="宋体"/>
          <w:color w:val="auto"/>
          <w:sz w:val="22"/>
          <w:szCs w:val="22"/>
          <w:highlight w:val="none"/>
        </w:rPr>
        <w:t>元），其中不含税金额</w:t>
      </w:r>
      <w:r>
        <w:rPr>
          <w:rFonts w:ascii="宋体" w:hAnsi="宋体"/>
          <w:color w:val="auto"/>
          <w:sz w:val="22"/>
          <w:szCs w:val="22"/>
          <w:highlight w:val="none"/>
          <w:u w:val="single"/>
        </w:rPr>
        <w:t xml:space="preserve">        </w:t>
      </w:r>
      <w:r>
        <w:rPr>
          <w:rFonts w:ascii="宋体" w:hAnsi="宋体"/>
          <w:color w:val="auto"/>
          <w:sz w:val="22"/>
          <w:szCs w:val="22"/>
          <w:highlight w:val="none"/>
        </w:rPr>
        <w:t>元，税金</w:t>
      </w:r>
      <w:r>
        <w:rPr>
          <w:rFonts w:ascii="宋体" w:hAnsi="宋体"/>
          <w:color w:val="auto"/>
          <w:sz w:val="22"/>
          <w:szCs w:val="22"/>
          <w:highlight w:val="none"/>
          <w:u w:val="single"/>
        </w:rPr>
        <w:t xml:space="preserve">        </w:t>
      </w:r>
      <w:r>
        <w:rPr>
          <w:rFonts w:ascii="宋体" w:hAnsi="宋体"/>
          <w:color w:val="auto"/>
          <w:sz w:val="22"/>
          <w:szCs w:val="22"/>
          <w:highlight w:val="none"/>
        </w:rPr>
        <w:t>元。</w:t>
      </w:r>
      <w:r>
        <w:rPr>
          <w:rFonts w:hint="eastAsia" w:ascii="宋体" w:hAnsi="宋体"/>
          <w:color w:val="auto"/>
          <w:sz w:val="22"/>
          <w:szCs w:val="22"/>
          <w:highlight w:val="none"/>
          <w:u w:val="single"/>
        </w:rPr>
        <w:t>1</w:t>
      </w:r>
      <w:r>
        <w:rPr>
          <w:rFonts w:ascii="宋体" w:hAnsi="宋体"/>
          <w:color w:val="auto"/>
          <w:sz w:val="22"/>
          <w:szCs w:val="22"/>
          <w:highlight w:val="none"/>
        </w:rPr>
        <w:t>年运维服务费总额人民币（大写）</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ascii="宋体" w:hAnsi="宋体"/>
          <w:color w:val="auto"/>
          <w:sz w:val="22"/>
          <w:szCs w:val="22"/>
          <w:highlight w:val="none"/>
        </w:rPr>
        <w:t>元），其中不含税金额</w:t>
      </w:r>
      <w:r>
        <w:rPr>
          <w:rFonts w:ascii="宋体" w:hAnsi="宋体"/>
          <w:color w:val="auto"/>
          <w:sz w:val="22"/>
          <w:szCs w:val="22"/>
          <w:highlight w:val="none"/>
          <w:u w:val="single"/>
        </w:rPr>
        <w:t xml:space="preserve">       </w:t>
      </w:r>
      <w:r>
        <w:rPr>
          <w:rFonts w:ascii="宋体" w:hAnsi="宋体"/>
          <w:color w:val="auto"/>
          <w:sz w:val="22"/>
          <w:szCs w:val="22"/>
          <w:highlight w:val="none"/>
        </w:rPr>
        <w:t>元，税金</w:t>
      </w:r>
      <w:r>
        <w:rPr>
          <w:rFonts w:ascii="宋体" w:hAnsi="宋体"/>
          <w:color w:val="auto"/>
          <w:sz w:val="22"/>
          <w:szCs w:val="22"/>
          <w:highlight w:val="none"/>
          <w:u w:val="single"/>
        </w:rPr>
        <w:t xml:space="preserve">       </w:t>
      </w:r>
      <w:r>
        <w:rPr>
          <w:rFonts w:ascii="宋体" w:hAnsi="宋体"/>
          <w:color w:val="auto"/>
          <w:sz w:val="22"/>
          <w:szCs w:val="22"/>
          <w:highlight w:val="none"/>
        </w:rPr>
        <w:t>元。具体费用明细详见附</w:t>
      </w:r>
      <w:r>
        <w:rPr>
          <w:rFonts w:hint="eastAsia" w:ascii="宋体" w:hAnsi="宋体"/>
          <w:color w:val="auto"/>
          <w:sz w:val="22"/>
          <w:szCs w:val="22"/>
          <w:highlight w:val="none"/>
        </w:rPr>
        <w:t>表</w:t>
      </w:r>
      <w:r>
        <w:rPr>
          <w:rFonts w:ascii="宋体" w:hAnsi="宋体"/>
          <w:color w:val="auto"/>
          <w:sz w:val="22"/>
          <w:szCs w:val="22"/>
          <w:highlight w:val="none"/>
        </w:rPr>
        <w:t>1《</w:t>
      </w:r>
      <w:r>
        <w:rPr>
          <w:rFonts w:hint="eastAsia" w:ascii="宋体" w:hAnsi="宋体"/>
          <w:color w:val="auto"/>
          <w:sz w:val="22"/>
          <w:szCs w:val="22"/>
          <w:highlight w:val="none"/>
        </w:rPr>
        <w:t>运维</w:t>
      </w:r>
      <w:r>
        <w:rPr>
          <w:rFonts w:ascii="宋体" w:hAnsi="宋体"/>
          <w:color w:val="auto"/>
          <w:sz w:val="22"/>
          <w:szCs w:val="22"/>
          <w:highlight w:val="none"/>
        </w:rPr>
        <w:t>项目服务</w:t>
      </w:r>
      <w:r>
        <w:rPr>
          <w:rFonts w:hint="eastAsia" w:ascii="宋体" w:hAnsi="宋体"/>
          <w:color w:val="auto"/>
          <w:sz w:val="22"/>
          <w:szCs w:val="22"/>
          <w:highlight w:val="none"/>
        </w:rPr>
        <w:t>对象一览表</w:t>
      </w:r>
      <w:r>
        <w:rPr>
          <w:rFonts w:ascii="宋体" w:hAnsi="宋体"/>
          <w:color w:val="auto"/>
          <w:sz w:val="22"/>
          <w:szCs w:val="22"/>
          <w:highlight w:val="none"/>
        </w:rPr>
        <w:t>》。</w:t>
      </w:r>
    </w:p>
    <w:p w14:paraId="187C843A">
      <w:pPr>
        <w:pStyle w:val="3"/>
        <w:spacing w:before="0" w:after="0" w:line="400" w:lineRule="exact"/>
        <w:ind w:firstLine="422"/>
        <w:rPr>
          <w:rStyle w:val="30"/>
          <w:rFonts w:ascii="宋体" w:hAnsi="宋体" w:eastAsia="宋体"/>
          <w:b/>
          <w:bCs/>
          <w:color w:val="auto"/>
          <w:sz w:val="22"/>
          <w:szCs w:val="22"/>
          <w:highlight w:val="none"/>
        </w:rPr>
      </w:pPr>
      <w:bookmarkStart w:id="109" w:name="_Toc35811973"/>
      <w:bookmarkStart w:id="110" w:name="_Toc17101"/>
      <w:r>
        <w:rPr>
          <w:rFonts w:ascii="宋体" w:hAnsi="宋体" w:eastAsia="宋体"/>
          <w:color w:val="auto"/>
          <w:sz w:val="22"/>
          <w:szCs w:val="22"/>
          <w:highlight w:val="none"/>
        </w:rPr>
        <w:t>四、承诺</w:t>
      </w:r>
      <w:bookmarkEnd w:id="109"/>
    </w:p>
    <w:bookmarkEnd w:id="110"/>
    <w:p w14:paraId="634CEA9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1、甲方承诺按照法律规定履行项目移交手续、筹集项目资金并按合同约定的期限和方式支付运维服务费用。</w:t>
      </w:r>
    </w:p>
    <w:p w14:paraId="20A1A66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2、乙方承诺按照法律规定及合同约定组织开展运维服务，确保服务质量。</w:t>
      </w:r>
    </w:p>
    <w:p w14:paraId="376D8AB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3、甲方和乙方通过招投标形式签订合同的，双方理解并承诺不再就同一项目另行签订与合同实质性内容相背离的协议。</w:t>
      </w:r>
    </w:p>
    <w:p w14:paraId="6FCBB609">
      <w:pPr>
        <w:pStyle w:val="3"/>
        <w:spacing w:before="0" w:after="0" w:line="400" w:lineRule="exact"/>
        <w:ind w:firstLine="422"/>
        <w:rPr>
          <w:rFonts w:ascii="宋体" w:hAnsi="宋体" w:eastAsia="宋体"/>
          <w:b w:val="0"/>
          <w:bCs w:val="0"/>
          <w:color w:val="auto"/>
          <w:sz w:val="22"/>
          <w:szCs w:val="22"/>
          <w:highlight w:val="none"/>
        </w:rPr>
      </w:pPr>
      <w:bookmarkStart w:id="111" w:name="_Toc35811974"/>
      <w:bookmarkStart w:id="112" w:name="_Toc13870"/>
      <w:r>
        <w:rPr>
          <w:rFonts w:hint="eastAsia" w:ascii="宋体" w:hAnsi="宋体" w:eastAsia="宋体"/>
          <w:b w:val="0"/>
          <w:bCs w:val="0"/>
          <w:color w:val="auto"/>
          <w:sz w:val="22"/>
          <w:szCs w:val="22"/>
          <w:highlight w:val="none"/>
        </w:rPr>
        <w:t>五</w:t>
      </w:r>
      <w:r>
        <w:rPr>
          <w:rFonts w:ascii="宋体" w:hAnsi="宋体" w:eastAsia="宋体"/>
          <w:b w:val="0"/>
          <w:bCs w:val="0"/>
          <w:color w:val="auto"/>
          <w:sz w:val="22"/>
          <w:szCs w:val="22"/>
          <w:highlight w:val="none"/>
        </w:rPr>
        <w:t>、词语解释</w:t>
      </w:r>
      <w:bookmarkEnd w:id="111"/>
      <w:bookmarkEnd w:id="112"/>
    </w:p>
    <w:p w14:paraId="5D7B6FC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本协议书中词语含义与第二部分通用合同条款中赋予的含义相同。</w:t>
      </w:r>
    </w:p>
    <w:p w14:paraId="76E37CEB">
      <w:pPr>
        <w:pStyle w:val="3"/>
        <w:spacing w:before="0" w:after="0" w:line="400" w:lineRule="exact"/>
        <w:ind w:firstLine="422"/>
        <w:rPr>
          <w:rStyle w:val="30"/>
          <w:rFonts w:ascii="宋体" w:hAnsi="宋体" w:eastAsia="宋体"/>
          <w:b/>
          <w:bCs/>
          <w:color w:val="auto"/>
          <w:sz w:val="22"/>
          <w:szCs w:val="22"/>
          <w:highlight w:val="none"/>
        </w:rPr>
      </w:pPr>
      <w:bookmarkStart w:id="113" w:name="_Toc35811975"/>
      <w:bookmarkStart w:id="114" w:name="_Toc1870"/>
      <w:r>
        <w:rPr>
          <w:rFonts w:hint="eastAsia" w:ascii="宋体" w:hAnsi="宋体" w:eastAsia="宋体"/>
          <w:color w:val="auto"/>
          <w:sz w:val="22"/>
          <w:szCs w:val="22"/>
          <w:highlight w:val="none"/>
        </w:rPr>
        <w:t>六</w:t>
      </w:r>
      <w:r>
        <w:rPr>
          <w:rFonts w:ascii="宋体" w:hAnsi="宋体" w:eastAsia="宋体"/>
          <w:color w:val="auto"/>
          <w:sz w:val="22"/>
          <w:szCs w:val="22"/>
          <w:highlight w:val="none"/>
        </w:rPr>
        <w:t>、签订时间</w:t>
      </w:r>
      <w:bookmarkEnd w:id="113"/>
      <w:bookmarkEnd w:id="114"/>
    </w:p>
    <w:p w14:paraId="2195EA6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本合同于</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日签订。</w:t>
      </w:r>
    </w:p>
    <w:p w14:paraId="2F45A76A">
      <w:pPr>
        <w:pStyle w:val="3"/>
        <w:spacing w:before="0" w:after="0" w:line="400" w:lineRule="exact"/>
        <w:ind w:firstLine="422"/>
        <w:rPr>
          <w:rFonts w:ascii="宋体" w:hAnsi="宋体" w:eastAsia="宋体"/>
          <w:b w:val="0"/>
          <w:bCs w:val="0"/>
          <w:color w:val="auto"/>
          <w:sz w:val="22"/>
          <w:szCs w:val="22"/>
          <w:highlight w:val="none"/>
        </w:rPr>
      </w:pPr>
      <w:bookmarkStart w:id="115" w:name="_Toc35811976"/>
      <w:bookmarkStart w:id="116" w:name="_Toc8725"/>
      <w:r>
        <w:rPr>
          <w:rFonts w:ascii="宋体" w:hAnsi="宋体" w:eastAsia="宋体"/>
          <w:b w:val="0"/>
          <w:bCs w:val="0"/>
          <w:color w:val="auto"/>
          <w:sz w:val="22"/>
          <w:szCs w:val="22"/>
          <w:highlight w:val="none"/>
        </w:rPr>
        <w:t>七、签订地点</w:t>
      </w:r>
      <w:bookmarkEnd w:id="115"/>
      <w:bookmarkEnd w:id="116"/>
    </w:p>
    <w:p w14:paraId="66F8729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本合同在</w:t>
      </w:r>
      <w:r>
        <w:rPr>
          <w:rFonts w:ascii="宋体" w:hAnsi="宋体"/>
          <w:color w:val="auto"/>
          <w:sz w:val="22"/>
          <w:szCs w:val="22"/>
          <w:highlight w:val="none"/>
          <w:u w:val="single"/>
        </w:rPr>
        <w:t xml:space="preserve">          </w:t>
      </w:r>
      <w:r>
        <w:rPr>
          <w:rFonts w:ascii="宋体" w:hAnsi="宋体"/>
          <w:color w:val="auto"/>
          <w:sz w:val="22"/>
          <w:szCs w:val="22"/>
          <w:highlight w:val="none"/>
        </w:rPr>
        <w:t>签订。</w:t>
      </w:r>
    </w:p>
    <w:p w14:paraId="5EFFFFB7">
      <w:pPr>
        <w:pStyle w:val="3"/>
        <w:spacing w:before="0" w:after="0" w:line="400" w:lineRule="exact"/>
        <w:ind w:firstLine="422"/>
        <w:rPr>
          <w:rFonts w:ascii="宋体" w:hAnsi="宋体" w:eastAsia="宋体"/>
          <w:color w:val="auto"/>
          <w:sz w:val="22"/>
          <w:szCs w:val="22"/>
          <w:highlight w:val="none"/>
        </w:rPr>
      </w:pPr>
      <w:bookmarkStart w:id="117" w:name="_Toc14206"/>
      <w:bookmarkStart w:id="118" w:name="_Toc35811977"/>
      <w:r>
        <w:rPr>
          <w:rFonts w:ascii="宋体" w:hAnsi="宋体" w:eastAsia="宋体"/>
          <w:color w:val="auto"/>
          <w:sz w:val="22"/>
          <w:szCs w:val="22"/>
          <w:highlight w:val="none"/>
        </w:rPr>
        <w:t>八、补充协议</w:t>
      </w:r>
      <w:bookmarkEnd w:id="117"/>
      <w:bookmarkEnd w:id="118"/>
    </w:p>
    <w:p w14:paraId="7C2B619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合同未尽事宜，合同当事人另行签订补充协议，补充协议是合同的组成部分。</w:t>
      </w:r>
    </w:p>
    <w:p w14:paraId="270E97D5">
      <w:pPr>
        <w:pStyle w:val="3"/>
        <w:spacing w:before="0" w:after="0" w:line="400" w:lineRule="exact"/>
        <w:ind w:firstLine="422"/>
        <w:rPr>
          <w:rFonts w:ascii="宋体" w:hAnsi="宋体" w:eastAsia="宋体"/>
          <w:b w:val="0"/>
          <w:bCs w:val="0"/>
          <w:color w:val="auto"/>
          <w:sz w:val="22"/>
          <w:szCs w:val="22"/>
          <w:highlight w:val="none"/>
        </w:rPr>
      </w:pPr>
      <w:bookmarkStart w:id="119" w:name="_Toc35811978"/>
      <w:bookmarkStart w:id="120" w:name="_Toc21883"/>
      <w:r>
        <w:rPr>
          <w:rFonts w:ascii="宋体" w:hAnsi="宋体" w:eastAsia="宋体"/>
          <w:b w:val="0"/>
          <w:bCs w:val="0"/>
          <w:color w:val="auto"/>
          <w:sz w:val="22"/>
          <w:szCs w:val="22"/>
          <w:highlight w:val="none"/>
        </w:rPr>
        <w:t>九、合同生效</w:t>
      </w:r>
      <w:bookmarkEnd w:id="119"/>
      <w:bookmarkEnd w:id="120"/>
    </w:p>
    <w:p w14:paraId="13EC98C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本合同自</w:t>
      </w:r>
      <w:r>
        <w:rPr>
          <w:rFonts w:ascii="宋体" w:hAnsi="宋体"/>
          <w:color w:val="auto"/>
          <w:sz w:val="22"/>
          <w:szCs w:val="22"/>
          <w:highlight w:val="none"/>
          <w:u w:val="single"/>
        </w:rPr>
        <w:t xml:space="preserve">            </w:t>
      </w:r>
      <w:r>
        <w:rPr>
          <w:rFonts w:ascii="宋体" w:hAnsi="宋体"/>
          <w:color w:val="auto"/>
          <w:sz w:val="22"/>
          <w:szCs w:val="22"/>
          <w:highlight w:val="none"/>
        </w:rPr>
        <w:t>生效。</w:t>
      </w:r>
    </w:p>
    <w:p w14:paraId="4B0A3D77">
      <w:pPr>
        <w:pStyle w:val="3"/>
        <w:spacing w:before="0" w:after="0" w:line="400" w:lineRule="exact"/>
        <w:ind w:firstLine="422"/>
        <w:rPr>
          <w:rFonts w:ascii="宋体" w:hAnsi="宋体" w:eastAsia="宋体"/>
          <w:color w:val="auto"/>
          <w:sz w:val="22"/>
          <w:szCs w:val="22"/>
          <w:highlight w:val="none"/>
        </w:rPr>
      </w:pPr>
      <w:bookmarkStart w:id="121" w:name="_Toc29320"/>
      <w:bookmarkStart w:id="122" w:name="_Toc35811979"/>
      <w:r>
        <w:rPr>
          <w:rFonts w:ascii="宋体" w:hAnsi="宋体" w:eastAsia="宋体"/>
          <w:color w:val="auto"/>
          <w:sz w:val="22"/>
          <w:szCs w:val="22"/>
          <w:highlight w:val="none"/>
        </w:rPr>
        <w:t>十、合同份数</w:t>
      </w:r>
      <w:bookmarkEnd w:id="121"/>
      <w:bookmarkEnd w:id="122"/>
    </w:p>
    <w:p w14:paraId="476BD8F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本合同一式</w:t>
      </w:r>
      <w:r>
        <w:rPr>
          <w:rFonts w:ascii="宋体" w:hAnsi="宋体"/>
          <w:color w:val="auto"/>
          <w:sz w:val="22"/>
          <w:szCs w:val="22"/>
          <w:highlight w:val="none"/>
          <w:u w:val="single"/>
        </w:rPr>
        <w:t xml:space="preserve">   </w:t>
      </w:r>
      <w:r>
        <w:rPr>
          <w:rFonts w:ascii="宋体" w:hAnsi="宋体"/>
          <w:color w:val="auto"/>
          <w:sz w:val="22"/>
          <w:szCs w:val="22"/>
          <w:highlight w:val="none"/>
        </w:rPr>
        <w:t>份，均具有同等法律效力，甲方执</w:t>
      </w:r>
      <w:r>
        <w:rPr>
          <w:rFonts w:ascii="宋体" w:hAnsi="宋体"/>
          <w:color w:val="auto"/>
          <w:sz w:val="22"/>
          <w:szCs w:val="22"/>
          <w:highlight w:val="none"/>
          <w:u w:val="single"/>
        </w:rPr>
        <w:t xml:space="preserve">     </w:t>
      </w:r>
      <w:r>
        <w:rPr>
          <w:rFonts w:ascii="宋体" w:hAnsi="宋体"/>
          <w:color w:val="auto"/>
          <w:sz w:val="22"/>
          <w:szCs w:val="22"/>
          <w:highlight w:val="none"/>
        </w:rPr>
        <w:t>份，乙方执</w:t>
      </w:r>
      <w:r>
        <w:rPr>
          <w:rFonts w:ascii="宋体" w:hAnsi="宋体"/>
          <w:color w:val="auto"/>
          <w:sz w:val="22"/>
          <w:szCs w:val="22"/>
          <w:highlight w:val="none"/>
          <w:u w:val="single"/>
        </w:rPr>
        <w:t xml:space="preserve">     </w:t>
      </w:r>
      <w:r>
        <w:rPr>
          <w:rFonts w:ascii="宋体" w:hAnsi="宋体"/>
          <w:color w:val="auto"/>
          <w:sz w:val="22"/>
          <w:szCs w:val="22"/>
          <w:highlight w:val="none"/>
        </w:rPr>
        <w:t>份。</w:t>
      </w:r>
    </w:p>
    <w:p w14:paraId="19FEF7CF">
      <w:pPr>
        <w:spacing w:line="400" w:lineRule="exact"/>
        <w:rPr>
          <w:rFonts w:ascii="宋体" w:hAnsi="宋体"/>
          <w:color w:val="auto"/>
          <w:sz w:val="22"/>
          <w:szCs w:val="22"/>
          <w:highlight w:val="none"/>
        </w:rPr>
      </w:pPr>
      <w:r>
        <w:rPr>
          <w:rFonts w:ascii="宋体" w:hAnsi="宋体"/>
          <w:color w:val="auto"/>
          <w:sz w:val="22"/>
          <w:szCs w:val="22"/>
          <w:highlight w:val="none"/>
        </w:rPr>
        <w:t>甲方：（公章）              乙方：（公章）</w:t>
      </w:r>
    </w:p>
    <w:p w14:paraId="5951F44A">
      <w:pPr>
        <w:spacing w:line="400" w:lineRule="exact"/>
        <w:rPr>
          <w:rFonts w:ascii="宋体" w:hAnsi="宋体"/>
          <w:color w:val="auto"/>
          <w:sz w:val="22"/>
          <w:szCs w:val="22"/>
          <w:highlight w:val="none"/>
        </w:rPr>
      </w:pPr>
      <w:r>
        <w:rPr>
          <w:rFonts w:ascii="宋体" w:hAnsi="宋体"/>
          <w:color w:val="auto"/>
          <w:sz w:val="22"/>
          <w:szCs w:val="22"/>
          <w:highlight w:val="none"/>
        </w:rPr>
        <w:t>法定代表人或其委托代理人：  法定代表人或其委托代理人：</w:t>
      </w:r>
    </w:p>
    <w:p w14:paraId="10103E9E">
      <w:pPr>
        <w:spacing w:line="400" w:lineRule="exact"/>
        <w:rPr>
          <w:rFonts w:ascii="宋体" w:hAnsi="宋体"/>
          <w:color w:val="auto"/>
          <w:sz w:val="22"/>
          <w:szCs w:val="22"/>
          <w:highlight w:val="none"/>
        </w:rPr>
      </w:pPr>
      <w:r>
        <w:rPr>
          <w:rFonts w:ascii="宋体" w:hAnsi="宋体"/>
          <w:color w:val="auto"/>
          <w:sz w:val="22"/>
          <w:szCs w:val="22"/>
          <w:highlight w:val="none"/>
        </w:rPr>
        <w:t>（签字）                   （签字）</w:t>
      </w:r>
    </w:p>
    <w:p w14:paraId="624BBA98">
      <w:pPr>
        <w:spacing w:line="400" w:lineRule="exact"/>
        <w:rPr>
          <w:rFonts w:ascii="宋体" w:hAnsi="宋体"/>
          <w:color w:val="auto"/>
          <w:sz w:val="22"/>
          <w:szCs w:val="22"/>
          <w:highlight w:val="none"/>
        </w:rPr>
      </w:pPr>
      <w:r>
        <w:rPr>
          <w:rFonts w:hint="eastAsia" w:ascii="宋体" w:hAnsi="宋体"/>
          <w:color w:val="auto"/>
          <w:sz w:val="22"/>
          <w:szCs w:val="22"/>
          <w:highlight w:val="none"/>
        </w:rPr>
        <w:t>统一社会信用</w:t>
      </w:r>
      <w:r>
        <w:rPr>
          <w:rFonts w:ascii="宋体" w:hAnsi="宋体"/>
          <w:color w:val="auto"/>
          <w:sz w:val="22"/>
          <w:szCs w:val="22"/>
          <w:highlight w:val="none"/>
        </w:rPr>
        <w:t>代码：</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统一社会信用</w:t>
      </w:r>
      <w:r>
        <w:rPr>
          <w:rFonts w:ascii="宋体" w:hAnsi="宋体"/>
          <w:color w:val="auto"/>
          <w:sz w:val="22"/>
          <w:szCs w:val="22"/>
          <w:highlight w:val="none"/>
        </w:rPr>
        <w:t>代码：</w:t>
      </w:r>
    </w:p>
    <w:p w14:paraId="5F0ED65D">
      <w:pPr>
        <w:spacing w:line="400" w:lineRule="exact"/>
        <w:rPr>
          <w:rFonts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w:t>
      </w:r>
    </w:p>
    <w:p w14:paraId="20529D00">
      <w:pPr>
        <w:spacing w:line="400" w:lineRule="exact"/>
        <w:rPr>
          <w:rFonts w:ascii="宋体" w:hAnsi="宋体"/>
          <w:color w:val="auto"/>
          <w:sz w:val="22"/>
          <w:szCs w:val="22"/>
          <w:highlight w:val="none"/>
          <w:u w:val="single"/>
        </w:rPr>
      </w:pPr>
      <w:r>
        <w:rPr>
          <w:rFonts w:ascii="宋体" w:hAnsi="宋体"/>
          <w:color w:val="auto"/>
          <w:sz w:val="22"/>
          <w:szCs w:val="22"/>
          <w:highlight w:val="none"/>
        </w:rPr>
        <w:t>地址：</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地址：</w:t>
      </w:r>
      <w:r>
        <w:rPr>
          <w:rFonts w:ascii="宋体" w:hAnsi="宋体"/>
          <w:color w:val="auto"/>
          <w:sz w:val="22"/>
          <w:szCs w:val="22"/>
          <w:highlight w:val="none"/>
          <w:u w:val="single"/>
        </w:rPr>
        <w:t xml:space="preserve">                     </w:t>
      </w:r>
    </w:p>
    <w:p w14:paraId="28D56610">
      <w:pPr>
        <w:spacing w:line="400" w:lineRule="exact"/>
        <w:rPr>
          <w:rFonts w:ascii="宋体" w:hAnsi="宋体"/>
          <w:color w:val="auto"/>
          <w:sz w:val="22"/>
          <w:szCs w:val="22"/>
          <w:highlight w:val="none"/>
          <w:u w:val="single"/>
        </w:rPr>
      </w:pPr>
      <w:r>
        <w:rPr>
          <w:rFonts w:ascii="宋体" w:hAnsi="宋体"/>
          <w:color w:val="auto"/>
          <w:sz w:val="22"/>
          <w:szCs w:val="22"/>
          <w:highlight w:val="none"/>
        </w:rPr>
        <w:t>邮政编码：</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邮政编码：</w:t>
      </w:r>
      <w:r>
        <w:rPr>
          <w:rFonts w:ascii="宋体" w:hAnsi="宋体"/>
          <w:color w:val="auto"/>
          <w:sz w:val="22"/>
          <w:szCs w:val="22"/>
          <w:highlight w:val="none"/>
          <w:u w:val="single"/>
        </w:rPr>
        <w:t xml:space="preserve">                 </w:t>
      </w:r>
    </w:p>
    <w:p w14:paraId="25697022">
      <w:pPr>
        <w:spacing w:line="400" w:lineRule="exact"/>
        <w:rPr>
          <w:rFonts w:hint="eastAsia" w:ascii="宋体" w:hAnsi="宋体"/>
          <w:color w:val="auto"/>
          <w:sz w:val="22"/>
          <w:szCs w:val="22"/>
          <w:highlight w:val="none"/>
          <w:u w:val="single"/>
        </w:rPr>
      </w:pPr>
      <w:r>
        <w:rPr>
          <w:rFonts w:ascii="宋体" w:hAnsi="宋体"/>
          <w:color w:val="auto"/>
          <w:sz w:val="22"/>
          <w:szCs w:val="22"/>
          <w:highlight w:val="none"/>
        </w:rPr>
        <w:t>法定代表人：</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法定代表人：</w:t>
      </w:r>
      <w:r>
        <w:rPr>
          <w:rFonts w:ascii="宋体" w:hAnsi="宋体"/>
          <w:color w:val="auto"/>
          <w:sz w:val="22"/>
          <w:szCs w:val="22"/>
          <w:highlight w:val="none"/>
          <w:u w:val="single"/>
        </w:rPr>
        <w:t xml:space="preserve">               </w:t>
      </w:r>
    </w:p>
    <w:p w14:paraId="1F94F2DB">
      <w:pPr>
        <w:spacing w:line="400" w:lineRule="exact"/>
        <w:rPr>
          <w:rFonts w:ascii="宋体" w:hAnsi="宋体"/>
          <w:color w:val="auto"/>
          <w:sz w:val="22"/>
          <w:szCs w:val="22"/>
          <w:highlight w:val="none"/>
          <w:u w:val="single"/>
        </w:rPr>
      </w:pPr>
      <w:r>
        <w:rPr>
          <w:rFonts w:ascii="宋体" w:hAnsi="宋体"/>
          <w:color w:val="auto"/>
          <w:sz w:val="22"/>
          <w:szCs w:val="22"/>
          <w:highlight w:val="none"/>
        </w:rPr>
        <w:t>委托代理人：</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委托代理人：</w:t>
      </w:r>
      <w:r>
        <w:rPr>
          <w:rFonts w:ascii="宋体" w:hAnsi="宋体"/>
          <w:color w:val="auto"/>
          <w:sz w:val="22"/>
          <w:szCs w:val="22"/>
          <w:highlight w:val="none"/>
          <w:u w:val="single"/>
        </w:rPr>
        <w:t xml:space="preserve">               </w:t>
      </w:r>
    </w:p>
    <w:p w14:paraId="452EF0C1">
      <w:pPr>
        <w:spacing w:line="400" w:lineRule="exact"/>
        <w:rPr>
          <w:rFonts w:ascii="宋体" w:hAnsi="宋体"/>
          <w:color w:val="auto"/>
          <w:sz w:val="22"/>
          <w:szCs w:val="22"/>
          <w:highlight w:val="none"/>
        </w:rPr>
      </w:pPr>
      <w:r>
        <w:rPr>
          <w:rFonts w:ascii="宋体" w:hAnsi="宋体"/>
          <w:color w:val="auto"/>
          <w:sz w:val="22"/>
          <w:szCs w:val="22"/>
          <w:highlight w:val="none"/>
        </w:rPr>
        <w:t>电话：</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电话：</w:t>
      </w:r>
      <w:r>
        <w:rPr>
          <w:rFonts w:ascii="宋体" w:hAnsi="宋体"/>
          <w:color w:val="auto"/>
          <w:sz w:val="22"/>
          <w:szCs w:val="22"/>
          <w:highlight w:val="none"/>
          <w:u w:val="single"/>
        </w:rPr>
        <w:t xml:space="preserve">                     </w:t>
      </w:r>
    </w:p>
    <w:p w14:paraId="0CCB7D57">
      <w:pPr>
        <w:spacing w:line="400" w:lineRule="exact"/>
        <w:rPr>
          <w:rFonts w:ascii="宋体" w:hAnsi="宋体"/>
          <w:color w:val="auto"/>
          <w:sz w:val="22"/>
          <w:szCs w:val="22"/>
          <w:highlight w:val="none"/>
          <w:u w:val="single"/>
        </w:rPr>
      </w:pPr>
      <w:r>
        <w:rPr>
          <w:rFonts w:ascii="宋体" w:hAnsi="宋体"/>
          <w:color w:val="auto"/>
          <w:sz w:val="22"/>
          <w:szCs w:val="22"/>
          <w:highlight w:val="none"/>
        </w:rPr>
        <w:t>传真：</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传真：</w:t>
      </w:r>
      <w:r>
        <w:rPr>
          <w:rFonts w:ascii="宋体" w:hAnsi="宋体"/>
          <w:color w:val="auto"/>
          <w:sz w:val="22"/>
          <w:szCs w:val="22"/>
          <w:highlight w:val="none"/>
          <w:u w:val="single"/>
        </w:rPr>
        <w:t xml:space="preserve">                     </w:t>
      </w:r>
    </w:p>
    <w:p w14:paraId="294CD558">
      <w:pPr>
        <w:spacing w:line="400" w:lineRule="exact"/>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电子信箱：</w:t>
      </w:r>
      <w:r>
        <w:rPr>
          <w:rFonts w:ascii="宋体" w:hAnsi="宋体"/>
          <w:color w:val="auto"/>
          <w:sz w:val="22"/>
          <w:szCs w:val="22"/>
          <w:highlight w:val="none"/>
          <w:u w:val="single"/>
        </w:rPr>
        <w:t xml:space="preserve">                 </w:t>
      </w:r>
    </w:p>
    <w:p w14:paraId="121B7771">
      <w:pPr>
        <w:spacing w:line="400" w:lineRule="exact"/>
        <w:rPr>
          <w:rFonts w:ascii="宋体" w:hAnsi="宋体"/>
          <w:color w:val="auto"/>
          <w:sz w:val="22"/>
          <w:szCs w:val="22"/>
          <w:highlight w:val="none"/>
        </w:rPr>
      </w:pPr>
      <w:r>
        <w:rPr>
          <w:rFonts w:ascii="宋体" w:hAnsi="宋体"/>
          <w:color w:val="auto"/>
          <w:sz w:val="22"/>
          <w:szCs w:val="22"/>
          <w:highlight w:val="none"/>
        </w:rPr>
        <w:t>开户银行：</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开户银行：</w:t>
      </w:r>
      <w:r>
        <w:rPr>
          <w:rFonts w:ascii="宋体" w:hAnsi="宋体"/>
          <w:color w:val="auto"/>
          <w:sz w:val="22"/>
          <w:szCs w:val="22"/>
          <w:highlight w:val="none"/>
          <w:u w:val="single"/>
        </w:rPr>
        <w:t xml:space="preserve">                 </w:t>
      </w:r>
    </w:p>
    <w:p w14:paraId="561C6AA8">
      <w:pPr>
        <w:spacing w:line="400" w:lineRule="exact"/>
        <w:rPr>
          <w:rFonts w:hint="eastAsia" w:ascii="宋体" w:hAnsi="宋体"/>
          <w:color w:val="auto"/>
          <w:sz w:val="22"/>
          <w:szCs w:val="22"/>
          <w:highlight w:val="none"/>
          <w:u w:val="single"/>
        </w:rPr>
      </w:pPr>
      <w:r>
        <w:rPr>
          <w:rFonts w:ascii="宋体" w:hAnsi="宋体"/>
          <w:color w:val="auto"/>
          <w:sz w:val="22"/>
          <w:szCs w:val="22"/>
          <w:highlight w:val="none"/>
        </w:rPr>
        <w:t>账号：</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账号：</w:t>
      </w:r>
      <w:r>
        <w:rPr>
          <w:rFonts w:ascii="宋体" w:hAnsi="宋体"/>
          <w:color w:val="auto"/>
          <w:sz w:val="22"/>
          <w:szCs w:val="22"/>
          <w:highlight w:val="none"/>
          <w:u w:val="single"/>
        </w:rPr>
        <w:t xml:space="preserve">                     </w:t>
      </w:r>
    </w:p>
    <w:p w14:paraId="4DC2307E">
      <w:pPr>
        <w:pStyle w:val="10"/>
        <w:rPr>
          <w:rFonts w:hint="eastAsia"/>
          <w:color w:val="auto"/>
          <w:highlight w:val="none"/>
          <w:lang w:val="en-US" w:eastAsia="zh-CN"/>
        </w:rPr>
      </w:pPr>
    </w:p>
    <w:p w14:paraId="48883894">
      <w:pPr>
        <w:pStyle w:val="3"/>
        <w:spacing w:before="0" w:after="0" w:line="400" w:lineRule="exact"/>
        <w:jc w:val="center"/>
        <w:rPr>
          <w:rFonts w:ascii="宋体" w:hAnsi="宋体" w:eastAsia="宋体"/>
          <w:bCs w:val="0"/>
          <w:color w:val="auto"/>
          <w:sz w:val="22"/>
          <w:szCs w:val="22"/>
          <w:highlight w:val="none"/>
        </w:rPr>
      </w:pPr>
      <w:bookmarkStart w:id="123" w:name="_Toc35811980"/>
      <w:bookmarkStart w:id="124" w:name="_Toc16704"/>
      <w:r>
        <w:rPr>
          <w:rFonts w:ascii="宋体" w:hAnsi="宋体" w:eastAsia="宋体"/>
          <w:b w:val="0"/>
          <w:bCs w:val="0"/>
          <w:color w:val="auto"/>
          <w:sz w:val="22"/>
          <w:szCs w:val="22"/>
          <w:highlight w:val="none"/>
        </w:rPr>
        <w:br w:type="page"/>
      </w:r>
      <w:r>
        <w:rPr>
          <w:rFonts w:ascii="宋体" w:hAnsi="宋体" w:eastAsia="宋体"/>
          <w:bCs w:val="0"/>
          <w:color w:val="auto"/>
          <w:sz w:val="22"/>
          <w:szCs w:val="22"/>
          <w:highlight w:val="none"/>
        </w:rPr>
        <w:t>第二部分 通用合同条款</w:t>
      </w:r>
      <w:bookmarkEnd w:id="123"/>
      <w:bookmarkEnd w:id="124"/>
    </w:p>
    <w:p w14:paraId="682DD1B5">
      <w:pPr>
        <w:pStyle w:val="3"/>
        <w:spacing w:before="0" w:after="0" w:line="400" w:lineRule="exact"/>
        <w:rPr>
          <w:rFonts w:ascii="宋体" w:hAnsi="宋体" w:eastAsia="宋体"/>
          <w:bCs w:val="0"/>
          <w:color w:val="auto"/>
          <w:sz w:val="22"/>
          <w:szCs w:val="22"/>
          <w:highlight w:val="none"/>
        </w:rPr>
      </w:pPr>
      <w:bookmarkStart w:id="125" w:name="_Toc35811981"/>
      <w:bookmarkStart w:id="126" w:name="_Toc687"/>
      <w:r>
        <w:rPr>
          <w:rFonts w:ascii="宋体" w:hAnsi="宋体" w:eastAsia="宋体"/>
          <w:bCs w:val="0"/>
          <w:color w:val="auto"/>
          <w:sz w:val="22"/>
          <w:szCs w:val="22"/>
          <w:highlight w:val="none"/>
        </w:rPr>
        <w:t>1.一般约定</w:t>
      </w:r>
      <w:bookmarkEnd w:id="125"/>
      <w:bookmarkEnd w:id="126"/>
    </w:p>
    <w:p w14:paraId="600C4CB1">
      <w:pPr>
        <w:pStyle w:val="4"/>
        <w:spacing w:before="0" w:after="0" w:line="400" w:lineRule="exact"/>
        <w:ind w:firstLine="440" w:firstLineChars="200"/>
        <w:rPr>
          <w:rFonts w:ascii="宋体" w:hAnsi="宋体"/>
          <w:color w:val="auto"/>
          <w:sz w:val="22"/>
          <w:szCs w:val="22"/>
          <w:highlight w:val="none"/>
        </w:rPr>
      </w:pPr>
      <w:bookmarkStart w:id="127" w:name="_Toc35811982"/>
      <w:bookmarkStart w:id="128" w:name="_Toc6158"/>
      <w:r>
        <w:rPr>
          <w:rFonts w:ascii="宋体" w:hAnsi="宋体"/>
          <w:color w:val="auto"/>
          <w:sz w:val="22"/>
          <w:szCs w:val="22"/>
          <w:highlight w:val="none"/>
        </w:rPr>
        <w:t>1.1词语定义和解释</w:t>
      </w:r>
      <w:bookmarkEnd w:id="127"/>
      <w:bookmarkEnd w:id="128"/>
    </w:p>
    <w:p w14:paraId="6EE7E21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合同协议书、通用合同条款、专用合同条款中的下列词语具有本款所赋予的含义。</w:t>
      </w:r>
    </w:p>
    <w:p w14:paraId="3501864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1</w:t>
      </w:r>
      <w:r>
        <w:rPr>
          <w:rFonts w:ascii="宋体" w:hAnsi="宋体"/>
          <w:color w:val="auto"/>
          <w:sz w:val="22"/>
          <w:szCs w:val="22"/>
          <w:highlight w:val="none"/>
        </w:rPr>
        <w:t xml:space="preserve"> 运维项目</w:t>
      </w:r>
    </w:p>
    <w:p w14:paraId="6A7A0BD4">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在确定区域内对集中处理设施、户用处理设备、简易设施、公共化粪池、户内化粪池（若有）进行</w:t>
      </w:r>
      <w:r>
        <w:rPr>
          <w:rFonts w:ascii="宋体" w:hAnsi="宋体"/>
          <w:color w:val="auto"/>
          <w:sz w:val="22"/>
          <w:szCs w:val="22"/>
          <w:highlight w:val="none"/>
        </w:rPr>
        <w:t>运行维护</w:t>
      </w:r>
      <w:r>
        <w:rPr>
          <w:rFonts w:hint="eastAsia" w:ascii="宋体" w:hAnsi="宋体"/>
          <w:color w:val="auto"/>
          <w:sz w:val="22"/>
          <w:szCs w:val="22"/>
          <w:highlight w:val="none"/>
        </w:rPr>
        <w:t>的</w:t>
      </w:r>
      <w:r>
        <w:rPr>
          <w:rFonts w:ascii="宋体" w:hAnsi="宋体"/>
          <w:color w:val="auto"/>
          <w:sz w:val="22"/>
          <w:szCs w:val="22"/>
          <w:highlight w:val="none"/>
        </w:rPr>
        <w:t>服务项目。</w:t>
      </w:r>
      <w:r>
        <w:rPr>
          <w:rFonts w:hint="eastAsia" w:ascii="宋体" w:hAnsi="宋体"/>
          <w:color w:val="auto"/>
          <w:sz w:val="22"/>
          <w:szCs w:val="22"/>
          <w:highlight w:val="none"/>
        </w:rPr>
        <w:t xml:space="preserve"> </w:t>
      </w:r>
    </w:p>
    <w:p w14:paraId="57C4211C">
      <w:pPr>
        <w:pStyle w:val="7"/>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1.1.2运维项目服务对象</w:t>
      </w:r>
    </w:p>
    <w:p w14:paraId="26BC069E">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运维项目服务范围内的集中处理设施、户用处理设备、简易设施、公共化粪池、户内化粪池（若有）。</w:t>
      </w:r>
    </w:p>
    <w:p w14:paraId="183F90D3">
      <w:pPr>
        <w:pStyle w:val="7"/>
        <w:spacing w:line="400" w:lineRule="exact"/>
        <w:ind w:firstLine="420"/>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3</w:t>
      </w:r>
      <w:r>
        <w:rPr>
          <w:rFonts w:ascii="宋体" w:hAnsi="宋体"/>
          <w:color w:val="auto"/>
          <w:sz w:val="22"/>
          <w:szCs w:val="22"/>
          <w:highlight w:val="none"/>
        </w:rPr>
        <w:t>服务期限</w:t>
      </w:r>
    </w:p>
    <w:p w14:paraId="33FE62D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在合同协议书约定的乙方对项目的运行维护服务的期限，包括按照合同约定所作的期限变更。</w:t>
      </w:r>
    </w:p>
    <w:p w14:paraId="3058F4C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4</w:t>
      </w:r>
      <w:r>
        <w:rPr>
          <w:rFonts w:ascii="宋体" w:hAnsi="宋体"/>
          <w:color w:val="auto"/>
          <w:sz w:val="22"/>
          <w:szCs w:val="22"/>
          <w:highlight w:val="none"/>
        </w:rPr>
        <w:t xml:space="preserve"> 签约合同价</w:t>
      </w:r>
    </w:p>
    <w:p w14:paraId="5643195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甲方和乙方在合同协议书中确定的总金额。</w:t>
      </w:r>
    </w:p>
    <w:p w14:paraId="137EB8D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1.1.5</w:t>
      </w:r>
      <w:r>
        <w:rPr>
          <w:rFonts w:hint="eastAsia" w:ascii="宋体" w:hAnsi="宋体"/>
          <w:color w:val="auto"/>
          <w:sz w:val="22"/>
          <w:szCs w:val="22"/>
          <w:highlight w:val="none"/>
        </w:rPr>
        <w:t xml:space="preserve"> </w:t>
      </w:r>
      <w:r>
        <w:rPr>
          <w:rFonts w:ascii="宋体" w:hAnsi="宋体"/>
          <w:color w:val="auto"/>
          <w:sz w:val="22"/>
          <w:szCs w:val="22"/>
          <w:highlight w:val="none"/>
        </w:rPr>
        <w:t>运维服务费</w:t>
      </w:r>
    </w:p>
    <w:p w14:paraId="77E399B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甲方用于支付乙方按照合同约定完成服务范围内工作的金额，包括合同履行过程中按合同约定发生的价格变化。</w:t>
      </w:r>
    </w:p>
    <w:p w14:paraId="284676D9">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1.1.6日期</w:t>
      </w:r>
    </w:p>
    <w:p w14:paraId="5DADDE8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天：除特别指明外，均指日历天。合同中按天计算时间的，开始当天不计入，从次日开始计算，期限最后一天的截止时间为当天24:00时。</w:t>
      </w:r>
    </w:p>
    <w:p w14:paraId="0CD282B6">
      <w:pPr>
        <w:pStyle w:val="4"/>
        <w:spacing w:before="0" w:after="0" w:line="400" w:lineRule="exact"/>
        <w:ind w:firstLine="440" w:firstLineChars="200"/>
        <w:rPr>
          <w:rFonts w:ascii="宋体" w:hAnsi="宋体"/>
          <w:color w:val="auto"/>
          <w:sz w:val="22"/>
          <w:szCs w:val="22"/>
          <w:highlight w:val="none"/>
        </w:rPr>
      </w:pPr>
      <w:bookmarkStart w:id="129" w:name="_Toc25495"/>
      <w:bookmarkStart w:id="130" w:name="_Toc35811983"/>
      <w:bookmarkStart w:id="131" w:name="_Toc351203497"/>
      <w:bookmarkStart w:id="132" w:name="_Toc337558729"/>
      <w:bookmarkStart w:id="133" w:name="_Toc296346530"/>
      <w:bookmarkStart w:id="134" w:name="_Toc296503029"/>
      <w:r>
        <w:rPr>
          <w:rFonts w:ascii="宋体" w:hAnsi="宋体"/>
          <w:color w:val="auto"/>
          <w:sz w:val="22"/>
          <w:szCs w:val="22"/>
          <w:highlight w:val="none"/>
        </w:rPr>
        <w:t>1.2语言文字</w:t>
      </w:r>
      <w:bookmarkEnd w:id="129"/>
      <w:bookmarkEnd w:id="130"/>
      <w:bookmarkEnd w:id="131"/>
      <w:bookmarkEnd w:id="132"/>
      <w:bookmarkEnd w:id="133"/>
      <w:bookmarkEnd w:id="134"/>
    </w:p>
    <w:p w14:paraId="65228DE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合同以中国的汉语简体文字编写、解释和说明。合同当事人在专用合同条款中约定使用两种以上语言时，汉语为优先解释和说明合同的语言。</w:t>
      </w:r>
    </w:p>
    <w:p w14:paraId="101FACA5">
      <w:pPr>
        <w:pStyle w:val="4"/>
        <w:spacing w:before="0" w:after="0" w:line="400" w:lineRule="exact"/>
        <w:ind w:firstLine="440" w:firstLineChars="200"/>
        <w:rPr>
          <w:rFonts w:ascii="宋体" w:hAnsi="宋体"/>
          <w:color w:val="auto"/>
          <w:sz w:val="22"/>
          <w:szCs w:val="22"/>
          <w:highlight w:val="none"/>
        </w:rPr>
      </w:pPr>
      <w:bookmarkStart w:id="135" w:name="_Toc351203498"/>
      <w:bookmarkStart w:id="136" w:name="_Toc296503030"/>
      <w:bookmarkStart w:id="137" w:name="_Toc337558730"/>
      <w:bookmarkStart w:id="138" w:name="_Toc296346531"/>
      <w:bookmarkStart w:id="139" w:name="_Toc35811984"/>
      <w:bookmarkStart w:id="140" w:name="_Toc21503"/>
      <w:r>
        <w:rPr>
          <w:rFonts w:ascii="宋体" w:hAnsi="宋体"/>
          <w:color w:val="auto"/>
          <w:sz w:val="22"/>
          <w:szCs w:val="22"/>
          <w:highlight w:val="none"/>
        </w:rPr>
        <w:t>1.3法律</w:t>
      </w:r>
      <w:bookmarkEnd w:id="135"/>
      <w:bookmarkEnd w:id="136"/>
      <w:bookmarkEnd w:id="137"/>
      <w:bookmarkEnd w:id="138"/>
      <w:r>
        <w:rPr>
          <w:rFonts w:hint="eastAsia" w:ascii="宋体" w:hAnsi="宋体"/>
          <w:color w:val="auto"/>
          <w:sz w:val="22"/>
          <w:szCs w:val="22"/>
          <w:highlight w:val="none"/>
        </w:rPr>
        <w:t>规章</w:t>
      </w:r>
      <w:bookmarkEnd w:id="139"/>
      <w:bookmarkEnd w:id="140"/>
    </w:p>
    <w:p w14:paraId="549D8EB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合同所称法律是指中华人民共和国法律、行政法规，以及项目所在地的地方性法规、自治条例、单行条例和地方政府规章等。</w:t>
      </w:r>
    </w:p>
    <w:p w14:paraId="246F0E0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合同当事人可以在专用合同条款中约定合同适用的其他规范性文件。</w:t>
      </w:r>
    </w:p>
    <w:p w14:paraId="19E817CE">
      <w:pPr>
        <w:pStyle w:val="4"/>
        <w:spacing w:before="0" w:after="0" w:line="400" w:lineRule="exact"/>
        <w:ind w:firstLine="440" w:firstLineChars="200"/>
        <w:rPr>
          <w:rFonts w:ascii="宋体" w:hAnsi="宋体"/>
          <w:color w:val="auto"/>
          <w:sz w:val="22"/>
          <w:szCs w:val="22"/>
          <w:highlight w:val="none"/>
        </w:rPr>
      </w:pPr>
      <w:bookmarkStart w:id="141" w:name="_Toc351203499"/>
      <w:bookmarkStart w:id="142" w:name="_Toc26608"/>
      <w:bookmarkStart w:id="143" w:name="_Toc35811985"/>
      <w:r>
        <w:rPr>
          <w:rFonts w:ascii="宋体" w:hAnsi="宋体"/>
          <w:color w:val="auto"/>
          <w:sz w:val="22"/>
          <w:szCs w:val="22"/>
          <w:highlight w:val="none"/>
        </w:rPr>
        <w:t>1.4 标准、规范</w:t>
      </w:r>
      <w:bookmarkEnd w:id="141"/>
      <w:r>
        <w:rPr>
          <w:rFonts w:ascii="宋体" w:hAnsi="宋体"/>
          <w:color w:val="auto"/>
          <w:sz w:val="22"/>
          <w:szCs w:val="22"/>
          <w:highlight w:val="none"/>
        </w:rPr>
        <w:t>和导则</w:t>
      </w:r>
      <w:bookmarkEnd w:id="142"/>
      <w:bookmarkEnd w:id="143"/>
    </w:p>
    <w:p w14:paraId="19B0BBE4">
      <w:pPr>
        <w:autoSpaceDE w:val="0"/>
        <w:autoSpaceDN w:val="0"/>
        <w:adjustRightInd w:val="0"/>
        <w:spacing w:line="400" w:lineRule="exact"/>
        <w:ind w:firstLine="640"/>
        <w:rPr>
          <w:rFonts w:ascii="宋体" w:hAnsi="宋体"/>
          <w:color w:val="auto"/>
          <w:sz w:val="22"/>
          <w:szCs w:val="22"/>
          <w:highlight w:val="none"/>
        </w:rPr>
      </w:pPr>
      <w:r>
        <w:rPr>
          <w:rFonts w:ascii="宋体" w:hAnsi="宋体"/>
          <w:color w:val="auto"/>
          <w:sz w:val="22"/>
          <w:szCs w:val="22"/>
          <w:highlight w:val="none"/>
        </w:rPr>
        <w:t>1.4.1 适用于</w:t>
      </w:r>
      <w:r>
        <w:rPr>
          <w:rFonts w:hint="eastAsia" w:ascii="宋体" w:hAnsi="宋体"/>
          <w:color w:val="auto"/>
          <w:sz w:val="22"/>
          <w:szCs w:val="22"/>
          <w:highlight w:val="none"/>
        </w:rPr>
        <w:t>运维项目的</w:t>
      </w:r>
      <w:r>
        <w:rPr>
          <w:rFonts w:ascii="宋体" w:hAnsi="宋体"/>
          <w:color w:val="auto"/>
          <w:sz w:val="22"/>
          <w:szCs w:val="22"/>
          <w:highlight w:val="none"/>
        </w:rPr>
        <w:t>国家、省级标准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和项目所在地的地方性标准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，以及相应的规范、规程等，合同当事人有特别要求的，应在专用合同条款中约定。</w:t>
      </w:r>
    </w:p>
    <w:p w14:paraId="2151C567">
      <w:pPr>
        <w:autoSpaceDE w:val="0"/>
        <w:autoSpaceDN w:val="0"/>
        <w:adjustRightInd w:val="0"/>
        <w:spacing w:line="400" w:lineRule="exact"/>
        <w:ind w:firstLine="640"/>
        <w:rPr>
          <w:rFonts w:ascii="宋体" w:hAnsi="宋体"/>
          <w:color w:val="auto"/>
          <w:sz w:val="22"/>
          <w:szCs w:val="22"/>
          <w:highlight w:val="none"/>
        </w:rPr>
      </w:pPr>
      <w:r>
        <w:rPr>
          <w:rFonts w:ascii="宋体" w:hAnsi="宋体"/>
          <w:color w:val="auto"/>
          <w:sz w:val="22"/>
          <w:szCs w:val="22"/>
          <w:highlight w:val="none"/>
        </w:rPr>
        <w:t>1.4.2 甲方对处理设施运维的技术标准、处理设施排放标准要求高于或严于现行国家、行业或地方标准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的，应当在专用合同条款中予以明确。</w:t>
      </w:r>
    </w:p>
    <w:p w14:paraId="6B14543A">
      <w:pPr>
        <w:pStyle w:val="4"/>
        <w:spacing w:before="0" w:after="0" w:line="400" w:lineRule="exact"/>
        <w:ind w:firstLine="440" w:firstLineChars="200"/>
        <w:rPr>
          <w:rFonts w:ascii="宋体" w:hAnsi="宋体"/>
          <w:color w:val="auto"/>
          <w:sz w:val="22"/>
          <w:szCs w:val="22"/>
          <w:highlight w:val="none"/>
        </w:rPr>
      </w:pPr>
      <w:bookmarkStart w:id="144" w:name="_Toc351203500"/>
      <w:bookmarkStart w:id="145" w:name="_Toc8718"/>
      <w:bookmarkStart w:id="146" w:name="_Toc35811986"/>
      <w:r>
        <w:rPr>
          <w:rFonts w:ascii="宋体" w:hAnsi="宋体"/>
          <w:color w:val="auto"/>
          <w:sz w:val="22"/>
          <w:szCs w:val="22"/>
          <w:highlight w:val="none"/>
        </w:rPr>
        <w:t>1</w:t>
      </w:r>
      <w:bookmarkStart w:id="147" w:name="_Toc337558731"/>
      <w:bookmarkStart w:id="148" w:name="_Toc296503031"/>
      <w:bookmarkStart w:id="149" w:name="_Toc296346532"/>
      <w:r>
        <w:rPr>
          <w:rFonts w:ascii="宋体" w:hAnsi="宋体"/>
          <w:color w:val="auto"/>
          <w:sz w:val="22"/>
          <w:szCs w:val="22"/>
          <w:highlight w:val="none"/>
        </w:rPr>
        <w:t>.5 合同文件的优先顺序</w:t>
      </w:r>
      <w:bookmarkEnd w:id="144"/>
      <w:bookmarkEnd w:id="145"/>
      <w:bookmarkEnd w:id="146"/>
    </w:p>
    <w:bookmarkEnd w:id="147"/>
    <w:bookmarkEnd w:id="148"/>
    <w:bookmarkEnd w:id="149"/>
    <w:p w14:paraId="636A70B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组成合同的各项文件应互相解释，互为说明。除专用合同条款另有约定外，解释合同文件的优先顺序如下：</w:t>
      </w:r>
    </w:p>
    <w:p w14:paraId="2A6B71D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（1）合同协议书；</w:t>
      </w:r>
    </w:p>
    <w:p w14:paraId="4BACBE4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（2）中标通知书；</w:t>
      </w:r>
    </w:p>
    <w:p w14:paraId="5369F78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（3）专用合同条款及其附件；</w:t>
      </w:r>
    </w:p>
    <w:p w14:paraId="79B2671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（4）通用合同条款；</w:t>
      </w:r>
    </w:p>
    <w:p w14:paraId="5BC0B3A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（5）投标文件；</w:t>
      </w:r>
    </w:p>
    <w:p w14:paraId="7C311CB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（6）其他合同文件。</w:t>
      </w:r>
    </w:p>
    <w:p w14:paraId="22B1940F">
      <w:pPr>
        <w:spacing w:line="400" w:lineRule="exact"/>
        <w:ind w:firstLine="468" w:firstLineChars="213"/>
        <w:rPr>
          <w:rFonts w:ascii="宋体" w:hAnsi="宋体"/>
          <w:color w:val="auto"/>
          <w:sz w:val="22"/>
          <w:szCs w:val="22"/>
          <w:highlight w:val="none"/>
        </w:rPr>
      </w:pPr>
      <w:r>
        <w:rPr>
          <w:rFonts w:ascii="宋体" w:hAnsi="宋体"/>
          <w:color w:val="auto"/>
          <w:sz w:val="22"/>
          <w:szCs w:val="22"/>
          <w:highlight w:val="none"/>
        </w:rPr>
        <w:t>上述各项合同文件包括合同当事人就该项合同文件所作出的补充和修改，属于同一类内容的文件，应以最新签署的为准。</w:t>
      </w:r>
    </w:p>
    <w:p w14:paraId="75868A31">
      <w:pPr>
        <w:spacing w:line="400" w:lineRule="exact"/>
        <w:ind w:firstLine="468" w:firstLineChars="213"/>
        <w:rPr>
          <w:rFonts w:ascii="宋体" w:hAnsi="宋体"/>
          <w:color w:val="auto"/>
          <w:sz w:val="22"/>
          <w:szCs w:val="22"/>
          <w:highlight w:val="none"/>
        </w:rPr>
      </w:pPr>
      <w:r>
        <w:rPr>
          <w:rFonts w:ascii="宋体" w:hAnsi="宋体"/>
          <w:color w:val="auto"/>
          <w:sz w:val="22"/>
          <w:szCs w:val="22"/>
          <w:highlight w:val="none"/>
        </w:rPr>
        <w:t>在合同订立及履行过程中形成的与合同有关的文件均构成合同文件组成部分，并根据其性质确定优先解释顺序。</w:t>
      </w:r>
    </w:p>
    <w:p w14:paraId="35521100">
      <w:pPr>
        <w:pStyle w:val="4"/>
        <w:spacing w:before="0" w:after="0" w:line="400" w:lineRule="exact"/>
        <w:ind w:firstLine="440" w:firstLineChars="200"/>
        <w:rPr>
          <w:rFonts w:ascii="宋体" w:hAnsi="宋体"/>
          <w:color w:val="auto"/>
          <w:sz w:val="22"/>
          <w:szCs w:val="22"/>
          <w:highlight w:val="none"/>
        </w:rPr>
      </w:pPr>
      <w:bookmarkStart w:id="150" w:name="_Toc24978"/>
      <w:bookmarkStart w:id="151" w:name="_Toc35811987"/>
      <w:bookmarkStart w:id="152" w:name="_Toc351203502"/>
      <w:r>
        <w:rPr>
          <w:rFonts w:ascii="宋体" w:hAnsi="宋体"/>
          <w:color w:val="auto"/>
          <w:sz w:val="22"/>
          <w:szCs w:val="22"/>
          <w:highlight w:val="none"/>
        </w:rPr>
        <w:t>1</w:t>
      </w:r>
      <w:bookmarkStart w:id="153" w:name="_Toc296346534"/>
      <w:bookmarkStart w:id="154" w:name="_Toc337558733"/>
      <w:bookmarkStart w:id="155" w:name="_Toc296503033"/>
      <w:r>
        <w:rPr>
          <w:rFonts w:ascii="宋体" w:hAnsi="宋体"/>
          <w:color w:val="auto"/>
          <w:sz w:val="22"/>
          <w:szCs w:val="22"/>
          <w:highlight w:val="none"/>
        </w:rPr>
        <w:t>.6联络</w:t>
      </w:r>
      <w:bookmarkEnd w:id="150"/>
      <w:bookmarkEnd w:id="151"/>
      <w:bookmarkEnd w:id="152"/>
    </w:p>
    <w:bookmarkEnd w:id="153"/>
    <w:bookmarkEnd w:id="154"/>
    <w:bookmarkEnd w:id="155"/>
    <w:p w14:paraId="64C6D54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1.6.1 与合同有关的通知、批准、证明、证书、指示、指令、要求、请求、同意、意见、确定和决定等，均应采用书面形式，并应在约定的期限内送达接收人和送达地点。</w:t>
      </w:r>
    </w:p>
    <w:p w14:paraId="329AF41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1.6.2 甲方和乙方应在专用合同条款中约定各自的送达接收人和送达地点。任何一方合同当事人指定的接收人或送达地点发生变动的，应提前3天以书面形式通知对方。</w:t>
      </w:r>
    </w:p>
    <w:p w14:paraId="1AF5104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1.6.3 甲方和乙方应当及时签收另一方送达至送达地点和指定接收人的来往信函。拒不签收的，由拒绝接收一方承担对方由此造成的损失赔偿，并承担有可能因此产生的法律责任。</w:t>
      </w:r>
    </w:p>
    <w:p w14:paraId="4FE6498C">
      <w:pPr>
        <w:pStyle w:val="4"/>
        <w:spacing w:before="0" w:after="0" w:line="400" w:lineRule="exact"/>
        <w:ind w:firstLine="440" w:firstLineChars="200"/>
        <w:rPr>
          <w:rFonts w:ascii="宋体" w:hAnsi="宋体"/>
          <w:color w:val="auto"/>
          <w:sz w:val="22"/>
          <w:szCs w:val="22"/>
          <w:highlight w:val="none"/>
        </w:rPr>
      </w:pPr>
      <w:bookmarkStart w:id="156" w:name="_Toc351203503"/>
      <w:bookmarkStart w:id="157" w:name="_Toc10841"/>
      <w:bookmarkStart w:id="158" w:name="_Toc35811988"/>
      <w:r>
        <w:rPr>
          <w:rFonts w:ascii="宋体" w:hAnsi="宋体"/>
          <w:color w:val="auto"/>
          <w:sz w:val="22"/>
          <w:szCs w:val="22"/>
          <w:highlight w:val="none"/>
        </w:rPr>
        <w:t>1</w:t>
      </w:r>
      <w:bookmarkStart w:id="159" w:name="_Toc296346536"/>
      <w:bookmarkStart w:id="160" w:name="_Toc337558734"/>
      <w:bookmarkStart w:id="161" w:name="_Toc296503035"/>
      <w:r>
        <w:rPr>
          <w:rFonts w:ascii="宋体" w:hAnsi="宋体"/>
          <w:color w:val="auto"/>
          <w:sz w:val="22"/>
          <w:szCs w:val="22"/>
          <w:highlight w:val="none"/>
        </w:rPr>
        <w:t>.7严禁贿赂</w:t>
      </w:r>
      <w:bookmarkEnd w:id="156"/>
      <w:r>
        <w:rPr>
          <w:rFonts w:hint="eastAsia" w:ascii="宋体" w:hAnsi="宋体"/>
          <w:color w:val="auto"/>
          <w:sz w:val="22"/>
          <w:szCs w:val="22"/>
          <w:highlight w:val="none"/>
        </w:rPr>
        <w:t>、受贿及索贿</w:t>
      </w:r>
      <w:bookmarkEnd w:id="157"/>
      <w:bookmarkEnd w:id="158"/>
    </w:p>
    <w:bookmarkEnd w:id="159"/>
    <w:bookmarkEnd w:id="160"/>
    <w:bookmarkEnd w:id="161"/>
    <w:p w14:paraId="7A7EF08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合同当事人不得以贿赂</w:t>
      </w:r>
      <w:r>
        <w:rPr>
          <w:rFonts w:hint="eastAsia" w:ascii="宋体" w:hAnsi="宋体"/>
          <w:color w:val="auto"/>
          <w:sz w:val="22"/>
          <w:szCs w:val="22"/>
          <w:highlight w:val="none"/>
        </w:rPr>
        <w:t>、受贿及索贿</w:t>
      </w:r>
      <w:r>
        <w:rPr>
          <w:rFonts w:ascii="宋体" w:hAnsi="宋体"/>
          <w:color w:val="auto"/>
          <w:sz w:val="22"/>
          <w:szCs w:val="22"/>
          <w:highlight w:val="none"/>
        </w:rPr>
        <w:t>或变相贿赂</w:t>
      </w:r>
      <w:r>
        <w:rPr>
          <w:rFonts w:hint="eastAsia" w:ascii="宋体" w:hAnsi="宋体"/>
          <w:color w:val="auto"/>
          <w:sz w:val="22"/>
          <w:szCs w:val="22"/>
          <w:highlight w:val="none"/>
        </w:rPr>
        <w:t>、受贿及索贿</w:t>
      </w:r>
      <w:r>
        <w:rPr>
          <w:rFonts w:ascii="宋体" w:hAnsi="宋体"/>
          <w:color w:val="auto"/>
          <w:sz w:val="22"/>
          <w:szCs w:val="22"/>
          <w:highlight w:val="none"/>
        </w:rPr>
        <w:t>的方式，谋取非法利益或损害对方权益。因一方合同当事人的贿赂</w:t>
      </w:r>
      <w:r>
        <w:rPr>
          <w:rFonts w:hint="eastAsia" w:ascii="宋体" w:hAnsi="宋体"/>
          <w:color w:val="auto"/>
          <w:sz w:val="22"/>
          <w:szCs w:val="22"/>
          <w:highlight w:val="none"/>
        </w:rPr>
        <w:t>、受贿及索贿</w:t>
      </w:r>
      <w:r>
        <w:rPr>
          <w:rFonts w:ascii="宋体" w:hAnsi="宋体"/>
          <w:color w:val="auto"/>
          <w:sz w:val="22"/>
          <w:szCs w:val="22"/>
          <w:highlight w:val="none"/>
        </w:rPr>
        <w:t>造成对方损失的，应赔偿损失，并承担相应的法律责任。</w:t>
      </w:r>
    </w:p>
    <w:p w14:paraId="44BA0395">
      <w:pPr>
        <w:pStyle w:val="4"/>
        <w:spacing w:before="0" w:after="0" w:line="400" w:lineRule="exact"/>
        <w:ind w:firstLine="440" w:firstLineChars="200"/>
        <w:rPr>
          <w:rFonts w:ascii="宋体" w:hAnsi="宋体"/>
          <w:color w:val="auto"/>
          <w:sz w:val="22"/>
          <w:szCs w:val="22"/>
          <w:highlight w:val="none"/>
        </w:rPr>
      </w:pPr>
      <w:bookmarkStart w:id="162" w:name="_Toc351203504"/>
      <w:bookmarkStart w:id="163" w:name="_Toc1856"/>
      <w:bookmarkStart w:id="164" w:name="_Toc35811989"/>
      <w:r>
        <w:rPr>
          <w:rFonts w:ascii="宋体" w:hAnsi="宋体"/>
          <w:color w:val="auto"/>
          <w:sz w:val="22"/>
          <w:szCs w:val="22"/>
          <w:highlight w:val="none"/>
        </w:rPr>
        <w:t>1</w:t>
      </w:r>
      <w:bookmarkStart w:id="165" w:name="_Toc337558735"/>
      <w:bookmarkStart w:id="166" w:name="_Toc296503036"/>
      <w:bookmarkStart w:id="167" w:name="_Toc296346537"/>
      <w:r>
        <w:rPr>
          <w:rFonts w:ascii="宋体" w:hAnsi="宋体"/>
          <w:color w:val="auto"/>
          <w:sz w:val="22"/>
          <w:szCs w:val="22"/>
          <w:highlight w:val="none"/>
        </w:rPr>
        <w:t>.</w:t>
      </w:r>
      <w:bookmarkEnd w:id="162"/>
      <w:r>
        <w:rPr>
          <w:rFonts w:ascii="宋体" w:hAnsi="宋体"/>
          <w:color w:val="auto"/>
          <w:sz w:val="22"/>
          <w:szCs w:val="22"/>
          <w:highlight w:val="none"/>
        </w:rPr>
        <w:t>8野生动植物</w:t>
      </w:r>
      <w:bookmarkEnd w:id="163"/>
      <w:bookmarkEnd w:id="164"/>
    </w:p>
    <w:bookmarkEnd w:id="165"/>
    <w:bookmarkEnd w:id="166"/>
    <w:bookmarkEnd w:id="167"/>
    <w:p w14:paraId="75CBE14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处理设施运维服务范围内发现的珍贵、濒危的陆生、水生野生动物和有重要生态、科学、社会价值的陆生野生动物（含卵、蛋），原生地天然生长的珍贵植物和原生地天然生长并具有重要经济、科学研究、文化价值的濒危、稀有植物，上述资源均属于国家所有。一旦发现上述野生动植物，乙方应采取合理有效的保护措施，防止任何人员损坏或损伤上述野生动植物，并立即报告有关政府行政管理部门，同时通知甲方。</w:t>
      </w:r>
    </w:p>
    <w:p w14:paraId="19779F1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甲方、乙方应按有关政府行政管理部门要求采取妥善的保护措施，由此增加的费用由甲方承担。</w:t>
      </w:r>
    </w:p>
    <w:p w14:paraId="7329E22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乙方发现珍贵、濒危野生动植物后不及时报告或隐瞒不报，致使珍贵、濒危野生动植物死亡或损伤的，应赔偿损失，并承担相应的法律责任。</w:t>
      </w:r>
    </w:p>
    <w:p w14:paraId="7F7E11E0">
      <w:pPr>
        <w:pStyle w:val="4"/>
        <w:spacing w:before="0" w:after="0" w:line="400" w:lineRule="exact"/>
        <w:ind w:firstLine="440" w:firstLineChars="200"/>
        <w:rPr>
          <w:rFonts w:ascii="宋体" w:hAnsi="宋体"/>
          <w:color w:val="auto"/>
          <w:sz w:val="22"/>
          <w:szCs w:val="22"/>
          <w:highlight w:val="none"/>
        </w:rPr>
      </w:pPr>
      <w:bookmarkStart w:id="168" w:name="_Toc351203506"/>
      <w:bookmarkStart w:id="169" w:name="_Toc9031"/>
      <w:bookmarkStart w:id="170" w:name="_Toc35811990"/>
      <w:r>
        <w:rPr>
          <w:rFonts w:ascii="宋体" w:hAnsi="宋体"/>
          <w:color w:val="auto"/>
          <w:sz w:val="22"/>
          <w:szCs w:val="22"/>
          <w:highlight w:val="none"/>
        </w:rPr>
        <w:t>1</w:t>
      </w:r>
      <w:bookmarkStart w:id="171" w:name="_Toc337558737"/>
      <w:bookmarkStart w:id="172" w:name="_Toc296503037"/>
      <w:bookmarkStart w:id="173" w:name="_Toc296346538"/>
      <w:r>
        <w:rPr>
          <w:rFonts w:ascii="宋体" w:hAnsi="宋体"/>
          <w:color w:val="auto"/>
          <w:sz w:val="22"/>
          <w:szCs w:val="22"/>
          <w:highlight w:val="none"/>
        </w:rPr>
        <w:t>.</w:t>
      </w:r>
      <w:r>
        <w:rPr>
          <w:rFonts w:hint="eastAsia" w:ascii="宋体" w:hAnsi="宋体"/>
          <w:color w:val="auto"/>
          <w:sz w:val="22"/>
          <w:szCs w:val="22"/>
          <w:highlight w:val="none"/>
        </w:rPr>
        <w:t>9</w:t>
      </w:r>
      <w:r>
        <w:rPr>
          <w:rFonts w:ascii="宋体" w:hAnsi="宋体"/>
          <w:color w:val="auto"/>
          <w:sz w:val="22"/>
          <w:szCs w:val="22"/>
          <w:highlight w:val="none"/>
        </w:rPr>
        <w:t>知识产权</w:t>
      </w:r>
      <w:bookmarkEnd w:id="168"/>
      <w:bookmarkEnd w:id="169"/>
      <w:bookmarkEnd w:id="170"/>
      <w:r>
        <w:rPr>
          <w:rFonts w:ascii="宋体" w:hAnsi="宋体"/>
          <w:color w:val="auto"/>
          <w:sz w:val="22"/>
          <w:szCs w:val="22"/>
          <w:highlight w:val="none"/>
        </w:rPr>
        <w:t xml:space="preserve"> </w:t>
      </w:r>
      <w:bookmarkEnd w:id="171"/>
    </w:p>
    <w:bookmarkEnd w:id="172"/>
    <w:bookmarkEnd w:id="173"/>
    <w:p w14:paraId="7AE18CB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.1 除专用合同条款另有约定外，甲方提供给乙方的规划、图纸</w:t>
      </w:r>
      <w:r>
        <w:rPr>
          <w:rFonts w:hint="eastAsia" w:ascii="宋体" w:hAnsi="宋体"/>
          <w:color w:val="auto"/>
          <w:sz w:val="22"/>
          <w:szCs w:val="22"/>
          <w:highlight w:val="none"/>
        </w:rPr>
        <w:t>、</w:t>
      </w:r>
      <w:r>
        <w:rPr>
          <w:rFonts w:ascii="宋体" w:hAnsi="宋体"/>
          <w:color w:val="auto"/>
          <w:sz w:val="22"/>
          <w:szCs w:val="22"/>
          <w:highlight w:val="none"/>
        </w:rPr>
        <w:t>自行编制的技术文件及其他类似性质的技术文件的著作权属于甲方</w:t>
      </w:r>
      <w:r>
        <w:rPr>
          <w:rFonts w:hint="eastAsia" w:ascii="宋体" w:hAnsi="宋体"/>
          <w:color w:val="auto"/>
          <w:sz w:val="22"/>
          <w:szCs w:val="22"/>
          <w:highlight w:val="none"/>
        </w:rPr>
        <w:t>；</w:t>
      </w:r>
      <w:r>
        <w:rPr>
          <w:rFonts w:ascii="宋体" w:hAnsi="宋体"/>
          <w:color w:val="auto"/>
          <w:sz w:val="22"/>
          <w:szCs w:val="22"/>
          <w:highlight w:val="none"/>
        </w:rPr>
        <w:t>乙方可以为实现合同目的而复制、使用此类文件，但不能用于与合同无关的其他事项。未经甲方书面同意，乙方不得为了合同以外的目的而复制、使用上述文件或将之提供给任何第三方。</w:t>
      </w:r>
    </w:p>
    <w:p w14:paraId="6148FE1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.2 除专用合同条款另有约定外，乙方为实施处理设施运维所编制的文件</w:t>
      </w:r>
      <w:r>
        <w:rPr>
          <w:rFonts w:hint="eastAsia" w:ascii="宋体" w:hAnsi="宋体"/>
          <w:color w:val="auto"/>
          <w:sz w:val="22"/>
          <w:szCs w:val="22"/>
          <w:highlight w:val="none"/>
        </w:rPr>
        <w:t>、运维过程与结果记录及相关台账资料</w:t>
      </w:r>
      <w:r>
        <w:rPr>
          <w:rFonts w:ascii="宋体" w:hAnsi="宋体"/>
          <w:color w:val="auto"/>
          <w:sz w:val="22"/>
          <w:szCs w:val="22"/>
          <w:highlight w:val="none"/>
        </w:rPr>
        <w:t>，除署名权以外的著作权属于甲方，乙方可因实施处理设施运维的目的而复制、使用此类文件，但不能用于与合同无关的其他事项。未经甲方书面同意，乙方不得为了合同以外的目的而复制、使用上述文件或将之提供给任何第三方。</w:t>
      </w:r>
    </w:p>
    <w:p w14:paraId="4AABEA3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.3 合同当事人保证在履行合同过程中不侵犯对方及第三方的知识产权。乙方在使用计算机软件、材料、设备或工艺时，因侵犯他人的专利权或其他知识产权所引起的责任，由乙方承担；因甲方提供的计算机软件、材料、设备或工艺等导致侵权的，由甲方承担责任。</w:t>
      </w:r>
    </w:p>
    <w:p w14:paraId="47423108">
      <w:pPr>
        <w:spacing w:line="400" w:lineRule="exact"/>
        <w:rPr>
          <w:rFonts w:ascii="宋体" w:hAnsi="宋体"/>
          <w:color w:val="auto"/>
          <w:sz w:val="22"/>
          <w:szCs w:val="22"/>
          <w:highlight w:val="none"/>
        </w:rPr>
      </w:pPr>
      <w:r>
        <w:rPr>
          <w:rFonts w:ascii="宋体" w:hAnsi="宋体"/>
          <w:color w:val="auto"/>
          <w:sz w:val="22"/>
          <w:szCs w:val="22"/>
          <w:highlight w:val="none"/>
        </w:rPr>
        <w:t xml:space="preserve">    1.</w:t>
      </w:r>
      <w:r>
        <w:rPr>
          <w:rFonts w:hint="eastAsia" w:ascii="宋体" w:hAnsi="宋体"/>
          <w:color w:val="auto"/>
          <w:sz w:val="22"/>
          <w:szCs w:val="22"/>
          <w:highlight w:val="none"/>
        </w:rPr>
        <w:t>9</w:t>
      </w:r>
      <w:r>
        <w:rPr>
          <w:rFonts w:ascii="宋体" w:hAnsi="宋体"/>
          <w:color w:val="auto"/>
          <w:sz w:val="22"/>
          <w:szCs w:val="22"/>
          <w:highlight w:val="none"/>
        </w:rPr>
        <w:t>.4 除专用合同条款另有约定外，乙方在</w:t>
      </w:r>
      <w:r>
        <w:rPr>
          <w:rFonts w:hint="eastAsia" w:ascii="宋体" w:hAnsi="宋体"/>
          <w:color w:val="auto"/>
          <w:sz w:val="22"/>
          <w:szCs w:val="22"/>
          <w:highlight w:val="none"/>
        </w:rPr>
        <w:t>运维</w:t>
      </w:r>
      <w:r>
        <w:rPr>
          <w:rFonts w:ascii="宋体" w:hAnsi="宋体"/>
          <w:color w:val="auto"/>
          <w:sz w:val="22"/>
          <w:szCs w:val="22"/>
          <w:highlight w:val="none"/>
        </w:rPr>
        <w:t>过程中采用的专利、专有技术、技术秘密的使用费已包含在运维合同价中。</w:t>
      </w:r>
    </w:p>
    <w:p w14:paraId="744E41BE">
      <w:pPr>
        <w:pStyle w:val="4"/>
        <w:spacing w:before="0" w:after="0" w:line="400" w:lineRule="exact"/>
        <w:ind w:firstLine="440" w:firstLineChars="200"/>
        <w:rPr>
          <w:rFonts w:ascii="宋体" w:hAnsi="宋体"/>
          <w:color w:val="auto"/>
          <w:sz w:val="22"/>
          <w:szCs w:val="22"/>
          <w:highlight w:val="none"/>
        </w:rPr>
      </w:pPr>
      <w:bookmarkStart w:id="174" w:name="_Toc28074"/>
      <w:bookmarkStart w:id="175" w:name="_Toc351203507"/>
      <w:bookmarkStart w:id="176" w:name="_Toc35811991"/>
      <w:r>
        <w:rPr>
          <w:rFonts w:ascii="宋体" w:hAnsi="宋体"/>
          <w:color w:val="auto"/>
          <w:sz w:val="22"/>
          <w:szCs w:val="22"/>
          <w:highlight w:val="none"/>
        </w:rPr>
        <w:t>1</w:t>
      </w:r>
      <w:bookmarkStart w:id="177" w:name="_Toc337558738"/>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保密</w:t>
      </w:r>
      <w:bookmarkEnd w:id="174"/>
      <w:bookmarkEnd w:id="175"/>
      <w:bookmarkEnd w:id="176"/>
    </w:p>
    <w:bookmarkEnd w:id="177"/>
    <w:p w14:paraId="61866A4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除法律规定或合同另有约定外，未经甲方同意，乙方不得将甲方提供的规划、图纸、文件以及声明需要保密的资料信息等秘密泄露给第三方。</w:t>
      </w:r>
    </w:p>
    <w:p w14:paraId="450D1E6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除法律规定或合同另有约定外，未经乙方同意，甲方不得将乙方提供的技术秘密及声明需要保密的资料信息等商业秘密泄露给第三方。</w:t>
      </w:r>
    </w:p>
    <w:p w14:paraId="207DBF46">
      <w:pPr>
        <w:pStyle w:val="4"/>
        <w:spacing w:before="0" w:after="0" w:line="400" w:lineRule="exact"/>
        <w:ind w:firstLine="440" w:firstLineChars="200"/>
        <w:rPr>
          <w:rFonts w:ascii="宋体" w:hAnsi="宋体"/>
          <w:color w:val="auto"/>
          <w:sz w:val="22"/>
          <w:szCs w:val="22"/>
          <w:highlight w:val="none"/>
        </w:rPr>
      </w:pPr>
      <w:bookmarkStart w:id="178" w:name="_Toc351203508"/>
      <w:bookmarkStart w:id="179" w:name="_Toc20238"/>
      <w:bookmarkStart w:id="180" w:name="_Toc35811992"/>
      <w:r>
        <w:rPr>
          <w:rFonts w:ascii="宋体" w:hAnsi="宋体"/>
          <w:color w:val="auto"/>
          <w:sz w:val="22"/>
          <w:szCs w:val="22"/>
          <w:highlight w:val="none"/>
        </w:rPr>
        <w:t>1.1</w:t>
      </w:r>
      <w:r>
        <w:rPr>
          <w:rFonts w:hint="eastAsia" w:ascii="宋体" w:hAnsi="宋体"/>
          <w:color w:val="auto"/>
          <w:sz w:val="22"/>
          <w:szCs w:val="22"/>
          <w:highlight w:val="none"/>
        </w:rPr>
        <w:t>1</w:t>
      </w:r>
      <w:r>
        <w:rPr>
          <w:rFonts w:ascii="宋体" w:hAnsi="宋体"/>
          <w:color w:val="auto"/>
          <w:sz w:val="22"/>
          <w:szCs w:val="22"/>
          <w:highlight w:val="none"/>
        </w:rPr>
        <w:t>费用</w:t>
      </w:r>
      <w:bookmarkEnd w:id="178"/>
      <w:r>
        <w:rPr>
          <w:rFonts w:hint="eastAsia" w:ascii="宋体" w:hAnsi="宋体"/>
          <w:color w:val="auto"/>
          <w:sz w:val="22"/>
          <w:szCs w:val="22"/>
          <w:highlight w:val="none"/>
        </w:rPr>
        <w:t>修正</w:t>
      </w:r>
      <w:bookmarkEnd w:id="179"/>
      <w:bookmarkEnd w:id="180"/>
    </w:p>
    <w:p w14:paraId="41309AA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除专用合同条款另有约定外，甲方提供的项目具体服务范围清单，应被认为是准确的和完整的。项目具体服务范围清单</w:t>
      </w:r>
      <w:r>
        <w:rPr>
          <w:rFonts w:hint="eastAsia" w:ascii="宋体" w:hAnsi="宋体"/>
          <w:color w:val="auto"/>
          <w:sz w:val="22"/>
          <w:szCs w:val="22"/>
          <w:highlight w:val="none"/>
        </w:rPr>
        <w:t>漏项</w:t>
      </w:r>
      <w:r>
        <w:rPr>
          <w:rFonts w:ascii="宋体" w:hAnsi="宋体"/>
          <w:color w:val="auto"/>
          <w:sz w:val="22"/>
          <w:szCs w:val="22"/>
          <w:highlight w:val="none"/>
        </w:rPr>
        <w:t>或缺项的</w:t>
      </w:r>
      <w:r>
        <w:rPr>
          <w:rFonts w:hint="eastAsia" w:ascii="宋体" w:hAnsi="宋体"/>
          <w:color w:val="auto"/>
          <w:sz w:val="22"/>
          <w:szCs w:val="22"/>
          <w:highlight w:val="none"/>
        </w:rPr>
        <w:t>，</w:t>
      </w:r>
      <w:r>
        <w:rPr>
          <w:rFonts w:ascii="宋体" w:hAnsi="宋体"/>
          <w:color w:val="auto"/>
          <w:sz w:val="22"/>
          <w:szCs w:val="22"/>
          <w:highlight w:val="none"/>
        </w:rPr>
        <w:t>甲方应予以修正，当期按实调整</w:t>
      </w:r>
      <w:r>
        <w:rPr>
          <w:rFonts w:hint="eastAsia" w:ascii="宋体" w:hAnsi="宋体"/>
          <w:color w:val="auto"/>
          <w:sz w:val="22"/>
          <w:szCs w:val="22"/>
          <w:highlight w:val="none"/>
        </w:rPr>
        <w:t>。</w:t>
      </w:r>
    </w:p>
    <w:p w14:paraId="0D931974">
      <w:pPr>
        <w:pStyle w:val="3"/>
        <w:spacing w:before="0" w:after="0" w:line="400" w:lineRule="exact"/>
        <w:rPr>
          <w:rFonts w:ascii="宋体" w:hAnsi="宋体" w:eastAsia="宋体"/>
          <w:color w:val="auto"/>
          <w:sz w:val="22"/>
          <w:szCs w:val="22"/>
          <w:highlight w:val="none"/>
        </w:rPr>
      </w:pPr>
      <w:bookmarkStart w:id="181" w:name="_Toc35811993"/>
      <w:bookmarkStart w:id="182" w:name="_Toc21867"/>
      <w:r>
        <w:rPr>
          <w:rFonts w:ascii="宋体" w:hAnsi="宋体" w:eastAsia="宋体"/>
          <w:color w:val="auto"/>
          <w:sz w:val="22"/>
          <w:szCs w:val="22"/>
          <w:highlight w:val="none"/>
        </w:rPr>
        <w:t>2.甲方</w:t>
      </w:r>
      <w:bookmarkEnd w:id="181"/>
      <w:bookmarkEnd w:id="182"/>
    </w:p>
    <w:p w14:paraId="692432FC">
      <w:pPr>
        <w:pStyle w:val="4"/>
        <w:spacing w:before="0" w:after="0" w:line="400" w:lineRule="exact"/>
        <w:ind w:firstLine="440" w:firstLineChars="200"/>
        <w:rPr>
          <w:rFonts w:ascii="宋体" w:hAnsi="宋体"/>
          <w:color w:val="auto"/>
          <w:sz w:val="22"/>
          <w:szCs w:val="22"/>
          <w:highlight w:val="none"/>
        </w:rPr>
      </w:pPr>
      <w:bookmarkStart w:id="183" w:name="_Toc35811994"/>
      <w:bookmarkStart w:id="184" w:name="_Toc351203511"/>
      <w:bookmarkStart w:id="185" w:name="_Toc15913"/>
      <w:r>
        <w:rPr>
          <w:rFonts w:ascii="宋体" w:hAnsi="宋体"/>
          <w:color w:val="auto"/>
          <w:sz w:val="22"/>
          <w:szCs w:val="22"/>
          <w:highlight w:val="none"/>
        </w:rPr>
        <w:t>2.1 甲方代表</w:t>
      </w:r>
      <w:bookmarkEnd w:id="183"/>
      <w:bookmarkEnd w:id="184"/>
      <w:bookmarkEnd w:id="185"/>
    </w:p>
    <w:p w14:paraId="3614CE2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在专用合同条款中明确其指定的甲方代表的姓名、职务、联系方式及授权范围等事项。甲方代表在甲方的授权范围内，负责处理合同履行过程中与甲方有关的具体事宜。甲方代表在授权范围内的行为由甲方承担法律责任。甲方更换甲方代表的，应提前7天书面通知乙方。</w:t>
      </w:r>
    </w:p>
    <w:p w14:paraId="3488370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甲方代表不能按照合同约定履行其职责及义务，并导致合同无法继续正常履行的，乙方可以要求甲方撤换甲方代表。</w:t>
      </w:r>
    </w:p>
    <w:p w14:paraId="12F318E0">
      <w:pPr>
        <w:pStyle w:val="4"/>
        <w:spacing w:before="0" w:after="0" w:line="400" w:lineRule="exact"/>
        <w:ind w:firstLine="440" w:firstLineChars="200"/>
        <w:rPr>
          <w:rFonts w:ascii="宋体" w:hAnsi="宋体"/>
          <w:color w:val="auto"/>
          <w:sz w:val="22"/>
          <w:szCs w:val="22"/>
          <w:highlight w:val="none"/>
        </w:rPr>
      </w:pPr>
      <w:bookmarkStart w:id="186" w:name="_Toc351203512"/>
      <w:bookmarkStart w:id="187" w:name="_Toc35811995"/>
      <w:bookmarkStart w:id="188" w:name="_Toc24088"/>
      <w:r>
        <w:rPr>
          <w:rFonts w:ascii="宋体" w:hAnsi="宋体"/>
          <w:color w:val="auto"/>
          <w:sz w:val="22"/>
          <w:szCs w:val="22"/>
          <w:highlight w:val="none"/>
        </w:rPr>
        <w:t>2.2 甲方人员</w:t>
      </w:r>
      <w:bookmarkEnd w:id="186"/>
      <w:bookmarkEnd w:id="187"/>
      <w:bookmarkEnd w:id="188"/>
    </w:p>
    <w:p w14:paraId="6656FEE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甲方人员包括甲方代表及其他由甲方指派到处理设施运维现场的人员。</w:t>
      </w:r>
    </w:p>
    <w:p w14:paraId="4B71868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甲方应要求在处理设施运维现场的甲方人员遵守法律及有关安全、环境保护等规定，并保障乙方免于承受因甲方人员未遵守上述要求给乙方造成的损失和责任。</w:t>
      </w:r>
    </w:p>
    <w:p w14:paraId="473D21D5">
      <w:pPr>
        <w:pStyle w:val="4"/>
        <w:spacing w:before="0" w:after="0" w:line="400" w:lineRule="exact"/>
        <w:ind w:firstLine="440" w:firstLineChars="200"/>
        <w:rPr>
          <w:rFonts w:ascii="宋体" w:hAnsi="宋体"/>
          <w:color w:val="auto"/>
          <w:sz w:val="22"/>
          <w:szCs w:val="22"/>
          <w:highlight w:val="none"/>
        </w:rPr>
      </w:pPr>
      <w:bookmarkStart w:id="189" w:name="_Toc18113"/>
      <w:bookmarkStart w:id="190" w:name="_Toc35811996"/>
      <w:r>
        <w:rPr>
          <w:rFonts w:ascii="宋体" w:hAnsi="宋体"/>
          <w:color w:val="auto"/>
          <w:sz w:val="22"/>
          <w:szCs w:val="22"/>
          <w:highlight w:val="none"/>
        </w:rPr>
        <w:t>2.3</w:t>
      </w:r>
      <w:r>
        <w:rPr>
          <w:rFonts w:hint="eastAsia" w:ascii="宋体" w:hAnsi="宋体"/>
          <w:color w:val="auto"/>
          <w:sz w:val="22"/>
          <w:szCs w:val="22"/>
          <w:highlight w:val="none"/>
        </w:rPr>
        <w:t xml:space="preserve"> 甲方一般义务</w:t>
      </w:r>
      <w:bookmarkEnd w:id="189"/>
      <w:bookmarkEnd w:id="190"/>
    </w:p>
    <w:p w14:paraId="667ECE5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2.3.1 提供运维服务条件</w:t>
      </w:r>
    </w:p>
    <w:p w14:paraId="64469DF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除专用合同条款另有约定外，甲方应负责提供运维服务所需要的条件，包括：</w:t>
      </w:r>
    </w:p>
    <w:p w14:paraId="787C8D9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道路、</w:t>
      </w:r>
      <w:r>
        <w:rPr>
          <w:rFonts w:ascii="宋体" w:hAnsi="宋体"/>
          <w:color w:val="auto"/>
          <w:sz w:val="22"/>
          <w:szCs w:val="22"/>
          <w:highlight w:val="none"/>
        </w:rPr>
        <w:t>通讯线路</w:t>
      </w:r>
      <w:r>
        <w:rPr>
          <w:rFonts w:hint="eastAsia" w:ascii="宋体" w:hAnsi="宋体"/>
          <w:color w:val="auto"/>
          <w:sz w:val="22"/>
          <w:szCs w:val="22"/>
          <w:highlight w:val="none"/>
        </w:rPr>
        <w:t>等</w:t>
      </w:r>
      <w:r>
        <w:rPr>
          <w:rFonts w:ascii="宋体" w:hAnsi="宋体"/>
          <w:color w:val="auto"/>
          <w:sz w:val="22"/>
          <w:szCs w:val="22"/>
          <w:highlight w:val="none"/>
        </w:rPr>
        <w:t>；</w:t>
      </w:r>
    </w:p>
    <w:p w14:paraId="14BB450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（2）出入运维</w:t>
      </w:r>
      <w:r>
        <w:rPr>
          <w:rFonts w:hint="eastAsia" w:ascii="宋体" w:hAnsi="宋体"/>
          <w:color w:val="auto"/>
          <w:sz w:val="22"/>
          <w:szCs w:val="22"/>
          <w:highlight w:val="none"/>
        </w:rPr>
        <w:t>项目服务对象</w:t>
      </w:r>
      <w:r>
        <w:rPr>
          <w:rFonts w:ascii="宋体" w:hAnsi="宋体"/>
          <w:color w:val="auto"/>
          <w:sz w:val="22"/>
          <w:szCs w:val="22"/>
          <w:highlight w:val="none"/>
        </w:rPr>
        <w:t>所需的批准手续和全部权利，并承担手续费用和其他相关费用。</w:t>
      </w:r>
    </w:p>
    <w:p w14:paraId="1B64F03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3</w:t>
      </w:r>
      <w:r>
        <w:rPr>
          <w:rFonts w:ascii="宋体" w:hAnsi="宋体"/>
          <w:color w:val="auto"/>
          <w:sz w:val="22"/>
          <w:szCs w:val="22"/>
          <w:highlight w:val="none"/>
        </w:rPr>
        <w:t>）运维废弃物的</w:t>
      </w:r>
      <w:r>
        <w:rPr>
          <w:rFonts w:hint="eastAsia" w:ascii="宋体" w:hAnsi="宋体"/>
          <w:color w:val="auto"/>
          <w:sz w:val="22"/>
          <w:szCs w:val="22"/>
          <w:highlight w:val="none"/>
        </w:rPr>
        <w:t>处置点及</w:t>
      </w:r>
      <w:r>
        <w:rPr>
          <w:rFonts w:ascii="宋体" w:hAnsi="宋体"/>
          <w:color w:val="auto"/>
          <w:sz w:val="22"/>
          <w:szCs w:val="22"/>
          <w:highlight w:val="none"/>
        </w:rPr>
        <w:t>处置方式；</w:t>
      </w:r>
    </w:p>
    <w:p w14:paraId="2D12CB0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4</w:t>
      </w:r>
      <w:r>
        <w:rPr>
          <w:rFonts w:ascii="宋体" w:hAnsi="宋体"/>
          <w:color w:val="auto"/>
          <w:sz w:val="22"/>
          <w:szCs w:val="22"/>
          <w:highlight w:val="none"/>
        </w:rPr>
        <w:t>）专用合同条款的其他约定。</w:t>
      </w:r>
    </w:p>
    <w:p w14:paraId="341859F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2.3.2 提供基础资料</w:t>
      </w:r>
    </w:p>
    <w:p w14:paraId="7AABD33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除专用合同条款另有约定外，甲方应当在移交处理设施前向乙方提供合同范围内处理设施及处理设施运维所必需的有关基础资料，并对所提供资料的真实性、准确性和完整性负责，包括：</w:t>
      </w:r>
    </w:p>
    <w:p w14:paraId="55EE005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（1）提供本合同范围内涉及的所有行政村、自然村</w:t>
      </w:r>
      <w:r>
        <w:rPr>
          <w:rFonts w:hint="eastAsia" w:ascii="宋体" w:hAnsi="宋体"/>
          <w:color w:val="auto"/>
          <w:sz w:val="22"/>
          <w:szCs w:val="22"/>
          <w:highlight w:val="none"/>
        </w:rPr>
        <w:t>和运维项目服务对象情况，以及</w:t>
      </w:r>
      <w:r>
        <w:rPr>
          <w:rFonts w:ascii="宋体" w:hAnsi="宋体"/>
          <w:color w:val="auto"/>
          <w:sz w:val="22"/>
          <w:szCs w:val="22"/>
          <w:highlight w:val="none"/>
        </w:rPr>
        <w:t>农户受益</w:t>
      </w:r>
      <w:r>
        <w:rPr>
          <w:rFonts w:hint="eastAsia" w:ascii="宋体" w:hAnsi="宋体"/>
          <w:color w:val="auto"/>
          <w:sz w:val="22"/>
          <w:szCs w:val="22"/>
          <w:highlight w:val="none"/>
        </w:rPr>
        <w:t>情况</w:t>
      </w:r>
      <w:r>
        <w:rPr>
          <w:rFonts w:ascii="宋体" w:hAnsi="宋体"/>
          <w:color w:val="auto"/>
          <w:sz w:val="22"/>
          <w:szCs w:val="22"/>
          <w:highlight w:val="none"/>
        </w:rPr>
        <w:t>的详细资料；</w:t>
      </w:r>
    </w:p>
    <w:p w14:paraId="56793D5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（2）提供已依法办理竣工验收合格手续的农村生活污水处理设施的竣工图、主要设施设备质保文件和使用说明书等技术资料；</w:t>
      </w:r>
    </w:p>
    <w:p w14:paraId="1B0DF89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（3）需投入运行但未依法办理竣工验收合格手续的农村生活污水处理设施，应</w:t>
      </w:r>
      <w:r>
        <w:rPr>
          <w:rFonts w:hint="eastAsia" w:ascii="宋体" w:hAnsi="宋体"/>
          <w:color w:val="auto"/>
          <w:sz w:val="22"/>
          <w:szCs w:val="22"/>
          <w:highlight w:val="none"/>
        </w:rPr>
        <w:t>尽可能</w:t>
      </w:r>
      <w:r>
        <w:rPr>
          <w:rFonts w:ascii="宋体" w:hAnsi="宋体"/>
          <w:color w:val="auto"/>
          <w:sz w:val="22"/>
          <w:szCs w:val="22"/>
          <w:highlight w:val="none"/>
        </w:rPr>
        <w:t>提供相关资料；</w:t>
      </w:r>
    </w:p>
    <w:p w14:paraId="698DD0B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（4）向乙方提供以往（近一年）处理设施运行状态、问题与整改</w:t>
      </w:r>
      <w:r>
        <w:rPr>
          <w:rFonts w:hint="eastAsia" w:ascii="宋体" w:hAnsi="宋体"/>
          <w:color w:val="auto"/>
          <w:sz w:val="22"/>
          <w:szCs w:val="22"/>
          <w:highlight w:val="none"/>
        </w:rPr>
        <w:t>、</w:t>
      </w:r>
      <w:r>
        <w:rPr>
          <w:rFonts w:ascii="宋体" w:hAnsi="宋体"/>
          <w:color w:val="auto"/>
          <w:sz w:val="22"/>
          <w:szCs w:val="22"/>
          <w:highlight w:val="none"/>
        </w:rPr>
        <w:t>水质检测报告等主要日常运维记录</w:t>
      </w:r>
      <w:r>
        <w:rPr>
          <w:rFonts w:hint="eastAsia" w:ascii="宋体" w:hAnsi="宋体"/>
          <w:color w:val="auto"/>
          <w:sz w:val="22"/>
          <w:szCs w:val="22"/>
          <w:highlight w:val="none"/>
        </w:rPr>
        <w:t>或调阅的方便性</w:t>
      </w:r>
      <w:r>
        <w:rPr>
          <w:rFonts w:ascii="宋体" w:hAnsi="宋体"/>
          <w:color w:val="auto"/>
          <w:sz w:val="22"/>
          <w:szCs w:val="22"/>
          <w:highlight w:val="none"/>
        </w:rPr>
        <w:t>；</w:t>
      </w:r>
    </w:p>
    <w:p w14:paraId="3D0EE95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（5）按照专用合同条款约定应提供的其他基础资料。</w:t>
      </w:r>
    </w:p>
    <w:p w14:paraId="41AA840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2.3.3 支付运维服务费用</w:t>
      </w:r>
    </w:p>
    <w:p w14:paraId="25CAC87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甲方应按合同约定向乙方及时支付运维服务费。</w:t>
      </w:r>
    </w:p>
    <w:p w14:paraId="518598A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.3</w:t>
      </w:r>
      <w:r>
        <w:rPr>
          <w:rFonts w:ascii="宋体" w:hAnsi="宋体"/>
          <w:color w:val="auto"/>
          <w:sz w:val="22"/>
          <w:szCs w:val="22"/>
          <w:highlight w:val="none"/>
        </w:rPr>
        <w:t>.4 逾期提供的责任</w:t>
      </w:r>
    </w:p>
    <w:p w14:paraId="708FBC3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因甲方原因未能按合同约定及时向乙方提供运维服务条件、基础资料的，由甲方承担</w:t>
      </w:r>
      <w:r>
        <w:rPr>
          <w:rFonts w:hint="eastAsia" w:ascii="宋体" w:hAnsi="宋体"/>
          <w:color w:val="auto"/>
          <w:sz w:val="22"/>
          <w:szCs w:val="22"/>
          <w:highlight w:val="none"/>
        </w:rPr>
        <w:t>相应</w:t>
      </w:r>
      <w:r>
        <w:rPr>
          <w:rFonts w:ascii="宋体" w:hAnsi="宋体"/>
          <w:color w:val="auto"/>
          <w:sz w:val="22"/>
          <w:szCs w:val="22"/>
          <w:highlight w:val="none"/>
        </w:rPr>
        <w:t>的责任。</w:t>
      </w:r>
    </w:p>
    <w:p w14:paraId="60C25F7A">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2.3.5 监督责任</w:t>
      </w:r>
    </w:p>
    <w:p w14:paraId="23CF40F1">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乙方产生的以下行为，甲方有权解除合同：</w:t>
      </w:r>
    </w:p>
    <w:p w14:paraId="6EA5BFFB">
      <w:pPr>
        <w:pStyle w:val="7"/>
        <w:numPr>
          <w:ilvl w:val="0"/>
          <w:numId w:val="10"/>
        </w:numPr>
        <w:spacing w:after="0"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不履行合同；</w:t>
      </w:r>
    </w:p>
    <w:p w14:paraId="22424379">
      <w:pPr>
        <w:pStyle w:val="7"/>
        <w:numPr>
          <w:ilvl w:val="0"/>
          <w:numId w:val="10"/>
        </w:numPr>
        <w:spacing w:after="0"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运维项目服务对象由于运维不力，造成环境污染被处罚；</w:t>
      </w:r>
    </w:p>
    <w:p w14:paraId="153EFDFC">
      <w:pPr>
        <w:pStyle w:val="7"/>
        <w:numPr>
          <w:ilvl w:val="0"/>
          <w:numId w:val="10"/>
        </w:numPr>
        <w:spacing w:after="0"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由于运维不到位导致年度考核排名倒数第一；</w:t>
      </w:r>
    </w:p>
    <w:p w14:paraId="58C15FF8">
      <w:pPr>
        <w:pStyle w:val="7"/>
        <w:numPr>
          <w:ilvl w:val="0"/>
          <w:numId w:val="10"/>
        </w:numPr>
        <w:spacing w:after="0"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w:t>
      </w:r>
      <w:r>
        <w:rPr>
          <w:rFonts w:hint="eastAsia" w:ascii="宋体" w:hAnsi="宋体"/>
          <w:color w:val="auto"/>
          <w:sz w:val="22"/>
          <w:szCs w:val="22"/>
          <w:highlight w:val="none"/>
        </w:rPr>
        <w:t>通知</w:t>
      </w:r>
      <w:r>
        <w:rPr>
          <w:rFonts w:ascii="宋体" w:hAnsi="宋体"/>
          <w:color w:val="auto"/>
          <w:sz w:val="22"/>
          <w:szCs w:val="22"/>
          <w:highlight w:val="none"/>
        </w:rPr>
        <w:t>乙方</w:t>
      </w:r>
      <w:r>
        <w:rPr>
          <w:rFonts w:hint="eastAsia" w:ascii="宋体" w:hAnsi="宋体"/>
          <w:color w:val="auto"/>
          <w:sz w:val="22"/>
          <w:szCs w:val="22"/>
          <w:highlight w:val="none"/>
        </w:rPr>
        <w:t>更换不称职的运维</w:t>
      </w:r>
      <w:r>
        <w:rPr>
          <w:rFonts w:ascii="宋体" w:hAnsi="宋体"/>
          <w:color w:val="auto"/>
          <w:sz w:val="22"/>
          <w:szCs w:val="22"/>
          <w:highlight w:val="none"/>
        </w:rPr>
        <w:t>项目负责人</w:t>
      </w:r>
      <w:r>
        <w:rPr>
          <w:rFonts w:hint="eastAsia" w:ascii="宋体" w:hAnsi="宋体"/>
          <w:color w:val="auto"/>
          <w:sz w:val="22"/>
          <w:szCs w:val="22"/>
          <w:highlight w:val="none"/>
        </w:rPr>
        <w:t>、乙方不配合甲方按规定进行的管理、监督检查和问题整改等</w:t>
      </w:r>
      <w:r>
        <w:rPr>
          <w:rFonts w:ascii="宋体" w:hAnsi="宋体"/>
          <w:color w:val="auto"/>
          <w:sz w:val="22"/>
          <w:szCs w:val="22"/>
          <w:highlight w:val="none"/>
        </w:rPr>
        <w:t>。</w:t>
      </w:r>
    </w:p>
    <w:p w14:paraId="525925C1">
      <w:pPr>
        <w:pStyle w:val="3"/>
        <w:spacing w:before="0" w:after="0" w:line="400" w:lineRule="exact"/>
        <w:rPr>
          <w:rFonts w:ascii="宋体" w:hAnsi="宋体" w:eastAsia="宋体"/>
          <w:color w:val="auto"/>
          <w:sz w:val="22"/>
          <w:szCs w:val="22"/>
          <w:highlight w:val="none"/>
        </w:rPr>
      </w:pPr>
      <w:bookmarkStart w:id="191" w:name="_Toc35811997"/>
      <w:bookmarkStart w:id="192" w:name="_Toc28311"/>
      <w:r>
        <w:rPr>
          <w:rFonts w:ascii="宋体" w:hAnsi="宋体" w:eastAsia="宋体"/>
          <w:color w:val="auto"/>
          <w:sz w:val="22"/>
          <w:szCs w:val="22"/>
          <w:highlight w:val="none"/>
        </w:rPr>
        <w:t>3.乙方</w:t>
      </w:r>
      <w:bookmarkEnd w:id="191"/>
      <w:bookmarkEnd w:id="192"/>
    </w:p>
    <w:p w14:paraId="3360E977">
      <w:pPr>
        <w:pStyle w:val="4"/>
        <w:spacing w:before="0" w:after="0" w:line="400" w:lineRule="exact"/>
        <w:ind w:firstLine="440" w:firstLineChars="200"/>
        <w:rPr>
          <w:rFonts w:ascii="宋体" w:hAnsi="宋体"/>
          <w:color w:val="auto"/>
          <w:sz w:val="22"/>
          <w:szCs w:val="22"/>
          <w:highlight w:val="none"/>
        </w:rPr>
      </w:pPr>
      <w:bookmarkStart w:id="193" w:name="_Toc35811998"/>
      <w:bookmarkStart w:id="194" w:name="_Toc24596"/>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 </w:t>
      </w:r>
      <w:r>
        <w:rPr>
          <w:rFonts w:hint="eastAsia" w:ascii="宋体" w:hAnsi="宋体"/>
          <w:color w:val="auto"/>
          <w:sz w:val="22"/>
          <w:szCs w:val="22"/>
          <w:highlight w:val="none"/>
        </w:rPr>
        <w:t>运维</w:t>
      </w:r>
      <w:r>
        <w:rPr>
          <w:rFonts w:ascii="宋体" w:hAnsi="宋体"/>
          <w:color w:val="auto"/>
          <w:sz w:val="22"/>
          <w:szCs w:val="22"/>
          <w:highlight w:val="none"/>
        </w:rPr>
        <w:t>项目负责人</w:t>
      </w:r>
      <w:bookmarkEnd w:id="193"/>
      <w:bookmarkEnd w:id="194"/>
    </w:p>
    <w:p w14:paraId="219B08D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.1 </w:t>
      </w:r>
      <w:r>
        <w:rPr>
          <w:rFonts w:hint="eastAsia" w:ascii="宋体" w:hAnsi="宋体"/>
          <w:color w:val="auto"/>
          <w:sz w:val="22"/>
          <w:szCs w:val="22"/>
          <w:highlight w:val="none"/>
        </w:rPr>
        <w:t>运维</w:t>
      </w:r>
      <w:r>
        <w:rPr>
          <w:rFonts w:ascii="宋体" w:hAnsi="宋体"/>
          <w:color w:val="auto"/>
          <w:sz w:val="22"/>
          <w:szCs w:val="22"/>
          <w:highlight w:val="none"/>
        </w:rPr>
        <w:t>项目负责人应为合同当事人所确认的人选，并在专用合同条款中明确</w:t>
      </w:r>
      <w:r>
        <w:rPr>
          <w:rFonts w:hint="eastAsia" w:ascii="宋体" w:hAnsi="宋体"/>
          <w:color w:val="auto"/>
          <w:sz w:val="22"/>
          <w:szCs w:val="22"/>
          <w:highlight w:val="none"/>
        </w:rPr>
        <w:t>运维</w:t>
      </w:r>
      <w:r>
        <w:rPr>
          <w:rFonts w:ascii="宋体" w:hAnsi="宋体"/>
          <w:color w:val="auto"/>
          <w:sz w:val="22"/>
          <w:szCs w:val="22"/>
          <w:highlight w:val="none"/>
        </w:rPr>
        <w:t>项目负责人的姓名、职称、相关证书编号、联系方式及授权范围等事项，</w:t>
      </w:r>
      <w:r>
        <w:rPr>
          <w:rFonts w:hint="eastAsia" w:ascii="宋体" w:hAnsi="宋体"/>
          <w:color w:val="auto"/>
          <w:sz w:val="22"/>
          <w:szCs w:val="22"/>
          <w:highlight w:val="none"/>
        </w:rPr>
        <w:t>运维</w:t>
      </w:r>
      <w:r>
        <w:rPr>
          <w:rFonts w:ascii="宋体" w:hAnsi="宋体"/>
          <w:color w:val="auto"/>
          <w:sz w:val="22"/>
          <w:szCs w:val="22"/>
          <w:highlight w:val="none"/>
        </w:rPr>
        <w:t>项目负责人经乙方授权后代表乙方负责履行合同。</w:t>
      </w:r>
      <w:r>
        <w:rPr>
          <w:rFonts w:hint="eastAsia" w:ascii="宋体" w:hAnsi="宋体"/>
          <w:color w:val="auto"/>
          <w:sz w:val="22"/>
          <w:szCs w:val="22"/>
          <w:highlight w:val="none"/>
        </w:rPr>
        <w:t>运维</w:t>
      </w:r>
      <w:r>
        <w:rPr>
          <w:rFonts w:ascii="宋体" w:hAnsi="宋体"/>
          <w:color w:val="auto"/>
          <w:sz w:val="22"/>
          <w:szCs w:val="22"/>
          <w:highlight w:val="none"/>
        </w:rPr>
        <w:t>项目负责人应是乙方正式聘用的员工，乙方应向甲方提交</w:t>
      </w:r>
      <w:r>
        <w:rPr>
          <w:rFonts w:hint="eastAsia" w:ascii="宋体" w:hAnsi="宋体"/>
          <w:color w:val="auto"/>
          <w:sz w:val="22"/>
          <w:szCs w:val="22"/>
          <w:highlight w:val="none"/>
        </w:rPr>
        <w:t>运维</w:t>
      </w:r>
      <w:r>
        <w:rPr>
          <w:rFonts w:ascii="宋体" w:hAnsi="宋体"/>
          <w:color w:val="auto"/>
          <w:sz w:val="22"/>
          <w:szCs w:val="22"/>
          <w:highlight w:val="none"/>
        </w:rPr>
        <w:t>项目负责人与乙方之间的劳动合同，以及乙方为</w:t>
      </w:r>
      <w:r>
        <w:rPr>
          <w:rFonts w:hint="eastAsia" w:ascii="宋体" w:hAnsi="宋体"/>
          <w:color w:val="auto"/>
          <w:sz w:val="22"/>
          <w:szCs w:val="22"/>
          <w:highlight w:val="none"/>
        </w:rPr>
        <w:t>运维</w:t>
      </w:r>
      <w:r>
        <w:rPr>
          <w:rFonts w:ascii="宋体" w:hAnsi="宋体"/>
          <w:color w:val="auto"/>
          <w:sz w:val="22"/>
          <w:szCs w:val="22"/>
          <w:highlight w:val="none"/>
        </w:rPr>
        <w:t>项目负责人缴纳社会保险的有效证明。乙方不提交上述文件的，</w:t>
      </w:r>
      <w:r>
        <w:rPr>
          <w:rFonts w:hint="eastAsia" w:ascii="宋体" w:hAnsi="宋体"/>
          <w:color w:val="auto"/>
          <w:sz w:val="22"/>
          <w:szCs w:val="22"/>
          <w:highlight w:val="none"/>
        </w:rPr>
        <w:t>运维</w:t>
      </w:r>
      <w:r>
        <w:rPr>
          <w:rFonts w:ascii="宋体" w:hAnsi="宋体"/>
          <w:color w:val="auto"/>
          <w:sz w:val="22"/>
          <w:szCs w:val="22"/>
          <w:highlight w:val="none"/>
        </w:rPr>
        <w:t>项目负责人无权履行职责，甲方有权要求更换</w:t>
      </w:r>
      <w:r>
        <w:rPr>
          <w:rFonts w:hint="eastAsia" w:ascii="宋体" w:hAnsi="宋体"/>
          <w:color w:val="auto"/>
          <w:sz w:val="22"/>
          <w:szCs w:val="22"/>
          <w:highlight w:val="none"/>
        </w:rPr>
        <w:t>运维</w:t>
      </w:r>
      <w:r>
        <w:rPr>
          <w:rFonts w:ascii="宋体" w:hAnsi="宋体"/>
          <w:color w:val="auto"/>
          <w:sz w:val="22"/>
          <w:szCs w:val="22"/>
          <w:highlight w:val="none"/>
        </w:rPr>
        <w:t>项目负责人，由此产生的费用和（或）法律责任由乙方承担。</w:t>
      </w:r>
    </w:p>
    <w:p w14:paraId="3424F5E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.2 </w:t>
      </w:r>
      <w:r>
        <w:rPr>
          <w:rFonts w:hint="eastAsia" w:ascii="宋体" w:hAnsi="宋体"/>
          <w:color w:val="auto"/>
          <w:sz w:val="22"/>
          <w:szCs w:val="22"/>
          <w:highlight w:val="none"/>
        </w:rPr>
        <w:t>运维</w:t>
      </w:r>
      <w:r>
        <w:rPr>
          <w:rFonts w:ascii="宋体" w:hAnsi="宋体"/>
          <w:color w:val="auto"/>
          <w:sz w:val="22"/>
          <w:szCs w:val="22"/>
          <w:highlight w:val="none"/>
        </w:rPr>
        <w:t>项目负责人按合同约定组织处理设施运维工作。在紧急情况下为确保设施安全和人员安全，在无法与甲方代表及时取得联系时，</w:t>
      </w:r>
      <w:r>
        <w:rPr>
          <w:rFonts w:hint="eastAsia" w:ascii="宋体" w:hAnsi="宋体"/>
          <w:color w:val="auto"/>
          <w:sz w:val="22"/>
          <w:szCs w:val="22"/>
          <w:highlight w:val="none"/>
        </w:rPr>
        <w:t>运维</w:t>
      </w:r>
      <w:r>
        <w:rPr>
          <w:rFonts w:ascii="宋体" w:hAnsi="宋体"/>
          <w:color w:val="auto"/>
          <w:sz w:val="22"/>
          <w:szCs w:val="22"/>
          <w:highlight w:val="none"/>
        </w:rPr>
        <w:t>项目负责人有权采取必要的措施保证与处理设施有关的人身、财产的安全，但应在48小时内向甲方代表提交书面报告。</w:t>
      </w:r>
    </w:p>
    <w:p w14:paraId="186D8F7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.3 乙方需要更换</w:t>
      </w:r>
      <w:r>
        <w:rPr>
          <w:rFonts w:hint="eastAsia" w:ascii="宋体" w:hAnsi="宋体"/>
          <w:color w:val="auto"/>
          <w:sz w:val="22"/>
          <w:szCs w:val="22"/>
          <w:highlight w:val="none"/>
        </w:rPr>
        <w:t>运维</w:t>
      </w:r>
      <w:r>
        <w:rPr>
          <w:rFonts w:ascii="宋体" w:hAnsi="宋体"/>
          <w:color w:val="auto"/>
          <w:sz w:val="22"/>
          <w:szCs w:val="22"/>
          <w:highlight w:val="none"/>
        </w:rPr>
        <w:t>项目负责人的，应提前14天书面通知甲方，并征得甲方书面同意。通知中应当载明继任</w:t>
      </w:r>
      <w:r>
        <w:rPr>
          <w:rFonts w:hint="eastAsia" w:ascii="宋体" w:hAnsi="宋体"/>
          <w:color w:val="auto"/>
          <w:sz w:val="22"/>
          <w:szCs w:val="22"/>
          <w:highlight w:val="none"/>
        </w:rPr>
        <w:t>运维</w:t>
      </w:r>
      <w:r>
        <w:rPr>
          <w:rFonts w:ascii="宋体" w:hAnsi="宋体"/>
          <w:color w:val="auto"/>
          <w:sz w:val="22"/>
          <w:szCs w:val="22"/>
          <w:highlight w:val="none"/>
        </w:rPr>
        <w:t>项目负责人的资格、管理经验等资料，继任</w:t>
      </w:r>
      <w:r>
        <w:rPr>
          <w:rFonts w:hint="eastAsia" w:ascii="宋体" w:hAnsi="宋体"/>
          <w:color w:val="auto"/>
          <w:sz w:val="22"/>
          <w:szCs w:val="22"/>
          <w:highlight w:val="none"/>
        </w:rPr>
        <w:t>运维</w:t>
      </w:r>
      <w:r>
        <w:rPr>
          <w:rFonts w:ascii="宋体" w:hAnsi="宋体"/>
          <w:color w:val="auto"/>
          <w:sz w:val="22"/>
          <w:szCs w:val="22"/>
          <w:highlight w:val="none"/>
        </w:rPr>
        <w:t>项目负责人继续履行第3.</w:t>
      </w:r>
      <w:r>
        <w:rPr>
          <w:rFonts w:hint="eastAsia" w:ascii="宋体" w:hAnsi="宋体"/>
          <w:color w:val="auto"/>
          <w:sz w:val="22"/>
          <w:szCs w:val="22"/>
          <w:highlight w:val="none"/>
        </w:rPr>
        <w:t>1</w:t>
      </w:r>
      <w:r>
        <w:rPr>
          <w:rFonts w:ascii="宋体" w:hAnsi="宋体"/>
          <w:color w:val="auto"/>
          <w:sz w:val="22"/>
          <w:szCs w:val="22"/>
          <w:highlight w:val="none"/>
        </w:rPr>
        <w:t>.1项约定的职责。未经甲方书面同意，乙方不得擅自更换项目负责人。乙方擅自更换</w:t>
      </w:r>
      <w:r>
        <w:rPr>
          <w:rFonts w:hint="eastAsia" w:ascii="宋体" w:hAnsi="宋体"/>
          <w:color w:val="auto"/>
          <w:sz w:val="22"/>
          <w:szCs w:val="22"/>
          <w:highlight w:val="none"/>
        </w:rPr>
        <w:t>运维</w:t>
      </w:r>
      <w:r>
        <w:rPr>
          <w:rFonts w:ascii="宋体" w:hAnsi="宋体"/>
          <w:color w:val="auto"/>
          <w:sz w:val="22"/>
          <w:szCs w:val="22"/>
          <w:highlight w:val="none"/>
        </w:rPr>
        <w:t>项目负责人的，应按照专用合同条款的约定承担违约责任。</w:t>
      </w:r>
    </w:p>
    <w:p w14:paraId="7C37826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.4 乙方应在接到</w:t>
      </w:r>
      <w:r>
        <w:rPr>
          <w:rFonts w:hint="eastAsia" w:ascii="宋体" w:hAnsi="宋体"/>
          <w:color w:val="auto"/>
          <w:sz w:val="22"/>
          <w:szCs w:val="22"/>
          <w:highlight w:val="none"/>
        </w:rPr>
        <w:t>甲方</w:t>
      </w:r>
      <w:r>
        <w:rPr>
          <w:rFonts w:ascii="宋体" w:hAnsi="宋体"/>
          <w:color w:val="auto"/>
          <w:sz w:val="22"/>
          <w:szCs w:val="22"/>
          <w:highlight w:val="none"/>
        </w:rPr>
        <w:t>更换</w:t>
      </w:r>
      <w:r>
        <w:rPr>
          <w:rFonts w:hint="eastAsia" w:ascii="宋体" w:hAnsi="宋体"/>
          <w:color w:val="auto"/>
          <w:sz w:val="22"/>
          <w:szCs w:val="22"/>
          <w:highlight w:val="none"/>
        </w:rPr>
        <w:t>运维项目负责人</w:t>
      </w:r>
      <w:r>
        <w:rPr>
          <w:rFonts w:ascii="宋体" w:hAnsi="宋体"/>
          <w:color w:val="auto"/>
          <w:sz w:val="22"/>
          <w:szCs w:val="22"/>
          <w:highlight w:val="none"/>
        </w:rPr>
        <w:t>通知后</w:t>
      </w:r>
      <w:r>
        <w:rPr>
          <w:rFonts w:hint="eastAsia" w:ascii="宋体" w:hAnsi="宋体"/>
          <w:color w:val="auto"/>
          <w:sz w:val="22"/>
          <w:szCs w:val="22"/>
          <w:highlight w:val="none"/>
        </w:rPr>
        <w:t>，</w:t>
      </w:r>
      <w:r>
        <w:rPr>
          <w:rFonts w:ascii="宋体" w:hAnsi="宋体"/>
          <w:color w:val="auto"/>
          <w:sz w:val="22"/>
          <w:szCs w:val="22"/>
          <w:highlight w:val="none"/>
        </w:rPr>
        <w:t>14天内进行更换，并将新任命的</w:t>
      </w:r>
      <w:r>
        <w:rPr>
          <w:rFonts w:hint="eastAsia" w:ascii="宋体" w:hAnsi="宋体"/>
          <w:color w:val="auto"/>
          <w:sz w:val="22"/>
          <w:szCs w:val="22"/>
          <w:highlight w:val="none"/>
        </w:rPr>
        <w:t>运维</w:t>
      </w:r>
      <w:r>
        <w:rPr>
          <w:rFonts w:ascii="宋体" w:hAnsi="宋体"/>
          <w:color w:val="auto"/>
          <w:sz w:val="22"/>
          <w:szCs w:val="22"/>
          <w:highlight w:val="none"/>
        </w:rPr>
        <w:t>项目负责人的资格、管理经验等资料书面通知甲方。继任</w:t>
      </w:r>
      <w:r>
        <w:rPr>
          <w:rFonts w:hint="eastAsia" w:ascii="宋体" w:hAnsi="宋体"/>
          <w:color w:val="auto"/>
          <w:sz w:val="22"/>
          <w:szCs w:val="22"/>
          <w:highlight w:val="none"/>
        </w:rPr>
        <w:t>运维</w:t>
      </w:r>
      <w:r>
        <w:rPr>
          <w:rFonts w:ascii="宋体" w:hAnsi="宋体"/>
          <w:color w:val="auto"/>
          <w:sz w:val="22"/>
          <w:szCs w:val="22"/>
          <w:highlight w:val="none"/>
        </w:rPr>
        <w:t>项目负责人继续履行第3.</w:t>
      </w:r>
      <w:r>
        <w:rPr>
          <w:rFonts w:hint="eastAsia" w:ascii="宋体" w:hAnsi="宋体"/>
          <w:color w:val="auto"/>
          <w:sz w:val="22"/>
          <w:szCs w:val="22"/>
          <w:highlight w:val="none"/>
        </w:rPr>
        <w:t>1</w:t>
      </w:r>
      <w:r>
        <w:rPr>
          <w:rFonts w:ascii="宋体" w:hAnsi="宋体"/>
          <w:color w:val="auto"/>
          <w:sz w:val="22"/>
          <w:szCs w:val="22"/>
          <w:highlight w:val="none"/>
        </w:rPr>
        <w:t>.1项约定的职责。乙方无正当理由拒绝更换</w:t>
      </w:r>
      <w:r>
        <w:rPr>
          <w:rFonts w:hint="eastAsia" w:ascii="宋体" w:hAnsi="宋体"/>
          <w:color w:val="auto"/>
          <w:sz w:val="22"/>
          <w:szCs w:val="22"/>
          <w:highlight w:val="none"/>
        </w:rPr>
        <w:t>运维</w:t>
      </w:r>
      <w:r>
        <w:rPr>
          <w:rFonts w:ascii="宋体" w:hAnsi="宋体"/>
          <w:color w:val="auto"/>
          <w:sz w:val="22"/>
          <w:szCs w:val="22"/>
          <w:highlight w:val="none"/>
        </w:rPr>
        <w:t>项目负责人的，应按照合同条款的约定承担违约责任。</w:t>
      </w:r>
    </w:p>
    <w:p w14:paraId="5C62704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.5 </w:t>
      </w:r>
      <w:r>
        <w:rPr>
          <w:rFonts w:hint="eastAsia" w:ascii="宋体" w:hAnsi="宋体"/>
          <w:color w:val="auto"/>
          <w:sz w:val="22"/>
          <w:szCs w:val="22"/>
          <w:highlight w:val="none"/>
        </w:rPr>
        <w:t>运维</w:t>
      </w:r>
      <w:r>
        <w:rPr>
          <w:rFonts w:ascii="宋体" w:hAnsi="宋体"/>
          <w:color w:val="auto"/>
          <w:sz w:val="22"/>
          <w:szCs w:val="22"/>
          <w:highlight w:val="none"/>
        </w:rPr>
        <w:t>项目负责人因特殊情况授权其下属人员履行其某项工作职责的，该下属人员应具备履行相应职责的能力，并应提前7天将上述人员的姓名和授权范围书面通知甲方，并征得甲方书面同意。</w:t>
      </w:r>
    </w:p>
    <w:p w14:paraId="072488E3">
      <w:pPr>
        <w:pStyle w:val="4"/>
        <w:spacing w:before="0" w:after="0" w:line="400" w:lineRule="exact"/>
        <w:ind w:firstLine="440" w:firstLineChars="200"/>
        <w:rPr>
          <w:rFonts w:ascii="宋体" w:hAnsi="宋体"/>
          <w:color w:val="auto"/>
          <w:sz w:val="22"/>
          <w:szCs w:val="22"/>
          <w:highlight w:val="none"/>
        </w:rPr>
      </w:pPr>
      <w:bookmarkStart w:id="195" w:name="_Toc25940"/>
      <w:bookmarkStart w:id="196" w:name="_Toc35811999"/>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 xml:space="preserve"> 项目人员</w:t>
      </w:r>
      <w:bookmarkEnd w:id="195"/>
      <w:bookmarkEnd w:id="196"/>
    </w:p>
    <w:p w14:paraId="6212016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.1 乙方应在接到运维移交通知后7天内，向甲方提交乙方运维项目管理机构及运维管理人员安排的报告，</w:t>
      </w:r>
      <w:r>
        <w:rPr>
          <w:rFonts w:hint="eastAsia" w:ascii="宋体" w:hAnsi="宋体"/>
          <w:color w:val="auto"/>
          <w:sz w:val="22"/>
          <w:szCs w:val="22"/>
          <w:highlight w:val="none"/>
        </w:rPr>
        <w:t>具体内容在专用合同条款中明确</w:t>
      </w:r>
      <w:r>
        <w:rPr>
          <w:rFonts w:ascii="宋体" w:hAnsi="宋体"/>
          <w:color w:val="auto"/>
          <w:sz w:val="22"/>
          <w:szCs w:val="22"/>
          <w:highlight w:val="none"/>
        </w:rPr>
        <w:t>主要人员名单及其岗位、执业资格等，以及各工种专业操作员的安排情况，并同时提交主要运维管理人员与乙方之间的劳动关系证明和缴纳社会保险的有效证明。</w:t>
      </w:r>
    </w:p>
    <w:p w14:paraId="4E4C2F0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.2 乙方派遣到运维现场的主要运维管理人员应相对稳定。运维过程中如有变动，乙方应及时向甲方提交人员变动情况的报告。乙方更换主要运维管理人员时，应提前7天书面通知甲方，并征得甲方书面同意。通知中应当载明继任人员的执业资格、管理经验等资料。</w:t>
      </w:r>
    </w:p>
    <w:p w14:paraId="2FF77D0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特殊工种专业操作人员均应持有相应的资格证明，甲方可以随时检查。</w:t>
      </w:r>
    </w:p>
    <w:p w14:paraId="3C22A97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.3 甲方对于乙方主要运维管理人员的资格或能力有异议的，乙方应提供资料证明被质疑人员有能力完成其岗位工作或不存在甲方所质疑的情形。甲方要求撤换不能按照合同约定履行职责及义务的主要运维管理人员的，乙方应当撤换。乙方无正当理由拒绝撤换的，应按照专用合同条款的约定承担违约责任。</w:t>
      </w:r>
    </w:p>
    <w:p w14:paraId="14370CA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.4 除专用合同条款另有约定外，乙方的主要运维管理人员离开运维项目所在地每月累计超过15天的，应通知甲方，并征得甲方书面同意。主要运维管理人员离开前应指定一名有经验的人员临时代行其职责，该人员应具备履行相应职责的资格和能力，且应征得甲方的同意。</w:t>
      </w:r>
    </w:p>
    <w:p w14:paraId="0A0088A0">
      <w:pPr>
        <w:pStyle w:val="4"/>
        <w:spacing w:before="0" w:after="0" w:line="400" w:lineRule="exact"/>
        <w:ind w:firstLine="440" w:firstLineChars="200"/>
        <w:rPr>
          <w:rFonts w:ascii="宋体" w:hAnsi="宋体"/>
          <w:color w:val="auto"/>
          <w:sz w:val="22"/>
          <w:szCs w:val="22"/>
          <w:highlight w:val="none"/>
        </w:rPr>
      </w:pPr>
      <w:bookmarkStart w:id="197" w:name="_Toc35812000"/>
      <w:bookmarkStart w:id="198" w:name="_Toc19036"/>
      <w:r>
        <w:rPr>
          <w:rFonts w:ascii="宋体" w:hAnsi="宋体"/>
          <w:color w:val="auto"/>
          <w:sz w:val="22"/>
          <w:szCs w:val="22"/>
          <w:highlight w:val="none"/>
        </w:rPr>
        <w:t>3.</w:t>
      </w:r>
      <w:r>
        <w:rPr>
          <w:rFonts w:hint="eastAsia" w:ascii="宋体" w:hAnsi="宋体"/>
          <w:color w:val="auto"/>
          <w:sz w:val="22"/>
          <w:szCs w:val="22"/>
          <w:highlight w:val="none"/>
        </w:rPr>
        <w:t>3</w:t>
      </w:r>
      <w:r>
        <w:rPr>
          <w:rFonts w:ascii="宋体" w:hAnsi="宋体"/>
          <w:color w:val="auto"/>
          <w:sz w:val="22"/>
          <w:szCs w:val="22"/>
          <w:highlight w:val="none"/>
        </w:rPr>
        <w:t xml:space="preserve"> 乙方一般义务</w:t>
      </w:r>
      <w:bookmarkEnd w:id="197"/>
      <w:bookmarkEnd w:id="198"/>
    </w:p>
    <w:p w14:paraId="72F357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乙方在履行合同过程中应遵守法律</w:t>
      </w:r>
      <w:r>
        <w:rPr>
          <w:rFonts w:hint="eastAsia" w:ascii="宋体" w:hAnsi="宋体"/>
          <w:color w:val="auto"/>
          <w:sz w:val="22"/>
          <w:szCs w:val="22"/>
          <w:highlight w:val="none"/>
        </w:rPr>
        <w:t>规章</w:t>
      </w:r>
      <w:r>
        <w:rPr>
          <w:rFonts w:ascii="宋体" w:hAnsi="宋体"/>
          <w:color w:val="auto"/>
          <w:sz w:val="22"/>
          <w:szCs w:val="22"/>
          <w:highlight w:val="none"/>
        </w:rPr>
        <w:t>和运行维护服务标准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，并履行以下义务：</w:t>
      </w:r>
    </w:p>
    <w:p w14:paraId="4874739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（1）具备与其运维处理设施数量相匹配的企业运维基本能力；</w:t>
      </w:r>
    </w:p>
    <w:p w14:paraId="7D3ABE7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（2）按法律</w:t>
      </w:r>
      <w:r>
        <w:rPr>
          <w:rFonts w:hint="eastAsia" w:ascii="宋体" w:hAnsi="宋体"/>
          <w:color w:val="auto"/>
          <w:sz w:val="22"/>
          <w:szCs w:val="22"/>
          <w:highlight w:val="none"/>
        </w:rPr>
        <w:t>规章</w:t>
      </w:r>
      <w:r>
        <w:rPr>
          <w:rFonts w:ascii="宋体" w:hAnsi="宋体"/>
          <w:color w:val="auto"/>
          <w:sz w:val="22"/>
          <w:szCs w:val="22"/>
          <w:highlight w:val="none"/>
        </w:rPr>
        <w:t>和第4条〔</w:t>
      </w:r>
      <w:r>
        <w:rPr>
          <w:rFonts w:hint="eastAsia" w:ascii="宋体" w:hAnsi="宋体"/>
          <w:color w:val="auto"/>
          <w:sz w:val="22"/>
          <w:szCs w:val="22"/>
          <w:highlight w:val="none"/>
        </w:rPr>
        <w:t>运维要求</w:t>
      </w:r>
      <w:r>
        <w:rPr>
          <w:rFonts w:ascii="宋体" w:hAnsi="宋体"/>
          <w:color w:val="auto"/>
          <w:sz w:val="22"/>
          <w:szCs w:val="22"/>
          <w:highlight w:val="none"/>
        </w:rPr>
        <w:t>〕约定完成运行维护服务工作；</w:t>
      </w:r>
    </w:p>
    <w:p w14:paraId="38D1D9D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（3）应当在村内适当位置公示运行维护范围、标准、巡查时间、工作人员及其联系电话、责任人监督电话等内容，接受社会监督。</w:t>
      </w:r>
    </w:p>
    <w:p w14:paraId="3FEBC9E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（4）至少每个季度向甲方报送一次其运维服务范围内所有设施的体检报告。</w:t>
      </w:r>
    </w:p>
    <w:p w14:paraId="0EBCA46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（5）按合同约定完成农村生活污水处理设施</w:t>
      </w:r>
      <w:r>
        <w:rPr>
          <w:rFonts w:hint="eastAsia" w:ascii="宋体" w:hAnsi="宋体"/>
          <w:color w:val="auto"/>
          <w:sz w:val="22"/>
          <w:szCs w:val="22"/>
          <w:highlight w:val="none"/>
        </w:rPr>
        <w:t>大</w:t>
      </w:r>
      <w:r>
        <w:rPr>
          <w:rFonts w:ascii="宋体" w:hAnsi="宋体"/>
          <w:color w:val="auto"/>
          <w:sz w:val="22"/>
          <w:szCs w:val="22"/>
          <w:highlight w:val="none"/>
        </w:rPr>
        <w:t>修范围</w:t>
      </w:r>
      <w:r>
        <w:rPr>
          <w:rFonts w:hint="eastAsia" w:ascii="宋体" w:hAnsi="宋体"/>
          <w:color w:val="auto"/>
          <w:sz w:val="22"/>
          <w:szCs w:val="22"/>
          <w:highlight w:val="none"/>
        </w:rPr>
        <w:t>以外</w:t>
      </w:r>
      <w:r>
        <w:rPr>
          <w:rFonts w:ascii="宋体" w:hAnsi="宋体"/>
          <w:color w:val="auto"/>
          <w:sz w:val="22"/>
          <w:szCs w:val="22"/>
          <w:highlight w:val="none"/>
        </w:rPr>
        <w:t>的所有</w:t>
      </w:r>
      <w:r>
        <w:rPr>
          <w:rFonts w:hint="eastAsia" w:ascii="宋体" w:hAnsi="宋体"/>
          <w:color w:val="auto"/>
          <w:sz w:val="22"/>
          <w:szCs w:val="22"/>
          <w:highlight w:val="none"/>
        </w:rPr>
        <w:t>运维服务对象的</w:t>
      </w:r>
      <w:r>
        <w:rPr>
          <w:rFonts w:ascii="宋体" w:hAnsi="宋体"/>
          <w:color w:val="auto"/>
          <w:sz w:val="22"/>
          <w:szCs w:val="22"/>
          <w:highlight w:val="none"/>
        </w:rPr>
        <w:t>维修工作；</w:t>
      </w:r>
    </w:p>
    <w:p w14:paraId="26CD2E09">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（6）采取必要的安全措施，确保其人员、材料和设备的安全，防止因处理设施运维造成的人身伤害和财产损失；</w:t>
      </w:r>
    </w:p>
    <w:p w14:paraId="63857EB9">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（7）在进行合同约定的各项工作时，不得侵害甲方与他人使用公用道路、水源、市政管网等公共设施的权利，避免对邻近的他人或公共设施产生干扰；</w:t>
      </w:r>
    </w:p>
    <w:p w14:paraId="41EC25F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r>
        <w:rPr>
          <w:rFonts w:hint="eastAsia" w:ascii="宋体" w:hAnsi="宋体"/>
          <w:color w:val="auto"/>
          <w:sz w:val="22"/>
          <w:szCs w:val="22"/>
          <w:highlight w:val="none"/>
        </w:rPr>
        <w:t>所有的处理设施排水应符合</w:t>
      </w:r>
      <w:r>
        <w:rPr>
          <w:rFonts w:ascii="宋体" w:hAnsi="宋体"/>
          <w:color w:val="auto"/>
          <w:sz w:val="22"/>
          <w:szCs w:val="22"/>
          <w:highlight w:val="none"/>
        </w:rPr>
        <w:t>省农村生活治理水污染物排放标准</w:t>
      </w:r>
      <w:r>
        <w:rPr>
          <w:rFonts w:hint="eastAsia" w:ascii="宋体" w:hAnsi="宋体"/>
          <w:color w:val="auto"/>
          <w:sz w:val="22"/>
          <w:szCs w:val="22"/>
          <w:highlight w:val="none"/>
        </w:rPr>
        <w:t>等标准要求</w:t>
      </w:r>
      <w:r>
        <w:rPr>
          <w:rFonts w:ascii="宋体" w:hAnsi="宋体"/>
          <w:color w:val="auto"/>
          <w:sz w:val="22"/>
          <w:szCs w:val="22"/>
          <w:highlight w:val="none"/>
        </w:rPr>
        <w:t>；</w:t>
      </w:r>
    </w:p>
    <w:p w14:paraId="4AFBA3F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（9）负责运维废弃物的清掏、收集</w:t>
      </w:r>
      <w:r>
        <w:rPr>
          <w:rFonts w:hint="eastAsia" w:ascii="宋体" w:hAnsi="宋体"/>
          <w:color w:val="auto"/>
          <w:sz w:val="22"/>
          <w:szCs w:val="22"/>
          <w:highlight w:val="none"/>
        </w:rPr>
        <w:t>，</w:t>
      </w:r>
      <w:r>
        <w:rPr>
          <w:rFonts w:ascii="宋体" w:hAnsi="宋体"/>
          <w:color w:val="auto"/>
          <w:sz w:val="22"/>
          <w:szCs w:val="22"/>
          <w:highlight w:val="none"/>
        </w:rPr>
        <w:t>并运送到指定地点；</w:t>
      </w:r>
    </w:p>
    <w:p w14:paraId="46DC135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（10）将甲方按合同约定支付的运维服务费及时支付其雇用人员工资，不得出现民工集体讨薪或因此产生的维权事件；</w:t>
      </w:r>
    </w:p>
    <w:p w14:paraId="384AB6B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（11）按照法律</w:t>
      </w:r>
      <w:r>
        <w:rPr>
          <w:rFonts w:hint="eastAsia" w:ascii="宋体" w:hAnsi="宋体"/>
          <w:color w:val="auto"/>
          <w:sz w:val="22"/>
          <w:szCs w:val="22"/>
          <w:highlight w:val="none"/>
        </w:rPr>
        <w:t>规章、标准导则</w:t>
      </w:r>
      <w:r>
        <w:rPr>
          <w:rFonts w:ascii="宋体" w:hAnsi="宋体"/>
          <w:color w:val="auto"/>
          <w:sz w:val="22"/>
          <w:szCs w:val="22"/>
          <w:highlight w:val="none"/>
        </w:rPr>
        <w:t>和合同约定编制日常运维记录资料、问题与整改记录和水质检测记录等，完成相关资料立卷及归档，并按专用合同条款约定</w:t>
      </w:r>
      <w:r>
        <w:rPr>
          <w:rFonts w:hint="eastAsia" w:ascii="宋体" w:hAnsi="宋体"/>
          <w:color w:val="auto"/>
          <w:sz w:val="22"/>
          <w:szCs w:val="22"/>
          <w:highlight w:val="none"/>
        </w:rPr>
        <w:t>和相关管理要求</w:t>
      </w:r>
      <w:r>
        <w:rPr>
          <w:rFonts w:ascii="宋体" w:hAnsi="宋体"/>
          <w:color w:val="auto"/>
          <w:sz w:val="22"/>
          <w:szCs w:val="22"/>
          <w:highlight w:val="none"/>
        </w:rPr>
        <w:t>移交</w:t>
      </w:r>
      <w:r>
        <w:rPr>
          <w:rFonts w:hint="eastAsia" w:ascii="宋体" w:hAnsi="宋体"/>
          <w:color w:val="auto"/>
          <w:sz w:val="22"/>
          <w:szCs w:val="22"/>
          <w:highlight w:val="none"/>
        </w:rPr>
        <w:t>或报送</w:t>
      </w:r>
      <w:r>
        <w:rPr>
          <w:rFonts w:ascii="宋体" w:hAnsi="宋体"/>
          <w:color w:val="auto"/>
          <w:sz w:val="22"/>
          <w:szCs w:val="22"/>
          <w:highlight w:val="none"/>
        </w:rPr>
        <w:t>甲方或甲方指定的单位；</w:t>
      </w:r>
    </w:p>
    <w:p w14:paraId="6FA7F13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w:t>
      </w:r>
      <w:r>
        <w:rPr>
          <w:rFonts w:hint="eastAsia" w:ascii="宋体" w:hAnsi="宋体"/>
          <w:color w:val="auto"/>
          <w:sz w:val="22"/>
          <w:szCs w:val="22"/>
          <w:highlight w:val="none"/>
        </w:rPr>
        <w:t>在服务期内承担甲方因法规和工作需要新增的服务内容，产生的费用由合同当事人协商确定；</w:t>
      </w:r>
    </w:p>
    <w:p w14:paraId="765329B0">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（13）</w:t>
      </w:r>
      <w:r>
        <w:rPr>
          <w:rFonts w:ascii="宋体" w:hAnsi="宋体"/>
          <w:color w:val="auto"/>
          <w:sz w:val="22"/>
          <w:szCs w:val="22"/>
          <w:highlight w:val="none"/>
        </w:rPr>
        <w:t>应履行的其他义务。</w:t>
      </w:r>
    </w:p>
    <w:p w14:paraId="316FB0EA">
      <w:pPr>
        <w:pStyle w:val="4"/>
        <w:spacing w:before="0" w:after="0" w:line="400" w:lineRule="exact"/>
        <w:ind w:firstLine="440" w:firstLineChars="200"/>
        <w:rPr>
          <w:rFonts w:ascii="宋体" w:hAnsi="宋体"/>
          <w:color w:val="auto"/>
          <w:sz w:val="22"/>
          <w:szCs w:val="22"/>
          <w:highlight w:val="none"/>
        </w:rPr>
      </w:pPr>
      <w:bookmarkStart w:id="199" w:name="_Toc351203522"/>
      <w:bookmarkStart w:id="200" w:name="_Toc30489"/>
      <w:bookmarkStart w:id="201" w:name="_Toc35812001"/>
      <w:r>
        <w:rPr>
          <w:rFonts w:ascii="宋体" w:hAnsi="宋体"/>
          <w:color w:val="auto"/>
          <w:sz w:val="22"/>
          <w:szCs w:val="22"/>
          <w:highlight w:val="none"/>
        </w:rPr>
        <w:t>3</w:t>
      </w:r>
      <w:bookmarkStart w:id="202" w:name="_Toc296503050"/>
      <w:bookmarkStart w:id="203" w:name="_Toc337558750"/>
      <w:bookmarkStart w:id="204" w:name="_Toc296346551"/>
      <w:r>
        <w:rPr>
          <w:rFonts w:ascii="宋体" w:hAnsi="宋体"/>
          <w:color w:val="auto"/>
          <w:sz w:val="22"/>
          <w:szCs w:val="22"/>
          <w:highlight w:val="none"/>
        </w:rPr>
        <w:t>.4 乙方现场</w:t>
      </w:r>
      <w:bookmarkEnd w:id="199"/>
      <w:r>
        <w:rPr>
          <w:rFonts w:ascii="宋体" w:hAnsi="宋体"/>
          <w:color w:val="auto"/>
          <w:sz w:val="22"/>
          <w:szCs w:val="22"/>
          <w:highlight w:val="none"/>
        </w:rPr>
        <w:t>踏勘</w:t>
      </w:r>
      <w:bookmarkEnd w:id="200"/>
      <w:bookmarkEnd w:id="201"/>
    </w:p>
    <w:bookmarkEnd w:id="202"/>
    <w:bookmarkEnd w:id="203"/>
    <w:bookmarkEnd w:id="204"/>
    <w:p w14:paraId="06B5033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乙方应对基于甲方按照第2.</w:t>
      </w:r>
      <w:r>
        <w:rPr>
          <w:rFonts w:hint="eastAsia" w:ascii="宋体" w:hAnsi="宋体"/>
          <w:color w:val="auto"/>
          <w:sz w:val="22"/>
          <w:szCs w:val="22"/>
          <w:highlight w:val="none"/>
        </w:rPr>
        <w:t>3</w:t>
      </w:r>
      <w:r>
        <w:rPr>
          <w:rFonts w:ascii="宋体" w:hAnsi="宋体"/>
          <w:color w:val="auto"/>
          <w:sz w:val="22"/>
          <w:szCs w:val="22"/>
          <w:highlight w:val="none"/>
        </w:rPr>
        <w:t>.1项〔提供运维服务条件〕和第2.</w:t>
      </w:r>
      <w:r>
        <w:rPr>
          <w:rFonts w:hint="eastAsia" w:ascii="宋体" w:hAnsi="宋体"/>
          <w:color w:val="auto"/>
          <w:sz w:val="22"/>
          <w:szCs w:val="22"/>
          <w:highlight w:val="none"/>
        </w:rPr>
        <w:t>3</w:t>
      </w:r>
      <w:r>
        <w:rPr>
          <w:rFonts w:ascii="宋体" w:hAnsi="宋体"/>
          <w:color w:val="auto"/>
          <w:sz w:val="22"/>
          <w:szCs w:val="22"/>
          <w:highlight w:val="none"/>
        </w:rPr>
        <w:t>.2项〔提供基础资料〕提交的资料所做出的解释和推断负责，但因资料存在错误、遗漏导致乙方解释或推断失实的，由甲方承担责任。</w:t>
      </w:r>
    </w:p>
    <w:p w14:paraId="16011BF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对处理设施和运维条件进行踏勘，并充分了解运维项目所在地的气象条件、交通条件、风俗习惯以及其他与完成合同工作有关的其他资料。因乙方未能充分踏勘、了解前述情况或未能充分估计前述情况所可能产生后果的，乙方承担由此产生的费用和（或）相关责任。</w:t>
      </w:r>
    </w:p>
    <w:p w14:paraId="67D38378">
      <w:pPr>
        <w:pStyle w:val="4"/>
        <w:spacing w:before="0" w:after="0" w:line="400" w:lineRule="exact"/>
        <w:ind w:firstLine="440" w:firstLineChars="200"/>
        <w:rPr>
          <w:rFonts w:ascii="宋体" w:hAnsi="宋体"/>
          <w:color w:val="auto"/>
          <w:sz w:val="22"/>
          <w:szCs w:val="22"/>
          <w:highlight w:val="none"/>
        </w:rPr>
      </w:pPr>
      <w:bookmarkStart w:id="205" w:name="_Toc28371"/>
      <w:bookmarkStart w:id="206" w:name="_Toc35812002"/>
      <w:r>
        <w:rPr>
          <w:rFonts w:ascii="宋体" w:hAnsi="宋体"/>
          <w:color w:val="auto"/>
          <w:sz w:val="22"/>
          <w:szCs w:val="22"/>
          <w:highlight w:val="none"/>
        </w:rPr>
        <w:t>3.5 分包</w:t>
      </w:r>
      <w:bookmarkEnd w:id="205"/>
      <w:bookmarkEnd w:id="206"/>
    </w:p>
    <w:p w14:paraId="74A92AB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除专用合同条款另有约定外，乙方不得将除劳务分包外的内容分包给第三方。</w:t>
      </w:r>
    </w:p>
    <w:p w14:paraId="4951146D">
      <w:pPr>
        <w:pStyle w:val="4"/>
        <w:spacing w:before="0" w:after="0" w:line="400" w:lineRule="exact"/>
        <w:ind w:firstLine="440" w:firstLineChars="200"/>
        <w:rPr>
          <w:rFonts w:ascii="宋体" w:hAnsi="宋体"/>
          <w:color w:val="auto"/>
          <w:sz w:val="22"/>
          <w:szCs w:val="22"/>
          <w:highlight w:val="none"/>
        </w:rPr>
      </w:pPr>
      <w:bookmarkStart w:id="207" w:name="_Toc35812003"/>
      <w:bookmarkStart w:id="208" w:name="_Toc6536"/>
      <w:r>
        <w:rPr>
          <w:rFonts w:ascii="宋体" w:hAnsi="宋体"/>
          <w:color w:val="auto"/>
          <w:sz w:val="22"/>
          <w:szCs w:val="22"/>
          <w:highlight w:val="none"/>
        </w:rPr>
        <w:t>3.6 履约担保</w:t>
      </w:r>
      <w:bookmarkEnd w:id="207"/>
      <w:bookmarkEnd w:id="208"/>
    </w:p>
    <w:p w14:paraId="3233A3A0">
      <w:pPr>
        <w:autoSpaceDE w:val="0"/>
        <w:autoSpaceDN w:val="0"/>
        <w:adjustRightInd w:val="0"/>
        <w:spacing w:line="40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无</w:t>
      </w:r>
    </w:p>
    <w:p w14:paraId="37D7DAE1">
      <w:pPr>
        <w:pStyle w:val="3"/>
        <w:spacing w:before="0" w:after="0" w:line="400" w:lineRule="exact"/>
        <w:rPr>
          <w:rFonts w:ascii="宋体" w:hAnsi="宋体" w:eastAsia="宋体"/>
          <w:color w:val="auto"/>
          <w:sz w:val="22"/>
          <w:szCs w:val="22"/>
          <w:highlight w:val="none"/>
        </w:rPr>
      </w:pPr>
      <w:bookmarkStart w:id="209" w:name="_Toc35812004"/>
      <w:bookmarkStart w:id="210" w:name="_Toc177"/>
      <w:r>
        <w:rPr>
          <w:rFonts w:ascii="宋体" w:hAnsi="宋体" w:eastAsia="宋体"/>
          <w:color w:val="auto"/>
          <w:sz w:val="22"/>
          <w:szCs w:val="22"/>
          <w:highlight w:val="none"/>
        </w:rPr>
        <w:t>4.</w:t>
      </w:r>
      <w:r>
        <w:rPr>
          <w:rFonts w:hint="eastAsia" w:ascii="宋体" w:hAnsi="宋体" w:eastAsia="宋体"/>
          <w:color w:val="auto"/>
          <w:sz w:val="22"/>
          <w:szCs w:val="22"/>
          <w:highlight w:val="none"/>
        </w:rPr>
        <w:t>运维要求</w:t>
      </w:r>
      <w:bookmarkEnd w:id="209"/>
      <w:bookmarkEnd w:id="210"/>
    </w:p>
    <w:p w14:paraId="758554CC">
      <w:pPr>
        <w:pStyle w:val="4"/>
        <w:spacing w:before="0" w:after="0" w:line="400" w:lineRule="exact"/>
        <w:ind w:firstLine="440" w:firstLineChars="200"/>
        <w:rPr>
          <w:rFonts w:ascii="宋体" w:hAnsi="宋体"/>
          <w:color w:val="auto"/>
          <w:sz w:val="22"/>
          <w:szCs w:val="22"/>
          <w:highlight w:val="none"/>
        </w:rPr>
      </w:pPr>
      <w:bookmarkStart w:id="211" w:name="_Toc32397"/>
      <w:bookmarkStart w:id="212" w:name="_Toc35812005"/>
      <w:r>
        <w:rPr>
          <w:rFonts w:ascii="宋体" w:hAnsi="宋体"/>
          <w:color w:val="auto"/>
          <w:sz w:val="22"/>
          <w:szCs w:val="22"/>
          <w:highlight w:val="none"/>
        </w:rPr>
        <w:t>4.1 基本要求</w:t>
      </w:r>
      <w:bookmarkEnd w:id="211"/>
      <w:bookmarkEnd w:id="212"/>
    </w:p>
    <w:p w14:paraId="2941093C">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4.1.1经甲乙双方确认，能达标的处理设施应达标运行；非达标处理设施和其他运维服务对象应正常运行。针对非达标处理设施，乙方需提出相关整改提升方案。</w:t>
      </w:r>
    </w:p>
    <w:p w14:paraId="418EB9A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2乙方应当</w:t>
      </w:r>
      <w:r>
        <w:rPr>
          <w:rFonts w:ascii="宋体" w:hAnsi="宋体"/>
          <w:color w:val="auto"/>
          <w:sz w:val="22"/>
          <w:szCs w:val="22"/>
          <w:highlight w:val="none"/>
        </w:rPr>
        <w:t>建立健全运行服务质量管理文件以及与其运</w:t>
      </w:r>
      <w:r>
        <w:rPr>
          <w:rFonts w:hint="eastAsia" w:ascii="宋体" w:hAnsi="宋体"/>
          <w:color w:val="auto"/>
          <w:sz w:val="22"/>
          <w:szCs w:val="22"/>
          <w:highlight w:val="none"/>
        </w:rPr>
        <w:t>维</w:t>
      </w:r>
      <w:r>
        <w:rPr>
          <w:rFonts w:ascii="宋体" w:hAnsi="宋体"/>
          <w:color w:val="auto"/>
          <w:sz w:val="22"/>
          <w:szCs w:val="22"/>
          <w:highlight w:val="none"/>
        </w:rPr>
        <w:t>项目相适应的规章制度、工艺文件和作业指导书。</w:t>
      </w:r>
    </w:p>
    <w:p w14:paraId="2C73E88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3乙方应按企业基本条件要求配备化验室，制定水质检测年度计划，按计划进行进出水水质检测。</w:t>
      </w:r>
    </w:p>
    <w:p w14:paraId="294AF21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4乙方应按企业基本条件要求加强信息化建设。</w:t>
      </w:r>
    </w:p>
    <w:p w14:paraId="73FDDE67">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4.1.5</w:t>
      </w:r>
      <w:r>
        <w:rPr>
          <w:rFonts w:ascii="宋体" w:hAnsi="宋体"/>
          <w:color w:val="auto"/>
          <w:sz w:val="22"/>
          <w:szCs w:val="22"/>
          <w:highlight w:val="none"/>
        </w:rPr>
        <w:t>乙方应依照法律</w:t>
      </w:r>
      <w:r>
        <w:rPr>
          <w:rFonts w:hint="eastAsia" w:ascii="宋体" w:hAnsi="宋体"/>
          <w:color w:val="auto"/>
          <w:sz w:val="22"/>
          <w:szCs w:val="22"/>
          <w:highlight w:val="none"/>
        </w:rPr>
        <w:t>规章</w:t>
      </w:r>
      <w:r>
        <w:rPr>
          <w:rFonts w:ascii="宋体" w:hAnsi="宋体"/>
          <w:color w:val="auto"/>
          <w:sz w:val="22"/>
          <w:szCs w:val="22"/>
          <w:highlight w:val="none"/>
        </w:rPr>
        <w:t>、</w:t>
      </w:r>
      <w:r>
        <w:rPr>
          <w:rFonts w:hint="eastAsia" w:ascii="宋体" w:hAnsi="宋体"/>
          <w:color w:val="auto"/>
          <w:sz w:val="22"/>
          <w:szCs w:val="22"/>
          <w:highlight w:val="none"/>
        </w:rPr>
        <w:t>标准导则</w:t>
      </w:r>
      <w:r>
        <w:rPr>
          <w:rFonts w:ascii="宋体" w:hAnsi="宋体"/>
          <w:color w:val="auto"/>
          <w:sz w:val="22"/>
          <w:szCs w:val="22"/>
          <w:highlight w:val="none"/>
        </w:rPr>
        <w:t>和合同约定，对</w:t>
      </w:r>
      <w:r>
        <w:rPr>
          <w:rFonts w:hint="eastAsia" w:ascii="宋体" w:hAnsi="宋体"/>
          <w:color w:val="auto"/>
          <w:sz w:val="22"/>
          <w:szCs w:val="22"/>
          <w:highlight w:val="none"/>
        </w:rPr>
        <w:t>运维项目服务对象</w:t>
      </w:r>
      <w:r>
        <w:rPr>
          <w:rFonts w:ascii="宋体" w:hAnsi="宋体"/>
          <w:color w:val="auto"/>
          <w:sz w:val="22"/>
          <w:szCs w:val="22"/>
          <w:highlight w:val="none"/>
        </w:rPr>
        <w:t>进行日常养护、巡查，及时处理故障，清理</w:t>
      </w:r>
      <w:r>
        <w:rPr>
          <w:rFonts w:hint="eastAsia" w:ascii="宋体" w:hAnsi="宋体"/>
          <w:color w:val="auto"/>
          <w:sz w:val="22"/>
          <w:szCs w:val="22"/>
          <w:highlight w:val="none"/>
        </w:rPr>
        <w:t>运输运维服务过程中</w:t>
      </w:r>
      <w:r>
        <w:rPr>
          <w:rFonts w:ascii="宋体" w:hAnsi="宋体"/>
          <w:color w:val="auto"/>
          <w:sz w:val="22"/>
          <w:szCs w:val="22"/>
          <w:highlight w:val="none"/>
        </w:rPr>
        <w:t>产生的</w:t>
      </w:r>
      <w:r>
        <w:rPr>
          <w:rFonts w:hint="eastAsia" w:ascii="宋体" w:hAnsi="宋体"/>
          <w:color w:val="auto"/>
          <w:sz w:val="22"/>
          <w:szCs w:val="22"/>
          <w:highlight w:val="none"/>
        </w:rPr>
        <w:t>废弃物</w:t>
      </w:r>
      <w:r>
        <w:rPr>
          <w:rFonts w:ascii="宋体" w:hAnsi="宋体"/>
          <w:color w:val="auto"/>
          <w:sz w:val="22"/>
          <w:szCs w:val="22"/>
          <w:highlight w:val="none"/>
        </w:rPr>
        <w:t>。</w:t>
      </w:r>
    </w:p>
    <w:p w14:paraId="656B524D">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4.1.6</w:t>
      </w:r>
      <w:r>
        <w:rPr>
          <w:rFonts w:ascii="宋体" w:hAnsi="宋体"/>
          <w:color w:val="auto"/>
          <w:sz w:val="22"/>
          <w:szCs w:val="22"/>
          <w:highlight w:val="none"/>
        </w:rPr>
        <w:t>乙方不得擅自停运污水处理设施。因检修、停用等原因确需停运全部或者部分污水处理设施的，应当在十个工作日前将停运原因、相应应急处理措施等向</w:t>
      </w:r>
      <w:r>
        <w:rPr>
          <w:rFonts w:hint="eastAsia" w:ascii="宋体" w:hAnsi="宋体"/>
          <w:color w:val="auto"/>
          <w:sz w:val="22"/>
          <w:szCs w:val="22"/>
          <w:highlight w:val="none"/>
          <w:lang w:eastAsia="zh-CN"/>
        </w:rPr>
        <w:t>采购人</w:t>
      </w:r>
      <w:r>
        <w:rPr>
          <w:rFonts w:ascii="宋体" w:hAnsi="宋体"/>
          <w:color w:val="auto"/>
          <w:sz w:val="22"/>
          <w:szCs w:val="22"/>
          <w:highlight w:val="none"/>
        </w:rPr>
        <w:t>人民政府或者县（市、区）污水处理设施主管部门报告，并通知相关单位和个人。</w:t>
      </w:r>
    </w:p>
    <w:p w14:paraId="62E7A3F9">
      <w:pPr>
        <w:pStyle w:val="4"/>
        <w:spacing w:before="0" w:after="0" w:line="400" w:lineRule="exact"/>
        <w:ind w:firstLine="440" w:firstLineChars="200"/>
        <w:rPr>
          <w:rFonts w:ascii="宋体" w:hAnsi="宋体"/>
          <w:color w:val="auto"/>
          <w:sz w:val="22"/>
          <w:szCs w:val="22"/>
          <w:highlight w:val="none"/>
        </w:rPr>
      </w:pPr>
      <w:bookmarkStart w:id="213" w:name="_Toc28518"/>
      <w:bookmarkStart w:id="214" w:name="_Toc35812006"/>
      <w:r>
        <w:rPr>
          <w:rFonts w:ascii="宋体" w:hAnsi="宋体"/>
          <w:color w:val="auto"/>
          <w:sz w:val="22"/>
          <w:szCs w:val="22"/>
          <w:highlight w:val="none"/>
        </w:rPr>
        <w:t>4.2</w:t>
      </w:r>
      <w:r>
        <w:rPr>
          <w:rFonts w:hint="eastAsia" w:ascii="宋体" w:hAnsi="宋体"/>
          <w:color w:val="auto"/>
          <w:sz w:val="22"/>
          <w:szCs w:val="22"/>
          <w:highlight w:val="none"/>
        </w:rPr>
        <w:t xml:space="preserve"> </w:t>
      </w:r>
      <w:r>
        <w:rPr>
          <w:rFonts w:ascii="宋体" w:hAnsi="宋体"/>
          <w:color w:val="auto"/>
          <w:sz w:val="22"/>
          <w:szCs w:val="22"/>
          <w:highlight w:val="none"/>
        </w:rPr>
        <w:t>运维相关配置</w:t>
      </w:r>
      <w:bookmarkEnd w:id="213"/>
      <w:bookmarkEnd w:id="214"/>
    </w:p>
    <w:p w14:paraId="669CF6F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w:t>
      </w:r>
      <w:r>
        <w:rPr>
          <w:rFonts w:hint="eastAsia" w:ascii="宋体" w:hAnsi="宋体"/>
          <w:color w:val="auto"/>
          <w:sz w:val="22"/>
          <w:szCs w:val="22"/>
          <w:highlight w:val="none"/>
        </w:rPr>
        <w:t>应按照运维企业基本条件要求，</w:t>
      </w:r>
      <w:r>
        <w:rPr>
          <w:rFonts w:ascii="宋体" w:hAnsi="宋体"/>
          <w:color w:val="auto"/>
          <w:sz w:val="22"/>
          <w:szCs w:val="22"/>
          <w:highlight w:val="none"/>
        </w:rPr>
        <w:t>为本运维项目配置</w:t>
      </w:r>
      <w:r>
        <w:rPr>
          <w:rFonts w:hint="eastAsia" w:ascii="宋体" w:hAnsi="宋体"/>
          <w:color w:val="auto"/>
          <w:sz w:val="22"/>
          <w:szCs w:val="22"/>
          <w:highlight w:val="none"/>
        </w:rPr>
        <w:t>，包括但不限于</w:t>
      </w:r>
      <w:r>
        <w:rPr>
          <w:rFonts w:ascii="宋体" w:hAnsi="宋体"/>
          <w:color w:val="auto"/>
          <w:sz w:val="22"/>
          <w:szCs w:val="22"/>
          <w:highlight w:val="none"/>
        </w:rPr>
        <w:t>办公场所</w:t>
      </w:r>
      <w:r>
        <w:rPr>
          <w:rFonts w:hint="eastAsia" w:ascii="宋体" w:hAnsi="宋体"/>
          <w:color w:val="auto"/>
          <w:sz w:val="22"/>
          <w:szCs w:val="22"/>
          <w:highlight w:val="none"/>
        </w:rPr>
        <w:t>、</w:t>
      </w:r>
      <w:r>
        <w:rPr>
          <w:rFonts w:ascii="宋体" w:hAnsi="宋体"/>
          <w:color w:val="auto"/>
          <w:sz w:val="22"/>
          <w:szCs w:val="22"/>
          <w:highlight w:val="none"/>
        </w:rPr>
        <w:t>化验室</w:t>
      </w:r>
      <w:r>
        <w:rPr>
          <w:rFonts w:hint="eastAsia" w:ascii="宋体" w:hAnsi="宋体"/>
          <w:color w:val="auto"/>
          <w:sz w:val="22"/>
          <w:szCs w:val="22"/>
          <w:highlight w:val="none"/>
        </w:rPr>
        <w:t>、</w:t>
      </w:r>
      <w:r>
        <w:rPr>
          <w:rFonts w:ascii="宋体" w:hAnsi="宋体"/>
          <w:color w:val="auto"/>
          <w:sz w:val="22"/>
          <w:szCs w:val="22"/>
          <w:highlight w:val="none"/>
        </w:rPr>
        <w:t>人员配备</w:t>
      </w:r>
      <w:r>
        <w:rPr>
          <w:rFonts w:hint="eastAsia" w:ascii="宋体" w:hAnsi="宋体"/>
          <w:color w:val="auto"/>
          <w:sz w:val="22"/>
          <w:szCs w:val="22"/>
          <w:highlight w:val="none"/>
        </w:rPr>
        <w:t>、</w:t>
      </w:r>
      <w:r>
        <w:rPr>
          <w:rFonts w:ascii="宋体" w:hAnsi="宋体"/>
          <w:color w:val="auto"/>
          <w:sz w:val="22"/>
          <w:szCs w:val="22"/>
          <w:highlight w:val="none"/>
        </w:rPr>
        <w:t>运维车辆</w:t>
      </w:r>
      <w:r>
        <w:rPr>
          <w:rFonts w:hint="eastAsia" w:ascii="宋体" w:hAnsi="宋体"/>
          <w:color w:val="auto"/>
          <w:sz w:val="22"/>
          <w:szCs w:val="22"/>
          <w:highlight w:val="none"/>
        </w:rPr>
        <w:t>、</w:t>
      </w:r>
      <w:r>
        <w:rPr>
          <w:rFonts w:ascii="宋体" w:hAnsi="宋体"/>
          <w:color w:val="auto"/>
          <w:sz w:val="22"/>
          <w:szCs w:val="22"/>
          <w:highlight w:val="none"/>
        </w:rPr>
        <w:t>运维工器具</w:t>
      </w:r>
      <w:r>
        <w:rPr>
          <w:rFonts w:hint="eastAsia" w:ascii="宋体" w:hAnsi="宋体"/>
          <w:color w:val="auto"/>
          <w:sz w:val="22"/>
          <w:szCs w:val="22"/>
          <w:highlight w:val="none"/>
        </w:rPr>
        <w:t>、运维</w:t>
      </w:r>
      <w:r>
        <w:rPr>
          <w:rFonts w:ascii="宋体" w:hAnsi="宋体"/>
          <w:color w:val="auto"/>
          <w:sz w:val="22"/>
          <w:szCs w:val="22"/>
          <w:highlight w:val="none"/>
        </w:rPr>
        <w:t>信息中心（平台）</w:t>
      </w:r>
      <w:r>
        <w:rPr>
          <w:rFonts w:hint="eastAsia" w:ascii="宋体" w:hAnsi="宋体"/>
          <w:color w:val="auto"/>
          <w:sz w:val="22"/>
          <w:szCs w:val="22"/>
          <w:highlight w:val="none"/>
        </w:rPr>
        <w:t>，明确配置的数量、到位时间、相关技术参数规格等要求。</w:t>
      </w:r>
    </w:p>
    <w:p w14:paraId="066E3BC8">
      <w:pPr>
        <w:pStyle w:val="3"/>
        <w:tabs>
          <w:tab w:val="left" w:pos="523"/>
        </w:tabs>
        <w:spacing w:before="0" w:after="0" w:line="400" w:lineRule="exact"/>
        <w:rPr>
          <w:rFonts w:ascii="宋体" w:hAnsi="宋体" w:eastAsia="宋体"/>
          <w:color w:val="auto"/>
          <w:sz w:val="22"/>
          <w:szCs w:val="22"/>
          <w:highlight w:val="none"/>
        </w:rPr>
      </w:pPr>
      <w:bookmarkStart w:id="215" w:name="_Toc4164"/>
      <w:bookmarkStart w:id="216" w:name="_Toc35812007"/>
      <w:r>
        <w:rPr>
          <w:rFonts w:ascii="宋体" w:hAnsi="宋体" w:eastAsia="宋体"/>
          <w:color w:val="auto"/>
          <w:sz w:val="22"/>
          <w:szCs w:val="22"/>
          <w:highlight w:val="none"/>
        </w:rPr>
        <w:t>5.运维服务费的支付</w:t>
      </w:r>
      <w:bookmarkEnd w:id="215"/>
      <w:bookmarkEnd w:id="216"/>
    </w:p>
    <w:p w14:paraId="1379458D">
      <w:pPr>
        <w:pStyle w:val="4"/>
        <w:spacing w:before="0" w:after="0" w:line="400" w:lineRule="exact"/>
        <w:ind w:firstLine="440" w:firstLineChars="200"/>
        <w:rPr>
          <w:rFonts w:ascii="宋体" w:hAnsi="宋体"/>
          <w:color w:val="auto"/>
          <w:sz w:val="22"/>
          <w:szCs w:val="22"/>
          <w:highlight w:val="none"/>
        </w:rPr>
      </w:pPr>
      <w:bookmarkStart w:id="217" w:name="_Toc35812008"/>
      <w:bookmarkStart w:id="218" w:name="_Toc31581"/>
      <w:r>
        <w:rPr>
          <w:rFonts w:ascii="宋体" w:hAnsi="宋体"/>
          <w:color w:val="auto"/>
          <w:sz w:val="22"/>
          <w:szCs w:val="22"/>
          <w:highlight w:val="none"/>
        </w:rPr>
        <w:t>5.1 预付款</w:t>
      </w:r>
      <w:bookmarkEnd w:id="217"/>
      <w:bookmarkEnd w:id="218"/>
    </w:p>
    <w:p w14:paraId="41DA8C16">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甲方应视情况支付一定比例的预付款给乙方，</w:t>
      </w:r>
      <w:r>
        <w:rPr>
          <w:rFonts w:ascii="宋体" w:hAnsi="宋体"/>
          <w:color w:val="auto"/>
          <w:sz w:val="22"/>
          <w:szCs w:val="22"/>
          <w:highlight w:val="none"/>
        </w:rPr>
        <w:t>预付款的支付、扣回按照专用合同条款约定执行。</w:t>
      </w:r>
    </w:p>
    <w:p w14:paraId="252D67AC">
      <w:pPr>
        <w:pStyle w:val="4"/>
        <w:spacing w:before="0" w:after="0" w:line="400" w:lineRule="exact"/>
        <w:ind w:firstLine="440" w:firstLineChars="200"/>
        <w:rPr>
          <w:rFonts w:ascii="宋体" w:hAnsi="宋体"/>
          <w:color w:val="auto"/>
          <w:sz w:val="22"/>
          <w:szCs w:val="22"/>
          <w:highlight w:val="none"/>
        </w:rPr>
      </w:pPr>
      <w:bookmarkStart w:id="219" w:name="_Toc6437"/>
      <w:bookmarkStart w:id="220" w:name="_Toc35812009"/>
      <w:r>
        <w:rPr>
          <w:rFonts w:ascii="宋体" w:hAnsi="宋体"/>
          <w:color w:val="auto"/>
          <w:sz w:val="22"/>
          <w:szCs w:val="22"/>
          <w:highlight w:val="none"/>
        </w:rPr>
        <w:t>5.2 费用结算</w:t>
      </w:r>
      <w:bookmarkEnd w:id="219"/>
      <w:bookmarkEnd w:id="220"/>
    </w:p>
    <w:p w14:paraId="339EDE5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5.2.1结算原则</w:t>
      </w:r>
    </w:p>
    <w:p w14:paraId="17FBF57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运维服务费按照合同约定的合同价格、结算周期、考核结果等进行。</w:t>
      </w:r>
    </w:p>
    <w:p w14:paraId="4366C6FC">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5.2.2 结算周期</w:t>
      </w:r>
    </w:p>
    <w:p w14:paraId="7FEAE0B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除专用合同条款另有约定外，结算周期按</w:t>
      </w:r>
      <w:r>
        <w:rPr>
          <w:rFonts w:hint="eastAsia" w:ascii="宋体" w:hAnsi="宋体"/>
          <w:color w:val="auto"/>
          <w:sz w:val="22"/>
          <w:szCs w:val="22"/>
          <w:highlight w:val="none"/>
          <w:lang w:val="en-US" w:eastAsia="zh-CN"/>
        </w:rPr>
        <w:t>半年</w:t>
      </w:r>
      <w:r>
        <w:rPr>
          <w:rFonts w:ascii="宋体" w:hAnsi="宋体"/>
          <w:color w:val="auto"/>
          <w:sz w:val="22"/>
          <w:szCs w:val="22"/>
          <w:highlight w:val="none"/>
        </w:rPr>
        <w:t>进行。</w:t>
      </w:r>
    </w:p>
    <w:p w14:paraId="2586BB6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5.2.3费用确定</w:t>
      </w:r>
    </w:p>
    <w:p w14:paraId="65F6027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费用确定按照专用合同条款约定执行。</w:t>
      </w:r>
    </w:p>
    <w:p w14:paraId="35FD6CCA">
      <w:pPr>
        <w:pStyle w:val="4"/>
        <w:spacing w:before="0" w:after="0" w:line="400" w:lineRule="exact"/>
        <w:ind w:firstLine="440" w:firstLineChars="200"/>
        <w:rPr>
          <w:rFonts w:ascii="宋体" w:hAnsi="宋体"/>
          <w:color w:val="auto"/>
          <w:sz w:val="22"/>
          <w:szCs w:val="22"/>
          <w:highlight w:val="none"/>
        </w:rPr>
      </w:pPr>
      <w:bookmarkStart w:id="221" w:name="_Toc35812010"/>
      <w:bookmarkStart w:id="222" w:name="_Toc2564"/>
      <w:r>
        <w:rPr>
          <w:rFonts w:ascii="宋体" w:hAnsi="宋体"/>
          <w:color w:val="auto"/>
          <w:sz w:val="22"/>
          <w:szCs w:val="22"/>
          <w:highlight w:val="none"/>
        </w:rPr>
        <w:t>5.3运维服务费的支付</w:t>
      </w:r>
      <w:bookmarkEnd w:id="221"/>
      <w:bookmarkEnd w:id="222"/>
    </w:p>
    <w:p w14:paraId="5BD7030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除专用合同条款另有约定外，甲方应在确定当期运维服务费后15日内对乙方进行支付。</w:t>
      </w:r>
    </w:p>
    <w:p w14:paraId="5C18741C">
      <w:pPr>
        <w:pStyle w:val="4"/>
        <w:spacing w:before="0" w:after="0" w:line="400" w:lineRule="exact"/>
        <w:ind w:firstLine="440" w:firstLineChars="200"/>
        <w:rPr>
          <w:rFonts w:ascii="宋体" w:hAnsi="宋体"/>
          <w:color w:val="auto"/>
          <w:sz w:val="22"/>
          <w:szCs w:val="22"/>
          <w:highlight w:val="none"/>
        </w:rPr>
      </w:pPr>
      <w:bookmarkStart w:id="223" w:name="_Toc25203"/>
      <w:bookmarkStart w:id="224" w:name="_Toc35812011"/>
      <w:r>
        <w:rPr>
          <w:rFonts w:ascii="宋体" w:hAnsi="宋体"/>
          <w:color w:val="auto"/>
          <w:sz w:val="22"/>
          <w:szCs w:val="22"/>
          <w:highlight w:val="none"/>
        </w:rPr>
        <w:t>5.4票据</w:t>
      </w:r>
      <w:bookmarkEnd w:id="223"/>
      <w:bookmarkEnd w:id="224"/>
    </w:p>
    <w:p w14:paraId="0FBE685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乙方应在甲方支付运维服务费时提供相应税务局正式票据。</w:t>
      </w:r>
    </w:p>
    <w:p w14:paraId="454DC7AC">
      <w:pPr>
        <w:pStyle w:val="4"/>
        <w:spacing w:before="0" w:after="0" w:line="400" w:lineRule="exact"/>
        <w:ind w:firstLine="440" w:firstLineChars="200"/>
        <w:rPr>
          <w:rFonts w:ascii="宋体" w:hAnsi="宋体"/>
          <w:color w:val="auto"/>
          <w:sz w:val="22"/>
          <w:szCs w:val="22"/>
          <w:highlight w:val="none"/>
        </w:rPr>
      </w:pPr>
      <w:bookmarkStart w:id="225" w:name="_Toc35812012"/>
      <w:bookmarkStart w:id="226" w:name="_Toc31474"/>
      <w:r>
        <w:rPr>
          <w:rFonts w:ascii="宋体" w:hAnsi="宋体"/>
          <w:color w:val="auto"/>
          <w:sz w:val="22"/>
          <w:szCs w:val="22"/>
          <w:highlight w:val="none"/>
        </w:rPr>
        <w:t>5.5支付账户</w:t>
      </w:r>
      <w:bookmarkEnd w:id="225"/>
      <w:bookmarkEnd w:id="226"/>
    </w:p>
    <w:p w14:paraId="20B7A4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甲方应将运维服务费支付至合同协议书中约定的乙方账户。</w:t>
      </w:r>
    </w:p>
    <w:p w14:paraId="46916607">
      <w:pPr>
        <w:pStyle w:val="3"/>
        <w:tabs>
          <w:tab w:val="left" w:pos="523"/>
        </w:tabs>
        <w:spacing w:before="0" w:after="0" w:line="400" w:lineRule="exact"/>
        <w:rPr>
          <w:rFonts w:ascii="宋体" w:hAnsi="宋体" w:eastAsia="宋体"/>
          <w:color w:val="auto"/>
          <w:sz w:val="22"/>
          <w:szCs w:val="22"/>
          <w:highlight w:val="none"/>
        </w:rPr>
      </w:pPr>
      <w:bookmarkStart w:id="227" w:name="_Toc9025"/>
      <w:bookmarkStart w:id="228" w:name="_Toc35812013"/>
      <w:r>
        <w:rPr>
          <w:rFonts w:ascii="宋体" w:hAnsi="宋体" w:eastAsia="宋体"/>
          <w:color w:val="auto"/>
          <w:sz w:val="22"/>
          <w:szCs w:val="22"/>
          <w:highlight w:val="none"/>
        </w:rPr>
        <w:t>6.违约</w:t>
      </w:r>
      <w:bookmarkEnd w:id="227"/>
      <w:bookmarkEnd w:id="228"/>
    </w:p>
    <w:p w14:paraId="42FF8513">
      <w:pPr>
        <w:pStyle w:val="4"/>
        <w:spacing w:before="0" w:after="0" w:line="400" w:lineRule="exact"/>
        <w:ind w:firstLine="440" w:firstLineChars="200"/>
        <w:rPr>
          <w:rFonts w:ascii="宋体" w:hAnsi="宋体"/>
          <w:color w:val="auto"/>
          <w:sz w:val="22"/>
          <w:szCs w:val="22"/>
          <w:highlight w:val="none"/>
        </w:rPr>
      </w:pPr>
      <w:bookmarkStart w:id="229" w:name="_Toc35812014"/>
      <w:bookmarkStart w:id="230" w:name="_Toc3936"/>
      <w:r>
        <w:rPr>
          <w:rFonts w:ascii="宋体" w:hAnsi="宋体"/>
          <w:color w:val="auto"/>
          <w:sz w:val="22"/>
          <w:szCs w:val="22"/>
          <w:highlight w:val="none"/>
        </w:rPr>
        <w:t>6.1甲方违约</w:t>
      </w:r>
      <w:bookmarkEnd w:id="229"/>
      <w:bookmarkEnd w:id="230"/>
    </w:p>
    <w:p w14:paraId="51722A1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6.1.1甲方违约的情形</w:t>
      </w:r>
    </w:p>
    <w:p w14:paraId="5838638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在合同履行过程中发生的下列情形，属于甲方违约：</w:t>
      </w:r>
    </w:p>
    <w:p w14:paraId="26721AE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（1）因甲方原因未按合同约定办理移交手续；</w:t>
      </w:r>
    </w:p>
    <w:p w14:paraId="2AFFBDD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（2）因甲方原因未能按合同约定支付运维服务费的；</w:t>
      </w:r>
    </w:p>
    <w:p w14:paraId="7C684B8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（3）因甲方违反合同约定造成乙方不能继续运维的；</w:t>
      </w:r>
    </w:p>
    <w:p w14:paraId="7BD04FA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（4）甲方明确表示或者以其行为表明不履行合同主要义务的；</w:t>
      </w:r>
    </w:p>
    <w:p w14:paraId="55DFE86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（5）甲方未能按照合同约定履行其他义务的。</w:t>
      </w:r>
    </w:p>
    <w:p w14:paraId="23B2687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6.1.2甲方违约的责任</w:t>
      </w:r>
    </w:p>
    <w:p w14:paraId="436A49B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甲方因违约给乙方造成损失，应支付乙方损失所产生的合理费用。合同当事人可在专用合同条款中另行约定甲方违约责任的承担方式和计算方法。</w:t>
      </w:r>
    </w:p>
    <w:p w14:paraId="41C04FF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6.1.3 因甲方违约解除合同</w:t>
      </w:r>
    </w:p>
    <w:p w14:paraId="05E29C8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出现第6.1.1项〔甲方违约的情形〕约定的违约情形满28天后，甲方仍不纠正其违约行为并致使合同目的不能实现的，乙方有权解除合同，甲方应承担由此增加的费用，并支付乙方合理的费用。</w:t>
      </w:r>
    </w:p>
    <w:p w14:paraId="396CC6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6.1.4 因甲方违约解除合同后的付款</w:t>
      </w:r>
    </w:p>
    <w:p w14:paraId="505C16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乙方按照本款约定解除合同的，甲方应在解除合同后28天内支付下列款项：</w:t>
      </w:r>
    </w:p>
    <w:p w14:paraId="6B29B2F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（1）合同解除前所完成运维服务的费用；</w:t>
      </w:r>
    </w:p>
    <w:p w14:paraId="1733E5F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（2）按照合同约定在合同解除前应支付的违约金；</w:t>
      </w:r>
    </w:p>
    <w:p w14:paraId="6EB0DDD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（3）按照合同约定应当支付给乙方的其他款项；</w:t>
      </w:r>
    </w:p>
    <w:p w14:paraId="5EB6DA0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lang w:val="en-US" w:eastAsia="zh-CN"/>
        </w:rPr>
        <w:t>4</w:t>
      </w:r>
      <w:r>
        <w:rPr>
          <w:rFonts w:ascii="宋体" w:hAnsi="宋体"/>
          <w:color w:val="auto"/>
          <w:sz w:val="22"/>
          <w:szCs w:val="22"/>
          <w:highlight w:val="none"/>
        </w:rPr>
        <w:t>）因解除合同给乙方造成的损失。</w:t>
      </w:r>
    </w:p>
    <w:p w14:paraId="7260A3B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合同当事人未能就解除合同后的结清达成一致的，按照第9条〔争议解决〕的约定处理。</w:t>
      </w:r>
    </w:p>
    <w:p w14:paraId="5BD37DB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乙方应妥善做好处理设施的保护和移交工作，并将相关运维设备和运维人员撤出，甲方应为乙方撤出提供必要条件。</w:t>
      </w:r>
    </w:p>
    <w:p w14:paraId="67C6E433">
      <w:pPr>
        <w:pStyle w:val="4"/>
        <w:spacing w:before="0" w:after="0" w:line="400" w:lineRule="exact"/>
        <w:ind w:firstLine="440" w:firstLineChars="200"/>
        <w:rPr>
          <w:rFonts w:ascii="宋体" w:hAnsi="宋体"/>
          <w:color w:val="auto"/>
          <w:sz w:val="22"/>
          <w:szCs w:val="22"/>
          <w:highlight w:val="none"/>
        </w:rPr>
      </w:pPr>
      <w:bookmarkStart w:id="231" w:name="_Toc11406"/>
      <w:bookmarkStart w:id="232" w:name="_Toc35812015"/>
      <w:r>
        <w:rPr>
          <w:rFonts w:ascii="宋体" w:hAnsi="宋体"/>
          <w:color w:val="auto"/>
          <w:sz w:val="22"/>
          <w:szCs w:val="22"/>
          <w:highlight w:val="none"/>
        </w:rPr>
        <w:t>6.2乙方违约</w:t>
      </w:r>
      <w:bookmarkEnd w:id="231"/>
      <w:bookmarkEnd w:id="232"/>
    </w:p>
    <w:p w14:paraId="5B7017C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6.2.1乙方违约的情形</w:t>
      </w:r>
    </w:p>
    <w:p w14:paraId="2857B2D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在合同履行过程中发生的下列情形，属于乙方违约：</w:t>
      </w:r>
    </w:p>
    <w:p w14:paraId="0306945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（1）乙方违反合同约定进行转包或违法分包的；</w:t>
      </w:r>
    </w:p>
    <w:p w14:paraId="2730DA5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（2）乙方违反合同约定采购和使用不合格的材料和设备的；</w:t>
      </w:r>
    </w:p>
    <w:p w14:paraId="2049C0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（3）因乙方原因导致处理设施功能性损坏或丧失的；</w:t>
      </w:r>
    </w:p>
    <w:p w14:paraId="0C1BC38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（4）乙方明确表示或者以其行为表明不履行合同义务的；</w:t>
      </w:r>
    </w:p>
    <w:p w14:paraId="0FBB340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5</w:t>
      </w:r>
      <w:r>
        <w:rPr>
          <w:rFonts w:ascii="宋体" w:hAnsi="宋体"/>
          <w:color w:val="auto"/>
          <w:sz w:val="22"/>
          <w:szCs w:val="22"/>
          <w:highlight w:val="none"/>
        </w:rPr>
        <w:t>）乙方未能按照合同约定履行其他义务的。</w:t>
      </w:r>
    </w:p>
    <w:p w14:paraId="4DB991A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6.2.2 乙方违约的责任</w:t>
      </w:r>
    </w:p>
    <w:p w14:paraId="66D1D7D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乙方应承担因其违约行为而产生的法律责任和费用。此外，合同当事人可在专用合同条款中另行约定乙方违约责任的承担方式和计算方法。</w:t>
      </w:r>
    </w:p>
    <w:p w14:paraId="46749E4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6.2.3 因乙方违约解除合同</w:t>
      </w:r>
    </w:p>
    <w:p w14:paraId="6346496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出现第6.2.1项〔乙方违约的情形〕约定的违约情况时，或甲方发出整改通知后，乙方在指定的合理期限内仍不纠正违约行为并致使合同目的不能实现的，甲方有权解除合同。合同解除后，合同当事人应在专用合同条款约定相应费用的承担方式。</w:t>
      </w:r>
    </w:p>
    <w:p w14:paraId="6261EB7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6.2.4 因乙方违约解除合同后的处理</w:t>
      </w:r>
    </w:p>
    <w:p w14:paraId="1C1E3BB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因乙方原因导致合同解除的，则合同当事人应在合同解除后28 天内完成估价、付款和清算，并按以下约定执行：</w:t>
      </w:r>
    </w:p>
    <w:p w14:paraId="399F7FB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（1）合同解除后，由合同当事人商定或确定乙方实际完成运维工作对应的运维服务费用，以及乙方已提供的其他服务的价值；</w:t>
      </w:r>
    </w:p>
    <w:p w14:paraId="50C684C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（2）合同解除后，乙方应支付的违约金；</w:t>
      </w:r>
    </w:p>
    <w:p w14:paraId="543560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（3）合同解除后，因解除合同给甲方造成的损失；</w:t>
      </w:r>
    </w:p>
    <w:p w14:paraId="59EFAD8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（4）合同解除后，乙方应按照甲方要求指示完成运维现场的清理和撤离；</w:t>
      </w:r>
    </w:p>
    <w:p w14:paraId="2E5D7A0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（5）甲方和乙方应在合同解除后进行清算，出具最终结清付款凭证，结清全部款项。</w:t>
      </w:r>
    </w:p>
    <w:p w14:paraId="4358A53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因乙方违约解除合同的，甲方有权暂停对乙方的付款，查清各项付款和已扣款项。甲方和乙方未能就合同解除后的清算和款项支付达成一致的，按照第9条〔争议解决〕的约定处理。</w:t>
      </w:r>
    </w:p>
    <w:p w14:paraId="4E174219">
      <w:pPr>
        <w:pStyle w:val="3"/>
        <w:spacing w:before="0" w:after="0" w:line="400" w:lineRule="exact"/>
        <w:rPr>
          <w:rFonts w:ascii="宋体" w:hAnsi="宋体" w:eastAsia="宋体"/>
          <w:color w:val="auto"/>
          <w:sz w:val="22"/>
          <w:szCs w:val="22"/>
          <w:highlight w:val="none"/>
        </w:rPr>
      </w:pPr>
      <w:bookmarkStart w:id="233" w:name="_Toc15957"/>
      <w:bookmarkStart w:id="234" w:name="_Toc35812016"/>
      <w:r>
        <w:rPr>
          <w:rFonts w:ascii="宋体" w:hAnsi="宋体" w:eastAsia="宋体"/>
          <w:color w:val="auto"/>
          <w:sz w:val="22"/>
          <w:szCs w:val="22"/>
          <w:highlight w:val="none"/>
        </w:rPr>
        <w:t>7.不可抗力</w:t>
      </w:r>
      <w:bookmarkEnd w:id="233"/>
      <w:bookmarkEnd w:id="234"/>
    </w:p>
    <w:p w14:paraId="267DBA81">
      <w:pPr>
        <w:pStyle w:val="4"/>
        <w:spacing w:before="0" w:after="0" w:line="400" w:lineRule="exact"/>
        <w:ind w:firstLine="440" w:firstLineChars="200"/>
        <w:rPr>
          <w:rFonts w:ascii="宋体" w:hAnsi="宋体"/>
          <w:color w:val="auto"/>
          <w:sz w:val="22"/>
          <w:szCs w:val="22"/>
          <w:highlight w:val="none"/>
        </w:rPr>
      </w:pPr>
      <w:bookmarkStart w:id="235" w:name="_Toc35812017"/>
      <w:bookmarkStart w:id="236" w:name="_Toc25408"/>
      <w:r>
        <w:rPr>
          <w:rFonts w:ascii="宋体" w:hAnsi="宋体"/>
          <w:color w:val="auto"/>
          <w:sz w:val="22"/>
          <w:szCs w:val="22"/>
          <w:highlight w:val="none"/>
        </w:rPr>
        <w:t>7.1不可抗力的范围</w:t>
      </w:r>
      <w:bookmarkEnd w:id="235"/>
      <w:bookmarkEnd w:id="236"/>
    </w:p>
    <w:p w14:paraId="5D5C271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不可抗力是指合同当事人在签订合同时不可预见，在合同履行过程中不可避免且不能克服的自然灾害和社会性突发事件，如台风、地震、海啸、瘟疫、骚乱、戒严、暴动、战争和专用合同条款中约定的其他情形。</w:t>
      </w:r>
    </w:p>
    <w:p w14:paraId="089DA634">
      <w:pPr>
        <w:pStyle w:val="4"/>
        <w:spacing w:before="0" w:after="0" w:line="400" w:lineRule="exact"/>
        <w:ind w:firstLine="440" w:firstLineChars="200"/>
        <w:rPr>
          <w:rFonts w:ascii="宋体" w:hAnsi="宋体"/>
          <w:color w:val="auto"/>
          <w:sz w:val="22"/>
          <w:szCs w:val="22"/>
          <w:highlight w:val="none"/>
        </w:rPr>
      </w:pPr>
      <w:bookmarkStart w:id="237" w:name="_Toc35812018"/>
      <w:bookmarkStart w:id="238" w:name="_Toc25388"/>
      <w:bookmarkStart w:id="239" w:name="_Toc351203609"/>
      <w:bookmarkStart w:id="240" w:name="_Toc296503118"/>
      <w:bookmarkStart w:id="241" w:name="_Toc337558825"/>
      <w:bookmarkStart w:id="242" w:name="_Toc296346619"/>
      <w:r>
        <w:rPr>
          <w:rFonts w:ascii="宋体" w:hAnsi="宋体"/>
          <w:color w:val="auto"/>
          <w:sz w:val="22"/>
          <w:szCs w:val="22"/>
          <w:highlight w:val="none"/>
        </w:rPr>
        <w:t>7.2 不可抗力的通知</w:t>
      </w:r>
      <w:bookmarkEnd w:id="237"/>
      <w:bookmarkEnd w:id="238"/>
      <w:bookmarkEnd w:id="239"/>
    </w:p>
    <w:bookmarkEnd w:id="240"/>
    <w:bookmarkEnd w:id="241"/>
    <w:bookmarkEnd w:id="242"/>
    <w:p w14:paraId="4646CF7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合同一方当事人遇到不可抗力事件，使其履行合同义务受到阻碍时，应第一时间通知合同另一方当事人，固定证据，书面说明不可抗力和受阻碍的详细情况，并提供必要的证明。</w:t>
      </w:r>
    </w:p>
    <w:p w14:paraId="1AF99CD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不可抗力持续发生的，合同一方当事人应及时向合同另一方当事人提交中间报告，说明不可抗力和履行合同受阻的情况，并于不可抗力事件结束后</w:t>
      </w:r>
      <w:r>
        <w:rPr>
          <w:rFonts w:hint="eastAsia" w:ascii="宋体" w:hAnsi="宋体"/>
          <w:color w:val="auto"/>
          <w:sz w:val="22"/>
          <w:szCs w:val="22"/>
          <w:highlight w:val="none"/>
        </w:rPr>
        <w:t>28</w:t>
      </w:r>
      <w:r>
        <w:rPr>
          <w:rFonts w:ascii="宋体" w:hAnsi="宋体"/>
          <w:color w:val="auto"/>
          <w:sz w:val="22"/>
          <w:szCs w:val="22"/>
          <w:highlight w:val="none"/>
        </w:rPr>
        <w:t>天内提交最终报告及有关资料。</w:t>
      </w:r>
    </w:p>
    <w:p w14:paraId="73C4277E">
      <w:pPr>
        <w:pStyle w:val="4"/>
        <w:spacing w:before="0" w:after="0" w:line="400" w:lineRule="exact"/>
        <w:ind w:firstLine="440" w:firstLineChars="200"/>
        <w:rPr>
          <w:rFonts w:ascii="宋体" w:hAnsi="宋体"/>
          <w:color w:val="auto"/>
          <w:sz w:val="22"/>
          <w:szCs w:val="22"/>
          <w:highlight w:val="none"/>
        </w:rPr>
      </w:pPr>
      <w:bookmarkStart w:id="243" w:name="_Toc24335"/>
      <w:bookmarkStart w:id="244" w:name="_Toc35812019"/>
      <w:bookmarkStart w:id="245" w:name="_Toc351203610"/>
      <w:bookmarkStart w:id="246" w:name="_Toc337558826"/>
      <w:bookmarkStart w:id="247" w:name="_Toc296346620"/>
      <w:bookmarkStart w:id="248" w:name="_Toc296503119"/>
      <w:r>
        <w:rPr>
          <w:rFonts w:ascii="宋体" w:hAnsi="宋体"/>
          <w:color w:val="auto"/>
          <w:sz w:val="22"/>
          <w:szCs w:val="22"/>
          <w:highlight w:val="none"/>
        </w:rPr>
        <w:t>7.3 不可抗力后果的承担</w:t>
      </w:r>
      <w:bookmarkEnd w:id="243"/>
      <w:bookmarkEnd w:id="244"/>
      <w:bookmarkEnd w:id="245"/>
    </w:p>
    <w:bookmarkEnd w:id="246"/>
    <w:bookmarkEnd w:id="247"/>
    <w:bookmarkEnd w:id="248"/>
    <w:p w14:paraId="2B136F6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7.3.1不可抗力发生后，甲方和乙方应收集证明不可抗力发生及不可抗力造成损失的证据，并及时认真统计所造成的损失。合同当事人对是否属于不可抗力或其损失的意见不一致，发生争议时，按第9条〔争议解决〕的约定处理。</w:t>
      </w:r>
    </w:p>
    <w:p w14:paraId="78A96DE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7.3.2 不可抗力引起的后果及造成的损失由合同当事人按照法律规定及合同约定各自承担。</w:t>
      </w:r>
    </w:p>
    <w:p w14:paraId="2F6EEFF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7.3.3 不可抗力导致的人员伤亡、财产损失、费用增加等后果，由合同当事人按以下原则承担：</w:t>
      </w:r>
    </w:p>
    <w:p w14:paraId="666BAD4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（1）设施设备的损坏，以及因设施损坏造成的第三人人员伤亡和财产损失由甲方承担；</w:t>
      </w:r>
    </w:p>
    <w:p w14:paraId="39D460A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（2）乙方运维配备的设施设备损坏由乙方承担；</w:t>
      </w:r>
    </w:p>
    <w:p w14:paraId="14D3B97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（3）甲方和乙方各自承担人员伤亡的损失；</w:t>
      </w:r>
    </w:p>
    <w:p w14:paraId="53B971E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（4）因不可抗力影响乙方履行合同约定的义务，导致乙方停止部分运维工作产生的费用损失由甲方和乙方合理分担；</w:t>
      </w:r>
    </w:p>
    <w:p w14:paraId="00C274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不可抗力发生后，合同当事人均应采取措施尽量避免和减少损失的扩大，任何一方当事人没有采取有效措施导致损失扩大的，应对扩大的损失承担责任。</w:t>
      </w:r>
    </w:p>
    <w:p w14:paraId="37A0DF0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因合同一方迟延履行合同义务，在迟延履行期间遭遇不可抗力的，不免除其违约责任。</w:t>
      </w:r>
    </w:p>
    <w:p w14:paraId="158FB1CF">
      <w:pPr>
        <w:pStyle w:val="4"/>
        <w:spacing w:before="0" w:after="0" w:line="400" w:lineRule="exact"/>
        <w:ind w:firstLine="440" w:firstLineChars="200"/>
        <w:rPr>
          <w:rFonts w:ascii="宋体" w:hAnsi="宋体"/>
          <w:color w:val="auto"/>
          <w:sz w:val="22"/>
          <w:szCs w:val="22"/>
          <w:highlight w:val="none"/>
        </w:rPr>
      </w:pPr>
      <w:bookmarkStart w:id="249" w:name="_Toc24932"/>
      <w:bookmarkStart w:id="250" w:name="_Toc35812020"/>
      <w:bookmarkStart w:id="251" w:name="_Toc351203611"/>
      <w:bookmarkStart w:id="252" w:name="_Toc337558827"/>
      <w:r>
        <w:rPr>
          <w:rFonts w:ascii="宋体" w:hAnsi="宋体"/>
          <w:color w:val="auto"/>
          <w:sz w:val="22"/>
          <w:szCs w:val="22"/>
          <w:highlight w:val="none"/>
        </w:rPr>
        <w:t>7.4 因不可抗力解除合同</w:t>
      </w:r>
      <w:bookmarkEnd w:id="249"/>
      <w:bookmarkEnd w:id="250"/>
      <w:bookmarkEnd w:id="251"/>
    </w:p>
    <w:bookmarkEnd w:id="252"/>
    <w:p w14:paraId="190D708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因不可抗力导致合同无法履行连续超过</w:t>
      </w:r>
      <w:r>
        <w:rPr>
          <w:rFonts w:hint="eastAsia" w:ascii="宋体" w:hAnsi="宋体"/>
          <w:color w:val="auto"/>
          <w:sz w:val="22"/>
          <w:szCs w:val="22"/>
          <w:highlight w:val="none"/>
        </w:rPr>
        <w:t>84</w:t>
      </w:r>
      <w:r>
        <w:rPr>
          <w:rFonts w:ascii="宋体" w:hAnsi="宋体"/>
          <w:color w:val="auto"/>
          <w:sz w:val="22"/>
          <w:szCs w:val="22"/>
          <w:highlight w:val="none"/>
        </w:rPr>
        <w:t>天或累计超过</w:t>
      </w:r>
      <w:r>
        <w:rPr>
          <w:rFonts w:hint="eastAsia" w:ascii="宋体" w:hAnsi="宋体"/>
          <w:color w:val="auto"/>
          <w:sz w:val="22"/>
          <w:szCs w:val="22"/>
          <w:highlight w:val="none"/>
        </w:rPr>
        <w:t>140</w:t>
      </w:r>
      <w:r>
        <w:rPr>
          <w:rFonts w:ascii="宋体" w:hAnsi="宋体"/>
          <w:color w:val="auto"/>
          <w:sz w:val="22"/>
          <w:szCs w:val="22"/>
          <w:highlight w:val="none"/>
        </w:rPr>
        <w:t>天的，甲方和乙方均有权解除合同。合同解除后，由双方当事人商定或确定甲方应支付的款项。</w:t>
      </w:r>
    </w:p>
    <w:p w14:paraId="29E5187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除专用合同条款另有约定外，合同解除后，甲方应在商定或确定上述款项后</w:t>
      </w:r>
      <w:r>
        <w:rPr>
          <w:rFonts w:hint="eastAsia" w:ascii="宋体" w:hAnsi="宋体"/>
          <w:color w:val="auto"/>
          <w:sz w:val="22"/>
          <w:szCs w:val="22"/>
          <w:highlight w:val="none"/>
        </w:rPr>
        <w:t>28</w:t>
      </w:r>
      <w:r>
        <w:rPr>
          <w:rFonts w:ascii="宋体" w:hAnsi="宋体"/>
          <w:color w:val="auto"/>
          <w:sz w:val="22"/>
          <w:szCs w:val="22"/>
          <w:highlight w:val="none"/>
        </w:rPr>
        <w:t>天内完成上述款项的支付。</w:t>
      </w:r>
    </w:p>
    <w:p w14:paraId="2D0270B0">
      <w:pPr>
        <w:pStyle w:val="3"/>
        <w:numPr>
          <w:ilvl w:val="0"/>
          <w:numId w:val="11"/>
        </w:numPr>
        <w:spacing w:before="0" w:after="0" w:line="400" w:lineRule="exact"/>
        <w:rPr>
          <w:rFonts w:ascii="宋体" w:hAnsi="宋体" w:eastAsia="宋体"/>
          <w:color w:val="auto"/>
          <w:sz w:val="22"/>
          <w:szCs w:val="22"/>
          <w:highlight w:val="none"/>
        </w:rPr>
      </w:pPr>
      <w:bookmarkStart w:id="253" w:name="_Toc32150"/>
      <w:bookmarkStart w:id="254" w:name="_Toc35812021"/>
      <w:r>
        <w:rPr>
          <w:rFonts w:ascii="宋体" w:hAnsi="宋体" w:eastAsia="宋体"/>
          <w:color w:val="auto"/>
          <w:sz w:val="22"/>
          <w:szCs w:val="22"/>
          <w:highlight w:val="none"/>
        </w:rPr>
        <w:t>索赔</w:t>
      </w:r>
      <w:bookmarkEnd w:id="253"/>
      <w:bookmarkEnd w:id="254"/>
    </w:p>
    <w:p w14:paraId="1BD3A017">
      <w:pPr>
        <w:pStyle w:val="4"/>
        <w:spacing w:before="0" w:after="0" w:line="400" w:lineRule="exact"/>
        <w:ind w:firstLine="440" w:firstLineChars="200"/>
        <w:rPr>
          <w:rFonts w:ascii="宋体" w:hAnsi="宋体"/>
          <w:color w:val="auto"/>
          <w:sz w:val="22"/>
          <w:szCs w:val="22"/>
          <w:highlight w:val="none"/>
        </w:rPr>
      </w:pPr>
      <w:bookmarkStart w:id="255" w:name="_Toc28635"/>
      <w:bookmarkStart w:id="256" w:name="_Toc351203621"/>
      <w:bookmarkStart w:id="257" w:name="_Toc35812022"/>
      <w:bookmarkStart w:id="258" w:name="_Toc337558836"/>
      <w:bookmarkStart w:id="259" w:name="_Toc296503141"/>
      <w:bookmarkStart w:id="260" w:name="_Toc296346642"/>
      <w:r>
        <w:rPr>
          <w:rFonts w:ascii="宋体" w:hAnsi="宋体"/>
          <w:color w:val="auto"/>
          <w:sz w:val="22"/>
          <w:szCs w:val="22"/>
          <w:highlight w:val="none"/>
        </w:rPr>
        <w:t>8.1乙方的索赔</w:t>
      </w:r>
      <w:bookmarkEnd w:id="255"/>
      <w:bookmarkEnd w:id="256"/>
      <w:bookmarkEnd w:id="257"/>
    </w:p>
    <w:bookmarkEnd w:id="258"/>
    <w:bookmarkEnd w:id="259"/>
    <w:bookmarkEnd w:id="260"/>
    <w:p w14:paraId="242B6A9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根据合同约定，乙方认为有权得到追加运维服务费和（或）其他费用的，应按以下程序向甲方提出索赔：</w:t>
      </w:r>
    </w:p>
    <w:p w14:paraId="5175D27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（1）乙方应在知道或应当知道索赔事件发生后</w:t>
      </w:r>
      <w:r>
        <w:rPr>
          <w:rFonts w:hint="eastAsia" w:ascii="宋体" w:hAnsi="宋体"/>
          <w:color w:val="auto"/>
          <w:sz w:val="22"/>
          <w:szCs w:val="22"/>
          <w:highlight w:val="none"/>
        </w:rPr>
        <w:t>28</w:t>
      </w:r>
      <w:r>
        <w:rPr>
          <w:rFonts w:ascii="宋体" w:hAnsi="宋体"/>
          <w:color w:val="auto"/>
          <w:sz w:val="22"/>
          <w:szCs w:val="22"/>
          <w:highlight w:val="none"/>
        </w:rPr>
        <w:t>天内，向甲方递交索赔意向通知书，并说明发生索赔事件的事由；乙方未在前述</w:t>
      </w:r>
      <w:r>
        <w:rPr>
          <w:rFonts w:hint="eastAsia" w:ascii="宋体" w:hAnsi="宋体"/>
          <w:color w:val="auto"/>
          <w:sz w:val="22"/>
          <w:szCs w:val="22"/>
          <w:highlight w:val="none"/>
        </w:rPr>
        <w:t>28</w:t>
      </w:r>
      <w:r>
        <w:rPr>
          <w:rFonts w:ascii="宋体" w:hAnsi="宋体"/>
          <w:color w:val="auto"/>
          <w:sz w:val="22"/>
          <w:szCs w:val="22"/>
          <w:highlight w:val="none"/>
        </w:rPr>
        <w:t>天内发出索赔意向通知书的，丧失要求追加运维服务费和（或）其他费用的权利；</w:t>
      </w:r>
    </w:p>
    <w:p w14:paraId="1CC0F6D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（2）乙方应在发出索赔意向通知书后</w:t>
      </w:r>
      <w:r>
        <w:rPr>
          <w:rFonts w:hint="eastAsia" w:ascii="宋体" w:hAnsi="宋体"/>
          <w:color w:val="auto"/>
          <w:sz w:val="22"/>
          <w:szCs w:val="22"/>
          <w:highlight w:val="none"/>
        </w:rPr>
        <w:t>28</w:t>
      </w:r>
      <w:r>
        <w:rPr>
          <w:rFonts w:ascii="宋体" w:hAnsi="宋体"/>
          <w:color w:val="auto"/>
          <w:sz w:val="22"/>
          <w:szCs w:val="22"/>
          <w:highlight w:val="none"/>
        </w:rPr>
        <w:t>天内，向甲方正式递交索赔报告；索赔报告应详细说明索赔理由以及要求追加的运维服务费和（或）其他费用，并附必要的记录和证明材料；</w:t>
      </w:r>
    </w:p>
    <w:p w14:paraId="12BB07F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（3）索赔事件具有持续影响的，乙方应按合理时间间隔继续递交延续索赔通知，说明持续影响的实际情况和记录，列出累计追加运维服务费和（或）其他费用的金额；</w:t>
      </w:r>
    </w:p>
    <w:p w14:paraId="26CD669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（4）在索赔事件影响结束后</w:t>
      </w:r>
      <w:r>
        <w:rPr>
          <w:rFonts w:hint="eastAsia" w:ascii="宋体" w:hAnsi="宋体"/>
          <w:color w:val="auto"/>
          <w:sz w:val="22"/>
          <w:szCs w:val="22"/>
          <w:highlight w:val="none"/>
        </w:rPr>
        <w:t>28</w:t>
      </w:r>
      <w:r>
        <w:rPr>
          <w:rFonts w:ascii="宋体" w:hAnsi="宋体"/>
          <w:color w:val="auto"/>
          <w:sz w:val="22"/>
          <w:szCs w:val="22"/>
          <w:highlight w:val="none"/>
        </w:rPr>
        <w:t>天内，乙方应向甲方递交最终索赔报告，说明最终要求索赔的追加运维服务费和（或）其他费用，并附必要的记录和证明材料。</w:t>
      </w:r>
    </w:p>
    <w:p w14:paraId="3C338B20">
      <w:pPr>
        <w:pStyle w:val="4"/>
        <w:spacing w:before="0" w:after="0" w:line="400" w:lineRule="exact"/>
        <w:ind w:firstLine="440" w:firstLineChars="200"/>
        <w:rPr>
          <w:rFonts w:ascii="宋体" w:hAnsi="宋体"/>
          <w:color w:val="auto"/>
          <w:sz w:val="22"/>
          <w:szCs w:val="22"/>
          <w:highlight w:val="none"/>
        </w:rPr>
      </w:pPr>
      <w:bookmarkStart w:id="261" w:name="_Toc35812023"/>
      <w:bookmarkStart w:id="262" w:name="_Toc351203622"/>
      <w:bookmarkStart w:id="263" w:name="_Toc29481"/>
      <w:bookmarkStart w:id="264" w:name="_Toc296503142"/>
      <w:bookmarkStart w:id="265" w:name="_Toc296346643"/>
      <w:bookmarkStart w:id="266" w:name="_Toc337558837"/>
      <w:r>
        <w:rPr>
          <w:rFonts w:ascii="宋体" w:hAnsi="宋体"/>
          <w:color w:val="auto"/>
          <w:sz w:val="22"/>
          <w:szCs w:val="22"/>
          <w:highlight w:val="none"/>
        </w:rPr>
        <w:t>8.2 对乙方索赔的处理</w:t>
      </w:r>
      <w:bookmarkEnd w:id="261"/>
      <w:bookmarkEnd w:id="262"/>
      <w:bookmarkEnd w:id="263"/>
    </w:p>
    <w:bookmarkEnd w:id="264"/>
    <w:bookmarkEnd w:id="265"/>
    <w:bookmarkEnd w:id="266"/>
    <w:p w14:paraId="383A8EE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对乙方索赔的处理如下：</w:t>
      </w:r>
    </w:p>
    <w:p w14:paraId="4B26691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（1）甲方应在收到索赔报告后</w:t>
      </w:r>
      <w:r>
        <w:rPr>
          <w:rFonts w:hint="eastAsia" w:ascii="宋体" w:hAnsi="宋体"/>
          <w:color w:val="auto"/>
          <w:sz w:val="22"/>
          <w:szCs w:val="22"/>
          <w:highlight w:val="none"/>
        </w:rPr>
        <w:t>14</w:t>
      </w:r>
      <w:r>
        <w:rPr>
          <w:rFonts w:ascii="宋体" w:hAnsi="宋体"/>
          <w:color w:val="auto"/>
          <w:sz w:val="22"/>
          <w:szCs w:val="22"/>
          <w:highlight w:val="none"/>
        </w:rPr>
        <w:t>天内完成审查。甲方对索赔报告存在异议的，有权要求乙方提交全部原始记录副本；</w:t>
      </w:r>
    </w:p>
    <w:p w14:paraId="7894BFB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（2）甲方应在收到索赔报告或有关索赔的进一步证明材料后的</w:t>
      </w:r>
      <w:r>
        <w:rPr>
          <w:rFonts w:hint="eastAsia" w:ascii="宋体" w:hAnsi="宋体"/>
          <w:color w:val="auto"/>
          <w:sz w:val="22"/>
          <w:szCs w:val="22"/>
          <w:highlight w:val="none"/>
        </w:rPr>
        <w:t>28</w:t>
      </w:r>
      <w:r>
        <w:rPr>
          <w:rFonts w:ascii="宋体" w:hAnsi="宋体"/>
          <w:color w:val="auto"/>
          <w:sz w:val="22"/>
          <w:szCs w:val="22"/>
          <w:highlight w:val="none"/>
        </w:rPr>
        <w:t>天内，向乙方出具经甲方签认的索赔处理结果。甲方逾期答复的，则视为认可乙方的索赔要求；</w:t>
      </w:r>
    </w:p>
    <w:p w14:paraId="3202A45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（3）乙方接受索赔处理结果的，索赔款项在当期运维服务费用中进行支付；乙方不接受索赔处理结果的，按照第9条〔争议解决〕约定处理。</w:t>
      </w:r>
    </w:p>
    <w:p w14:paraId="1ED95955">
      <w:pPr>
        <w:pStyle w:val="4"/>
        <w:spacing w:before="0" w:after="0" w:line="400" w:lineRule="exact"/>
        <w:ind w:firstLine="440" w:firstLineChars="200"/>
        <w:rPr>
          <w:rFonts w:ascii="宋体" w:hAnsi="宋体"/>
          <w:color w:val="auto"/>
          <w:sz w:val="22"/>
          <w:szCs w:val="22"/>
          <w:highlight w:val="none"/>
        </w:rPr>
      </w:pPr>
      <w:bookmarkStart w:id="267" w:name="_Toc351203623"/>
      <w:bookmarkStart w:id="268" w:name="_Toc3804"/>
      <w:bookmarkStart w:id="269" w:name="_Toc35812024"/>
      <w:bookmarkStart w:id="270" w:name="_Toc337558838"/>
      <w:bookmarkStart w:id="271" w:name="_Toc296346644"/>
      <w:bookmarkStart w:id="272" w:name="_Toc296503143"/>
      <w:r>
        <w:rPr>
          <w:rFonts w:ascii="宋体" w:hAnsi="宋体"/>
          <w:color w:val="auto"/>
          <w:sz w:val="22"/>
          <w:szCs w:val="22"/>
          <w:highlight w:val="none"/>
        </w:rPr>
        <w:t>8.3甲方的索赔</w:t>
      </w:r>
      <w:bookmarkEnd w:id="267"/>
      <w:bookmarkEnd w:id="268"/>
      <w:bookmarkEnd w:id="269"/>
    </w:p>
    <w:bookmarkEnd w:id="270"/>
    <w:bookmarkEnd w:id="271"/>
    <w:bookmarkEnd w:id="272"/>
    <w:p w14:paraId="091FE5F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根据合同约定，甲方认为有权得到赔付金额和（或）其他费用的，甲方应向乙方发出通知并附有详细的证明。</w:t>
      </w:r>
    </w:p>
    <w:p w14:paraId="470F768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甲方应在知道或应当知道索赔事件发生后</w:t>
      </w:r>
      <w:r>
        <w:rPr>
          <w:rFonts w:hint="eastAsia" w:ascii="宋体" w:hAnsi="宋体"/>
          <w:color w:val="auto"/>
          <w:sz w:val="22"/>
          <w:szCs w:val="22"/>
          <w:highlight w:val="none"/>
        </w:rPr>
        <w:t>28</w:t>
      </w:r>
      <w:r>
        <w:rPr>
          <w:rFonts w:ascii="宋体" w:hAnsi="宋体"/>
          <w:color w:val="auto"/>
          <w:sz w:val="22"/>
          <w:szCs w:val="22"/>
          <w:highlight w:val="none"/>
        </w:rPr>
        <w:t>天内向乙方提出索赔意向通知书，甲方未在前述</w:t>
      </w:r>
      <w:r>
        <w:rPr>
          <w:rFonts w:hint="eastAsia" w:ascii="宋体" w:hAnsi="宋体"/>
          <w:color w:val="auto"/>
          <w:sz w:val="22"/>
          <w:szCs w:val="22"/>
          <w:highlight w:val="none"/>
        </w:rPr>
        <w:t>28</w:t>
      </w:r>
      <w:r>
        <w:rPr>
          <w:rFonts w:ascii="宋体" w:hAnsi="宋体"/>
          <w:color w:val="auto"/>
          <w:sz w:val="22"/>
          <w:szCs w:val="22"/>
          <w:highlight w:val="none"/>
        </w:rPr>
        <w:t>天内发出索赔意向通知书的，丧失要求赔付金额和（或）其他费用的权利。甲方应在发出索赔意向通知书后</w:t>
      </w:r>
      <w:r>
        <w:rPr>
          <w:rFonts w:hint="eastAsia" w:ascii="宋体" w:hAnsi="宋体"/>
          <w:color w:val="auto"/>
          <w:sz w:val="22"/>
          <w:szCs w:val="22"/>
          <w:highlight w:val="none"/>
        </w:rPr>
        <w:t>28</w:t>
      </w:r>
      <w:r>
        <w:rPr>
          <w:rFonts w:ascii="宋体" w:hAnsi="宋体"/>
          <w:color w:val="auto"/>
          <w:sz w:val="22"/>
          <w:szCs w:val="22"/>
          <w:highlight w:val="none"/>
        </w:rPr>
        <w:t>天内，向乙方正式递交索赔报告。</w:t>
      </w:r>
    </w:p>
    <w:p w14:paraId="4AB590E7">
      <w:pPr>
        <w:pStyle w:val="4"/>
        <w:spacing w:before="0" w:after="0" w:line="400" w:lineRule="exact"/>
        <w:ind w:firstLine="440" w:firstLineChars="200"/>
        <w:rPr>
          <w:rFonts w:ascii="宋体" w:hAnsi="宋体"/>
          <w:color w:val="auto"/>
          <w:sz w:val="22"/>
          <w:szCs w:val="22"/>
          <w:highlight w:val="none"/>
        </w:rPr>
      </w:pPr>
      <w:bookmarkStart w:id="273" w:name="_Toc351203624"/>
      <w:bookmarkStart w:id="274" w:name="_Toc35812025"/>
      <w:bookmarkStart w:id="275" w:name="_Toc28447"/>
      <w:bookmarkStart w:id="276" w:name="_Toc296346645"/>
      <w:bookmarkStart w:id="277" w:name="_Toc337558839"/>
      <w:bookmarkStart w:id="278" w:name="_Toc296503144"/>
      <w:r>
        <w:rPr>
          <w:rFonts w:ascii="宋体" w:hAnsi="宋体"/>
          <w:color w:val="auto"/>
          <w:sz w:val="22"/>
          <w:szCs w:val="22"/>
          <w:highlight w:val="none"/>
        </w:rPr>
        <w:t>8.4 对甲方索赔的处理</w:t>
      </w:r>
      <w:bookmarkEnd w:id="273"/>
      <w:bookmarkEnd w:id="274"/>
      <w:bookmarkEnd w:id="275"/>
    </w:p>
    <w:bookmarkEnd w:id="276"/>
    <w:bookmarkEnd w:id="277"/>
    <w:bookmarkEnd w:id="278"/>
    <w:p w14:paraId="732A029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对甲方索赔的处理如下：</w:t>
      </w:r>
    </w:p>
    <w:p w14:paraId="7CA7262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（1）乙方收到甲方提交的索赔报告后，应及时审查索赔报告的内容、查验甲方证明材料；</w:t>
      </w:r>
    </w:p>
    <w:p w14:paraId="1EE94A6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（2）乙方应在收到索赔报告或有关索赔的进一步证明材料后</w:t>
      </w:r>
      <w:r>
        <w:rPr>
          <w:rFonts w:hint="eastAsia" w:ascii="宋体" w:hAnsi="宋体"/>
          <w:color w:val="auto"/>
          <w:sz w:val="22"/>
          <w:szCs w:val="22"/>
          <w:highlight w:val="none"/>
        </w:rPr>
        <w:t>28</w:t>
      </w:r>
      <w:r>
        <w:rPr>
          <w:rFonts w:ascii="宋体" w:hAnsi="宋体"/>
          <w:color w:val="auto"/>
          <w:sz w:val="22"/>
          <w:szCs w:val="22"/>
          <w:highlight w:val="none"/>
        </w:rPr>
        <w:t>天内，将索赔处理结果答复甲方。如果乙方未在上述期限内作出答复的，则视为对甲方索赔要求的认可；</w:t>
      </w:r>
    </w:p>
    <w:p w14:paraId="7B2203D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（3）乙方接受索赔处理结果的，甲方可从应支付给乙方的当期运维服务费用中扣除赔付的金额或其他费用；甲方不接受索赔处理结果的，按第9条〔争议解决〕约定处理。</w:t>
      </w:r>
    </w:p>
    <w:p w14:paraId="26A34294">
      <w:pPr>
        <w:pStyle w:val="3"/>
        <w:spacing w:before="0" w:after="0" w:line="400" w:lineRule="exact"/>
        <w:rPr>
          <w:rFonts w:ascii="宋体" w:hAnsi="宋体" w:eastAsia="宋体"/>
          <w:color w:val="auto"/>
          <w:sz w:val="22"/>
          <w:szCs w:val="22"/>
          <w:highlight w:val="none"/>
        </w:rPr>
      </w:pPr>
      <w:bookmarkStart w:id="279" w:name="_Toc35812026"/>
      <w:bookmarkStart w:id="280" w:name="_Toc1964"/>
      <w:r>
        <w:rPr>
          <w:rFonts w:ascii="宋体" w:hAnsi="宋体" w:eastAsia="宋体"/>
          <w:color w:val="auto"/>
          <w:sz w:val="22"/>
          <w:szCs w:val="22"/>
          <w:highlight w:val="none"/>
        </w:rPr>
        <w:t>9.争议解决</w:t>
      </w:r>
      <w:bookmarkEnd w:id="279"/>
      <w:bookmarkEnd w:id="280"/>
    </w:p>
    <w:p w14:paraId="21E1B367">
      <w:pPr>
        <w:pStyle w:val="4"/>
        <w:spacing w:before="0" w:after="0" w:line="400" w:lineRule="exact"/>
        <w:ind w:firstLine="440" w:firstLineChars="200"/>
        <w:rPr>
          <w:rFonts w:ascii="宋体" w:hAnsi="宋体"/>
          <w:color w:val="auto"/>
          <w:sz w:val="22"/>
          <w:szCs w:val="22"/>
          <w:highlight w:val="none"/>
        </w:rPr>
      </w:pPr>
      <w:bookmarkStart w:id="281" w:name="_Toc22454"/>
      <w:bookmarkStart w:id="282" w:name="_Toc35812027"/>
      <w:r>
        <w:rPr>
          <w:rFonts w:ascii="宋体" w:hAnsi="宋体"/>
          <w:color w:val="auto"/>
          <w:sz w:val="22"/>
          <w:szCs w:val="22"/>
          <w:highlight w:val="none"/>
        </w:rPr>
        <w:t>9.1和解</w:t>
      </w:r>
      <w:bookmarkEnd w:id="281"/>
      <w:bookmarkEnd w:id="282"/>
    </w:p>
    <w:p w14:paraId="67709E4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合同当事人可以就争议自行和解，自行和解达成协议的经双方签字并盖章后作为合同补充文件，双方均应遵照执行。</w:t>
      </w:r>
    </w:p>
    <w:p w14:paraId="778AD33C">
      <w:pPr>
        <w:pStyle w:val="4"/>
        <w:spacing w:before="0" w:after="0" w:line="400" w:lineRule="exact"/>
        <w:ind w:firstLine="440" w:firstLineChars="200"/>
        <w:rPr>
          <w:rFonts w:ascii="宋体" w:hAnsi="宋体"/>
          <w:color w:val="auto"/>
          <w:sz w:val="22"/>
          <w:szCs w:val="22"/>
          <w:highlight w:val="none"/>
        </w:rPr>
      </w:pPr>
      <w:bookmarkStart w:id="283" w:name="_Toc2426"/>
      <w:bookmarkStart w:id="284" w:name="_Toc35812028"/>
      <w:r>
        <w:rPr>
          <w:rFonts w:ascii="宋体" w:hAnsi="宋体"/>
          <w:color w:val="auto"/>
          <w:sz w:val="22"/>
          <w:szCs w:val="22"/>
          <w:highlight w:val="none"/>
        </w:rPr>
        <w:t>9.2调解</w:t>
      </w:r>
      <w:bookmarkEnd w:id="283"/>
      <w:bookmarkEnd w:id="284"/>
    </w:p>
    <w:p w14:paraId="549E012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合同当事人可以就争议请求上级运维主管部门或其他第三方进行调解，调解达成协议的，经双方签字并盖章后作为合同补充文件，双方均应遵照执行。</w:t>
      </w:r>
    </w:p>
    <w:p w14:paraId="48831B33">
      <w:pPr>
        <w:pStyle w:val="4"/>
        <w:spacing w:before="0" w:after="0" w:line="400" w:lineRule="exact"/>
        <w:ind w:firstLine="440" w:firstLineChars="200"/>
        <w:rPr>
          <w:rFonts w:ascii="宋体" w:hAnsi="宋体"/>
          <w:color w:val="auto"/>
          <w:sz w:val="22"/>
          <w:szCs w:val="22"/>
          <w:highlight w:val="none"/>
        </w:rPr>
      </w:pPr>
      <w:bookmarkStart w:id="285" w:name="_Toc436"/>
      <w:bookmarkStart w:id="286" w:name="_Toc35812029"/>
      <w:r>
        <w:rPr>
          <w:rFonts w:ascii="宋体" w:hAnsi="宋体"/>
          <w:color w:val="auto"/>
          <w:sz w:val="22"/>
          <w:szCs w:val="22"/>
          <w:highlight w:val="none"/>
        </w:rPr>
        <w:t>9.3仲裁或诉讼</w:t>
      </w:r>
      <w:bookmarkEnd w:id="285"/>
      <w:bookmarkEnd w:id="286"/>
    </w:p>
    <w:p w14:paraId="3DE8C48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因合同及合同有关事项产生的争议，合同当事人可以在专用合同条款中约定以下一种方式解决争议：</w:t>
      </w:r>
    </w:p>
    <w:p w14:paraId="5278964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（1）向约定的仲裁委员会申请仲裁；</w:t>
      </w:r>
    </w:p>
    <w:p w14:paraId="5F1155E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（2）向有管辖权的人民法院起诉。</w:t>
      </w:r>
    </w:p>
    <w:p w14:paraId="333694BB">
      <w:pPr>
        <w:pStyle w:val="4"/>
        <w:spacing w:before="0" w:after="0" w:line="400" w:lineRule="exact"/>
        <w:ind w:firstLine="440" w:firstLineChars="200"/>
        <w:rPr>
          <w:rFonts w:ascii="宋体" w:hAnsi="宋体"/>
          <w:color w:val="auto"/>
          <w:sz w:val="22"/>
          <w:szCs w:val="22"/>
          <w:highlight w:val="none"/>
        </w:rPr>
      </w:pPr>
      <w:bookmarkStart w:id="287" w:name="_Toc35812030"/>
      <w:bookmarkStart w:id="288" w:name="_Toc22244"/>
      <w:r>
        <w:rPr>
          <w:rFonts w:ascii="宋体" w:hAnsi="宋体"/>
          <w:color w:val="auto"/>
          <w:sz w:val="22"/>
          <w:szCs w:val="22"/>
          <w:highlight w:val="none"/>
        </w:rPr>
        <w:t>9.4争议解决条款的效力</w:t>
      </w:r>
      <w:bookmarkEnd w:id="287"/>
      <w:bookmarkEnd w:id="288"/>
    </w:p>
    <w:p w14:paraId="53159CB3">
      <w:pPr>
        <w:autoSpaceDE w:val="0"/>
        <w:autoSpaceDN w:val="0"/>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合同有关争议解决的条款独立存在，合同的变更、解除、终止、无效或者被撤销均不影响其效力。</w:t>
      </w:r>
      <w:bookmarkStart w:id="289" w:name="_Toc35812031"/>
      <w:bookmarkStart w:id="290" w:name="_Toc10865"/>
    </w:p>
    <w:p w14:paraId="66BDFAE0">
      <w:pPr>
        <w:autoSpaceDE w:val="0"/>
        <w:autoSpaceDN w:val="0"/>
        <w:adjustRightInd w:val="0"/>
        <w:spacing w:line="400" w:lineRule="exact"/>
        <w:ind w:firstLine="440" w:firstLineChars="200"/>
        <w:rPr>
          <w:rFonts w:hint="eastAsia" w:ascii="宋体" w:hAnsi="宋体"/>
          <w:color w:val="auto"/>
          <w:sz w:val="22"/>
          <w:szCs w:val="22"/>
          <w:highlight w:val="none"/>
        </w:rPr>
      </w:pPr>
    </w:p>
    <w:p w14:paraId="23D9AF5F">
      <w:pPr>
        <w:autoSpaceDE w:val="0"/>
        <w:autoSpaceDN w:val="0"/>
        <w:adjustRightInd w:val="0"/>
        <w:spacing w:line="400" w:lineRule="exact"/>
        <w:ind w:firstLine="480" w:firstLineChars="200"/>
        <w:jc w:val="center"/>
        <w:rPr>
          <w:rFonts w:ascii="宋体" w:hAnsi="宋体"/>
          <w:b/>
          <w:bCs/>
          <w:color w:val="auto"/>
          <w:sz w:val="24"/>
          <w:highlight w:val="none"/>
        </w:rPr>
      </w:pPr>
      <w:r>
        <w:rPr>
          <w:rFonts w:ascii="宋体" w:hAnsi="宋体"/>
          <w:b/>
          <w:bCs/>
          <w:color w:val="auto"/>
          <w:sz w:val="24"/>
          <w:highlight w:val="none"/>
        </w:rPr>
        <w:t>第三部分 专用合同条款</w:t>
      </w:r>
      <w:bookmarkEnd w:id="289"/>
      <w:bookmarkEnd w:id="290"/>
    </w:p>
    <w:p w14:paraId="561F82B6">
      <w:pPr>
        <w:pStyle w:val="7"/>
        <w:spacing w:line="400" w:lineRule="exact"/>
        <w:ind w:firstLine="420"/>
        <w:rPr>
          <w:rFonts w:ascii="宋体" w:hAnsi="宋体"/>
          <w:color w:val="auto"/>
          <w:sz w:val="22"/>
          <w:szCs w:val="22"/>
          <w:highlight w:val="none"/>
        </w:rPr>
      </w:pPr>
    </w:p>
    <w:p w14:paraId="5C866440">
      <w:pPr>
        <w:pStyle w:val="3"/>
        <w:spacing w:before="0" w:after="0" w:line="400" w:lineRule="exact"/>
        <w:rPr>
          <w:rFonts w:ascii="宋体" w:hAnsi="宋体" w:eastAsia="宋体"/>
          <w:color w:val="auto"/>
          <w:sz w:val="22"/>
          <w:szCs w:val="22"/>
          <w:highlight w:val="none"/>
        </w:rPr>
      </w:pPr>
      <w:bookmarkStart w:id="291" w:name="_Toc20577"/>
      <w:bookmarkStart w:id="292" w:name="_Toc35812032"/>
      <w:r>
        <w:rPr>
          <w:rFonts w:ascii="宋体" w:hAnsi="宋体" w:eastAsia="宋体"/>
          <w:color w:val="auto"/>
          <w:sz w:val="22"/>
          <w:szCs w:val="22"/>
          <w:highlight w:val="none"/>
        </w:rPr>
        <w:t>1.一般约定</w:t>
      </w:r>
      <w:bookmarkEnd w:id="291"/>
      <w:bookmarkEnd w:id="292"/>
    </w:p>
    <w:p w14:paraId="147EC480">
      <w:pPr>
        <w:pStyle w:val="4"/>
        <w:spacing w:before="0" w:after="0" w:line="400" w:lineRule="exact"/>
        <w:ind w:firstLine="440" w:firstLineChars="200"/>
        <w:rPr>
          <w:rFonts w:ascii="宋体" w:hAnsi="宋体"/>
          <w:color w:val="auto"/>
          <w:sz w:val="22"/>
          <w:szCs w:val="22"/>
          <w:highlight w:val="none"/>
        </w:rPr>
      </w:pPr>
      <w:bookmarkStart w:id="293" w:name="_Toc25830"/>
      <w:bookmarkStart w:id="294" w:name="_Toc35812033"/>
      <w:bookmarkStart w:id="295" w:name="_Toc28411"/>
      <w:r>
        <w:rPr>
          <w:rFonts w:ascii="宋体" w:hAnsi="宋体"/>
          <w:color w:val="auto"/>
          <w:sz w:val="22"/>
          <w:szCs w:val="22"/>
          <w:highlight w:val="none"/>
        </w:rPr>
        <w:t>1.1 词语定义</w:t>
      </w:r>
      <w:bookmarkEnd w:id="293"/>
      <w:bookmarkEnd w:id="294"/>
      <w:bookmarkEnd w:id="295"/>
    </w:p>
    <w:p w14:paraId="7C8462DF">
      <w:pPr>
        <w:autoSpaceDE w:val="0"/>
        <w:autoSpaceDN w:val="0"/>
        <w:adjustRightInd w:val="0"/>
        <w:spacing w:line="400" w:lineRule="exact"/>
        <w:ind w:left="596" w:leftChars="284"/>
        <w:rPr>
          <w:rFonts w:ascii="宋体" w:hAnsi="宋体"/>
          <w:color w:val="auto"/>
          <w:sz w:val="22"/>
          <w:szCs w:val="22"/>
          <w:highlight w:val="none"/>
        </w:rPr>
      </w:pPr>
      <w:r>
        <w:rPr>
          <w:rFonts w:ascii="宋体" w:hAnsi="宋体"/>
          <w:color w:val="auto"/>
          <w:sz w:val="22"/>
          <w:szCs w:val="22"/>
          <w:highlight w:val="none"/>
        </w:rPr>
        <w:t>1.1.1合同</w:t>
      </w:r>
    </w:p>
    <w:p w14:paraId="162DC33B">
      <w:pPr>
        <w:autoSpaceDE w:val="0"/>
        <w:autoSpaceDN w:val="0"/>
        <w:adjustRightInd w:val="0"/>
        <w:spacing w:line="400" w:lineRule="exact"/>
        <w:ind w:left="596" w:leftChars="284"/>
        <w:rPr>
          <w:rFonts w:ascii="宋体" w:hAnsi="宋体"/>
          <w:color w:val="auto"/>
          <w:sz w:val="22"/>
          <w:szCs w:val="22"/>
          <w:highlight w:val="none"/>
        </w:rPr>
      </w:pPr>
      <w:r>
        <w:rPr>
          <w:rFonts w:ascii="宋体" w:hAnsi="宋体"/>
          <w:color w:val="auto"/>
          <w:sz w:val="22"/>
          <w:szCs w:val="22"/>
          <w:highlight w:val="none"/>
        </w:rPr>
        <w:t>1.1.1.5其他合同文件包括：</w:t>
      </w:r>
      <w:r>
        <w:rPr>
          <w:rFonts w:hint="eastAsia" w:ascii="宋体" w:hAnsi="宋体"/>
          <w:color w:val="auto"/>
          <w:sz w:val="22"/>
          <w:szCs w:val="22"/>
          <w:highlight w:val="none"/>
          <w:u w:val="single"/>
        </w:rPr>
        <w:t>招标文件、招标过程中发布的补充内容，双方签署的对合同内容有实质性影响的会议纪要、签证、项目备忘录等资料</w:t>
      </w:r>
      <w:r>
        <w:rPr>
          <w:rFonts w:ascii="宋体" w:hAnsi="宋体"/>
          <w:color w:val="auto"/>
          <w:sz w:val="22"/>
          <w:szCs w:val="22"/>
          <w:highlight w:val="none"/>
          <w:u w:val="single"/>
        </w:rPr>
        <w:t>。</w:t>
      </w:r>
    </w:p>
    <w:p w14:paraId="3EAD8CC0">
      <w:pPr>
        <w:pStyle w:val="4"/>
        <w:spacing w:before="0" w:after="0" w:line="400" w:lineRule="exact"/>
        <w:ind w:firstLine="440" w:firstLineChars="200"/>
        <w:rPr>
          <w:rFonts w:ascii="宋体" w:hAnsi="宋体"/>
          <w:color w:val="auto"/>
          <w:sz w:val="22"/>
          <w:szCs w:val="22"/>
          <w:highlight w:val="none"/>
        </w:rPr>
      </w:pPr>
      <w:bookmarkStart w:id="296" w:name="_Toc19290"/>
      <w:bookmarkStart w:id="297" w:name="_Toc31697"/>
      <w:bookmarkStart w:id="298" w:name="_Toc35812034"/>
      <w:r>
        <w:rPr>
          <w:rFonts w:ascii="宋体" w:hAnsi="宋体"/>
          <w:color w:val="auto"/>
          <w:sz w:val="22"/>
          <w:szCs w:val="22"/>
          <w:highlight w:val="none"/>
        </w:rPr>
        <w:t>1.2 语言文字</w:t>
      </w:r>
      <w:bookmarkEnd w:id="296"/>
      <w:bookmarkEnd w:id="297"/>
      <w:bookmarkEnd w:id="298"/>
    </w:p>
    <w:p w14:paraId="17FC322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适用于合同的语言：</w:t>
      </w:r>
      <w:r>
        <w:rPr>
          <w:rFonts w:ascii="宋体" w:hAnsi="宋体"/>
          <w:color w:val="auto"/>
          <w:sz w:val="22"/>
          <w:szCs w:val="22"/>
          <w:highlight w:val="none"/>
          <w:u w:val="single"/>
        </w:rPr>
        <w:t xml:space="preserve">      汉语         </w:t>
      </w:r>
      <w:r>
        <w:rPr>
          <w:rFonts w:ascii="宋体" w:hAnsi="宋体"/>
          <w:color w:val="auto"/>
          <w:sz w:val="22"/>
          <w:szCs w:val="22"/>
          <w:highlight w:val="none"/>
        </w:rPr>
        <w:t>。</w:t>
      </w:r>
    </w:p>
    <w:p w14:paraId="7B845BD2">
      <w:pPr>
        <w:pStyle w:val="4"/>
        <w:spacing w:before="0" w:after="0" w:line="400" w:lineRule="exact"/>
        <w:ind w:firstLine="440" w:firstLineChars="200"/>
        <w:rPr>
          <w:rFonts w:ascii="宋体" w:hAnsi="宋体"/>
          <w:color w:val="auto"/>
          <w:sz w:val="22"/>
          <w:szCs w:val="22"/>
          <w:highlight w:val="none"/>
        </w:rPr>
      </w:pPr>
      <w:bookmarkStart w:id="299" w:name="_Toc35812035"/>
      <w:bookmarkStart w:id="300" w:name="_Toc4453"/>
      <w:bookmarkStart w:id="301" w:name="_Toc3225"/>
      <w:r>
        <w:rPr>
          <w:rFonts w:ascii="宋体" w:hAnsi="宋体"/>
          <w:color w:val="auto"/>
          <w:sz w:val="22"/>
          <w:szCs w:val="22"/>
          <w:highlight w:val="none"/>
        </w:rPr>
        <w:t>1.3 法律</w:t>
      </w:r>
      <w:bookmarkEnd w:id="299"/>
      <w:bookmarkEnd w:id="300"/>
      <w:bookmarkEnd w:id="301"/>
    </w:p>
    <w:p w14:paraId="1C47425C">
      <w:pPr>
        <w:autoSpaceDE w:val="0"/>
        <w:autoSpaceDN w:val="0"/>
        <w:adjustRightInd w:val="0"/>
        <w:spacing w:line="400" w:lineRule="exact"/>
        <w:rPr>
          <w:rFonts w:ascii="宋体" w:hAnsi="宋体"/>
          <w:color w:val="auto"/>
          <w:sz w:val="22"/>
          <w:szCs w:val="22"/>
          <w:highlight w:val="none"/>
        </w:rPr>
      </w:pPr>
      <w:r>
        <w:rPr>
          <w:rFonts w:ascii="宋体" w:hAnsi="宋体"/>
          <w:color w:val="auto"/>
          <w:sz w:val="22"/>
          <w:szCs w:val="22"/>
          <w:highlight w:val="none"/>
        </w:rPr>
        <w:t>适用于合同的其他规范性文件：</w:t>
      </w:r>
      <w:r>
        <w:rPr>
          <w:rFonts w:ascii="宋体" w:hAnsi="宋体"/>
          <w:color w:val="auto"/>
          <w:sz w:val="22"/>
          <w:szCs w:val="22"/>
          <w:highlight w:val="none"/>
          <w:u w:val="single"/>
        </w:rPr>
        <w:t></w:t>
      </w:r>
      <w:r>
        <w:rPr>
          <w:rFonts w:hint="eastAsia" w:ascii="宋体" w:hAnsi="宋体"/>
          <w:color w:val="auto"/>
          <w:sz w:val="22"/>
          <w:szCs w:val="22"/>
          <w:highlight w:val="none"/>
          <w:u w:val="single"/>
        </w:rPr>
        <w:t>《浙江省农村生活污水处理设施管理条例》。</w:t>
      </w:r>
    </w:p>
    <w:p w14:paraId="482313DD">
      <w:pPr>
        <w:pStyle w:val="4"/>
        <w:spacing w:before="0" w:after="0" w:line="400" w:lineRule="exact"/>
        <w:ind w:firstLine="440" w:firstLineChars="200"/>
        <w:rPr>
          <w:rFonts w:ascii="宋体" w:hAnsi="宋体"/>
          <w:color w:val="auto"/>
          <w:sz w:val="22"/>
          <w:szCs w:val="22"/>
          <w:highlight w:val="none"/>
        </w:rPr>
      </w:pPr>
      <w:bookmarkStart w:id="302" w:name="_Toc35812036"/>
      <w:bookmarkStart w:id="303" w:name="_Toc405"/>
      <w:bookmarkStart w:id="304" w:name="_Toc25276"/>
      <w:r>
        <w:rPr>
          <w:rFonts w:ascii="宋体" w:hAnsi="宋体"/>
          <w:color w:val="auto"/>
          <w:sz w:val="22"/>
          <w:szCs w:val="22"/>
          <w:highlight w:val="none"/>
        </w:rPr>
        <w:t>1.4 标准、规范和导则</w:t>
      </w:r>
      <w:bookmarkEnd w:id="302"/>
      <w:bookmarkEnd w:id="303"/>
      <w:bookmarkEnd w:id="304"/>
    </w:p>
    <w:p w14:paraId="23EF25C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1.4.1适用于本合同的标准、规范和导则</w:t>
      </w:r>
      <w:r>
        <w:rPr>
          <w:rFonts w:hint="eastAsia" w:ascii="宋体" w:hAnsi="宋体"/>
          <w:color w:val="auto"/>
          <w:sz w:val="22"/>
          <w:szCs w:val="22"/>
          <w:highlight w:val="none"/>
        </w:rPr>
        <w:t>：</w:t>
      </w:r>
    </w:p>
    <w:p w14:paraId="4FA0BD70">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（1）《农村生活污水厌氧处理终端运维导则（试行）》</w:t>
      </w:r>
    </w:p>
    <w:p w14:paraId="3C32B545">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（2）《农村生活污水治理设施运行维护技术导则》</w:t>
      </w:r>
    </w:p>
    <w:p w14:paraId="26DE4D3E">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（3）《农村生活污水治理设施第三方运维管理导则（试行）》</w:t>
      </w:r>
    </w:p>
    <w:p w14:paraId="7D25A6D0">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（4）《浙江省县（市、区）农村生活污水治理设施运行维护管理导则（试行）》</w:t>
      </w:r>
    </w:p>
    <w:p w14:paraId="7DCE0178">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（5）《浙江省农村生活污水治理设施出水水质检测与评价导则(试行）》</w:t>
      </w:r>
    </w:p>
    <w:p w14:paraId="0BBEDBC1">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（6）《农村生活污水处理罐运行维护导则（试行）》</w:t>
      </w:r>
    </w:p>
    <w:p w14:paraId="6231FFA9">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（7）《农村生活污水治理设施编码导则（试行）》</w:t>
      </w:r>
    </w:p>
    <w:p w14:paraId="4EBE0D2A">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（8）《农村生活污水厌氧-好氧（AO）处理终端维护导则（试行）》</w:t>
      </w:r>
    </w:p>
    <w:p w14:paraId="37E01DE8">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农村生活污水处理</w:t>
      </w:r>
      <w:r>
        <w:rPr>
          <w:rFonts w:hint="eastAsia" w:ascii="宋体" w:hAnsi="宋体"/>
          <w:color w:val="auto"/>
          <w:sz w:val="22"/>
          <w:szCs w:val="22"/>
          <w:highlight w:val="none"/>
        </w:rPr>
        <w:t>设施</w:t>
      </w:r>
      <w:r>
        <w:rPr>
          <w:rFonts w:ascii="宋体" w:hAnsi="宋体"/>
          <w:color w:val="auto"/>
          <w:sz w:val="22"/>
          <w:szCs w:val="22"/>
          <w:highlight w:val="none"/>
        </w:rPr>
        <w:t>标准化运维评价标准</w:t>
      </w:r>
      <w:r>
        <w:rPr>
          <w:rFonts w:hint="eastAsia" w:ascii="宋体" w:hAnsi="宋体"/>
          <w:color w:val="auto"/>
          <w:sz w:val="22"/>
          <w:szCs w:val="22"/>
          <w:highlight w:val="none"/>
        </w:rPr>
        <w:t>》</w:t>
      </w:r>
    </w:p>
    <w:p w14:paraId="16990E3B">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（10）《农村生活污水 A2O 处理终端维护导则（试行）》</w:t>
      </w:r>
    </w:p>
    <w:p w14:paraId="616ACE47">
      <w:pPr>
        <w:pStyle w:val="7"/>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及新增加的标准、导则。</w:t>
      </w:r>
    </w:p>
    <w:p w14:paraId="2EF66DD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1.4.2甲方对处理设施运维的技术标准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、处理设施排放标准的特殊要求：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0F77ABC8">
      <w:pPr>
        <w:pStyle w:val="4"/>
        <w:spacing w:before="0" w:after="0" w:line="400" w:lineRule="exact"/>
        <w:ind w:firstLine="440" w:firstLineChars="200"/>
        <w:rPr>
          <w:rFonts w:ascii="宋体" w:hAnsi="宋体"/>
          <w:color w:val="auto"/>
          <w:sz w:val="22"/>
          <w:szCs w:val="22"/>
          <w:highlight w:val="none"/>
        </w:rPr>
      </w:pPr>
      <w:bookmarkStart w:id="305" w:name="_Toc29910"/>
      <w:bookmarkStart w:id="306" w:name="_Toc9603"/>
      <w:bookmarkStart w:id="307" w:name="_Toc35812037"/>
      <w:r>
        <w:rPr>
          <w:rFonts w:ascii="宋体" w:hAnsi="宋体"/>
          <w:color w:val="auto"/>
          <w:sz w:val="22"/>
          <w:szCs w:val="22"/>
          <w:highlight w:val="none"/>
        </w:rPr>
        <w:t>1.5 合同文件的优先顺序</w:t>
      </w:r>
      <w:bookmarkEnd w:id="305"/>
      <w:bookmarkEnd w:id="306"/>
      <w:bookmarkEnd w:id="307"/>
    </w:p>
    <w:p w14:paraId="7D456045">
      <w:pPr>
        <w:autoSpaceDE w:val="0"/>
        <w:autoSpaceDN w:val="0"/>
        <w:adjustRightInd w:val="0"/>
        <w:spacing w:line="400" w:lineRule="exact"/>
        <w:rPr>
          <w:rFonts w:ascii="宋体" w:hAnsi="宋体"/>
          <w:color w:val="auto"/>
          <w:sz w:val="22"/>
          <w:szCs w:val="22"/>
          <w:highlight w:val="none"/>
        </w:rPr>
      </w:pPr>
      <w:r>
        <w:rPr>
          <w:rFonts w:ascii="宋体" w:hAnsi="宋体"/>
          <w:color w:val="auto"/>
          <w:sz w:val="22"/>
          <w:szCs w:val="22"/>
          <w:highlight w:val="none"/>
        </w:rPr>
        <w:t>合同文件组成及优先顺序为：</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p>
    <w:p w14:paraId="1ABB8197">
      <w:pPr>
        <w:pStyle w:val="4"/>
        <w:spacing w:before="0" w:after="0" w:line="400" w:lineRule="exact"/>
        <w:ind w:firstLine="440" w:firstLineChars="200"/>
        <w:rPr>
          <w:rFonts w:ascii="宋体" w:hAnsi="宋体"/>
          <w:color w:val="auto"/>
          <w:sz w:val="22"/>
          <w:szCs w:val="22"/>
          <w:highlight w:val="none"/>
        </w:rPr>
      </w:pPr>
      <w:bookmarkStart w:id="308" w:name="_Toc35812038"/>
      <w:bookmarkStart w:id="309" w:name="_Toc5433"/>
      <w:bookmarkStart w:id="310" w:name="_Toc3049"/>
      <w:r>
        <w:rPr>
          <w:rFonts w:ascii="宋体" w:hAnsi="宋体"/>
          <w:color w:val="auto"/>
          <w:sz w:val="22"/>
          <w:szCs w:val="22"/>
          <w:highlight w:val="none"/>
        </w:rPr>
        <w:t>1.6 联络</w:t>
      </w:r>
      <w:bookmarkEnd w:id="308"/>
      <w:bookmarkEnd w:id="309"/>
      <w:bookmarkEnd w:id="310"/>
    </w:p>
    <w:p w14:paraId="0A00F22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1.6.1甲方和乙方应当在</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5</w:t>
      </w:r>
      <w:r>
        <w:rPr>
          <w:rFonts w:ascii="宋体" w:hAnsi="宋体"/>
          <w:color w:val="auto"/>
          <w:sz w:val="22"/>
          <w:szCs w:val="22"/>
          <w:highlight w:val="none"/>
          <w:u w:val="single"/>
        </w:rPr>
        <w:t xml:space="preserve"> </w:t>
      </w:r>
      <w:r>
        <w:rPr>
          <w:rFonts w:ascii="宋体" w:hAnsi="宋体"/>
          <w:color w:val="auto"/>
          <w:sz w:val="22"/>
          <w:szCs w:val="22"/>
          <w:highlight w:val="none"/>
        </w:rPr>
        <w:t>天内将与合同有关的通知、批准、证明、证书、指示、指令、要求、请求、同意、意见、确定和决定等书面函件送达对方当事人。</w:t>
      </w:r>
    </w:p>
    <w:p w14:paraId="64C6A151">
      <w:pPr>
        <w:autoSpaceDE w:val="0"/>
        <w:autoSpaceDN w:val="0"/>
        <w:adjustRightInd w:val="0"/>
        <w:spacing w:line="400" w:lineRule="exact"/>
        <w:ind w:left="596" w:leftChars="284"/>
        <w:rPr>
          <w:rFonts w:ascii="宋体" w:hAnsi="宋体"/>
          <w:color w:val="auto"/>
          <w:sz w:val="22"/>
          <w:szCs w:val="22"/>
          <w:highlight w:val="none"/>
        </w:rPr>
      </w:pPr>
      <w:r>
        <w:rPr>
          <w:rFonts w:ascii="宋体" w:hAnsi="宋体"/>
          <w:color w:val="auto"/>
          <w:sz w:val="22"/>
          <w:szCs w:val="22"/>
          <w:highlight w:val="none"/>
        </w:rPr>
        <w:t>1.6.2甲方指定的文件接收人、接收地址及联络方式为：</w:t>
      </w:r>
      <w:r>
        <w:rPr>
          <w:rFonts w:hint="eastAsia" w:ascii="宋体" w:hAnsi="宋体"/>
          <w:color w:val="auto"/>
          <w:sz w:val="22"/>
          <w:szCs w:val="22"/>
          <w:highlight w:val="none"/>
          <w:u w:val="single"/>
        </w:rPr>
        <w:t>项目所在地甲方办公室。</w:t>
      </w:r>
    </w:p>
    <w:p w14:paraId="2336FAFE">
      <w:pPr>
        <w:pStyle w:val="4"/>
        <w:spacing w:before="0" w:after="0" w:line="400" w:lineRule="exact"/>
        <w:ind w:firstLine="440" w:firstLineChars="200"/>
        <w:rPr>
          <w:rFonts w:ascii="宋体" w:hAnsi="宋体"/>
          <w:color w:val="auto"/>
          <w:sz w:val="22"/>
          <w:szCs w:val="22"/>
          <w:highlight w:val="none"/>
        </w:rPr>
      </w:pPr>
      <w:bookmarkStart w:id="311" w:name="_Toc32219"/>
      <w:bookmarkStart w:id="312" w:name="_Toc35812039"/>
      <w:bookmarkStart w:id="313" w:name="_Toc18597"/>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 xml:space="preserve"> 知识产权</w:t>
      </w:r>
      <w:bookmarkEnd w:id="311"/>
      <w:bookmarkEnd w:id="312"/>
      <w:bookmarkEnd w:id="313"/>
    </w:p>
    <w:p w14:paraId="1F4E7A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.1甲方提供给乙方的规划、图纸、甲方自行编制的技术规范以及其他类似性质文件的著作权的归属：</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w:t>
      </w:r>
      <w:r>
        <w:rPr>
          <w:rFonts w:ascii="宋体" w:hAnsi="宋体"/>
          <w:color w:val="auto"/>
          <w:sz w:val="22"/>
          <w:szCs w:val="22"/>
          <w:highlight w:val="none"/>
        </w:rPr>
        <w:t>。</w:t>
      </w:r>
    </w:p>
    <w:p w14:paraId="1A26F10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甲方提供的上述文件的使用限制要求：</w:t>
      </w:r>
      <w:r>
        <w:rPr>
          <w:rFonts w:hint="eastAsia" w:ascii="宋体" w:hAnsi="宋体"/>
          <w:color w:val="auto"/>
          <w:sz w:val="22"/>
          <w:szCs w:val="22"/>
          <w:highlight w:val="none"/>
          <w:u w:val="single"/>
        </w:rPr>
        <w:t>按通用条款执行。</w:t>
      </w:r>
    </w:p>
    <w:p w14:paraId="0C5A6AE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.2乙方为实施处理设施运维所编制的文件的著作权的归属：</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w:t>
      </w:r>
      <w:r>
        <w:rPr>
          <w:rFonts w:ascii="宋体" w:hAnsi="宋体"/>
          <w:color w:val="auto"/>
          <w:sz w:val="22"/>
          <w:szCs w:val="22"/>
          <w:highlight w:val="none"/>
        </w:rPr>
        <w:t>。</w:t>
      </w:r>
    </w:p>
    <w:p w14:paraId="7BED463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乙方提供的上述文件的使用限制要求：</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p>
    <w:p w14:paraId="07DFDDE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.4 乙方在处理设施运维过程中采用的专利、专有技术、技术秘密的使用费承担方式：</w:t>
      </w:r>
      <w:r>
        <w:rPr>
          <w:rFonts w:hint="eastAsia" w:ascii="宋体" w:hAnsi="宋体"/>
          <w:color w:val="auto"/>
          <w:sz w:val="22"/>
          <w:szCs w:val="22"/>
          <w:highlight w:val="none"/>
          <w:u w:val="single"/>
        </w:rPr>
        <w:t>按通用条款执行</w:t>
      </w:r>
      <w:r>
        <w:rPr>
          <w:rFonts w:ascii="宋体" w:hAnsi="宋体"/>
          <w:color w:val="auto"/>
          <w:sz w:val="22"/>
          <w:szCs w:val="22"/>
          <w:highlight w:val="none"/>
        </w:rPr>
        <w:t>。</w:t>
      </w:r>
    </w:p>
    <w:p w14:paraId="089BBB81">
      <w:pPr>
        <w:pStyle w:val="4"/>
        <w:spacing w:before="0" w:after="0" w:line="400" w:lineRule="exact"/>
        <w:ind w:firstLine="440" w:firstLineChars="200"/>
        <w:rPr>
          <w:rFonts w:ascii="宋体" w:hAnsi="宋体"/>
          <w:color w:val="auto"/>
          <w:sz w:val="22"/>
          <w:szCs w:val="22"/>
          <w:highlight w:val="none"/>
        </w:rPr>
      </w:pPr>
      <w:bookmarkStart w:id="314" w:name="_Toc35812040"/>
      <w:bookmarkStart w:id="315" w:name="_Toc9586"/>
      <w:bookmarkStart w:id="316" w:name="_Toc26276"/>
      <w:r>
        <w:rPr>
          <w:rFonts w:ascii="宋体" w:hAnsi="宋体"/>
          <w:color w:val="auto"/>
          <w:sz w:val="22"/>
          <w:szCs w:val="22"/>
          <w:highlight w:val="none"/>
        </w:rPr>
        <w:t>1.1</w:t>
      </w:r>
      <w:r>
        <w:rPr>
          <w:rFonts w:hint="eastAsia" w:ascii="宋体" w:hAnsi="宋体"/>
          <w:color w:val="auto"/>
          <w:sz w:val="22"/>
          <w:szCs w:val="22"/>
          <w:highlight w:val="none"/>
        </w:rPr>
        <w:t>1费用</w:t>
      </w:r>
      <w:r>
        <w:rPr>
          <w:rFonts w:ascii="宋体" w:hAnsi="宋体"/>
          <w:color w:val="auto"/>
          <w:sz w:val="22"/>
          <w:szCs w:val="22"/>
          <w:highlight w:val="none"/>
        </w:rPr>
        <w:t>的修正</w:t>
      </w:r>
      <w:bookmarkEnd w:id="314"/>
      <w:bookmarkEnd w:id="315"/>
      <w:bookmarkEnd w:id="316"/>
    </w:p>
    <w:p w14:paraId="3A14A108">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关于费用修正的约定</w:t>
      </w:r>
      <w:r>
        <w:rPr>
          <w:rFonts w:ascii="宋体" w:hAnsi="宋体"/>
          <w:color w:val="auto"/>
          <w:sz w:val="22"/>
          <w:szCs w:val="22"/>
          <w:highlight w:val="none"/>
        </w:rPr>
        <w:t>：</w:t>
      </w:r>
      <w:r>
        <w:rPr>
          <w:rFonts w:hint="eastAsia" w:ascii="宋体" w:hAnsi="宋体"/>
          <w:color w:val="auto"/>
          <w:sz w:val="22"/>
          <w:szCs w:val="22"/>
          <w:highlight w:val="none"/>
          <w:u w:val="single"/>
        </w:rPr>
        <w:t>每年结算中标单价不变，按实际集中处理终端个数、纳厂处理收益户数办理，收益户数由乙方提交运维户数花名册报甲方审批确定。</w:t>
      </w:r>
    </w:p>
    <w:p w14:paraId="0A7035BE">
      <w:pPr>
        <w:pStyle w:val="3"/>
        <w:spacing w:before="0" w:after="0" w:line="400" w:lineRule="exact"/>
        <w:rPr>
          <w:rFonts w:ascii="宋体" w:hAnsi="宋体" w:eastAsia="宋体"/>
          <w:color w:val="auto"/>
          <w:sz w:val="22"/>
          <w:szCs w:val="22"/>
          <w:highlight w:val="none"/>
        </w:rPr>
      </w:pPr>
      <w:bookmarkStart w:id="317" w:name="_Toc25616"/>
      <w:bookmarkStart w:id="318" w:name="_Toc35812041"/>
      <w:r>
        <w:rPr>
          <w:rFonts w:ascii="宋体" w:hAnsi="宋体" w:eastAsia="宋体"/>
          <w:color w:val="auto"/>
          <w:sz w:val="22"/>
          <w:szCs w:val="22"/>
          <w:highlight w:val="none"/>
        </w:rPr>
        <w:t>2.甲方</w:t>
      </w:r>
      <w:bookmarkEnd w:id="317"/>
      <w:bookmarkEnd w:id="318"/>
    </w:p>
    <w:p w14:paraId="6740B9E9">
      <w:pPr>
        <w:pStyle w:val="4"/>
        <w:spacing w:before="0" w:after="0" w:line="400" w:lineRule="exact"/>
        <w:ind w:firstLine="440" w:firstLineChars="200"/>
        <w:rPr>
          <w:rFonts w:ascii="宋体" w:hAnsi="宋体"/>
          <w:color w:val="auto"/>
          <w:sz w:val="22"/>
          <w:szCs w:val="22"/>
          <w:highlight w:val="none"/>
        </w:rPr>
      </w:pPr>
      <w:bookmarkStart w:id="319" w:name="_Toc29397"/>
      <w:bookmarkStart w:id="320" w:name="_Toc9474"/>
      <w:bookmarkStart w:id="321" w:name="_Toc35812042"/>
      <w:r>
        <w:rPr>
          <w:rFonts w:ascii="宋体" w:hAnsi="宋体"/>
          <w:color w:val="auto"/>
          <w:sz w:val="22"/>
          <w:szCs w:val="22"/>
          <w:highlight w:val="none"/>
        </w:rPr>
        <w:t>2.1 甲方代表</w:t>
      </w:r>
      <w:bookmarkEnd w:id="319"/>
      <w:bookmarkEnd w:id="320"/>
      <w:bookmarkEnd w:id="321"/>
    </w:p>
    <w:p w14:paraId="0D89BAF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甲方代表：</w:t>
      </w:r>
    </w:p>
    <w:p w14:paraId="60BBEFD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ascii="宋体" w:hAnsi="宋体"/>
          <w:color w:val="auto"/>
          <w:sz w:val="22"/>
          <w:szCs w:val="22"/>
          <w:highlight w:val="none"/>
          <w:u w:val="single"/>
        </w:rPr>
        <w:t>      </w:t>
      </w:r>
      <w:r>
        <w:rPr>
          <w:rFonts w:ascii="宋体" w:hAnsi="宋体"/>
          <w:color w:val="auto"/>
          <w:sz w:val="22"/>
          <w:szCs w:val="22"/>
          <w:highlight w:val="none"/>
        </w:rPr>
        <w:t>；</w:t>
      </w:r>
    </w:p>
    <w:p w14:paraId="7259EC0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      </w:t>
      </w:r>
      <w:r>
        <w:rPr>
          <w:rFonts w:ascii="宋体" w:hAnsi="宋体"/>
          <w:color w:val="auto"/>
          <w:sz w:val="22"/>
          <w:szCs w:val="22"/>
          <w:highlight w:val="none"/>
        </w:rPr>
        <w:t>；</w:t>
      </w:r>
    </w:p>
    <w:p w14:paraId="19F3CEC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职    务：</w:t>
      </w:r>
      <w:r>
        <w:rPr>
          <w:rFonts w:ascii="宋体" w:hAnsi="宋体"/>
          <w:color w:val="auto"/>
          <w:sz w:val="22"/>
          <w:szCs w:val="22"/>
          <w:highlight w:val="none"/>
          <w:u w:val="single"/>
        </w:rPr>
        <w:t>      </w:t>
      </w:r>
      <w:r>
        <w:rPr>
          <w:rFonts w:ascii="宋体" w:hAnsi="宋体"/>
          <w:color w:val="auto"/>
          <w:sz w:val="22"/>
          <w:szCs w:val="22"/>
          <w:highlight w:val="none"/>
        </w:rPr>
        <w:t>；</w:t>
      </w:r>
    </w:p>
    <w:p w14:paraId="2339513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     </w:t>
      </w:r>
      <w:r>
        <w:rPr>
          <w:rFonts w:ascii="宋体" w:hAnsi="宋体"/>
          <w:color w:val="auto"/>
          <w:sz w:val="22"/>
          <w:szCs w:val="22"/>
          <w:highlight w:val="none"/>
        </w:rPr>
        <w:t>；</w:t>
      </w:r>
    </w:p>
    <w:p w14:paraId="4CC4681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     </w:t>
      </w:r>
      <w:r>
        <w:rPr>
          <w:rFonts w:ascii="宋体" w:hAnsi="宋体"/>
          <w:color w:val="auto"/>
          <w:sz w:val="22"/>
          <w:szCs w:val="22"/>
          <w:highlight w:val="none"/>
        </w:rPr>
        <w:t>；</w:t>
      </w:r>
    </w:p>
    <w:p w14:paraId="23DD020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     </w:t>
      </w:r>
      <w:r>
        <w:rPr>
          <w:rFonts w:ascii="宋体" w:hAnsi="宋体"/>
          <w:color w:val="auto"/>
          <w:sz w:val="22"/>
          <w:szCs w:val="22"/>
          <w:highlight w:val="none"/>
        </w:rPr>
        <w:t>。</w:t>
      </w:r>
    </w:p>
    <w:p w14:paraId="33E415E0">
      <w:pPr>
        <w:spacing w:line="400" w:lineRule="exact"/>
        <w:ind w:firstLine="440" w:firstLineChars="200"/>
        <w:rPr>
          <w:rFonts w:ascii="宋体" w:hAnsi="宋体"/>
          <w:b/>
          <w:color w:val="auto"/>
          <w:sz w:val="22"/>
          <w:szCs w:val="22"/>
          <w:highlight w:val="none"/>
        </w:rPr>
      </w:pPr>
      <w:r>
        <w:rPr>
          <w:rFonts w:ascii="宋体" w:hAnsi="宋体"/>
          <w:color w:val="auto"/>
          <w:sz w:val="22"/>
          <w:szCs w:val="22"/>
          <w:highlight w:val="none"/>
        </w:rPr>
        <w:t>甲方对甲方代表的授权范围如下：</w:t>
      </w:r>
      <w:r>
        <w:rPr>
          <w:rFonts w:hint="eastAsia" w:ascii="宋体" w:hAnsi="宋体"/>
          <w:color w:val="auto"/>
          <w:sz w:val="22"/>
          <w:szCs w:val="22"/>
          <w:highlight w:val="none"/>
          <w:u w:val="single"/>
        </w:rPr>
        <w:t>协调运维服务现场各方面的关系，协调解决运维服务质量、进度、安全中存在的问题，负责现场经济技术校对复核签证，审核维修与更换的设施设备清单</w:t>
      </w:r>
      <w:r>
        <w:rPr>
          <w:rFonts w:ascii="宋体" w:hAnsi="宋体"/>
          <w:color w:val="auto"/>
          <w:sz w:val="22"/>
          <w:szCs w:val="22"/>
          <w:highlight w:val="none"/>
        </w:rPr>
        <w:t>。</w:t>
      </w:r>
    </w:p>
    <w:p w14:paraId="67A4B88B">
      <w:pPr>
        <w:pStyle w:val="4"/>
        <w:spacing w:before="0" w:after="0" w:line="400" w:lineRule="exact"/>
        <w:ind w:firstLine="440" w:firstLineChars="200"/>
        <w:rPr>
          <w:rFonts w:ascii="宋体" w:hAnsi="宋体"/>
          <w:color w:val="auto"/>
          <w:sz w:val="22"/>
          <w:szCs w:val="22"/>
          <w:highlight w:val="none"/>
        </w:rPr>
      </w:pPr>
      <w:bookmarkStart w:id="322" w:name="_Toc14398"/>
      <w:bookmarkStart w:id="323" w:name="_Toc31430"/>
      <w:bookmarkStart w:id="324" w:name="_Toc35812043"/>
      <w:r>
        <w:rPr>
          <w:rFonts w:ascii="宋体" w:hAnsi="宋体"/>
          <w:color w:val="auto"/>
          <w:sz w:val="22"/>
          <w:szCs w:val="22"/>
          <w:highlight w:val="none"/>
        </w:rPr>
        <w:t>2.3</w:t>
      </w:r>
      <w:r>
        <w:rPr>
          <w:rFonts w:hint="eastAsia" w:ascii="宋体" w:hAnsi="宋体"/>
          <w:color w:val="auto"/>
          <w:sz w:val="22"/>
          <w:szCs w:val="22"/>
          <w:highlight w:val="none"/>
        </w:rPr>
        <w:t>甲方一般义务</w:t>
      </w:r>
      <w:bookmarkEnd w:id="322"/>
      <w:bookmarkEnd w:id="323"/>
      <w:bookmarkEnd w:id="324"/>
    </w:p>
    <w:p w14:paraId="71C863B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2.3.1 提供运维服务条件</w:t>
      </w:r>
    </w:p>
    <w:p w14:paraId="13A3C40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关于甲方提供运维服务条件的要求：</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7900A0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运维废弃物处置方式：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按政府有关规定作无害化处理</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12B8B8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2.3.2 提供基础资料</w:t>
      </w:r>
    </w:p>
    <w:p w14:paraId="1DF8EA7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关于甲方应负责提供运维服务所需要的资料，包括：</w:t>
      </w:r>
      <w:r>
        <w:rPr>
          <w:rFonts w:hint="eastAsia" w:ascii="宋体" w:hAnsi="宋体"/>
          <w:color w:val="auto"/>
          <w:sz w:val="22"/>
          <w:szCs w:val="22"/>
          <w:highlight w:val="none"/>
          <w:u w:val="single"/>
        </w:rPr>
        <w:t>达标处理设施清单、非达标处理设施清单和其他运维服务对象清单</w:t>
      </w:r>
      <w:r>
        <w:rPr>
          <w:rFonts w:ascii="宋体" w:hAnsi="宋体"/>
          <w:color w:val="auto"/>
          <w:sz w:val="22"/>
          <w:szCs w:val="22"/>
          <w:highlight w:val="none"/>
        </w:rPr>
        <w:t>。</w:t>
      </w:r>
    </w:p>
    <w:p w14:paraId="7F5381F0">
      <w:pPr>
        <w:pStyle w:val="3"/>
        <w:spacing w:before="0" w:after="0" w:line="400" w:lineRule="exact"/>
        <w:rPr>
          <w:rFonts w:ascii="宋体" w:hAnsi="宋体" w:eastAsia="宋体"/>
          <w:color w:val="auto"/>
          <w:sz w:val="22"/>
          <w:szCs w:val="22"/>
          <w:highlight w:val="none"/>
        </w:rPr>
      </w:pPr>
      <w:r>
        <w:rPr>
          <w:rFonts w:ascii="宋体" w:hAnsi="宋体" w:eastAsia="宋体"/>
          <w:color w:val="auto"/>
          <w:sz w:val="22"/>
          <w:szCs w:val="22"/>
          <w:highlight w:val="none"/>
        </w:rPr>
        <w:t xml:space="preserve"> </w:t>
      </w:r>
      <w:bookmarkStart w:id="325" w:name="_Toc14148"/>
      <w:bookmarkStart w:id="326" w:name="_Toc35812044"/>
      <w:r>
        <w:rPr>
          <w:rFonts w:ascii="宋体" w:hAnsi="宋体" w:eastAsia="宋体"/>
          <w:color w:val="auto"/>
          <w:sz w:val="22"/>
          <w:szCs w:val="22"/>
          <w:highlight w:val="none"/>
        </w:rPr>
        <w:t>3.乙方</w:t>
      </w:r>
      <w:bookmarkEnd w:id="325"/>
      <w:bookmarkEnd w:id="326"/>
    </w:p>
    <w:p w14:paraId="32F3DC0D">
      <w:pPr>
        <w:pStyle w:val="4"/>
        <w:spacing w:before="0" w:after="0" w:line="400" w:lineRule="exact"/>
        <w:ind w:firstLine="440" w:firstLineChars="200"/>
        <w:rPr>
          <w:rFonts w:ascii="宋体" w:hAnsi="宋体"/>
          <w:color w:val="auto"/>
          <w:sz w:val="22"/>
          <w:szCs w:val="22"/>
          <w:highlight w:val="none"/>
        </w:rPr>
      </w:pPr>
      <w:bookmarkStart w:id="327" w:name="_Toc7987"/>
      <w:bookmarkStart w:id="328" w:name="_Toc15850"/>
      <w:bookmarkStart w:id="329" w:name="_Toc35812045"/>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 </w:t>
      </w:r>
      <w:r>
        <w:rPr>
          <w:rFonts w:hint="eastAsia" w:ascii="宋体" w:hAnsi="宋体"/>
          <w:color w:val="auto"/>
          <w:sz w:val="22"/>
          <w:szCs w:val="22"/>
          <w:highlight w:val="none"/>
        </w:rPr>
        <w:t>运维</w:t>
      </w:r>
      <w:r>
        <w:rPr>
          <w:rFonts w:ascii="宋体" w:hAnsi="宋体"/>
          <w:color w:val="auto"/>
          <w:sz w:val="22"/>
          <w:szCs w:val="22"/>
          <w:highlight w:val="none"/>
        </w:rPr>
        <w:t>项目负责人</w:t>
      </w:r>
      <w:bookmarkEnd w:id="327"/>
      <w:bookmarkEnd w:id="328"/>
      <w:bookmarkEnd w:id="329"/>
    </w:p>
    <w:p w14:paraId="50A04B3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.1姓    名：</w:t>
      </w:r>
      <w:r>
        <w:rPr>
          <w:rFonts w:ascii="宋体" w:hAnsi="宋体"/>
          <w:color w:val="auto"/>
          <w:sz w:val="22"/>
          <w:szCs w:val="22"/>
          <w:highlight w:val="none"/>
          <w:u w:val="single"/>
        </w:rPr>
        <w:t>           </w:t>
      </w:r>
      <w:r>
        <w:rPr>
          <w:rFonts w:ascii="宋体" w:hAnsi="宋体"/>
          <w:color w:val="auto"/>
          <w:sz w:val="22"/>
          <w:szCs w:val="22"/>
          <w:highlight w:val="none"/>
        </w:rPr>
        <w:t>；</w:t>
      </w:r>
    </w:p>
    <w:p w14:paraId="1858CCC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       </w:t>
      </w:r>
      <w:r>
        <w:rPr>
          <w:rFonts w:ascii="宋体" w:hAnsi="宋体"/>
          <w:color w:val="auto"/>
          <w:sz w:val="22"/>
          <w:szCs w:val="22"/>
          <w:highlight w:val="none"/>
        </w:rPr>
        <w:t>；</w:t>
      </w:r>
    </w:p>
    <w:p w14:paraId="58D3667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相关证书编号：</w:t>
      </w:r>
      <w:r>
        <w:rPr>
          <w:rFonts w:ascii="宋体" w:hAnsi="宋体"/>
          <w:color w:val="auto"/>
          <w:sz w:val="22"/>
          <w:szCs w:val="22"/>
          <w:highlight w:val="none"/>
          <w:u w:val="single"/>
        </w:rPr>
        <w:t>         </w:t>
      </w:r>
      <w:r>
        <w:rPr>
          <w:rFonts w:ascii="宋体" w:hAnsi="宋体"/>
          <w:color w:val="auto"/>
          <w:sz w:val="22"/>
          <w:szCs w:val="22"/>
          <w:highlight w:val="none"/>
        </w:rPr>
        <w:t>；</w:t>
      </w:r>
    </w:p>
    <w:p w14:paraId="7891B56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       </w:t>
      </w:r>
      <w:r>
        <w:rPr>
          <w:rFonts w:ascii="宋体" w:hAnsi="宋体"/>
          <w:color w:val="auto"/>
          <w:sz w:val="22"/>
          <w:szCs w:val="22"/>
          <w:highlight w:val="none"/>
        </w:rPr>
        <w:t>；</w:t>
      </w:r>
    </w:p>
    <w:p w14:paraId="20A77D1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 </w:t>
      </w:r>
      <w:r>
        <w:rPr>
          <w:rFonts w:ascii="宋体" w:hAnsi="宋体"/>
          <w:color w:val="auto"/>
          <w:sz w:val="22"/>
          <w:szCs w:val="22"/>
          <w:highlight w:val="none"/>
        </w:rPr>
        <w:t>；</w:t>
      </w:r>
    </w:p>
    <w:p w14:paraId="4E4DDD1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         </w:t>
      </w:r>
      <w:r>
        <w:rPr>
          <w:rFonts w:ascii="宋体" w:hAnsi="宋体"/>
          <w:color w:val="auto"/>
          <w:sz w:val="22"/>
          <w:szCs w:val="22"/>
          <w:highlight w:val="none"/>
        </w:rPr>
        <w:t>；</w:t>
      </w:r>
    </w:p>
    <w:p w14:paraId="2D4AC5E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乙方对</w:t>
      </w:r>
      <w:r>
        <w:rPr>
          <w:rFonts w:hint="eastAsia" w:ascii="宋体" w:hAnsi="宋体"/>
          <w:color w:val="auto"/>
          <w:sz w:val="22"/>
          <w:szCs w:val="22"/>
          <w:highlight w:val="none"/>
        </w:rPr>
        <w:t>运维</w:t>
      </w:r>
      <w:r>
        <w:rPr>
          <w:rFonts w:ascii="宋体" w:hAnsi="宋体"/>
          <w:color w:val="auto"/>
          <w:sz w:val="22"/>
          <w:szCs w:val="22"/>
          <w:highlight w:val="none"/>
        </w:rPr>
        <w:t>项目负责人的授权范围如下：</w:t>
      </w:r>
      <w:r>
        <w:rPr>
          <w:rFonts w:hint="eastAsia" w:ascii="宋体" w:hAnsi="宋体"/>
          <w:color w:val="auto"/>
          <w:sz w:val="22"/>
          <w:szCs w:val="22"/>
          <w:highlight w:val="none"/>
          <w:u w:val="single"/>
        </w:rPr>
        <w:t>对本项目运维服务过程中的人员管理、运维任务的部署、分配等运维服务期内全过程管理，包括但不限于：组织项目管理班子；以企业法定代表人的代表身份处理与所承担的项目有关的外部关系，受委托签署有关合同；指挥运维服务工作，调配并管理进入项目的人力、物资、机械设备等生产要素；选择运维作业队伍；进行合理的经济分配；按法律法规企业法定代表人应授予的其它权利。</w:t>
      </w:r>
      <w:r>
        <w:rPr>
          <w:rFonts w:ascii="宋体" w:hAnsi="宋体"/>
          <w:color w:val="auto"/>
          <w:sz w:val="22"/>
          <w:szCs w:val="22"/>
          <w:highlight w:val="none"/>
        </w:rPr>
        <w:t>。</w:t>
      </w:r>
    </w:p>
    <w:p w14:paraId="4BCCDD5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乙方未提交劳动合同，以及没有为</w:t>
      </w:r>
      <w:r>
        <w:rPr>
          <w:rFonts w:hint="eastAsia" w:ascii="宋体" w:hAnsi="宋体"/>
          <w:color w:val="auto"/>
          <w:sz w:val="22"/>
          <w:szCs w:val="22"/>
          <w:highlight w:val="none"/>
        </w:rPr>
        <w:t>运维</w:t>
      </w:r>
      <w:r>
        <w:rPr>
          <w:rFonts w:ascii="宋体" w:hAnsi="宋体"/>
          <w:color w:val="auto"/>
          <w:sz w:val="22"/>
          <w:szCs w:val="22"/>
          <w:highlight w:val="none"/>
        </w:rPr>
        <w:t>项目负责人缴纳社会保险的违约责任：</w:t>
      </w:r>
      <w:r>
        <w:rPr>
          <w:rFonts w:hint="eastAsia" w:ascii="宋体" w:hAnsi="宋体"/>
          <w:color w:val="auto"/>
          <w:sz w:val="22"/>
          <w:szCs w:val="22"/>
          <w:highlight w:val="none"/>
          <w:u w:val="single"/>
        </w:rPr>
        <w:t>要求按规定办理，未办理期间视为未经批准擅自离开县域范围时间，超过</w:t>
      </w:r>
      <w:r>
        <w:rPr>
          <w:rFonts w:ascii="宋体" w:hAnsi="宋体"/>
          <w:color w:val="auto"/>
          <w:sz w:val="22"/>
          <w:szCs w:val="22"/>
          <w:highlight w:val="none"/>
          <w:u w:val="single"/>
        </w:rPr>
        <w:t>1</w:t>
      </w:r>
      <w:r>
        <w:rPr>
          <w:rFonts w:hint="eastAsia" w:ascii="宋体" w:hAnsi="宋体"/>
          <w:color w:val="auto"/>
          <w:sz w:val="22"/>
          <w:szCs w:val="22"/>
          <w:highlight w:val="none"/>
          <w:u w:val="single"/>
        </w:rPr>
        <w:t>个月不办理视为严重违约，报上级部门处理。</w:t>
      </w:r>
      <w:r>
        <w:rPr>
          <w:rFonts w:ascii="宋体" w:hAnsi="宋体"/>
          <w:color w:val="auto"/>
          <w:sz w:val="22"/>
          <w:szCs w:val="22"/>
          <w:highlight w:val="none"/>
        </w:rPr>
        <w:t>。</w:t>
      </w:r>
    </w:p>
    <w:p w14:paraId="7D778257">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.3 乙方擅自更换</w:t>
      </w:r>
      <w:r>
        <w:rPr>
          <w:rFonts w:hint="eastAsia" w:ascii="宋体" w:hAnsi="宋体"/>
          <w:color w:val="auto"/>
          <w:sz w:val="22"/>
          <w:szCs w:val="22"/>
          <w:highlight w:val="none"/>
        </w:rPr>
        <w:t>运维</w:t>
      </w:r>
      <w:r>
        <w:rPr>
          <w:rFonts w:ascii="宋体" w:hAnsi="宋体"/>
          <w:color w:val="auto"/>
          <w:sz w:val="22"/>
          <w:szCs w:val="22"/>
          <w:highlight w:val="none"/>
        </w:rPr>
        <w:t>项目负责人的违约责任：</w:t>
      </w:r>
      <w:r>
        <w:rPr>
          <w:rFonts w:hint="eastAsia" w:ascii="宋体" w:hAnsi="宋体"/>
          <w:color w:val="auto"/>
          <w:sz w:val="22"/>
          <w:szCs w:val="22"/>
          <w:highlight w:val="none"/>
          <w:u w:val="single"/>
        </w:rPr>
        <w:t>甲方有权要求</w:t>
      </w:r>
      <w:r>
        <w:rPr>
          <w:rFonts w:ascii="宋体" w:hAnsi="宋体"/>
          <w:color w:val="auto"/>
          <w:sz w:val="22"/>
          <w:szCs w:val="22"/>
          <w:highlight w:val="none"/>
          <w:u w:val="single"/>
        </w:rPr>
        <w:t>乙方更换</w:t>
      </w:r>
      <w:r>
        <w:rPr>
          <w:rFonts w:hint="eastAsia" w:ascii="宋体" w:hAnsi="宋体"/>
          <w:color w:val="auto"/>
          <w:sz w:val="22"/>
          <w:szCs w:val="22"/>
          <w:highlight w:val="none"/>
          <w:u w:val="single"/>
        </w:rPr>
        <w:t>运维</w:t>
      </w:r>
      <w:r>
        <w:rPr>
          <w:rFonts w:ascii="宋体" w:hAnsi="宋体"/>
          <w:color w:val="auto"/>
          <w:sz w:val="22"/>
          <w:szCs w:val="22"/>
          <w:highlight w:val="none"/>
          <w:u w:val="single"/>
        </w:rPr>
        <w:t>项目负责人</w:t>
      </w:r>
      <w:r>
        <w:rPr>
          <w:rFonts w:hint="eastAsia" w:ascii="宋体" w:hAnsi="宋体"/>
          <w:color w:val="auto"/>
          <w:sz w:val="22"/>
          <w:szCs w:val="22"/>
          <w:highlight w:val="none"/>
          <w:u w:val="single"/>
        </w:rPr>
        <w:t>，</w:t>
      </w:r>
      <w:r>
        <w:rPr>
          <w:rFonts w:ascii="宋体" w:hAnsi="宋体"/>
          <w:color w:val="auto"/>
          <w:sz w:val="22"/>
          <w:szCs w:val="22"/>
          <w:highlight w:val="none"/>
          <w:u w:val="single"/>
        </w:rPr>
        <w:t>乙方</w:t>
      </w:r>
      <w:r>
        <w:rPr>
          <w:rFonts w:hint="eastAsia" w:ascii="宋体" w:hAnsi="宋体"/>
          <w:color w:val="auto"/>
          <w:sz w:val="22"/>
          <w:szCs w:val="22"/>
          <w:highlight w:val="none"/>
          <w:u w:val="single"/>
        </w:rPr>
        <w:t>拒不更换的，甲方有权要求乙方承担10万元的违约金。并有权解除合同并责令乙方退场，由此产生的一切损失和后果由乙方承担。</w:t>
      </w:r>
    </w:p>
    <w:p w14:paraId="0029CD3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.4 乙方无正当理由拒绝更换</w:t>
      </w:r>
      <w:r>
        <w:rPr>
          <w:rFonts w:hint="eastAsia" w:ascii="宋体" w:hAnsi="宋体"/>
          <w:color w:val="auto"/>
          <w:sz w:val="22"/>
          <w:szCs w:val="22"/>
          <w:highlight w:val="none"/>
        </w:rPr>
        <w:t>运维</w:t>
      </w:r>
      <w:r>
        <w:rPr>
          <w:rFonts w:ascii="宋体" w:hAnsi="宋体"/>
          <w:color w:val="auto"/>
          <w:sz w:val="22"/>
          <w:szCs w:val="22"/>
          <w:highlight w:val="none"/>
        </w:rPr>
        <w:t>项目负责人的违约责任：</w:t>
      </w:r>
      <w:r>
        <w:rPr>
          <w:rFonts w:hint="eastAsia" w:ascii="宋体" w:hAnsi="宋体"/>
          <w:color w:val="auto"/>
          <w:sz w:val="22"/>
          <w:szCs w:val="22"/>
          <w:highlight w:val="none"/>
          <w:u w:val="single"/>
        </w:rPr>
        <w:t>甲方有权要求承包人承担10万元的违约金。并再次要求更换，如</w:t>
      </w:r>
      <w:r>
        <w:rPr>
          <w:rFonts w:ascii="宋体" w:hAnsi="宋体"/>
          <w:color w:val="auto"/>
          <w:sz w:val="22"/>
          <w:szCs w:val="22"/>
          <w:highlight w:val="none"/>
          <w:u w:val="single"/>
        </w:rPr>
        <w:t>7</w:t>
      </w:r>
      <w:r>
        <w:rPr>
          <w:rFonts w:hint="eastAsia" w:ascii="宋体" w:hAnsi="宋体"/>
          <w:color w:val="auto"/>
          <w:sz w:val="22"/>
          <w:szCs w:val="22"/>
          <w:highlight w:val="none"/>
          <w:u w:val="single"/>
        </w:rPr>
        <w:t>天内还不更换，有权解除合同并责令乙方退场，由此产生的一切损失和后果由乙方承担</w:t>
      </w:r>
      <w:r>
        <w:rPr>
          <w:rFonts w:ascii="宋体" w:hAnsi="宋体"/>
          <w:color w:val="auto"/>
          <w:sz w:val="22"/>
          <w:szCs w:val="22"/>
          <w:highlight w:val="none"/>
        </w:rPr>
        <w:t>。</w:t>
      </w:r>
    </w:p>
    <w:p w14:paraId="52611DBD">
      <w:pPr>
        <w:pStyle w:val="4"/>
        <w:spacing w:before="0" w:after="0" w:line="400" w:lineRule="exact"/>
        <w:ind w:firstLine="440" w:firstLineChars="200"/>
        <w:rPr>
          <w:rFonts w:ascii="宋体" w:hAnsi="宋体"/>
          <w:color w:val="auto"/>
          <w:sz w:val="22"/>
          <w:szCs w:val="22"/>
          <w:highlight w:val="none"/>
        </w:rPr>
      </w:pPr>
      <w:bookmarkStart w:id="330" w:name="_Toc32566"/>
      <w:bookmarkStart w:id="331" w:name="_Toc19152"/>
      <w:bookmarkStart w:id="332" w:name="_Toc35812046"/>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 xml:space="preserve"> 项目人员</w:t>
      </w:r>
      <w:bookmarkEnd w:id="330"/>
      <w:bookmarkEnd w:id="331"/>
      <w:bookmarkEnd w:id="332"/>
    </w:p>
    <w:p w14:paraId="558EC03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.1 乙方提交项目管理机构及运维管理人员安排报告的期限：</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r>
        <w:rPr>
          <w:rFonts w:ascii="宋体" w:hAnsi="宋体"/>
          <w:color w:val="auto"/>
          <w:sz w:val="22"/>
          <w:szCs w:val="22"/>
          <w:highlight w:val="none"/>
        </w:rPr>
        <w:t>。</w:t>
      </w:r>
    </w:p>
    <w:p w14:paraId="5D2B471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.3 乙方无正当理由拒绝撤换主要运维管理人员的违约责任：</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甲方有权要求</w:t>
      </w:r>
      <w:r>
        <w:rPr>
          <w:rFonts w:ascii="宋体" w:hAnsi="宋体"/>
          <w:color w:val="auto"/>
          <w:sz w:val="22"/>
          <w:szCs w:val="22"/>
          <w:highlight w:val="none"/>
          <w:u w:val="single"/>
        </w:rPr>
        <w:t>乙方更换主要运维管理人员</w:t>
      </w:r>
      <w:r>
        <w:rPr>
          <w:rFonts w:hint="eastAsia" w:ascii="宋体" w:hAnsi="宋体"/>
          <w:color w:val="auto"/>
          <w:sz w:val="22"/>
          <w:szCs w:val="22"/>
          <w:highlight w:val="none"/>
          <w:u w:val="single"/>
        </w:rPr>
        <w:t>，</w:t>
      </w:r>
      <w:r>
        <w:rPr>
          <w:rFonts w:ascii="宋体" w:hAnsi="宋体"/>
          <w:color w:val="auto"/>
          <w:sz w:val="22"/>
          <w:szCs w:val="22"/>
          <w:highlight w:val="none"/>
          <w:u w:val="single"/>
        </w:rPr>
        <w:t>乙方</w:t>
      </w:r>
      <w:r>
        <w:rPr>
          <w:rFonts w:hint="eastAsia" w:ascii="宋体" w:hAnsi="宋体"/>
          <w:color w:val="auto"/>
          <w:sz w:val="22"/>
          <w:szCs w:val="22"/>
          <w:highlight w:val="none"/>
          <w:u w:val="single"/>
        </w:rPr>
        <w:t>拒不更换的，甲方有权要求乙方承担2万元</w:t>
      </w:r>
      <w:r>
        <w:rPr>
          <w:rFonts w:ascii="宋体" w:hAnsi="宋体"/>
          <w:color w:val="auto"/>
          <w:sz w:val="22"/>
          <w:szCs w:val="22"/>
          <w:highlight w:val="none"/>
          <w:u w:val="single"/>
        </w:rPr>
        <w:t>/</w:t>
      </w:r>
      <w:r>
        <w:rPr>
          <w:rFonts w:hint="eastAsia" w:ascii="宋体" w:hAnsi="宋体"/>
          <w:color w:val="auto"/>
          <w:sz w:val="22"/>
          <w:szCs w:val="22"/>
          <w:highlight w:val="none"/>
          <w:u w:val="single"/>
        </w:rPr>
        <w:t>人的违约金。并再次要求撤换，如</w:t>
      </w:r>
      <w:r>
        <w:rPr>
          <w:rFonts w:ascii="宋体" w:hAnsi="宋体"/>
          <w:color w:val="auto"/>
          <w:sz w:val="22"/>
          <w:szCs w:val="22"/>
          <w:highlight w:val="none"/>
          <w:u w:val="single"/>
        </w:rPr>
        <w:t>7</w:t>
      </w:r>
      <w:r>
        <w:rPr>
          <w:rFonts w:hint="eastAsia" w:ascii="宋体" w:hAnsi="宋体"/>
          <w:color w:val="auto"/>
          <w:sz w:val="22"/>
          <w:szCs w:val="22"/>
          <w:highlight w:val="none"/>
          <w:u w:val="single"/>
        </w:rPr>
        <w:t>天内还不撤换，有权解除合同并责令乙方退场，由此产生的一切损失和后果由甲方承担</w:t>
      </w:r>
      <w:r>
        <w:rPr>
          <w:rFonts w:ascii="宋体" w:hAnsi="宋体"/>
          <w:color w:val="auto"/>
          <w:sz w:val="22"/>
          <w:szCs w:val="22"/>
          <w:highlight w:val="none"/>
        </w:rPr>
        <w:t>。</w:t>
      </w:r>
    </w:p>
    <w:p w14:paraId="214D81F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.4乙方擅自更换主要运维管理人员的违约责任：</w:t>
      </w:r>
      <w:r>
        <w:rPr>
          <w:rFonts w:hint="eastAsia" w:ascii="宋体" w:hAnsi="宋体"/>
          <w:color w:val="auto"/>
          <w:sz w:val="22"/>
          <w:szCs w:val="22"/>
          <w:highlight w:val="none"/>
          <w:u w:val="single"/>
        </w:rPr>
        <w:t>甲方有权要求乙方承担2万元</w:t>
      </w:r>
      <w:r>
        <w:rPr>
          <w:rFonts w:ascii="宋体" w:hAnsi="宋体"/>
          <w:color w:val="auto"/>
          <w:sz w:val="22"/>
          <w:szCs w:val="22"/>
          <w:highlight w:val="none"/>
          <w:u w:val="single"/>
        </w:rPr>
        <w:t>/</w:t>
      </w:r>
      <w:r>
        <w:rPr>
          <w:rFonts w:hint="eastAsia" w:ascii="宋体" w:hAnsi="宋体"/>
          <w:color w:val="auto"/>
          <w:sz w:val="22"/>
          <w:szCs w:val="22"/>
          <w:highlight w:val="none"/>
          <w:u w:val="single"/>
        </w:rPr>
        <w:t>人的违约金。</w:t>
      </w:r>
    </w:p>
    <w:p w14:paraId="64B7A88E">
      <w:pPr>
        <w:pStyle w:val="4"/>
        <w:spacing w:before="0" w:after="0" w:line="400" w:lineRule="exact"/>
        <w:ind w:firstLine="440" w:firstLineChars="200"/>
        <w:rPr>
          <w:rFonts w:ascii="宋体" w:hAnsi="宋体"/>
          <w:color w:val="auto"/>
          <w:sz w:val="22"/>
          <w:szCs w:val="22"/>
          <w:highlight w:val="none"/>
        </w:rPr>
      </w:pPr>
      <w:bookmarkStart w:id="333" w:name="_Toc35812047"/>
      <w:bookmarkStart w:id="334" w:name="_Toc26792"/>
      <w:bookmarkStart w:id="335" w:name="_Toc9834"/>
      <w:r>
        <w:rPr>
          <w:rFonts w:ascii="宋体" w:hAnsi="宋体"/>
          <w:color w:val="auto"/>
          <w:sz w:val="22"/>
          <w:szCs w:val="22"/>
          <w:highlight w:val="none"/>
        </w:rPr>
        <w:t>3.</w:t>
      </w:r>
      <w:r>
        <w:rPr>
          <w:rFonts w:hint="eastAsia" w:ascii="宋体" w:hAnsi="宋体"/>
          <w:color w:val="auto"/>
          <w:sz w:val="22"/>
          <w:szCs w:val="22"/>
          <w:highlight w:val="none"/>
        </w:rPr>
        <w:t>3</w:t>
      </w:r>
      <w:r>
        <w:rPr>
          <w:rFonts w:ascii="宋体" w:hAnsi="宋体"/>
          <w:color w:val="auto"/>
          <w:sz w:val="22"/>
          <w:szCs w:val="22"/>
          <w:highlight w:val="none"/>
        </w:rPr>
        <w:t xml:space="preserve"> 乙方一般义务</w:t>
      </w:r>
      <w:bookmarkEnd w:id="333"/>
      <w:bookmarkEnd w:id="334"/>
      <w:bookmarkEnd w:id="335"/>
    </w:p>
    <w:p w14:paraId="0C614E9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11</w:t>
      </w:r>
      <w:r>
        <w:rPr>
          <w:rFonts w:ascii="宋体" w:hAnsi="宋体"/>
          <w:color w:val="auto"/>
          <w:sz w:val="22"/>
          <w:szCs w:val="22"/>
          <w:highlight w:val="none"/>
        </w:rPr>
        <w:t>）乙方提交运维资料的内容：</w:t>
      </w:r>
      <w:r>
        <w:rPr>
          <w:rFonts w:hint="eastAsia" w:ascii="宋体" w:hAnsi="宋体"/>
          <w:color w:val="auto"/>
          <w:sz w:val="22"/>
          <w:szCs w:val="22"/>
          <w:highlight w:val="none"/>
          <w:u w:val="single"/>
        </w:rPr>
        <w:t>严格按照浙江省《农村生活污水治理设施运行维护技术导则（试行）》、《农村生活污水处理设施标准化运维评价标准》等相关文件规定，做好运维管理体系与运维管理作业及安全（主要内容应包括日常巡查、运行操作、养护作业、维修作业及安全管理等）台账资料，做到实时完成、内容完整与内容真实，并整理成册定期报送甲方</w:t>
      </w:r>
      <w:r>
        <w:rPr>
          <w:rFonts w:ascii="宋体" w:hAnsi="宋体"/>
          <w:color w:val="auto"/>
          <w:sz w:val="22"/>
          <w:szCs w:val="22"/>
          <w:highlight w:val="none"/>
        </w:rPr>
        <w:t>。</w:t>
      </w:r>
    </w:p>
    <w:p w14:paraId="07B40E0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乙方需要提交的运维资料套数：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一式三份</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5FACEF8">
      <w:pPr>
        <w:spacing w:line="400" w:lineRule="exact"/>
        <w:ind w:left="638" w:leftChars="304"/>
        <w:rPr>
          <w:rFonts w:ascii="宋体" w:hAnsi="宋体"/>
          <w:color w:val="auto"/>
          <w:sz w:val="22"/>
          <w:szCs w:val="22"/>
          <w:highlight w:val="none"/>
        </w:rPr>
      </w:pPr>
      <w:r>
        <w:rPr>
          <w:rFonts w:ascii="宋体" w:hAnsi="宋体"/>
          <w:color w:val="auto"/>
          <w:sz w:val="22"/>
          <w:szCs w:val="22"/>
          <w:highlight w:val="none"/>
        </w:rPr>
        <w:t>乙方提交的运维资料的费用承担：</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由乙方自行承担</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13806A8">
      <w:pPr>
        <w:spacing w:line="400" w:lineRule="exact"/>
        <w:ind w:left="638" w:leftChars="304"/>
        <w:rPr>
          <w:rFonts w:ascii="宋体" w:hAnsi="宋体"/>
          <w:color w:val="auto"/>
          <w:sz w:val="22"/>
          <w:szCs w:val="22"/>
          <w:highlight w:val="none"/>
        </w:rPr>
      </w:pPr>
      <w:r>
        <w:rPr>
          <w:rFonts w:ascii="宋体" w:hAnsi="宋体"/>
          <w:color w:val="auto"/>
          <w:sz w:val="22"/>
          <w:szCs w:val="22"/>
          <w:highlight w:val="none"/>
        </w:rPr>
        <w:t>乙方提交的运维资料移交时间：</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收到甲方通知后3日内</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B41F82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乙方提交的运维资料形式要求：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纸质文件及电子文件</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59DCC5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）乙方应履行的其他义务：</w:t>
      </w:r>
      <w:r>
        <w:rPr>
          <w:rFonts w:ascii="宋体" w:hAnsi="宋体"/>
          <w:color w:val="auto"/>
          <w:sz w:val="22"/>
          <w:szCs w:val="22"/>
          <w:highlight w:val="none"/>
          <w:u w:val="single"/>
        </w:rPr>
        <w:t></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6A4EC0E9">
      <w:pPr>
        <w:pStyle w:val="4"/>
        <w:spacing w:before="0" w:after="0" w:line="400" w:lineRule="exact"/>
        <w:ind w:firstLine="440" w:firstLineChars="200"/>
        <w:rPr>
          <w:rFonts w:ascii="宋体" w:hAnsi="宋体"/>
          <w:color w:val="auto"/>
          <w:sz w:val="22"/>
          <w:szCs w:val="22"/>
          <w:highlight w:val="none"/>
        </w:rPr>
      </w:pPr>
      <w:bookmarkStart w:id="336" w:name="_Toc7739"/>
      <w:bookmarkStart w:id="337" w:name="_Toc4257"/>
      <w:bookmarkStart w:id="338" w:name="_Toc35812048"/>
      <w:r>
        <w:rPr>
          <w:rFonts w:ascii="宋体" w:hAnsi="宋体"/>
          <w:color w:val="auto"/>
          <w:sz w:val="22"/>
          <w:szCs w:val="22"/>
          <w:highlight w:val="none"/>
        </w:rPr>
        <w:t>3.5 分包</w:t>
      </w:r>
      <w:bookmarkEnd w:id="336"/>
      <w:bookmarkEnd w:id="337"/>
      <w:bookmarkEnd w:id="338"/>
    </w:p>
    <w:p w14:paraId="48D9848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禁止分包的内容包括：</w:t>
      </w:r>
      <w:r>
        <w:rPr>
          <w:rFonts w:ascii="宋体" w:hAnsi="宋体"/>
          <w:color w:val="auto"/>
          <w:sz w:val="22"/>
          <w:szCs w:val="22"/>
          <w:highlight w:val="none"/>
          <w:u w:val="single"/>
        </w:rPr>
        <w:t></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72C6A0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允许分包的内容包括：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FEE1A64">
      <w:pPr>
        <w:pStyle w:val="4"/>
        <w:spacing w:before="0" w:after="0" w:line="400" w:lineRule="exact"/>
        <w:ind w:firstLine="440" w:firstLineChars="200"/>
        <w:rPr>
          <w:rFonts w:ascii="宋体" w:hAnsi="宋体"/>
          <w:color w:val="auto"/>
          <w:sz w:val="22"/>
          <w:szCs w:val="22"/>
          <w:highlight w:val="none"/>
        </w:rPr>
      </w:pPr>
      <w:bookmarkStart w:id="339" w:name="_Toc25886"/>
      <w:bookmarkStart w:id="340" w:name="_Toc35812049"/>
      <w:bookmarkStart w:id="341" w:name="_Toc7218"/>
      <w:r>
        <w:rPr>
          <w:rFonts w:ascii="宋体" w:hAnsi="宋体"/>
          <w:color w:val="auto"/>
          <w:sz w:val="22"/>
          <w:szCs w:val="22"/>
          <w:highlight w:val="none"/>
        </w:rPr>
        <w:t>3.6 履约担保</w:t>
      </w:r>
      <w:bookmarkEnd w:id="339"/>
      <w:bookmarkEnd w:id="340"/>
      <w:bookmarkEnd w:id="341"/>
    </w:p>
    <w:p w14:paraId="28FC691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乙方是否提供履约担保：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6D918828">
      <w:pPr>
        <w:pStyle w:val="3"/>
        <w:spacing w:before="0" w:after="0" w:line="400" w:lineRule="exact"/>
        <w:rPr>
          <w:rFonts w:ascii="宋体" w:hAnsi="宋体" w:eastAsia="宋体"/>
          <w:color w:val="auto"/>
          <w:sz w:val="22"/>
          <w:szCs w:val="22"/>
          <w:highlight w:val="none"/>
        </w:rPr>
      </w:pPr>
      <w:bookmarkStart w:id="342" w:name="_Toc35812050"/>
      <w:bookmarkStart w:id="343" w:name="_Toc23264"/>
      <w:r>
        <w:rPr>
          <w:rFonts w:ascii="宋体" w:hAnsi="宋体" w:eastAsia="宋体"/>
          <w:color w:val="auto"/>
          <w:sz w:val="22"/>
          <w:szCs w:val="22"/>
          <w:highlight w:val="none"/>
        </w:rPr>
        <w:t>4.</w:t>
      </w:r>
      <w:r>
        <w:rPr>
          <w:rFonts w:hint="eastAsia" w:ascii="宋体" w:hAnsi="宋体" w:eastAsia="宋体"/>
          <w:color w:val="auto"/>
          <w:sz w:val="22"/>
          <w:szCs w:val="22"/>
          <w:highlight w:val="none"/>
        </w:rPr>
        <w:t>运维要求</w:t>
      </w:r>
      <w:bookmarkEnd w:id="342"/>
      <w:bookmarkEnd w:id="343"/>
    </w:p>
    <w:p w14:paraId="6416E052">
      <w:pPr>
        <w:pStyle w:val="4"/>
        <w:spacing w:before="0" w:after="0" w:line="400" w:lineRule="exact"/>
        <w:ind w:firstLine="440" w:firstLineChars="200"/>
        <w:rPr>
          <w:rFonts w:ascii="宋体" w:hAnsi="宋体"/>
          <w:color w:val="auto"/>
          <w:sz w:val="22"/>
          <w:szCs w:val="22"/>
          <w:highlight w:val="none"/>
        </w:rPr>
      </w:pPr>
      <w:bookmarkStart w:id="344" w:name="_Toc35812051"/>
      <w:bookmarkStart w:id="345" w:name="_Toc24668"/>
      <w:bookmarkStart w:id="346" w:name="_Toc23046"/>
      <w:r>
        <w:rPr>
          <w:rFonts w:ascii="宋体" w:hAnsi="宋体"/>
          <w:color w:val="auto"/>
          <w:sz w:val="22"/>
          <w:szCs w:val="22"/>
          <w:highlight w:val="none"/>
        </w:rPr>
        <w:t>4.2</w:t>
      </w:r>
      <w:r>
        <w:rPr>
          <w:rFonts w:hint="eastAsia" w:ascii="宋体" w:hAnsi="宋体"/>
          <w:color w:val="auto"/>
          <w:sz w:val="22"/>
          <w:szCs w:val="22"/>
          <w:highlight w:val="none"/>
        </w:rPr>
        <w:t xml:space="preserve"> </w:t>
      </w:r>
      <w:r>
        <w:rPr>
          <w:rFonts w:ascii="宋体" w:hAnsi="宋体"/>
          <w:color w:val="auto"/>
          <w:sz w:val="22"/>
          <w:szCs w:val="22"/>
          <w:highlight w:val="none"/>
        </w:rPr>
        <w:t>运维相关配置</w:t>
      </w:r>
      <w:bookmarkEnd w:id="344"/>
      <w:bookmarkEnd w:id="345"/>
      <w:bookmarkEnd w:id="346"/>
    </w:p>
    <w:p w14:paraId="4ADE12A0">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关于本项目乙方配置要求的约定：</w:t>
      </w:r>
      <w:r>
        <w:rPr>
          <w:rFonts w:hint="eastAsia" w:ascii="宋体" w:hAnsi="宋体"/>
          <w:color w:val="auto"/>
          <w:sz w:val="22"/>
          <w:szCs w:val="22"/>
          <w:highlight w:val="none"/>
          <w:u w:val="single"/>
        </w:rPr>
        <w:t>满足招标文件第三部分的相关规定最低配置，具体以投标文件承诺的为准</w:t>
      </w:r>
      <w:r>
        <w:rPr>
          <w:rFonts w:ascii="宋体" w:hAnsi="宋体"/>
          <w:color w:val="auto"/>
          <w:sz w:val="22"/>
          <w:szCs w:val="22"/>
          <w:highlight w:val="none"/>
        </w:rPr>
        <w:t>。</w:t>
      </w:r>
    </w:p>
    <w:p w14:paraId="7DE3EDA9">
      <w:pPr>
        <w:pStyle w:val="4"/>
        <w:spacing w:before="0" w:after="0" w:line="400" w:lineRule="exact"/>
        <w:ind w:firstLine="440" w:firstLineChars="200"/>
        <w:rPr>
          <w:rFonts w:ascii="宋体" w:hAnsi="宋体"/>
          <w:color w:val="auto"/>
          <w:sz w:val="22"/>
          <w:szCs w:val="22"/>
          <w:highlight w:val="none"/>
        </w:rPr>
      </w:pPr>
      <w:bookmarkStart w:id="347" w:name="_Toc35812052"/>
      <w:bookmarkStart w:id="348" w:name="_Toc26362"/>
      <w:bookmarkStart w:id="349" w:name="_Toc15425"/>
      <w:r>
        <w:rPr>
          <w:rFonts w:ascii="宋体" w:hAnsi="宋体"/>
          <w:color w:val="auto"/>
          <w:sz w:val="22"/>
          <w:szCs w:val="22"/>
          <w:highlight w:val="none"/>
        </w:rPr>
        <w:t>4.</w:t>
      </w:r>
      <w:r>
        <w:rPr>
          <w:rFonts w:hint="eastAsia" w:ascii="宋体" w:hAnsi="宋体"/>
          <w:color w:val="auto"/>
          <w:sz w:val="22"/>
          <w:szCs w:val="22"/>
          <w:highlight w:val="none"/>
        </w:rPr>
        <w:t>3</w:t>
      </w:r>
      <w:r>
        <w:rPr>
          <w:rFonts w:ascii="宋体" w:hAnsi="宋体"/>
          <w:color w:val="auto"/>
          <w:sz w:val="22"/>
          <w:szCs w:val="22"/>
          <w:highlight w:val="none"/>
        </w:rPr>
        <w:t xml:space="preserve"> 运行维护服务的内容</w:t>
      </w:r>
      <w:bookmarkEnd w:id="347"/>
      <w:bookmarkEnd w:id="348"/>
      <w:bookmarkEnd w:id="349"/>
    </w:p>
    <w:p w14:paraId="01AA9458">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关于本项目乙方在合同履行过程中运行维护服务具体内容的要求：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详见招标文件第三部分相关要求</w:t>
      </w:r>
      <w:r>
        <w:rPr>
          <w:rFonts w:ascii="宋体" w:hAnsi="宋体"/>
          <w:color w:val="auto"/>
          <w:sz w:val="22"/>
          <w:szCs w:val="22"/>
          <w:highlight w:val="none"/>
        </w:rPr>
        <w:t>。</w:t>
      </w:r>
    </w:p>
    <w:p w14:paraId="38E18AFB">
      <w:pPr>
        <w:pStyle w:val="3"/>
        <w:tabs>
          <w:tab w:val="left" w:pos="523"/>
        </w:tabs>
        <w:spacing w:before="0" w:after="0" w:line="400" w:lineRule="exact"/>
        <w:rPr>
          <w:rFonts w:ascii="宋体" w:hAnsi="宋体" w:eastAsia="宋体"/>
          <w:color w:val="auto"/>
          <w:sz w:val="22"/>
          <w:szCs w:val="22"/>
          <w:highlight w:val="none"/>
        </w:rPr>
      </w:pPr>
      <w:bookmarkStart w:id="350" w:name="_Toc13239"/>
      <w:bookmarkStart w:id="351" w:name="_Toc35812053"/>
      <w:r>
        <w:rPr>
          <w:rFonts w:ascii="宋体" w:hAnsi="宋体" w:eastAsia="宋体"/>
          <w:color w:val="auto"/>
          <w:sz w:val="22"/>
          <w:szCs w:val="22"/>
          <w:highlight w:val="none"/>
        </w:rPr>
        <w:t>5.运维服务费的支付</w:t>
      </w:r>
      <w:bookmarkEnd w:id="350"/>
      <w:bookmarkEnd w:id="351"/>
    </w:p>
    <w:p w14:paraId="4B3344BE">
      <w:pPr>
        <w:pStyle w:val="4"/>
        <w:spacing w:before="0" w:after="0" w:line="400" w:lineRule="exact"/>
        <w:ind w:firstLine="440" w:firstLineChars="200"/>
        <w:rPr>
          <w:rFonts w:ascii="宋体" w:hAnsi="宋体"/>
          <w:color w:val="auto"/>
          <w:sz w:val="22"/>
          <w:szCs w:val="22"/>
          <w:highlight w:val="none"/>
        </w:rPr>
      </w:pPr>
      <w:bookmarkStart w:id="352" w:name="_Toc19603"/>
      <w:bookmarkStart w:id="353" w:name="_Toc35812054"/>
      <w:bookmarkStart w:id="354" w:name="_Toc31568"/>
      <w:r>
        <w:rPr>
          <w:rFonts w:ascii="宋体" w:hAnsi="宋体"/>
          <w:color w:val="auto"/>
          <w:sz w:val="22"/>
          <w:szCs w:val="22"/>
          <w:highlight w:val="none"/>
        </w:rPr>
        <w:t>5.1 预付款</w:t>
      </w:r>
      <w:bookmarkEnd w:id="352"/>
      <w:bookmarkEnd w:id="353"/>
      <w:bookmarkEnd w:id="354"/>
    </w:p>
    <w:p w14:paraId="527F5F4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预付款支付比例或金额：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年合同金额的</w:t>
      </w:r>
      <w:r>
        <w:rPr>
          <w:rFonts w:hint="eastAsia" w:ascii="宋体" w:hAnsi="宋体"/>
          <w:color w:val="auto"/>
          <w:sz w:val="22"/>
          <w:szCs w:val="22"/>
          <w:highlight w:val="none"/>
          <w:u w:val="single"/>
          <w:lang w:val="en-US" w:eastAsia="zh-CN"/>
        </w:rPr>
        <w:t>4</w:t>
      </w:r>
      <w:r>
        <w:rPr>
          <w:rFonts w:hint="eastAsia" w:ascii="宋体" w:hAnsi="宋体"/>
          <w:color w:val="auto"/>
          <w:sz w:val="22"/>
          <w:szCs w:val="22"/>
          <w:highlight w:val="none"/>
          <w:u w:val="single"/>
        </w:rPr>
        <w:t>0%</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在签订合同时，供应商明确表示无需预付款或者主动降低预付款比例的，可以按照协商后比例进行支付</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4454BC2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预付款支付期限：</w:t>
      </w:r>
      <w:r>
        <w:rPr>
          <w:rFonts w:ascii="宋体" w:hAnsi="宋体"/>
          <w:color w:val="auto"/>
          <w:sz w:val="22"/>
          <w:szCs w:val="22"/>
          <w:highlight w:val="none"/>
          <w:u w:val="single"/>
        </w:rPr>
        <w:t>中标供应商</w:t>
      </w:r>
      <w:r>
        <w:rPr>
          <w:rFonts w:hint="eastAsia" w:ascii="宋体" w:hAnsi="宋体"/>
          <w:color w:val="auto"/>
          <w:sz w:val="22"/>
          <w:szCs w:val="22"/>
          <w:highlight w:val="none"/>
          <w:u w:val="single"/>
        </w:rPr>
        <w:t>与原运维单位完成交接后</w:t>
      </w:r>
      <w:r>
        <w:rPr>
          <w:rFonts w:hint="eastAsia" w:ascii="宋体" w:hAnsi="宋体"/>
          <w:color w:val="auto"/>
          <w:sz w:val="22"/>
          <w:szCs w:val="22"/>
          <w:highlight w:val="none"/>
          <w:u w:val="single"/>
          <w:lang w:val="en-US" w:eastAsia="zh-CN"/>
        </w:rPr>
        <w:t>并签订合同开具发票后7个工作日内予以支付。</w:t>
      </w:r>
    </w:p>
    <w:p w14:paraId="19E084E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预付款扣回的方式：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在支付第一期运维服务费中一次性扣回，如不足抵扣的，则在下一期运维服务费支付时扣回预付款</w:t>
      </w:r>
      <w:r>
        <w:rPr>
          <w:rFonts w:ascii="宋体" w:hAnsi="宋体"/>
          <w:color w:val="auto"/>
          <w:sz w:val="22"/>
          <w:szCs w:val="22"/>
          <w:highlight w:val="none"/>
          <w:u w:val="single"/>
        </w:rPr>
        <w:t>。</w:t>
      </w:r>
    </w:p>
    <w:p w14:paraId="559E91CB">
      <w:pPr>
        <w:pStyle w:val="4"/>
        <w:spacing w:before="0" w:after="0" w:line="400" w:lineRule="exact"/>
        <w:ind w:firstLine="440" w:firstLineChars="200"/>
        <w:rPr>
          <w:rFonts w:ascii="宋体" w:hAnsi="宋体"/>
          <w:color w:val="auto"/>
          <w:sz w:val="22"/>
          <w:szCs w:val="22"/>
          <w:highlight w:val="none"/>
        </w:rPr>
      </w:pPr>
      <w:bookmarkStart w:id="355" w:name="_Toc16710"/>
      <w:bookmarkStart w:id="356" w:name="_Toc23963"/>
      <w:bookmarkStart w:id="357" w:name="_Toc35812055"/>
      <w:r>
        <w:rPr>
          <w:rFonts w:ascii="宋体" w:hAnsi="宋体"/>
          <w:color w:val="auto"/>
          <w:sz w:val="22"/>
          <w:szCs w:val="22"/>
          <w:highlight w:val="none"/>
        </w:rPr>
        <w:t>5.2 费用结算</w:t>
      </w:r>
      <w:bookmarkEnd w:id="355"/>
      <w:bookmarkEnd w:id="356"/>
      <w:bookmarkEnd w:id="357"/>
    </w:p>
    <w:p w14:paraId="24DF104E">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5.2.2 结算周期</w:t>
      </w:r>
    </w:p>
    <w:p w14:paraId="17457EC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本项目运维服务费按照以下第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1</w:t>
      </w:r>
      <w:r>
        <w:rPr>
          <w:rFonts w:hint="eastAsia" w:ascii="宋体" w:hAnsi="宋体"/>
          <w:color w:val="auto"/>
          <w:sz w:val="22"/>
          <w:szCs w:val="22"/>
          <w:highlight w:val="none"/>
          <w:u w:val="single"/>
        </w:rPr>
        <w:t>）</w:t>
      </w:r>
      <w:r>
        <w:rPr>
          <w:rFonts w:ascii="宋体" w:hAnsi="宋体"/>
          <w:color w:val="auto"/>
          <w:sz w:val="22"/>
          <w:szCs w:val="22"/>
          <w:highlight w:val="none"/>
        </w:rPr>
        <w:t>种方式进行：</w:t>
      </w:r>
    </w:p>
    <w:p w14:paraId="47B2C38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（1）按季度；</w:t>
      </w:r>
    </w:p>
    <w:p w14:paraId="1E7896C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ascii="宋体" w:hAnsi="宋体"/>
          <w:color w:val="auto"/>
          <w:sz w:val="22"/>
          <w:szCs w:val="22"/>
          <w:highlight w:val="none"/>
          <w:u w:val="single"/>
        </w:rPr>
        <w:t xml:space="preserve">        </w:t>
      </w:r>
      <w:r>
        <w:rPr>
          <w:rFonts w:ascii="宋体" w:hAnsi="宋体"/>
          <w:color w:val="auto"/>
          <w:sz w:val="22"/>
          <w:szCs w:val="22"/>
          <w:highlight w:val="none"/>
        </w:rPr>
        <w:t>（自行约定）。</w:t>
      </w:r>
    </w:p>
    <w:p w14:paraId="0172CE8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5.2.3费用确定</w:t>
      </w:r>
    </w:p>
    <w:p w14:paraId="3A852FE0">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（1）运维合同计费起始日自交接完成日起计，不足一年的，年运维费用按实际天数/365天计算；</w:t>
      </w:r>
    </w:p>
    <w:p w14:paraId="5FD2345A">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（2）终端数今后可能发生变化，最终终端数根据采购人实际提供为准，终端污水处理设施运行维护以实际吨位（以采购人委托的第三方机构测绘数据为准）进行结算；</w:t>
      </w:r>
    </w:p>
    <w:p w14:paraId="35EC8199">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（3）纳厂、分散处理受益户数最终由乙方提交运维户数花名册报甲方审批确定，以甲方审批后实际收益户数进行结算。</w:t>
      </w:r>
    </w:p>
    <w:p w14:paraId="4EB26DC3">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（4）今后终端污水处理设施运行维护改为纳厂运行维护的，按纳厂、分散处理管网及简易设施（公共化粪池）运行维护进行结算，不足一年的，年运维费用按实际天数/365天计算。</w:t>
      </w:r>
    </w:p>
    <w:p w14:paraId="631120E9">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 xml:space="preserve">乙方在费用结算周期到期后的次月 </w:t>
      </w:r>
      <w:r>
        <w:rPr>
          <w:rFonts w:hint="eastAsia" w:ascii="宋体" w:hAnsi="宋体"/>
          <w:color w:val="auto"/>
          <w:sz w:val="22"/>
          <w:szCs w:val="22"/>
          <w:highlight w:val="none"/>
        </w:rPr>
        <w:t>15</w:t>
      </w:r>
      <w:r>
        <w:rPr>
          <w:rFonts w:ascii="宋体" w:hAnsi="宋体"/>
          <w:color w:val="auto"/>
          <w:sz w:val="22"/>
          <w:szCs w:val="22"/>
          <w:highlight w:val="none"/>
        </w:rPr>
        <w:t xml:space="preserve"> 日前向</w:t>
      </w:r>
      <w:r>
        <w:rPr>
          <w:rFonts w:hint="eastAsia" w:ascii="宋体" w:hAnsi="宋体"/>
          <w:color w:val="auto"/>
          <w:sz w:val="22"/>
          <w:szCs w:val="22"/>
          <w:highlight w:val="none"/>
          <w:lang w:val="en-US" w:eastAsia="zh-CN"/>
        </w:rPr>
        <w:t>采购方</w:t>
      </w:r>
      <w:r>
        <w:rPr>
          <w:rFonts w:ascii="宋体" w:hAnsi="宋体"/>
          <w:color w:val="auto"/>
          <w:sz w:val="22"/>
          <w:szCs w:val="22"/>
          <w:highlight w:val="none"/>
        </w:rPr>
        <w:t>提交请款申请报告，</w:t>
      </w:r>
      <w:r>
        <w:rPr>
          <w:rFonts w:hint="eastAsia" w:ascii="宋体" w:hAnsi="宋体"/>
          <w:color w:val="auto"/>
          <w:sz w:val="22"/>
          <w:szCs w:val="22"/>
          <w:highlight w:val="none"/>
          <w:lang w:val="en-US" w:eastAsia="zh-CN"/>
        </w:rPr>
        <w:t>采购方</w:t>
      </w:r>
      <w:r>
        <w:rPr>
          <w:rFonts w:hint="eastAsia" w:ascii="宋体" w:hAnsi="宋体"/>
          <w:color w:val="auto"/>
          <w:sz w:val="22"/>
          <w:szCs w:val="22"/>
          <w:highlight w:val="none"/>
        </w:rPr>
        <w:t>收到报告后7日内完成</w:t>
      </w:r>
      <w:r>
        <w:rPr>
          <w:rFonts w:ascii="宋体" w:hAnsi="宋体"/>
          <w:color w:val="auto"/>
          <w:sz w:val="22"/>
          <w:szCs w:val="22"/>
          <w:highlight w:val="none"/>
        </w:rPr>
        <w:t>审（考）核</w:t>
      </w:r>
      <w:r>
        <w:rPr>
          <w:rFonts w:hint="eastAsia" w:ascii="宋体" w:hAnsi="宋体"/>
          <w:color w:val="auto"/>
          <w:sz w:val="22"/>
          <w:szCs w:val="22"/>
          <w:highlight w:val="none"/>
        </w:rPr>
        <w:t>，</w:t>
      </w:r>
      <w:r>
        <w:rPr>
          <w:rFonts w:hint="eastAsia" w:ascii="宋体" w:hAnsi="宋体"/>
          <w:color w:val="auto"/>
          <w:sz w:val="22"/>
          <w:szCs w:val="22"/>
          <w:highlight w:val="none"/>
          <w:lang w:eastAsia="zh-CN"/>
        </w:rPr>
        <w:t>采购方</w:t>
      </w:r>
      <w:r>
        <w:rPr>
          <w:rFonts w:hint="eastAsia" w:ascii="宋体" w:hAnsi="宋体"/>
          <w:color w:val="auto"/>
          <w:sz w:val="22"/>
          <w:szCs w:val="22"/>
          <w:highlight w:val="none"/>
        </w:rPr>
        <w:t>完成</w:t>
      </w:r>
      <w:r>
        <w:rPr>
          <w:rFonts w:ascii="宋体" w:hAnsi="宋体"/>
          <w:color w:val="auto"/>
          <w:sz w:val="22"/>
          <w:szCs w:val="22"/>
          <w:highlight w:val="none"/>
        </w:rPr>
        <w:t>审（考）核</w:t>
      </w:r>
      <w:r>
        <w:rPr>
          <w:rFonts w:hint="eastAsia" w:ascii="宋体" w:hAnsi="宋体"/>
          <w:color w:val="auto"/>
          <w:sz w:val="22"/>
          <w:szCs w:val="22"/>
          <w:highlight w:val="none"/>
        </w:rPr>
        <w:t>后报</w:t>
      </w:r>
      <w:r>
        <w:rPr>
          <w:rFonts w:ascii="宋体" w:hAnsi="宋体"/>
          <w:color w:val="auto"/>
          <w:sz w:val="22"/>
          <w:szCs w:val="22"/>
          <w:highlight w:val="none"/>
        </w:rPr>
        <w:t>甲方确定当期运维服务费。</w:t>
      </w:r>
    </w:p>
    <w:p w14:paraId="647A30DF">
      <w:pPr>
        <w:pStyle w:val="4"/>
        <w:spacing w:before="0" w:after="0" w:line="400" w:lineRule="exact"/>
        <w:ind w:firstLine="440" w:firstLineChars="200"/>
        <w:rPr>
          <w:rFonts w:ascii="宋体" w:hAnsi="宋体"/>
          <w:color w:val="auto"/>
          <w:sz w:val="22"/>
          <w:szCs w:val="22"/>
          <w:highlight w:val="none"/>
        </w:rPr>
      </w:pPr>
      <w:bookmarkStart w:id="358" w:name="_Toc25870"/>
      <w:bookmarkStart w:id="359" w:name="_Toc35812056"/>
      <w:bookmarkStart w:id="360" w:name="_Toc19755"/>
      <w:r>
        <w:rPr>
          <w:rFonts w:ascii="宋体" w:hAnsi="宋体"/>
          <w:color w:val="auto"/>
          <w:sz w:val="22"/>
          <w:szCs w:val="22"/>
          <w:highlight w:val="none"/>
        </w:rPr>
        <w:t>5.3运维服务费的支付</w:t>
      </w:r>
      <w:bookmarkEnd w:id="358"/>
      <w:bookmarkEnd w:id="359"/>
      <w:bookmarkEnd w:id="360"/>
    </w:p>
    <w:p w14:paraId="0386753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关于运维服务费支付的时间约定：</w:t>
      </w:r>
      <w:r>
        <w:rPr>
          <w:rFonts w:hint="eastAsia" w:ascii="宋体" w:hAnsi="宋体"/>
          <w:color w:val="auto"/>
          <w:sz w:val="22"/>
          <w:szCs w:val="22"/>
          <w:highlight w:val="none"/>
        </w:rPr>
        <w:t>由</w:t>
      </w:r>
      <w:r>
        <w:rPr>
          <w:rFonts w:ascii="宋体" w:hAnsi="宋体"/>
          <w:color w:val="auto"/>
          <w:sz w:val="22"/>
          <w:szCs w:val="22"/>
          <w:highlight w:val="none"/>
        </w:rPr>
        <w:t>甲方</w:t>
      </w:r>
      <w:r>
        <w:rPr>
          <w:rFonts w:hint="eastAsia" w:ascii="宋体" w:hAnsi="宋体"/>
          <w:color w:val="auto"/>
          <w:sz w:val="22"/>
          <w:szCs w:val="22"/>
          <w:highlight w:val="none"/>
        </w:rPr>
        <w:t>最终</w:t>
      </w:r>
      <w:r>
        <w:rPr>
          <w:rFonts w:ascii="宋体" w:hAnsi="宋体"/>
          <w:color w:val="auto"/>
          <w:sz w:val="22"/>
          <w:szCs w:val="22"/>
          <w:highlight w:val="none"/>
        </w:rPr>
        <w:t>确定当期运维服务费后对乙方进行支付。</w:t>
      </w:r>
    </w:p>
    <w:p w14:paraId="56051DCC">
      <w:pPr>
        <w:pStyle w:val="3"/>
        <w:tabs>
          <w:tab w:val="left" w:pos="523"/>
        </w:tabs>
        <w:spacing w:before="0" w:after="0" w:line="400" w:lineRule="exact"/>
        <w:rPr>
          <w:rFonts w:ascii="宋体" w:hAnsi="宋体" w:eastAsia="宋体"/>
          <w:color w:val="auto"/>
          <w:sz w:val="22"/>
          <w:szCs w:val="22"/>
          <w:highlight w:val="none"/>
        </w:rPr>
      </w:pPr>
      <w:bookmarkStart w:id="361" w:name="_Toc29931"/>
      <w:bookmarkStart w:id="362" w:name="_Toc35812057"/>
      <w:r>
        <w:rPr>
          <w:rFonts w:ascii="宋体" w:hAnsi="宋体" w:eastAsia="宋体"/>
          <w:color w:val="auto"/>
          <w:sz w:val="22"/>
          <w:szCs w:val="22"/>
          <w:highlight w:val="none"/>
        </w:rPr>
        <w:t>6.违约</w:t>
      </w:r>
      <w:bookmarkEnd w:id="361"/>
      <w:bookmarkEnd w:id="362"/>
    </w:p>
    <w:p w14:paraId="4CF89AC0">
      <w:pPr>
        <w:pStyle w:val="4"/>
        <w:spacing w:before="0" w:after="0" w:line="400" w:lineRule="exact"/>
        <w:ind w:firstLine="440" w:firstLineChars="200"/>
        <w:rPr>
          <w:rFonts w:ascii="宋体" w:hAnsi="宋体"/>
          <w:color w:val="auto"/>
          <w:sz w:val="22"/>
          <w:szCs w:val="22"/>
          <w:highlight w:val="none"/>
        </w:rPr>
      </w:pPr>
      <w:bookmarkStart w:id="363" w:name="_Toc35812058"/>
      <w:bookmarkStart w:id="364" w:name="_Toc32470"/>
      <w:bookmarkStart w:id="365" w:name="_Toc32551"/>
      <w:r>
        <w:rPr>
          <w:rFonts w:ascii="宋体" w:hAnsi="宋体"/>
          <w:color w:val="auto"/>
          <w:sz w:val="22"/>
          <w:szCs w:val="22"/>
          <w:highlight w:val="none"/>
        </w:rPr>
        <w:t>6.1甲方违约</w:t>
      </w:r>
      <w:bookmarkEnd w:id="363"/>
      <w:bookmarkEnd w:id="364"/>
      <w:bookmarkEnd w:id="365"/>
    </w:p>
    <w:p w14:paraId="674D2E6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6.1.1甲方违约的情形</w:t>
      </w:r>
    </w:p>
    <w:p w14:paraId="4D44A78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甲方违约的其他情形：</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A16A60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6.1.2甲方违约的责任</w:t>
      </w:r>
    </w:p>
    <w:p w14:paraId="16661BF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甲方违约责任的承担方式和计算方法：</w:t>
      </w:r>
    </w:p>
    <w:p w14:paraId="5209B23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（1）因甲方原因未能按合同约定支付合同价款的违约责任：</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2EC8432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（2）因甲方原因未能按合同约定移交设施及基础资料的违约责任：</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03A6767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（3）其他：</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48F9F02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6.1.3 因甲方违约解除合同</w:t>
      </w:r>
    </w:p>
    <w:p w14:paraId="40C9B29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甲方出现第 6.1.1项 〔甲方违约的情形〕约定的违约情形满</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28</w:t>
      </w:r>
      <w:r>
        <w:rPr>
          <w:rFonts w:ascii="宋体" w:hAnsi="宋体"/>
          <w:color w:val="auto"/>
          <w:sz w:val="22"/>
          <w:szCs w:val="22"/>
          <w:highlight w:val="none"/>
          <w:u w:val="single"/>
        </w:rPr>
        <w:t xml:space="preserve"> </w:t>
      </w:r>
      <w:r>
        <w:rPr>
          <w:rFonts w:ascii="宋体" w:hAnsi="宋体"/>
          <w:color w:val="auto"/>
          <w:sz w:val="22"/>
          <w:szCs w:val="22"/>
          <w:highlight w:val="none"/>
        </w:rPr>
        <w:t>天后，甲方仍不纠正其违约行为并致使合同目的不能实现的，乙方有权解除合同。</w:t>
      </w:r>
    </w:p>
    <w:p w14:paraId="0AF03941">
      <w:pPr>
        <w:pStyle w:val="4"/>
        <w:spacing w:before="0" w:after="0" w:line="400" w:lineRule="exact"/>
        <w:ind w:firstLine="440" w:firstLineChars="200"/>
        <w:rPr>
          <w:rFonts w:ascii="宋体" w:hAnsi="宋体"/>
          <w:color w:val="auto"/>
          <w:sz w:val="22"/>
          <w:szCs w:val="22"/>
          <w:highlight w:val="none"/>
        </w:rPr>
      </w:pPr>
      <w:bookmarkStart w:id="366" w:name="_Toc24424"/>
      <w:bookmarkStart w:id="367" w:name="_Toc28840"/>
      <w:bookmarkStart w:id="368" w:name="_Toc35812059"/>
      <w:r>
        <w:rPr>
          <w:rFonts w:ascii="宋体" w:hAnsi="宋体"/>
          <w:color w:val="auto"/>
          <w:sz w:val="22"/>
          <w:szCs w:val="22"/>
          <w:highlight w:val="none"/>
        </w:rPr>
        <w:t>6.2乙方违约</w:t>
      </w:r>
      <w:bookmarkEnd w:id="366"/>
      <w:bookmarkEnd w:id="367"/>
      <w:bookmarkEnd w:id="368"/>
    </w:p>
    <w:p w14:paraId="551C016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6.2.1乙方违约的情形</w:t>
      </w:r>
    </w:p>
    <w:p w14:paraId="737B1DFF">
      <w:pPr>
        <w:spacing w:line="400" w:lineRule="exact"/>
        <w:ind w:firstLine="440" w:firstLineChars="200"/>
        <w:rPr>
          <w:rFonts w:ascii="宋体" w:hAnsi="宋体"/>
          <w:color w:val="auto"/>
          <w:sz w:val="22"/>
          <w:szCs w:val="22"/>
          <w:highlight w:val="none"/>
        </w:rPr>
      </w:pPr>
      <w:bookmarkStart w:id="369" w:name="_Toc280868717"/>
      <w:r>
        <w:rPr>
          <w:rFonts w:ascii="宋体" w:hAnsi="宋体"/>
          <w:color w:val="auto"/>
          <w:sz w:val="22"/>
          <w:szCs w:val="22"/>
          <w:highlight w:val="none"/>
        </w:rPr>
        <w:t>乙方违约的其他情形：</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浙江省农村生活污水处理设施管理条例约定的其他情形</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EEF4A7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6.2.2乙方违约的责任</w:t>
      </w:r>
    </w:p>
    <w:p w14:paraId="0FCF86A3">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乙方违约责任的承担方式和计算方法：</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按招标文件及有关条例执行</w:t>
      </w:r>
      <w:r>
        <w:rPr>
          <w:rFonts w:ascii="宋体" w:hAnsi="宋体"/>
          <w:color w:val="auto"/>
          <w:sz w:val="22"/>
          <w:szCs w:val="22"/>
          <w:highlight w:val="none"/>
        </w:rPr>
        <w:t xml:space="preserve">  。    </w:t>
      </w:r>
    </w:p>
    <w:p w14:paraId="27CD505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6.2.3 因乙方违约解除合同</w:t>
      </w:r>
    </w:p>
    <w:p w14:paraId="2BB8279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关于乙方违约解除合同的特别约定：</w:t>
      </w:r>
      <w:r>
        <w:rPr>
          <w:rFonts w:hint="eastAsia" w:ascii="宋体" w:hAnsi="宋体"/>
          <w:color w:val="auto"/>
          <w:sz w:val="22"/>
          <w:szCs w:val="22"/>
          <w:highlight w:val="none"/>
          <w:u w:val="single"/>
        </w:rPr>
        <w:t>连续二次考核成绩</w:t>
      </w:r>
      <w:r>
        <w:rPr>
          <w:rFonts w:hint="eastAsia" w:ascii="宋体" w:hAnsi="宋体"/>
          <w:color w:val="auto"/>
          <w:sz w:val="22"/>
          <w:szCs w:val="22"/>
          <w:highlight w:val="none"/>
          <w:u w:val="single"/>
          <w:lang w:val="en-US" w:eastAsia="zh-CN"/>
        </w:rPr>
        <w:t>未达到</w:t>
      </w:r>
      <w:r>
        <w:rPr>
          <w:rFonts w:hint="eastAsia" w:ascii="宋体" w:hAnsi="宋体"/>
          <w:color w:val="auto"/>
          <w:sz w:val="22"/>
          <w:szCs w:val="22"/>
          <w:highlight w:val="none"/>
          <w:u w:val="single"/>
        </w:rPr>
        <w:t>合格的，甲方有权解除合同，并由乙方承担违约责任。</w:t>
      </w:r>
    </w:p>
    <w:p w14:paraId="343616BF">
      <w:pPr>
        <w:pStyle w:val="3"/>
        <w:spacing w:before="0" w:after="0" w:line="400" w:lineRule="exact"/>
        <w:rPr>
          <w:rFonts w:ascii="宋体" w:hAnsi="宋体" w:eastAsia="宋体"/>
          <w:color w:val="auto"/>
          <w:sz w:val="22"/>
          <w:szCs w:val="22"/>
          <w:highlight w:val="none"/>
        </w:rPr>
      </w:pPr>
      <w:bookmarkStart w:id="370" w:name="_Toc35812060"/>
      <w:bookmarkStart w:id="371" w:name="_Toc29304"/>
      <w:r>
        <w:rPr>
          <w:rFonts w:ascii="宋体" w:hAnsi="宋体" w:eastAsia="宋体"/>
          <w:color w:val="auto"/>
          <w:sz w:val="22"/>
          <w:szCs w:val="22"/>
          <w:highlight w:val="none"/>
        </w:rPr>
        <w:t>7.不可抗力</w:t>
      </w:r>
      <w:bookmarkEnd w:id="370"/>
      <w:bookmarkEnd w:id="371"/>
    </w:p>
    <w:p w14:paraId="527D2942">
      <w:pPr>
        <w:pStyle w:val="4"/>
        <w:spacing w:before="0" w:after="0" w:line="400" w:lineRule="exact"/>
        <w:ind w:firstLine="440" w:firstLineChars="200"/>
        <w:rPr>
          <w:rFonts w:ascii="宋体" w:hAnsi="宋体"/>
          <w:color w:val="auto"/>
          <w:sz w:val="22"/>
          <w:szCs w:val="22"/>
          <w:highlight w:val="none"/>
        </w:rPr>
      </w:pPr>
      <w:bookmarkStart w:id="372" w:name="_Toc5445"/>
      <w:bookmarkStart w:id="373" w:name="_Toc20105"/>
      <w:bookmarkStart w:id="374" w:name="_Toc35812061"/>
      <w:r>
        <w:rPr>
          <w:rFonts w:ascii="宋体" w:hAnsi="宋体"/>
          <w:color w:val="auto"/>
          <w:sz w:val="22"/>
          <w:szCs w:val="22"/>
          <w:highlight w:val="none"/>
        </w:rPr>
        <w:t>7.1不可抗力的范围</w:t>
      </w:r>
      <w:bookmarkEnd w:id="372"/>
      <w:bookmarkEnd w:id="373"/>
      <w:bookmarkEnd w:id="374"/>
    </w:p>
    <w:p w14:paraId="06AF0E6F">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 xml:space="preserve">除通用合同条款约定的不可抗力事件之外，视为不可抗力的其他情形：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78C1861">
      <w:pPr>
        <w:pStyle w:val="4"/>
        <w:spacing w:before="0" w:after="0" w:line="400" w:lineRule="exact"/>
        <w:ind w:firstLine="440" w:firstLineChars="200"/>
        <w:rPr>
          <w:rFonts w:ascii="宋体" w:hAnsi="宋体"/>
          <w:color w:val="auto"/>
          <w:sz w:val="22"/>
          <w:szCs w:val="22"/>
          <w:highlight w:val="none"/>
        </w:rPr>
      </w:pPr>
      <w:bookmarkStart w:id="375" w:name="_Toc35812062"/>
      <w:bookmarkStart w:id="376" w:name="_Toc24049"/>
      <w:bookmarkStart w:id="377" w:name="_Toc29334"/>
      <w:r>
        <w:rPr>
          <w:rFonts w:ascii="宋体" w:hAnsi="宋体"/>
          <w:color w:val="auto"/>
          <w:sz w:val="22"/>
          <w:szCs w:val="22"/>
          <w:highlight w:val="none"/>
        </w:rPr>
        <w:t>7.4 因不可抗力解除合同</w:t>
      </w:r>
      <w:bookmarkEnd w:id="375"/>
      <w:bookmarkEnd w:id="376"/>
      <w:bookmarkEnd w:id="377"/>
    </w:p>
    <w:bookmarkEnd w:id="369"/>
    <w:p w14:paraId="42A81E1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合同解除后，甲方应在商定或确定甲方应支付款项后</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28</w:t>
      </w:r>
      <w:r>
        <w:rPr>
          <w:rFonts w:ascii="宋体" w:hAnsi="宋体"/>
          <w:color w:val="auto"/>
          <w:sz w:val="22"/>
          <w:szCs w:val="22"/>
          <w:highlight w:val="none"/>
          <w:u w:val="single"/>
        </w:rPr>
        <w:t xml:space="preserve"> </w:t>
      </w:r>
      <w:r>
        <w:rPr>
          <w:rFonts w:ascii="宋体" w:hAnsi="宋体"/>
          <w:color w:val="auto"/>
          <w:sz w:val="22"/>
          <w:szCs w:val="22"/>
          <w:highlight w:val="none"/>
        </w:rPr>
        <w:t>天内完成款项的支付。</w:t>
      </w:r>
    </w:p>
    <w:p w14:paraId="20F262DB">
      <w:pPr>
        <w:pStyle w:val="3"/>
        <w:spacing w:before="0" w:after="0" w:line="400" w:lineRule="exact"/>
        <w:rPr>
          <w:rFonts w:ascii="宋体" w:hAnsi="宋体" w:eastAsia="宋体"/>
          <w:color w:val="auto"/>
          <w:sz w:val="22"/>
          <w:szCs w:val="22"/>
          <w:highlight w:val="none"/>
        </w:rPr>
      </w:pPr>
      <w:bookmarkStart w:id="378" w:name="_Toc35812063"/>
      <w:bookmarkStart w:id="379" w:name="_Toc3622"/>
      <w:r>
        <w:rPr>
          <w:rFonts w:ascii="宋体" w:hAnsi="宋体" w:eastAsia="宋体"/>
          <w:color w:val="auto"/>
          <w:sz w:val="22"/>
          <w:szCs w:val="22"/>
          <w:highlight w:val="none"/>
        </w:rPr>
        <w:t>9.争议解决</w:t>
      </w:r>
      <w:bookmarkEnd w:id="378"/>
      <w:bookmarkEnd w:id="379"/>
    </w:p>
    <w:p w14:paraId="10A9E691">
      <w:pPr>
        <w:pStyle w:val="4"/>
        <w:spacing w:before="0" w:after="0" w:line="400" w:lineRule="exact"/>
        <w:ind w:firstLine="440" w:firstLineChars="200"/>
        <w:rPr>
          <w:rFonts w:ascii="宋体" w:hAnsi="宋体"/>
          <w:color w:val="auto"/>
          <w:sz w:val="22"/>
          <w:szCs w:val="22"/>
          <w:highlight w:val="none"/>
        </w:rPr>
      </w:pPr>
      <w:bookmarkStart w:id="380" w:name="_Toc1055"/>
      <w:bookmarkStart w:id="381" w:name="_Toc35812064"/>
      <w:bookmarkStart w:id="382" w:name="_Toc21211"/>
      <w:r>
        <w:rPr>
          <w:rFonts w:ascii="宋体" w:hAnsi="宋体"/>
          <w:color w:val="auto"/>
          <w:sz w:val="22"/>
          <w:szCs w:val="22"/>
          <w:highlight w:val="none"/>
        </w:rPr>
        <w:t>9.3仲裁或诉讼</w:t>
      </w:r>
      <w:bookmarkEnd w:id="380"/>
      <w:bookmarkEnd w:id="381"/>
      <w:bookmarkEnd w:id="382"/>
    </w:p>
    <w:p w14:paraId="4F7B698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因合同及合同有关事项发生的争议，按下列第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w:t>
      </w:r>
      <w:r>
        <w:rPr>
          <w:rFonts w:ascii="宋体" w:hAnsi="宋体"/>
          <w:color w:val="auto"/>
          <w:sz w:val="22"/>
          <w:szCs w:val="22"/>
          <w:highlight w:val="none"/>
          <w:u w:val="single"/>
        </w:rPr>
        <w:t xml:space="preserve"> </w:t>
      </w:r>
      <w:r>
        <w:rPr>
          <w:rFonts w:ascii="宋体" w:hAnsi="宋体"/>
          <w:color w:val="auto"/>
          <w:sz w:val="22"/>
          <w:szCs w:val="22"/>
          <w:highlight w:val="none"/>
        </w:rPr>
        <w:t>种方式解决：</w:t>
      </w:r>
    </w:p>
    <w:p w14:paraId="0BEB2F2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（1）向</w:t>
      </w:r>
      <w:r>
        <w:rPr>
          <w:rFonts w:ascii="宋体" w:hAnsi="宋体"/>
          <w:color w:val="auto"/>
          <w:sz w:val="22"/>
          <w:szCs w:val="22"/>
          <w:highlight w:val="none"/>
          <w:u w:val="single"/>
        </w:rPr>
        <w:t xml:space="preserve">                     </w:t>
      </w:r>
      <w:r>
        <w:rPr>
          <w:rFonts w:ascii="宋体" w:hAnsi="宋体"/>
          <w:color w:val="auto"/>
          <w:sz w:val="22"/>
          <w:szCs w:val="22"/>
          <w:highlight w:val="none"/>
        </w:rPr>
        <w:t>仲裁委员会申请仲裁；</w:t>
      </w:r>
    </w:p>
    <w:p w14:paraId="5B19E2C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（2）向</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鹿城区</w:t>
      </w:r>
      <w:r>
        <w:rPr>
          <w:rFonts w:ascii="宋体" w:hAnsi="宋体"/>
          <w:color w:val="auto"/>
          <w:sz w:val="22"/>
          <w:szCs w:val="22"/>
          <w:highlight w:val="none"/>
          <w:u w:val="single"/>
        </w:rPr>
        <w:t xml:space="preserve">   </w:t>
      </w:r>
      <w:r>
        <w:rPr>
          <w:rFonts w:ascii="宋体" w:hAnsi="宋体"/>
          <w:color w:val="auto"/>
          <w:sz w:val="22"/>
          <w:szCs w:val="22"/>
          <w:highlight w:val="none"/>
        </w:rPr>
        <w:t>人民法院起诉。</w:t>
      </w:r>
    </w:p>
    <w:p w14:paraId="172DF4E2">
      <w:pPr>
        <w:pStyle w:val="3"/>
        <w:spacing w:before="0" w:after="0"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10.其他</w:t>
      </w:r>
    </w:p>
    <w:p w14:paraId="70D6DCB2">
      <w:pPr>
        <w:spacing w:line="360" w:lineRule="auto"/>
        <w:ind w:firstLine="440" w:firstLineChars="200"/>
        <w:rPr>
          <w:rFonts w:hint="eastAsia" w:ascii="宋体" w:hAnsi="宋体"/>
          <w:color w:val="auto"/>
          <w:sz w:val="22"/>
          <w:szCs w:val="22"/>
          <w:highlight w:val="none"/>
        </w:rPr>
      </w:pPr>
      <w:r>
        <w:rPr>
          <w:rFonts w:hint="eastAsia" w:ascii="宋体" w:hAnsi="宋体" w:cs="Arial"/>
          <w:b/>
          <w:bCs/>
          <w:color w:val="auto"/>
          <w:sz w:val="22"/>
          <w:szCs w:val="22"/>
          <w:highlight w:val="none"/>
        </w:rPr>
        <w:t>10.1本项目为固定单价合同。</w:t>
      </w:r>
      <w:bookmarkStart w:id="383" w:name="_Toc5564"/>
      <w:bookmarkStart w:id="384" w:name="_Toc27406"/>
      <w:bookmarkStart w:id="385" w:name="_Toc19829"/>
      <w:bookmarkStart w:id="386" w:name="_Toc14166"/>
      <w:bookmarkStart w:id="387" w:name="_Toc35812065"/>
      <w:bookmarkStart w:id="388" w:name="_Toc15486"/>
    </w:p>
    <w:p w14:paraId="049BD859">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10.2考核及处罚标准</w:t>
      </w:r>
    </w:p>
    <w:p w14:paraId="51AE4D30">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10.2.1运维考核由平台考核、现场检查、水质考核、社会综合评价组成，总分共计100分（详见附表2《</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农村生活污水处理设施第三方运维考核表》），由农污运维管理相关职能部门每季考核一次，作为对第三方运维单位运维费的支付依据。</w:t>
      </w:r>
    </w:p>
    <w:p w14:paraId="4DD760E6">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10.2.2当期运维考核最终结果</w:t>
      </w:r>
      <w:r>
        <w:rPr>
          <w:rFonts w:hint="eastAsia" w:ascii="宋体" w:hAnsi="宋体"/>
          <w:color w:val="auto"/>
          <w:sz w:val="22"/>
          <w:szCs w:val="22"/>
          <w:highlight w:val="none"/>
          <w:lang w:val="en-US" w:eastAsia="zh-CN"/>
        </w:rPr>
        <w:t>以采购人考核结果为准</w:t>
      </w:r>
      <w:r>
        <w:rPr>
          <w:rFonts w:hint="eastAsia" w:ascii="宋体" w:hAnsi="宋体"/>
          <w:color w:val="auto"/>
          <w:sz w:val="22"/>
          <w:szCs w:val="22"/>
          <w:highlight w:val="none"/>
        </w:rPr>
        <w:t>。</w:t>
      </w:r>
    </w:p>
    <w:p w14:paraId="39D8BAAB">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应于每季度</w:t>
      </w:r>
      <w:r>
        <w:rPr>
          <w:rFonts w:hint="eastAsia" w:ascii="宋体" w:hAnsi="宋体"/>
          <w:color w:val="auto"/>
          <w:sz w:val="22"/>
          <w:szCs w:val="22"/>
          <w:highlight w:val="none"/>
          <w:lang w:val="en-US" w:eastAsia="zh-CN"/>
        </w:rPr>
        <w:t>末月</w:t>
      </w:r>
      <w:r>
        <w:rPr>
          <w:rFonts w:hint="eastAsia" w:ascii="宋体" w:hAnsi="宋体"/>
          <w:color w:val="auto"/>
          <w:sz w:val="22"/>
          <w:szCs w:val="22"/>
          <w:highlight w:val="none"/>
        </w:rPr>
        <w:t>组织对</w:t>
      </w:r>
      <w:r>
        <w:rPr>
          <w:rFonts w:hint="eastAsia" w:ascii="宋体" w:hAnsi="宋体"/>
          <w:color w:val="auto"/>
          <w:sz w:val="22"/>
          <w:szCs w:val="22"/>
          <w:highlight w:val="none"/>
          <w:lang w:val="en-US" w:eastAsia="zh-CN"/>
        </w:rPr>
        <w:t>当</w:t>
      </w:r>
      <w:r>
        <w:rPr>
          <w:rFonts w:hint="eastAsia" w:ascii="宋体" w:hAnsi="宋体"/>
          <w:color w:val="auto"/>
          <w:sz w:val="22"/>
          <w:szCs w:val="22"/>
          <w:highlight w:val="none"/>
        </w:rPr>
        <w:t>季度运维开展考核，并按照《</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农村生活污水处理设施第三方运维考核表》（附表2）评分，并汇总当期考核最终结果，最终考核等次：</w:t>
      </w:r>
    </w:p>
    <w:p w14:paraId="4D7ABFBF">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（1）90分以上（含90分）为优秀，运行维护管理费用按中标单价乘以运维数量支付；</w:t>
      </w:r>
    </w:p>
    <w:p w14:paraId="045D46A5">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（2）80-90分（含80分，不含90分）为良好，有权扣除当季运行维护管理费用的10%；</w:t>
      </w:r>
    </w:p>
    <w:p w14:paraId="7C893317">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（3）75-80分（含75分，不含80分）为合格，有权扣除当季运行维护管理费用的20%；</w:t>
      </w:r>
    </w:p>
    <w:p w14:paraId="1AA311B5">
      <w:pPr>
        <w:snapToGrid w:val="0"/>
        <w:spacing w:line="440" w:lineRule="exact"/>
        <w:ind w:left="12" w:leftChars="6"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75分以下（不含75分）为不合格，有权要求中标供应商限期整改到位，并扣除当季运行维护管理费用；否则，拒付所有剩余资金，连续二次或累计三次考核成绩不合格的可以解除合同，并由中标供应商承担违约责任。</w:t>
      </w:r>
    </w:p>
    <w:p w14:paraId="10798E62">
      <w:pPr>
        <w:tabs>
          <w:tab w:val="left" w:pos="4018"/>
        </w:tabs>
        <w:snapToGrid w:val="0"/>
        <w:spacing w:line="400" w:lineRule="exact"/>
        <w:ind w:firstLine="550" w:firstLineChars="250"/>
        <w:rPr>
          <w:color w:val="auto"/>
          <w:highlight w:val="none"/>
          <w:lang w:val="en-US" w:eastAsia="zh-CN"/>
        </w:rPr>
      </w:pPr>
      <w:r>
        <w:rPr>
          <w:rFonts w:hint="eastAsia" w:ascii="宋体" w:hAnsi="宋体"/>
          <w:color w:val="auto"/>
          <w:sz w:val="22"/>
          <w:szCs w:val="22"/>
          <w:highlight w:val="none"/>
        </w:rPr>
        <w:t>10.2.3上级主管部门在日常检查或抽查或巡查中，如发现中标供应商在运维</w:t>
      </w:r>
      <w:r>
        <w:rPr>
          <w:rFonts w:hint="eastAsia" w:ascii="宋体" w:hAnsi="宋体"/>
          <w:color w:val="auto"/>
          <w:sz w:val="22"/>
          <w:szCs w:val="22"/>
          <w:highlight w:val="none"/>
          <w:lang w:val="en-US" w:eastAsia="zh-CN"/>
        </w:rPr>
        <w:t>工作</w:t>
      </w:r>
      <w:r>
        <w:rPr>
          <w:rFonts w:hint="eastAsia" w:ascii="宋体" w:hAnsi="宋体"/>
          <w:color w:val="auto"/>
          <w:sz w:val="22"/>
          <w:szCs w:val="22"/>
          <w:highlight w:val="none"/>
        </w:rPr>
        <w:t>方面有</w:t>
      </w:r>
      <w:r>
        <w:rPr>
          <w:rFonts w:hint="eastAsia" w:ascii="宋体" w:hAnsi="宋体"/>
          <w:color w:val="auto"/>
          <w:sz w:val="22"/>
          <w:szCs w:val="22"/>
          <w:highlight w:val="none"/>
          <w:lang w:val="en-US" w:eastAsia="zh-CN"/>
        </w:rPr>
        <w:t>问题</w:t>
      </w:r>
      <w:r>
        <w:rPr>
          <w:rFonts w:hint="eastAsia" w:ascii="宋体" w:hAnsi="宋体"/>
          <w:color w:val="auto"/>
          <w:sz w:val="22"/>
          <w:szCs w:val="22"/>
          <w:highlight w:val="none"/>
        </w:rPr>
        <w:t>的地方，则有权扣除当季运行维护管理费用的</w:t>
      </w:r>
      <w:r>
        <w:rPr>
          <w:rFonts w:hint="eastAsia" w:ascii="宋体" w:hAnsi="宋体"/>
          <w:color w:val="auto"/>
          <w:sz w:val="22"/>
          <w:szCs w:val="22"/>
          <w:highlight w:val="none"/>
          <w:lang w:val="en-US" w:eastAsia="zh-CN"/>
        </w:rPr>
        <w:t>25</w:t>
      </w:r>
      <w:r>
        <w:rPr>
          <w:rFonts w:hint="eastAsia" w:ascii="宋体" w:hAnsi="宋体"/>
          <w:color w:val="auto"/>
          <w:sz w:val="22"/>
          <w:szCs w:val="22"/>
          <w:highlight w:val="none"/>
        </w:rPr>
        <w:t>%，所扣款项在当季支付合同费用时扣除。</w:t>
      </w:r>
    </w:p>
    <w:p w14:paraId="2F8116F6">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10.3各级主管部门在日常检查或抽查中，发现中标供应商存在下列情形或解释说明未被采购人接受的对其进行扣款，所扣款项在当季支付合同费用时扣除，具体如下（以下扣款不包含在考核扣款中）：</w:t>
      </w:r>
    </w:p>
    <w:p w14:paraId="2FEAAE16">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（1）井盖破损或丢失未及时更换修复的，按1000元/处进行扣款；</w:t>
      </w:r>
    </w:p>
    <w:p w14:paraId="789B61D1">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（2）污水</w:t>
      </w:r>
      <w:r>
        <w:rPr>
          <w:rFonts w:hint="eastAsia" w:ascii="宋体" w:hAnsi="宋体"/>
          <w:color w:val="auto"/>
          <w:sz w:val="22"/>
          <w:szCs w:val="22"/>
          <w:highlight w:val="none"/>
          <w:lang w:val="en-US" w:eastAsia="zh-CN"/>
        </w:rPr>
        <w:t>满溢、</w:t>
      </w:r>
      <w:r>
        <w:rPr>
          <w:rFonts w:hint="eastAsia" w:ascii="宋体" w:hAnsi="宋体"/>
          <w:color w:val="auto"/>
          <w:sz w:val="22"/>
          <w:szCs w:val="22"/>
          <w:highlight w:val="none"/>
        </w:rPr>
        <w:t>倒溢的，按1000元/处进行扣款；</w:t>
      </w:r>
    </w:p>
    <w:p w14:paraId="52C79695">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（3）投诉件未及时处理的</w:t>
      </w:r>
      <w:r>
        <w:rPr>
          <w:rFonts w:hint="eastAsia" w:ascii="宋体" w:hAnsi="宋体"/>
          <w:color w:val="auto"/>
          <w:sz w:val="22"/>
          <w:szCs w:val="22"/>
          <w:highlight w:val="none"/>
          <w:lang w:val="en-US" w:eastAsia="zh-CN"/>
        </w:rPr>
        <w:t>或未妥善处理的</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区级投诉件</w:t>
      </w:r>
      <w:r>
        <w:rPr>
          <w:rFonts w:hint="eastAsia" w:ascii="宋体" w:hAnsi="宋体"/>
          <w:color w:val="auto"/>
          <w:sz w:val="22"/>
          <w:szCs w:val="22"/>
          <w:highlight w:val="none"/>
        </w:rPr>
        <w:t>按2000元/件进行扣款</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市级投诉件</w:t>
      </w:r>
      <w:r>
        <w:rPr>
          <w:rFonts w:hint="eastAsia" w:ascii="宋体" w:hAnsi="宋体"/>
          <w:color w:val="auto"/>
          <w:sz w:val="22"/>
          <w:szCs w:val="22"/>
          <w:highlight w:val="none"/>
        </w:rPr>
        <w:t>按</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000元/件进行扣款</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省级投诉件</w:t>
      </w:r>
      <w:r>
        <w:rPr>
          <w:rFonts w:hint="eastAsia" w:ascii="宋体" w:hAnsi="宋体"/>
          <w:color w:val="auto"/>
          <w:sz w:val="22"/>
          <w:szCs w:val="22"/>
          <w:highlight w:val="none"/>
        </w:rPr>
        <w:t>按</w:t>
      </w:r>
      <w:r>
        <w:rPr>
          <w:rFonts w:hint="eastAsia" w:ascii="宋体" w:hAnsi="宋体"/>
          <w:color w:val="auto"/>
          <w:sz w:val="22"/>
          <w:szCs w:val="22"/>
          <w:highlight w:val="none"/>
          <w:lang w:val="en-US" w:eastAsia="zh-CN"/>
        </w:rPr>
        <w:t>10000</w:t>
      </w:r>
      <w:r>
        <w:rPr>
          <w:rFonts w:hint="eastAsia" w:ascii="宋体" w:hAnsi="宋体"/>
          <w:color w:val="auto"/>
          <w:sz w:val="22"/>
          <w:szCs w:val="22"/>
          <w:highlight w:val="none"/>
        </w:rPr>
        <w:t>元/件进行扣款</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中央级投诉件</w:t>
      </w:r>
      <w:r>
        <w:rPr>
          <w:rFonts w:hint="eastAsia" w:ascii="宋体" w:hAnsi="宋体"/>
          <w:color w:val="auto"/>
          <w:sz w:val="22"/>
          <w:szCs w:val="22"/>
          <w:highlight w:val="none"/>
        </w:rPr>
        <w:t>按</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000</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元/件进行扣款；</w:t>
      </w:r>
    </w:p>
    <w:p w14:paraId="1D57DA3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color w:val="auto"/>
          <w:sz w:val="22"/>
          <w:szCs w:val="22"/>
          <w:highlight w:val="none"/>
          <w:lang w:val="en-US" w:eastAsia="zh-CN"/>
        </w:rPr>
        <w:t>因运维不当导致</w:t>
      </w:r>
      <w:r>
        <w:rPr>
          <w:rFonts w:hint="eastAsia" w:ascii="宋体" w:hAnsi="宋体"/>
          <w:color w:val="auto"/>
          <w:sz w:val="22"/>
          <w:szCs w:val="22"/>
          <w:highlight w:val="none"/>
        </w:rPr>
        <w:t>处理终端未正常运行的，按2000元/处进行扣款；</w:t>
      </w:r>
    </w:p>
    <w:p w14:paraId="72806EA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（5）水泵未正常运行的，按1000元/处进行扣款；</w:t>
      </w:r>
    </w:p>
    <w:p w14:paraId="0200F5D5">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（6）终端绿化未正常养护的，按1000元/处进行扣款；</w:t>
      </w:r>
    </w:p>
    <w:p w14:paraId="61823CC0">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（7）项目负责人、运维技术负责人及专业技术管理人员每月到位不得低于22天，且月份之间的到位天数不得借用，不得连续</w:t>
      </w:r>
      <w:r>
        <w:rPr>
          <w:rFonts w:ascii="宋体" w:hAnsi="宋体"/>
          <w:color w:val="auto"/>
          <w:sz w:val="22"/>
          <w:szCs w:val="22"/>
          <w:highlight w:val="none"/>
        </w:rPr>
        <w:t>1</w:t>
      </w:r>
      <w:r>
        <w:rPr>
          <w:rFonts w:hint="eastAsia" w:ascii="宋体" w:hAnsi="宋体"/>
          <w:color w:val="auto"/>
          <w:sz w:val="22"/>
          <w:szCs w:val="22"/>
          <w:highlight w:val="none"/>
        </w:rPr>
        <w:t>周不到位），项目负责人、运维技术负责人未经批准，擅自离开运维中心（温州市域）的违约责任：每天支付违约金1000元；专业技术管理人员未经批准，擅自离开运维中心的违约责任：每天支付违约金500元</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所有人员需进行打卡，由中标单位安装打卡机</w:t>
      </w:r>
      <w:r>
        <w:rPr>
          <w:rFonts w:hint="eastAsia" w:ascii="宋体" w:hAnsi="宋体"/>
          <w:color w:val="auto"/>
          <w:sz w:val="22"/>
          <w:szCs w:val="22"/>
          <w:highlight w:val="none"/>
          <w:lang w:eastAsia="zh-CN"/>
        </w:rPr>
        <w:t>）</w:t>
      </w:r>
      <w:r>
        <w:rPr>
          <w:rFonts w:hint="eastAsia" w:ascii="宋体" w:hAnsi="宋体"/>
          <w:color w:val="auto"/>
          <w:sz w:val="22"/>
          <w:szCs w:val="22"/>
          <w:highlight w:val="none"/>
        </w:rPr>
        <w:t>。</w:t>
      </w:r>
    </w:p>
    <w:p w14:paraId="3A918BC0">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（8）终端电费消耗异常，且未及时上报的，每发现一次扣款200元。</w:t>
      </w:r>
    </w:p>
    <w:p w14:paraId="21554DB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9）中标供应商因损坏等原因需更换运维车辆或重要运维工具的，应及时上报并征得采购人同意后，于15个工作日内进行更换，超过期限未完成更换导致未能满足原投标承诺车辆所具有的规格、年限及数量条件，每超过七天扣款1000元。以中标供应商报告时间或采购人发现缺少车辆和重要运维工具并告知之日起计时。</w:t>
      </w:r>
    </w:p>
    <w:p w14:paraId="4887315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10）中标供应商不可擅自更换本项目运维负责人及技术负责人，确需更换的，应征得采购人同意后方可更换，同时如运维负责人及技术负责人工作不称职，采购人有权要求更换，且中标供应商应按原投标承诺人员所具有的资格和业绩条件更换相应人员；如擅自更换的，扣款10万元/人，情节严重的，采购人有权解除合同。</w:t>
      </w:r>
    </w:p>
    <w:p w14:paraId="7844BA6B">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11）中标供应商因人员工作流动需更换运维人员的，应及时上报并征得采购人同意后，于15个工作日内进行更换，每月更换人员不得超过5人，且更换后人员需满足原投标承诺人员所具有的资格和业绩条件或于60日内通过培训取得上岗证件，因超过期限未完成更换导致未能满足原投标承诺人员所具有的资格、业绩及数量条件，每缺一人每超过15天扣款500元。</w:t>
      </w:r>
    </w:p>
    <w:p w14:paraId="7ED12642">
      <w:pPr>
        <w:spacing w:line="46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现场配备的人员于投标时填写的人员不一致的，需进行扣款，金额按未到位金额扣取。</w:t>
      </w:r>
    </w:p>
    <w:p w14:paraId="38C4AB49">
      <w:pPr>
        <w:tabs>
          <w:tab w:val="left" w:pos="4018"/>
        </w:tabs>
        <w:snapToGrid w:val="0"/>
        <w:spacing w:line="400" w:lineRule="exact"/>
        <w:ind w:firstLine="440" w:firstLineChars="200"/>
        <w:rPr>
          <w:rFonts w:ascii="宋体" w:hAnsi="宋体"/>
          <w:color w:val="auto"/>
          <w:sz w:val="22"/>
          <w:szCs w:val="22"/>
          <w:highlight w:val="none"/>
        </w:rPr>
      </w:pPr>
      <w:r>
        <w:rPr>
          <w:rFonts w:hint="eastAsia" w:ascii="宋体" w:hAnsi="宋体"/>
          <w:b/>
          <w:bCs/>
          <w:color w:val="auto"/>
          <w:sz w:val="22"/>
          <w:szCs w:val="22"/>
          <w:highlight w:val="none"/>
        </w:rPr>
        <w:t>10.4</w:t>
      </w:r>
      <w:r>
        <w:rPr>
          <w:rFonts w:hint="eastAsia" w:ascii="宋体" w:hAnsi="宋体"/>
          <w:color w:val="auto"/>
          <w:sz w:val="22"/>
          <w:szCs w:val="22"/>
          <w:highlight w:val="none"/>
        </w:rPr>
        <w:t>终端处理系统出现人工湿地植物大面积缺株，机电设施维修不及时，以及造成3次以上群众有效投诉或被媒体曝光造成重大不良社会影响等问题，</w:t>
      </w:r>
      <w:r>
        <w:rPr>
          <w:rFonts w:hint="eastAsia" w:ascii="宋体" w:hAnsi="宋体"/>
          <w:color w:val="auto"/>
          <w:sz w:val="22"/>
          <w:szCs w:val="22"/>
          <w:highlight w:val="none"/>
          <w:lang w:val="en-US" w:eastAsia="zh-CN"/>
        </w:rPr>
        <w:t>采购人或区</w:t>
      </w:r>
      <w:r>
        <w:rPr>
          <w:rFonts w:hint="eastAsia" w:ascii="宋体" w:hAnsi="宋体"/>
          <w:color w:val="auto"/>
          <w:sz w:val="22"/>
          <w:szCs w:val="22"/>
          <w:highlight w:val="none"/>
        </w:rPr>
        <w:t>主管部门出具书面通知，仍不能按时完成整改的，停拨中标供应商该年余下全部运行维护资金，并终止合同。</w:t>
      </w:r>
    </w:p>
    <w:p w14:paraId="3FCA0125">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10.5定期例会</w:t>
      </w:r>
    </w:p>
    <w:p w14:paraId="1FC335F5">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每月25日召开运维工作例会，定期向</w:t>
      </w:r>
      <w:r>
        <w:rPr>
          <w:rFonts w:hint="eastAsia" w:ascii="宋体" w:hAnsi="宋体" w:cs="宋体"/>
          <w:color w:val="auto"/>
          <w:kern w:val="0"/>
          <w:sz w:val="22"/>
          <w:highlight w:val="none"/>
          <w:lang w:val="en-US" w:eastAsia="zh-CN"/>
        </w:rPr>
        <w:t>区</w:t>
      </w:r>
      <w:r>
        <w:rPr>
          <w:rFonts w:hint="eastAsia" w:ascii="宋体" w:hAnsi="宋体" w:cs="宋体"/>
          <w:color w:val="auto"/>
          <w:kern w:val="0"/>
          <w:sz w:val="22"/>
          <w:highlight w:val="none"/>
        </w:rPr>
        <w:t>主管部门和</w:t>
      </w:r>
      <w:r>
        <w:rPr>
          <w:rFonts w:hint="eastAsia" w:ascii="宋体" w:hAnsi="宋体" w:cs="宋体"/>
          <w:color w:val="auto"/>
          <w:kern w:val="0"/>
          <w:sz w:val="22"/>
          <w:highlight w:val="none"/>
          <w:lang w:val="en-US" w:eastAsia="zh-CN"/>
        </w:rPr>
        <w:t>采购人</w:t>
      </w:r>
      <w:r>
        <w:rPr>
          <w:rFonts w:hint="eastAsia" w:ascii="宋体" w:hAnsi="宋体" w:cs="宋体"/>
          <w:color w:val="auto"/>
          <w:kern w:val="0"/>
          <w:sz w:val="22"/>
          <w:highlight w:val="none"/>
        </w:rPr>
        <w:t>汇报、上交本月运营情况及相关资料，并汇报、提交下月的运维计划。</w:t>
      </w:r>
    </w:p>
    <w:p w14:paraId="375ABAB4">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10.6第三方水质检测</w:t>
      </w:r>
    </w:p>
    <w:p w14:paraId="2A954578">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方委托第三方具备水质检测资质的单位对处理终端进出水水质定期或不定期进行取样检测，第三方水质检测单位现场取样时，运维单位无条件配合，不得弄虚作假或干扰影响。第三方水质检测单位水质检测工作按浙江省《农村生活污水治理设施出水水质检测与结果评价导则》相关要求执行，检测频率与检测项目由业主单位自行安排决定。</w:t>
      </w:r>
    </w:p>
    <w:p w14:paraId="6403C494">
      <w:pPr>
        <w:pStyle w:val="31"/>
        <w:spacing w:line="440" w:lineRule="exact"/>
        <w:ind w:firstLine="440" w:firstLineChars="200"/>
        <w:rPr>
          <w:rFonts w:hint="eastAsia" w:ascii="宋体" w:hAnsi="宋体" w:cs="宋体"/>
          <w:b/>
          <w:color w:val="auto"/>
          <w:kern w:val="0"/>
          <w:sz w:val="22"/>
          <w:highlight w:val="none"/>
        </w:rPr>
      </w:pPr>
      <w:r>
        <w:rPr>
          <w:rFonts w:hint="eastAsia" w:ascii="宋体" w:hAnsi="宋体" w:cs="宋体"/>
          <w:b/>
          <w:color w:val="auto"/>
          <w:kern w:val="0"/>
          <w:sz w:val="22"/>
          <w:highlight w:val="none"/>
        </w:rPr>
        <w:t>10.7维修与更换</w:t>
      </w:r>
    </w:p>
    <w:p w14:paraId="35EDF5A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10.7.1设施设备的维修更换（设施维修范围包括：1、暴雨、洪水、台风、海啸、地震、雷电、火灾等不可预见原因造成的处理设施损坏的修复；2、沉降引起处理设施损坏的修复；3、违法排污、人为破坏等造成的处理设施损坏的修复；4、池体（罐体）倾斜、开裂、上浮等问题的修复；5、水泵、风机、控制柜、消毒设备的更换修复；6、人工湿地填料的更换，池体填料（包括球类填料、弹性填料等）及曝气设施的更换；7、摄像头、流量计、在线监测设备等仪表设备的修复；8、终端范围内绿化的整体更换；9、管道开裂、脱节问题的开挖修复；10、管道变形产生堵塞的开挖修复；11、检查井（井盖除外）损坏的重建；12、甲方要求的接户设施完善；等方面。）</w:t>
      </w:r>
    </w:p>
    <w:p w14:paraId="23F70F1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①小修：管道及设施设备（水泵、风机更换除外，不论金额纳入大中修管理）以村为单位根据上述设施维修范围十二项情形，每个村在其中一项情形下发生修理费用在5000元以内的（含），由中标供应商在5日内完成维修更换工作，产生的维修费用由中标供应商承担；</w:t>
      </w:r>
      <w:r>
        <w:rPr>
          <w:rFonts w:ascii="宋体" w:hAnsi="宋体" w:cs="宋体"/>
          <w:color w:val="auto"/>
          <w:sz w:val="22"/>
          <w:highlight w:val="none"/>
        </w:rPr>
        <w:t xml:space="preserve"> </w:t>
      </w:r>
    </w:p>
    <w:p w14:paraId="1E58CF39">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②大中修：管道及设施设备以村为单位根据上述设施维修范围十二项情形，每个村在其中一项情形下发生修理费用在5000元以上的，由中标供应商在24小时内向乡镇和采购人书面报修，经相关部门同意后由中标供应商进行维修更换工作，产生的维修费用由采购人承担，每年度大中修费用最高不超过每年度运维费的20%（户内化粪池清掏作业产生的费用列入该项费用中，报采购人确认后，在该项费用中支出），每年度大中修上报费用超出限额的，超出部分由中标供应商自行承担；</w:t>
      </w:r>
    </w:p>
    <w:p w14:paraId="40D431AA">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10.7.2无论大中修，另外，由于中标供应商在运维过程中没有按相关规定操作、运维不到位及其他人为原因造成的设施损坏，所产生的损失（包括维修、更换费用）不管金额多少全部由中标供应商自行承担，并及时组织维修、更换，若中标供应商拒不组织维修、更换，甲方可自行组织力量进行维修、更换，维修、更换经费直接在履约保证金中扣除。中标供应商在发现设备实施等受损或须更换的情况，应在第一时间上报甲方，并组织维修且须在24小时内完成，其维修资金额度的判定以甲方委托第三方审核为准，按以上要求执行；审定后的维修费若由甲方支付，则纳入当</w:t>
      </w:r>
      <w:r>
        <w:rPr>
          <w:rFonts w:hint="eastAsia" w:ascii="宋体" w:hAnsi="宋体" w:cs="宋体"/>
          <w:color w:val="auto"/>
          <w:sz w:val="22"/>
          <w:highlight w:val="none"/>
          <w:lang w:val="en-US" w:eastAsia="zh-CN"/>
        </w:rPr>
        <w:t>前支付周期</w:t>
      </w:r>
      <w:r>
        <w:rPr>
          <w:rFonts w:hint="eastAsia" w:ascii="宋体" w:hAnsi="宋体" w:cs="宋体"/>
          <w:color w:val="auto"/>
          <w:sz w:val="22"/>
          <w:highlight w:val="none"/>
        </w:rPr>
        <w:t>运维服务费中支付。</w:t>
      </w:r>
    </w:p>
    <w:p w14:paraId="56EB9F7E">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10.7.3审核依据：根据委托具有造价咨询资质的第三方按浙江省2018计价依据和建设工程工程量清单计价规范及修理期间最新一期的《温州工程造价信息》，《温州工程造价信息》没有的，参考同期的《浙江省造价信息》，无以上价格信息的，由第三方询价并经甲方确认）完成组价后按下浮10%执行，设施维修需更换优于或相当于档次的设备品牌，具体选型由甲方确定，中标供应商不得以品牌价差为由提出维修规模异议。</w:t>
      </w:r>
    </w:p>
    <w:p w14:paraId="437DF7A7">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10.7.4以上设施设备的修理应按每次每项修理情况核实费用，区分大中小修，不能合并同类项。且中标供应商要根据日常运维状况，及时向</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和</w:t>
      </w:r>
      <w:r>
        <w:rPr>
          <w:rFonts w:hint="eastAsia" w:ascii="宋体" w:hAnsi="宋体" w:cs="宋体"/>
          <w:color w:val="auto"/>
          <w:sz w:val="22"/>
          <w:highlight w:val="none"/>
          <w:lang w:eastAsia="zh-CN"/>
        </w:rPr>
        <w:t>区</w:t>
      </w:r>
      <w:r>
        <w:rPr>
          <w:rFonts w:hint="eastAsia" w:ascii="宋体" w:hAnsi="宋体" w:cs="宋体"/>
          <w:color w:val="auto"/>
          <w:sz w:val="22"/>
          <w:highlight w:val="none"/>
        </w:rPr>
        <w:t>主管部门反馈并提出设施维修方案计划、受损工程修复时间计划和资金预算，</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审核后上报</w:t>
      </w:r>
      <w:r>
        <w:rPr>
          <w:rFonts w:hint="eastAsia" w:ascii="宋体" w:hAnsi="宋体" w:cs="宋体"/>
          <w:color w:val="auto"/>
          <w:sz w:val="22"/>
          <w:highlight w:val="none"/>
          <w:lang w:val="en-US" w:eastAsia="zh-CN"/>
        </w:rPr>
        <w:t>区</w:t>
      </w:r>
      <w:r>
        <w:rPr>
          <w:rFonts w:hint="eastAsia" w:ascii="宋体" w:hAnsi="宋体" w:cs="宋体"/>
          <w:color w:val="auto"/>
          <w:sz w:val="22"/>
          <w:highlight w:val="none"/>
        </w:rPr>
        <w:t>主管部门，按</w:t>
      </w:r>
      <w:r>
        <w:rPr>
          <w:rFonts w:hint="eastAsia" w:ascii="宋体" w:hAnsi="宋体" w:cs="宋体"/>
          <w:color w:val="auto"/>
          <w:sz w:val="22"/>
          <w:highlight w:val="none"/>
          <w:lang w:val="en-US" w:eastAsia="zh-CN"/>
        </w:rPr>
        <w:t>区</w:t>
      </w:r>
      <w:r>
        <w:rPr>
          <w:rFonts w:hint="eastAsia" w:ascii="宋体" w:hAnsi="宋体" w:cs="宋体"/>
          <w:color w:val="auto"/>
          <w:sz w:val="22"/>
          <w:highlight w:val="none"/>
        </w:rPr>
        <w:t>级要求规定给予实施。</w:t>
      </w:r>
    </w:p>
    <w:p w14:paraId="12927787">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10.7.5本项目在运维管理期间，污水处理设备、管网等需要维修或更换的，如其尚在免费质保期内的，由中标供应商协调联系厂家予以免费维修。</w:t>
      </w:r>
    </w:p>
    <w:p w14:paraId="30756F45">
      <w:pPr>
        <w:pStyle w:val="31"/>
        <w:spacing w:line="440" w:lineRule="exact"/>
        <w:ind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10.8</w:t>
      </w:r>
      <w:r>
        <w:rPr>
          <w:rFonts w:hint="eastAsia" w:ascii="宋体" w:hAnsi="宋体" w:cs="宋体"/>
          <w:b/>
          <w:bCs/>
          <w:color w:val="auto"/>
          <w:sz w:val="22"/>
          <w:highlight w:val="none"/>
        </w:rPr>
        <w:t>本项目运维服务要求具体以《</w:t>
      </w:r>
      <w:r>
        <w:rPr>
          <w:rFonts w:hint="eastAsia" w:ascii="宋体" w:hAnsi="宋体" w:cs="宋体"/>
          <w:b/>
          <w:bCs/>
          <w:color w:val="auto"/>
          <w:sz w:val="22"/>
          <w:highlight w:val="none"/>
          <w:lang w:eastAsia="zh-CN"/>
        </w:rPr>
        <w:t>山福镇</w:t>
      </w:r>
      <w:r>
        <w:rPr>
          <w:rFonts w:hint="eastAsia" w:ascii="宋体" w:hAnsi="宋体" w:cs="宋体"/>
          <w:b/>
          <w:bCs/>
          <w:color w:val="auto"/>
          <w:sz w:val="22"/>
          <w:highlight w:val="none"/>
        </w:rPr>
        <w:t>农村生活污水处理设施管理办法》为准，运维考核标准由甲方负责解释，乙方不得有异议。</w:t>
      </w:r>
    </w:p>
    <w:p w14:paraId="0B70E634">
      <w:pPr>
        <w:pStyle w:val="31"/>
        <w:spacing w:line="440" w:lineRule="exact"/>
        <w:ind w:firstLine="440" w:firstLineChars="200"/>
        <w:rPr>
          <w:rFonts w:hint="eastAsia" w:ascii="宋体" w:hAnsi="宋体" w:cs="宋体"/>
          <w:b/>
          <w:bCs/>
          <w:color w:val="auto"/>
          <w:sz w:val="22"/>
          <w:highlight w:val="none"/>
        </w:rPr>
      </w:pPr>
      <w:r>
        <w:rPr>
          <w:rFonts w:hint="eastAsia" w:ascii="宋体" w:hAnsi="宋体" w:cs="宋体"/>
          <w:b/>
          <w:bCs/>
          <w:color w:val="auto"/>
          <w:sz w:val="22"/>
          <w:highlight w:val="none"/>
        </w:rPr>
        <w:t>10.9本项目的考核办法解释权归甲方所有；如有必要，甲方有权对考核标准和实施细则进行合理的修改并通知乙方，乙方必须无条件服从。</w:t>
      </w:r>
    </w:p>
    <w:p w14:paraId="7592820D">
      <w:pPr>
        <w:pStyle w:val="31"/>
        <w:spacing w:line="440" w:lineRule="exact"/>
        <w:ind w:firstLine="440" w:firstLineChars="200"/>
        <w:rPr>
          <w:rFonts w:hint="eastAsia" w:ascii="宋体" w:hAnsi="宋体"/>
          <w:color w:val="auto"/>
          <w:sz w:val="22"/>
          <w:szCs w:val="22"/>
          <w:highlight w:val="none"/>
        </w:rPr>
      </w:pPr>
      <w:r>
        <w:rPr>
          <w:rFonts w:hint="eastAsia" w:ascii="宋体" w:hAnsi="宋体" w:cs="宋体"/>
          <w:b/>
          <w:bCs/>
          <w:color w:val="auto"/>
          <w:sz w:val="22"/>
          <w:highlight w:val="none"/>
        </w:rPr>
        <w:t>10.11</w:t>
      </w:r>
      <w:r>
        <w:rPr>
          <w:rFonts w:hint="eastAsia" w:ascii="宋体" w:hAnsi="宋体"/>
          <w:b/>
          <w:color w:val="auto"/>
          <w:sz w:val="22"/>
          <w:highlight w:val="none"/>
        </w:rPr>
        <w:t>乙方根据本合同所承担的服务内容及“劳动法”有关规定，按实际上岗人数自行到有关部门申办用工手续、</w:t>
      </w:r>
      <w:r>
        <w:rPr>
          <w:rFonts w:ascii="宋体" w:hAnsi="宋体"/>
          <w:b/>
          <w:color w:val="auto"/>
          <w:sz w:val="22"/>
          <w:highlight w:val="none"/>
        </w:rPr>
        <w:t>享受按国家有关规定的员工社会保险，根据浙政办发（2009）190号文件，月工资收入不低于</w:t>
      </w:r>
      <w:r>
        <w:rPr>
          <w:rFonts w:hint="eastAsia" w:ascii="宋体" w:hAnsi="宋体"/>
          <w:b/>
          <w:color w:val="auto"/>
          <w:sz w:val="22"/>
          <w:highlight w:val="none"/>
        </w:rPr>
        <w:t>鹿城区</w:t>
      </w:r>
      <w:r>
        <w:rPr>
          <w:rFonts w:ascii="宋体" w:hAnsi="宋体"/>
          <w:b/>
          <w:color w:val="auto"/>
          <w:sz w:val="22"/>
          <w:highlight w:val="none"/>
        </w:rPr>
        <w:t xml:space="preserve">本年最低工资标准110% </w:t>
      </w:r>
      <w:r>
        <w:rPr>
          <w:rFonts w:hint="eastAsia" w:ascii="宋体" w:hAnsi="宋体"/>
          <w:b/>
          <w:color w:val="auto"/>
          <w:sz w:val="22"/>
          <w:highlight w:val="none"/>
        </w:rPr>
        <w:t>，高温补贴、加班费、人员福利按相关规定发放</w:t>
      </w:r>
      <w:r>
        <w:rPr>
          <w:rFonts w:ascii="宋体" w:hAnsi="宋体"/>
          <w:b/>
          <w:color w:val="auto"/>
          <w:sz w:val="22"/>
          <w:highlight w:val="none"/>
        </w:rPr>
        <w:t>。</w:t>
      </w:r>
      <w:r>
        <w:rPr>
          <w:rFonts w:hint="eastAsia" w:ascii="宋体" w:hAnsi="宋体"/>
          <w:b/>
          <w:color w:val="auto"/>
          <w:sz w:val="22"/>
          <w:highlight w:val="none"/>
        </w:rPr>
        <w:t>并安排好属下人员的住宿和教育管理工作，如发生违法违纪事件，</w:t>
      </w:r>
      <w:r>
        <w:rPr>
          <w:rFonts w:ascii="宋体" w:hAnsi="宋体"/>
          <w:b/>
          <w:color w:val="auto"/>
          <w:sz w:val="22"/>
          <w:highlight w:val="none"/>
        </w:rPr>
        <w:t>不按国家规定为员工提供社保的或员工工资低于</w:t>
      </w:r>
      <w:r>
        <w:rPr>
          <w:rFonts w:hint="eastAsia" w:ascii="宋体" w:hAnsi="宋体"/>
          <w:b/>
          <w:color w:val="auto"/>
          <w:sz w:val="22"/>
          <w:highlight w:val="none"/>
        </w:rPr>
        <w:t>鹿城区</w:t>
      </w:r>
      <w:r>
        <w:rPr>
          <w:rFonts w:ascii="宋体" w:hAnsi="宋体"/>
          <w:b/>
          <w:color w:val="auto"/>
          <w:sz w:val="22"/>
          <w:highlight w:val="none"/>
        </w:rPr>
        <w:t>本年最低工资标准110%的</w:t>
      </w:r>
      <w:r>
        <w:rPr>
          <w:rFonts w:hint="eastAsia" w:ascii="宋体" w:hAnsi="宋体"/>
          <w:b/>
          <w:color w:val="auto"/>
          <w:sz w:val="22"/>
          <w:highlight w:val="none"/>
        </w:rPr>
        <w:t>，由乙方承担一切经济责任和法律责任。</w:t>
      </w:r>
    </w:p>
    <w:p w14:paraId="1AD81544">
      <w:pPr>
        <w:pStyle w:val="3"/>
        <w:spacing w:before="0" w:after="0"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12 附表</w:t>
      </w:r>
    </w:p>
    <w:p w14:paraId="508BCEC3">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w:t>
      </w:r>
      <w:bookmarkEnd w:id="383"/>
      <w:bookmarkEnd w:id="384"/>
      <w:bookmarkEnd w:id="385"/>
      <w:r>
        <w:rPr>
          <w:rFonts w:hint="eastAsia" w:ascii="宋体" w:hAnsi="宋体" w:cs="宋体"/>
          <w:color w:val="auto"/>
          <w:sz w:val="22"/>
          <w:highlight w:val="none"/>
        </w:rPr>
        <w:t>运维项目服务对象一览表</w:t>
      </w:r>
      <w:bookmarkEnd w:id="386"/>
      <w:bookmarkEnd w:id="387"/>
      <w:bookmarkEnd w:id="388"/>
    </w:p>
    <w:p w14:paraId="47AAD53F">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附表1-1：集中处理设施一览表</w:t>
      </w:r>
    </w:p>
    <w:p w14:paraId="1678D2C9">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附表1-2：户用处理设备一览表</w:t>
      </w:r>
    </w:p>
    <w:p w14:paraId="18A6423E">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附表1-3：简易设施一览表</w:t>
      </w:r>
    </w:p>
    <w:p w14:paraId="3EFB448B">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附表1-4：公共化粪池一览表</w:t>
      </w:r>
    </w:p>
    <w:p w14:paraId="4897661B">
      <w:pPr>
        <w:pStyle w:val="31"/>
        <w:spacing w:line="440" w:lineRule="exact"/>
        <w:ind w:firstLine="440" w:firstLineChars="200"/>
        <w:rPr>
          <w:rFonts w:hint="eastAsia" w:ascii="宋体" w:hAnsi="宋体" w:cs="宋体"/>
          <w:color w:val="auto"/>
          <w:sz w:val="22"/>
          <w:highlight w:val="none"/>
        </w:rPr>
        <w:sectPr>
          <w:pgSz w:w="11906" w:h="16838"/>
          <w:pgMar w:top="1134" w:right="1134" w:bottom="1134" w:left="1134" w:header="680" w:footer="992" w:gutter="0"/>
          <w:pgNumType w:start="2"/>
          <w:cols w:space="0" w:num="1"/>
          <w:rtlGutter w:val="0"/>
          <w:docGrid w:type="linesAndChars" w:linePitch="312" w:charSpace="0"/>
        </w:sectPr>
      </w:pPr>
      <w:r>
        <w:rPr>
          <w:rFonts w:hint="eastAsia" w:ascii="宋体" w:hAnsi="宋体" w:cs="宋体"/>
          <w:color w:val="auto"/>
          <w:sz w:val="22"/>
          <w:highlight w:val="none"/>
        </w:rPr>
        <w:t>附表2:</w:t>
      </w:r>
      <w:r>
        <w:rPr>
          <w:rFonts w:hint="eastAsia" w:ascii="宋体" w:hAnsi="宋体" w:cs="宋体"/>
          <w:color w:val="auto"/>
          <w:sz w:val="22"/>
          <w:highlight w:val="none"/>
          <w:lang w:eastAsia="zh-CN"/>
        </w:rPr>
        <w:t>山福镇</w:t>
      </w:r>
      <w:r>
        <w:rPr>
          <w:rFonts w:hint="eastAsia" w:ascii="宋体" w:hAnsi="宋体" w:cs="宋体"/>
          <w:color w:val="auto"/>
          <w:sz w:val="22"/>
          <w:highlight w:val="none"/>
        </w:rPr>
        <w:t>农村生活污水处理设施第三方运维考核表</w:t>
      </w:r>
    </w:p>
    <w:p w14:paraId="1383C3A4">
      <w:pPr>
        <w:rPr>
          <w:rFonts w:ascii="宋体" w:hAnsi="宋体" w:cs="宋体"/>
          <w:color w:val="auto"/>
          <w:szCs w:val="21"/>
          <w:highlight w:val="none"/>
        </w:rPr>
      </w:pPr>
      <w:r>
        <w:rPr>
          <w:rFonts w:hint="eastAsia" w:ascii="宋体" w:hAnsi="宋体" w:cs="宋体"/>
          <w:color w:val="auto"/>
          <w:szCs w:val="21"/>
          <w:highlight w:val="none"/>
        </w:rPr>
        <w:t xml:space="preserve">附表1：                                 </w:t>
      </w:r>
      <w:r>
        <w:rPr>
          <w:rFonts w:hint="eastAsia" w:ascii="宋体" w:hAnsi="宋体" w:cs="宋体"/>
          <w:b/>
          <w:color w:val="auto"/>
          <w:sz w:val="24"/>
          <w:highlight w:val="none"/>
        </w:rPr>
        <w:t xml:space="preserve">         运维项目服务对象一览表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696"/>
        <w:gridCol w:w="2769"/>
        <w:gridCol w:w="1380"/>
        <w:gridCol w:w="1850"/>
        <w:gridCol w:w="2785"/>
        <w:gridCol w:w="1403"/>
      </w:tblGrid>
      <w:tr w14:paraId="79C0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1" w:type="dxa"/>
            <w:noWrap w:val="0"/>
            <w:vAlign w:val="center"/>
          </w:tcPr>
          <w:p w14:paraId="0D611F2C">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696" w:type="dxa"/>
            <w:noWrap w:val="0"/>
            <w:vAlign w:val="center"/>
          </w:tcPr>
          <w:p w14:paraId="7B91F576">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2769" w:type="dxa"/>
            <w:noWrap w:val="0"/>
            <w:vAlign w:val="center"/>
          </w:tcPr>
          <w:p w14:paraId="7C0C598B">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380" w:type="dxa"/>
            <w:noWrap w:val="0"/>
            <w:vAlign w:val="center"/>
          </w:tcPr>
          <w:p w14:paraId="5AD5B4C9">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850" w:type="dxa"/>
            <w:noWrap w:val="0"/>
            <w:vAlign w:val="center"/>
          </w:tcPr>
          <w:p w14:paraId="255C0AE6">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2785" w:type="dxa"/>
            <w:noWrap w:val="0"/>
            <w:vAlign w:val="center"/>
          </w:tcPr>
          <w:p w14:paraId="449BFBAC">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403" w:type="dxa"/>
            <w:noWrap w:val="0"/>
            <w:vAlign w:val="center"/>
          </w:tcPr>
          <w:p w14:paraId="0F5C280B">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运维费总价</w:t>
            </w:r>
          </w:p>
        </w:tc>
      </w:tr>
      <w:tr w14:paraId="2AFC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619106EA">
            <w:pPr>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696" w:type="dxa"/>
            <w:noWrap w:val="0"/>
            <w:vAlign w:val="center"/>
          </w:tcPr>
          <w:p w14:paraId="1D9F9F95">
            <w:pPr>
              <w:jc w:val="center"/>
              <w:rPr>
                <w:rFonts w:ascii="宋体" w:hAnsi="宋体" w:cs="仿宋"/>
                <w:color w:val="auto"/>
                <w:sz w:val="22"/>
                <w:szCs w:val="22"/>
                <w:highlight w:val="none"/>
              </w:rPr>
            </w:pPr>
            <w:r>
              <w:rPr>
                <w:rFonts w:hint="eastAsia" w:ascii="宋体" w:hAnsi="宋体" w:cs="仿宋"/>
                <w:color w:val="auto"/>
                <w:sz w:val="22"/>
                <w:szCs w:val="22"/>
                <w:highlight w:val="none"/>
              </w:rPr>
              <w:t>集中处理设施</w:t>
            </w:r>
          </w:p>
        </w:tc>
        <w:tc>
          <w:tcPr>
            <w:tcW w:w="2769" w:type="dxa"/>
            <w:noWrap w:val="0"/>
            <w:vAlign w:val="center"/>
          </w:tcPr>
          <w:p w14:paraId="0827BB17">
            <w:pPr>
              <w:spacing w:line="600" w:lineRule="auto"/>
              <w:jc w:val="center"/>
              <w:rPr>
                <w:rFonts w:ascii="宋体" w:hAnsi="宋体" w:cs="仿宋"/>
                <w:color w:val="auto"/>
                <w:sz w:val="22"/>
                <w:szCs w:val="22"/>
                <w:highlight w:val="none"/>
              </w:rPr>
            </w:pPr>
          </w:p>
        </w:tc>
        <w:tc>
          <w:tcPr>
            <w:tcW w:w="1380" w:type="dxa"/>
            <w:noWrap w:val="0"/>
            <w:vAlign w:val="center"/>
          </w:tcPr>
          <w:p w14:paraId="5E67F092">
            <w:pPr>
              <w:spacing w:line="600" w:lineRule="auto"/>
              <w:jc w:val="center"/>
              <w:rPr>
                <w:rFonts w:ascii="宋体" w:hAnsi="宋体" w:cs="仿宋"/>
                <w:color w:val="auto"/>
                <w:sz w:val="22"/>
                <w:szCs w:val="22"/>
                <w:highlight w:val="none"/>
              </w:rPr>
            </w:pPr>
          </w:p>
        </w:tc>
        <w:tc>
          <w:tcPr>
            <w:tcW w:w="1850" w:type="dxa"/>
            <w:noWrap w:val="0"/>
            <w:vAlign w:val="center"/>
          </w:tcPr>
          <w:p w14:paraId="0C2089A5">
            <w:pPr>
              <w:spacing w:line="600" w:lineRule="auto"/>
              <w:jc w:val="center"/>
              <w:rPr>
                <w:rFonts w:ascii="宋体" w:hAnsi="宋体" w:cs="仿宋"/>
                <w:color w:val="auto"/>
                <w:sz w:val="22"/>
                <w:szCs w:val="22"/>
                <w:highlight w:val="none"/>
              </w:rPr>
            </w:pPr>
          </w:p>
        </w:tc>
        <w:tc>
          <w:tcPr>
            <w:tcW w:w="2785" w:type="dxa"/>
            <w:noWrap w:val="0"/>
            <w:vAlign w:val="center"/>
          </w:tcPr>
          <w:p w14:paraId="210DABA9">
            <w:pPr>
              <w:spacing w:line="600" w:lineRule="auto"/>
              <w:jc w:val="center"/>
              <w:rPr>
                <w:rFonts w:ascii="宋体" w:hAnsi="宋体" w:cs="仿宋"/>
                <w:color w:val="auto"/>
                <w:sz w:val="22"/>
                <w:szCs w:val="22"/>
                <w:highlight w:val="none"/>
              </w:rPr>
            </w:pPr>
          </w:p>
        </w:tc>
        <w:tc>
          <w:tcPr>
            <w:tcW w:w="1403" w:type="dxa"/>
            <w:noWrap w:val="0"/>
            <w:vAlign w:val="center"/>
          </w:tcPr>
          <w:p w14:paraId="44A0EE6F">
            <w:pPr>
              <w:spacing w:line="600" w:lineRule="auto"/>
              <w:jc w:val="center"/>
              <w:rPr>
                <w:rFonts w:ascii="宋体" w:hAnsi="宋体" w:cs="仿宋"/>
                <w:color w:val="auto"/>
                <w:sz w:val="22"/>
                <w:szCs w:val="22"/>
                <w:highlight w:val="none"/>
              </w:rPr>
            </w:pPr>
          </w:p>
        </w:tc>
      </w:tr>
      <w:tr w14:paraId="5DBF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2817F0DA">
            <w:pPr>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696" w:type="dxa"/>
            <w:noWrap w:val="0"/>
            <w:vAlign w:val="center"/>
          </w:tcPr>
          <w:p w14:paraId="33A37D9A">
            <w:pPr>
              <w:jc w:val="center"/>
              <w:rPr>
                <w:rFonts w:ascii="宋体" w:hAnsi="宋体" w:cs="仿宋"/>
                <w:color w:val="auto"/>
                <w:sz w:val="22"/>
                <w:szCs w:val="22"/>
                <w:highlight w:val="none"/>
              </w:rPr>
            </w:pPr>
            <w:r>
              <w:rPr>
                <w:rFonts w:hint="eastAsia" w:ascii="宋体" w:hAnsi="宋体" w:cs="仿宋"/>
                <w:color w:val="auto"/>
                <w:sz w:val="22"/>
                <w:szCs w:val="22"/>
                <w:highlight w:val="none"/>
              </w:rPr>
              <w:t>户用处理设备</w:t>
            </w:r>
          </w:p>
        </w:tc>
        <w:tc>
          <w:tcPr>
            <w:tcW w:w="2769" w:type="dxa"/>
            <w:noWrap w:val="0"/>
            <w:vAlign w:val="center"/>
          </w:tcPr>
          <w:p w14:paraId="2358598E">
            <w:pPr>
              <w:spacing w:line="600" w:lineRule="auto"/>
              <w:jc w:val="center"/>
              <w:rPr>
                <w:rFonts w:ascii="宋体" w:hAnsi="宋体" w:cs="仿宋"/>
                <w:color w:val="auto"/>
                <w:sz w:val="22"/>
                <w:szCs w:val="22"/>
                <w:highlight w:val="none"/>
              </w:rPr>
            </w:pPr>
          </w:p>
        </w:tc>
        <w:tc>
          <w:tcPr>
            <w:tcW w:w="1380" w:type="dxa"/>
            <w:noWrap w:val="0"/>
            <w:vAlign w:val="center"/>
          </w:tcPr>
          <w:p w14:paraId="366B9411">
            <w:pPr>
              <w:spacing w:line="600" w:lineRule="auto"/>
              <w:jc w:val="center"/>
              <w:rPr>
                <w:rFonts w:ascii="宋体" w:hAnsi="宋体" w:cs="仿宋"/>
                <w:color w:val="auto"/>
                <w:sz w:val="22"/>
                <w:szCs w:val="22"/>
                <w:highlight w:val="none"/>
              </w:rPr>
            </w:pPr>
          </w:p>
        </w:tc>
        <w:tc>
          <w:tcPr>
            <w:tcW w:w="1850" w:type="dxa"/>
            <w:noWrap w:val="0"/>
            <w:vAlign w:val="center"/>
          </w:tcPr>
          <w:p w14:paraId="0C103B68">
            <w:pPr>
              <w:spacing w:line="600" w:lineRule="auto"/>
              <w:jc w:val="center"/>
              <w:rPr>
                <w:rFonts w:ascii="宋体" w:hAnsi="宋体" w:cs="仿宋"/>
                <w:color w:val="auto"/>
                <w:sz w:val="22"/>
                <w:szCs w:val="22"/>
                <w:highlight w:val="none"/>
              </w:rPr>
            </w:pPr>
          </w:p>
        </w:tc>
        <w:tc>
          <w:tcPr>
            <w:tcW w:w="2785" w:type="dxa"/>
            <w:noWrap w:val="0"/>
            <w:vAlign w:val="center"/>
          </w:tcPr>
          <w:p w14:paraId="06DB946D">
            <w:pPr>
              <w:spacing w:line="600" w:lineRule="auto"/>
              <w:jc w:val="center"/>
              <w:rPr>
                <w:rFonts w:ascii="宋体" w:hAnsi="宋体" w:cs="仿宋"/>
                <w:color w:val="auto"/>
                <w:sz w:val="22"/>
                <w:szCs w:val="22"/>
                <w:highlight w:val="none"/>
              </w:rPr>
            </w:pPr>
          </w:p>
        </w:tc>
        <w:tc>
          <w:tcPr>
            <w:tcW w:w="1403" w:type="dxa"/>
            <w:noWrap w:val="0"/>
            <w:vAlign w:val="center"/>
          </w:tcPr>
          <w:p w14:paraId="05406489">
            <w:pPr>
              <w:spacing w:line="600" w:lineRule="auto"/>
              <w:jc w:val="center"/>
              <w:rPr>
                <w:rFonts w:ascii="宋体" w:hAnsi="宋体" w:cs="仿宋"/>
                <w:color w:val="auto"/>
                <w:sz w:val="22"/>
                <w:szCs w:val="22"/>
                <w:highlight w:val="none"/>
              </w:rPr>
            </w:pPr>
          </w:p>
        </w:tc>
      </w:tr>
      <w:tr w14:paraId="649D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6685E5A7">
            <w:pPr>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696" w:type="dxa"/>
            <w:noWrap w:val="0"/>
            <w:vAlign w:val="center"/>
          </w:tcPr>
          <w:p w14:paraId="15CEBD39">
            <w:pPr>
              <w:jc w:val="center"/>
              <w:rPr>
                <w:rFonts w:ascii="宋体" w:hAnsi="宋体" w:cs="仿宋"/>
                <w:color w:val="auto"/>
                <w:sz w:val="22"/>
                <w:szCs w:val="22"/>
                <w:highlight w:val="none"/>
              </w:rPr>
            </w:pPr>
            <w:r>
              <w:rPr>
                <w:rFonts w:hint="eastAsia" w:ascii="宋体" w:hAnsi="宋体" w:cs="仿宋"/>
                <w:color w:val="auto"/>
                <w:sz w:val="22"/>
                <w:szCs w:val="22"/>
                <w:highlight w:val="none"/>
              </w:rPr>
              <w:t>简易设施</w:t>
            </w:r>
          </w:p>
        </w:tc>
        <w:tc>
          <w:tcPr>
            <w:tcW w:w="2769" w:type="dxa"/>
            <w:noWrap w:val="0"/>
            <w:vAlign w:val="center"/>
          </w:tcPr>
          <w:p w14:paraId="0F2239D5">
            <w:pPr>
              <w:spacing w:line="600" w:lineRule="auto"/>
              <w:jc w:val="center"/>
              <w:rPr>
                <w:rFonts w:ascii="宋体" w:hAnsi="宋体" w:cs="仿宋"/>
                <w:color w:val="auto"/>
                <w:sz w:val="22"/>
                <w:szCs w:val="22"/>
                <w:highlight w:val="none"/>
              </w:rPr>
            </w:pPr>
          </w:p>
        </w:tc>
        <w:tc>
          <w:tcPr>
            <w:tcW w:w="1380" w:type="dxa"/>
            <w:noWrap w:val="0"/>
            <w:vAlign w:val="center"/>
          </w:tcPr>
          <w:p w14:paraId="77B6D427">
            <w:pPr>
              <w:spacing w:line="600" w:lineRule="auto"/>
              <w:jc w:val="center"/>
              <w:rPr>
                <w:rFonts w:ascii="宋体" w:hAnsi="宋体" w:cs="仿宋"/>
                <w:color w:val="auto"/>
                <w:sz w:val="22"/>
                <w:szCs w:val="22"/>
                <w:highlight w:val="none"/>
              </w:rPr>
            </w:pPr>
          </w:p>
        </w:tc>
        <w:tc>
          <w:tcPr>
            <w:tcW w:w="1850" w:type="dxa"/>
            <w:noWrap w:val="0"/>
            <w:vAlign w:val="center"/>
          </w:tcPr>
          <w:p w14:paraId="2469BF16">
            <w:pPr>
              <w:spacing w:line="600" w:lineRule="auto"/>
              <w:jc w:val="center"/>
              <w:rPr>
                <w:rFonts w:ascii="宋体" w:hAnsi="宋体" w:cs="仿宋"/>
                <w:color w:val="auto"/>
                <w:sz w:val="22"/>
                <w:szCs w:val="22"/>
                <w:highlight w:val="none"/>
              </w:rPr>
            </w:pPr>
          </w:p>
        </w:tc>
        <w:tc>
          <w:tcPr>
            <w:tcW w:w="2785" w:type="dxa"/>
            <w:noWrap w:val="0"/>
            <w:vAlign w:val="center"/>
          </w:tcPr>
          <w:p w14:paraId="6D27EB52">
            <w:pPr>
              <w:spacing w:line="600" w:lineRule="auto"/>
              <w:jc w:val="center"/>
              <w:rPr>
                <w:rFonts w:ascii="宋体" w:hAnsi="宋体" w:cs="仿宋"/>
                <w:color w:val="auto"/>
                <w:sz w:val="22"/>
                <w:szCs w:val="22"/>
                <w:highlight w:val="none"/>
              </w:rPr>
            </w:pPr>
          </w:p>
        </w:tc>
        <w:tc>
          <w:tcPr>
            <w:tcW w:w="1403" w:type="dxa"/>
            <w:noWrap w:val="0"/>
            <w:vAlign w:val="center"/>
          </w:tcPr>
          <w:p w14:paraId="0AE562D5">
            <w:pPr>
              <w:spacing w:line="600" w:lineRule="auto"/>
              <w:jc w:val="center"/>
              <w:rPr>
                <w:rFonts w:ascii="宋体" w:hAnsi="宋体" w:cs="仿宋"/>
                <w:color w:val="auto"/>
                <w:sz w:val="22"/>
                <w:szCs w:val="22"/>
                <w:highlight w:val="none"/>
              </w:rPr>
            </w:pPr>
          </w:p>
        </w:tc>
      </w:tr>
      <w:tr w14:paraId="609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323E5CA5">
            <w:pPr>
              <w:jc w:val="center"/>
              <w:rPr>
                <w:rFonts w:ascii="宋体" w:hAnsi="宋体" w:cs="仿宋"/>
                <w:color w:val="auto"/>
                <w:sz w:val="22"/>
                <w:szCs w:val="22"/>
                <w:highlight w:val="none"/>
              </w:rPr>
            </w:pPr>
            <w:r>
              <w:rPr>
                <w:rFonts w:hint="eastAsia" w:ascii="宋体" w:hAnsi="宋体" w:cs="仿宋"/>
                <w:color w:val="auto"/>
                <w:sz w:val="22"/>
                <w:szCs w:val="22"/>
                <w:highlight w:val="none"/>
              </w:rPr>
              <w:t>4</w:t>
            </w:r>
          </w:p>
        </w:tc>
        <w:tc>
          <w:tcPr>
            <w:tcW w:w="2696" w:type="dxa"/>
            <w:noWrap w:val="0"/>
            <w:vAlign w:val="center"/>
          </w:tcPr>
          <w:p w14:paraId="2EA9B1CF">
            <w:pPr>
              <w:jc w:val="center"/>
              <w:rPr>
                <w:rFonts w:ascii="宋体" w:hAnsi="宋体" w:cs="仿宋"/>
                <w:color w:val="auto"/>
                <w:sz w:val="22"/>
                <w:szCs w:val="22"/>
                <w:highlight w:val="none"/>
              </w:rPr>
            </w:pPr>
            <w:r>
              <w:rPr>
                <w:rFonts w:hint="eastAsia" w:ascii="宋体" w:hAnsi="宋体" w:cs="仿宋"/>
                <w:color w:val="auto"/>
                <w:sz w:val="22"/>
                <w:szCs w:val="22"/>
                <w:highlight w:val="none"/>
              </w:rPr>
              <w:t>公共化粪池</w:t>
            </w:r>
          </w:p>
        </w:tc>
        <w:tc>
          <w:tcPr>
            <w:tcW w:w="2769" w:type="dxa"/>
            <w:noWrap w:val="0"/>
            <w:vAlign w:val="center"/>
          </w:tcPr>
          <w:p w14:paraId="1183582D">
            <w:pPr>
              <w:spacing w:line="600" w:lineRule="auto"/>
              <w:jc w:val="center"/>
              <w:rPr>
                <w:rFonts w:ascii="宋体" w:hAnsi="宋体" w:cs="仿宋"/>
                <w:color w:val="auto"/>
                <w:sz w:val="22"/>
                <w:szCs w:val="22"/>
                <w:highlight w:val="none"/>
              </w:rPr>
            </w:pPr>
          </w:p>
        </w:tc>
        <w:tc>
          <w:tcPr>
            <w:tcW w:w="1380" w:type="dxa"/>
            <w:noWrap w:val="0"/>
            <w:vAlign w:val="center"/>
          </w:tcPr>
          <w:p w14:paraId="1A3C6CF7">
            <w:pPr>
              <w:spacing w:line="600" w:lineRule="auto"/>
              <w:jc w:val="center"/>
              <w:rPr>
                <w:rFonts w:ascii="宋体" w:hAnsi="宋体" w:cs="仿宋"/>
                <w:color w:val="auto"/>
                <w:sz w:val="22"/>
                <w:szCs w:val="22"/>
                <w:highlight w:val="none"/>
              </w:rPr>
            </w:pPr>
          </w:p>
        </w:tc>
        <w:tc>
          <w:tcPr>
            <w:tcW w:w="1850" w:type="dxa"/>
            <w:noWrap w:val="0"/>
            <w:vAlign w:val="center"/>
          </w:tcPr>
          <w:p w14:paraId="49E4264E">
            <w:pPr>
              <w:spacing w:line="600" w:lineRule="auto"/>
              <w:jc w:val="center"/>
              <w:rPr>
                <w:rFonts w:ascii="宋体" w:hAnsi="宋体" w:cs="仿宋"/>
                <w:color w:val="auto"/>
                <w:sz w:val="22"/>
                <w:szCs w:val="22"/>
                <w:highlight w:val="none"/>
              </w:rPr>
            </w:pPr>
          </w:p>
        </w:tc>
        <w:tc>
          <w:tcPr>
            <w:tcW w:w="2785" w:type="dxa"/>
            <w:noWrap w:val="0"/>
            <w:vAlign w:val="center"/>
          </w:tcPr>
          <w:p w14:paraId="1C3CA1A6">
            <w:pPr>
              <w:spacing w:line="600" w:lineRule="auto"/>
              <w:jc w:val="center"/>
              <w:rPr>
                <w:rFonts w:ascii="宋体" w:hAnsi="宋体" w:cs="仿宋"/>
                <w:color w:val="auto"/>
                <w:sz w:val="22"/>
                <w:szCs w:val="22"/>
                <w:highlight w:val="none"/>
              </w:rPr>
            </w:pPr>
          </w:p>
        </w:tc>
        <w:tc>
          <w:tcPr>
            <w:tcW w:w="1403" w:type="dxa"/>
            <w:noWrap w:val="0"/>
            <w:vAlign w:val="center"/>
          </w:tcPr>
          <w:p w14:paraId="73BE051A">
            <w:pPr>
              <w:spacing w:line="600" w:lineRule="auto"/>
              <w:jc w:val="center"/>
              <w:rPr>
                <w:rFonts w:ascii="宋体" w:hAnsi="宋体" w:cs="仿宋"/>
                <w:color w:val="auto"/>
                <w:sz w:val="22"/>
                <w:szCs w:val="22"/>
                <w:highlight w:val="none"/>
              </w:rPr>
            </w:pPr>
          </w:p>
        </w:tc>
      </w:tr>
      <w:tr w14:paraId="230B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vMerge w:val="restart"/>
            <w:noWrap w:val="0"/>
            <w:vAlign w:val="center"/>
          </w:tcPr>
          <w:p w14:paraId="6BAB5E36">
            <w:pPr>
              <w:jc w:val="center"/>
              <w:rPr>
                <w:rFonts w:ascii="宋体" w:hAnsi="宋体" w:cs="仿宋"/>
                <w:color w:val="auto"/>
                <w:sz w:val="22"/>
                <w:szCs w:val="22"/>
                <w:highlight w:val="none"/>
              </w:rPr>
            </w:pPr>
            <w:r>
              <w:rPr>
                <w:rFonts w:hint="eastAsia" w:ascii="宋体" w:hAnsi="宋体" w:cs="仿宋"/>
                <w:color w:val="auto"/>
                <w:sz w:val="22"/>
                <w:szCs w:val="22"/>
                <w:highlight w:val="none"/>
              </w:rPr>
              <w:t>5</w:t>
            </w:r>
          </w:p>
        </w:tc>
        <w:tc>
          <w:tcPr>
            <w:tcW w:w="2696" w:type="dxa"/>
            <w:vMerge w:val="restart"/>
            <w:noWrap w:val="0"/>
            <w:vAlign w:val="center"/>
          </w:tcPr>
          <w:p w14:paraId="022B22E4">
            <w:pPr>
              <w:jc w:val="center"/>
              <w:rPr>
                <w:rFonts w:ascii="宋体" w:hAnsi="宋体" w:cs="仿宋"/>
                <w:color w:val="auto"/>
                <w:sz w:val="22"/>
                <w:szCs w:val="22"/>
                <w:highlight w:val="none"/>
              </w:rPr>
            </w:pPr>
            <w:r>
              <w:rPr>
                <w:rFonts w:hint="eastAsia" w:ascii="宋体" w:hAnsi="宋体" w:cs="仿宋"/>
                <w:color w:val="auto"/>
                <w:sz w:val="22"/>
                <w:szCs w:val="22"/>
                <w:highlight w:val="none"/>
              </w:rPr>
              <w:t>户内化粪池（若有）</w:t>
            </w:r>
          </w:p>
        </w:tc>
        <w:tc>
          <w:tcPr>
            <w:tcW w:w="5999" w:type="dxa"/>
            <w:gridSpan w:val="3"/>
            <w:noWrap w:val="0"/>
            <w:vAlign w:val="center"/>
          </w:tcPr>
          <w:p w14:paraId="1C90189E">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补助服务户内化粪池（个）</w:t>
            </w:r>
          </w:p>
        </w:tc>
        <w:tc>
          <w:tcPr>
            <w:tcW w:w="4188" w:type="dxa"/>
            <w:gridSpan w:val="2"/>
            <w:noWrap w:val="0"/>
            <w:vAlign w:val="center"/>
          </w:tcPr>
          <w:p w14:paraId="1B37C21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户内化粪池清掏单价（元/个·次）</w:t>
            </w:r>
          </w:p>
        </w:tc>
      </w:tr>
      <w:tr w14:paraId="7E9F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vMerge w:val="continue"/>
            <w:noWrap w:val="0"/>
            <w:vAlign w:val="center"/>
          </w:tcPr>
          <w:p w14:paraId="732CFA7D">
            <w:pPr>
              <w:jc w:val="center"/>
              <w:rPr>
                <w:rFonts w:ascii="宋体" w:hAnsi="宋体" w:cs="仿宋"/>
                <w:color w:val="auto"/>
                <w:sz w:val="22"/>
                <w:szCs w:val="22"/>
                <w:highlight w:val="none"/>
              </w:rPr>
            </w:pPr>
          </w:p>
        </w:tc>
        <w:tc>
          <w:tcPr>
            <w:tcW w:w="2696" w:type="dxa"/>
            <w:vMerge w:val="continue"/>
            <w:noWrap w:val="0"/>
            <w:vAlign w:val="center"/>
          </w:tcPr>
          <w:p w14:paraId="0A16DA17">
            <w:pPr>
              <w:jc w:val="center"/>
              <w:rPr>
                <w:rFonts w:ascii="宋体" w:hAnsi="宋体" w:cs="仿宋"/>
                <w:color w:val="auto"/>
                <w:sz w:val="22"/>
                <w:szCs w:val="22"/>
                <w:highlight w:val="none"/>
              </w:rPr>
            </w:pPr>
          </w:p>
        </w:tc>
        <w:tc>
          <w:tcPr>
            <w:tcW w:w="5999" w:type="dxa"/>
            <w:gridSpan w:val="3"/>
            <w:noWrap w:val="0"/>
            <w:vAlign w:val="center"/>
          </w:tcPr>
          <w:p w14:paraId="698E57CD">
            <w:pPr>
              <w:spacing w:line="600" w:lineRule="auto"/>
              <w:jc w:val="center"/>
              <w:rPr>
                <w:rFonts w:ascii="宋体" w:hAnsi="宋体" w:cs="仿宋"/>
                <w:color w:val="auto"/>
                <w:sz w:val="22"/>
                <w:szCs w:val="22"/>
                <w:highlight w:val="none"/>
              </w:rPr>
            </w:pPr>
          </w:p>
        </w:tc>
        <w:tc>
          <w:tcPr>
            <w:tcW w:w="4188" w:type="dxa"/>
            <w:gridSpan w:val="2"/>
            <w:noWrap w:val="0"/>
            <w:vAlign w:val="center"/>
          </w:tcPr>
          <w:p w14:paraId="39C3B8E6">
            <w:pPr>
              <w:spacing w:line="600" w:lineRule="auto"/>
              <w:jc w:val="center"/>
              <w:rPr>
                <w:rFonts w:ascii="宋体" w:hAnsi="宋体" w:cs="仿宋"/>
                <w:color w:val="auto"/>
                <w:sz w:val="22"/>
                <w:szCs w:val="22"/>
                <w:highlight w:val="none"/>
              </w:rPr>
            </w:pPr>
          </w:p>
        </w:tc>
      </w:tr>
    </w:tbl>
    <w:p w14:paraId="60CBB6D6">
      <w:pPr>
        <w:pStyle w:val="7"/>
        <w:ind w:firstLine="420"/>
        <w:rPr>
          <w:rFonts w:ascii="宋体" w:hAnsi="宋体"/>
          <w:color w:val="auto"/>
          <w:szCs w:val="21"/>
          <w:highlight w:val="none"/>
        </w:rPr>
      </w:pPr>
    </w:p>
    <w:p w14:paraId="3D6C2E88">
      <w:pPr>
        <w:ind w:firstLine="630" w:firstLineChars="300"/>
        <w:rPr>
          <w:rFonts w:ascii="宋体" w:hAnsi="宋体" w:cs="仿宋"/>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附表1-1：                                    </w:t>
      </w:r>
      <w:r>
        <w:rPr>
          <w:rFonts w:hint="eastAsia" w:ascii="宋体" w:hAnsi="宋体" w:cs="宋体"/>
          <w:b/>
          <w:color w:val="auto"/>
          <w:sz w:val="24"/>
          <w:highlight w:val="none"/>
        </w:rPr>
        <w:t xml:space="preserve">     集中处理设施一览表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47CA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7CB6087A">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6A3F2E75">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527A5F1D">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4B4573A0">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0F92047E">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6ACA27B9">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4DBB0A4D">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1558C0D9">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1B0B5C2B">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15E5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1F9B4E85">
            <w:pPr>
              <w:jc w:val="center"/>
              <w:rPr>
                <w:rFonts w:ascii="宋体" w:hAnsi="宋体" w:cs="仿宋"/>
                <w:color w:val="auto"/>
                <w:sz w:val="22"/>
                <w:szCs w:val="22"/>
                <w:highlight w:val="none"/>
              </w:rPr>
            </w:pPr>
            <w:r>
              <w:rPr>
                <w:rFonts w:hint="eastAsia" w:ascii="宋体" w:hAnsi="宋体" w:cs="仿宋"/>
                <w:color w:val="auto"/>
                <w:sz w:val="22"/>
                <w:szCs w:val="22"/>
                <w:highlight w:val="none"/>
              </w:rPr>
              <w:t>集中处理设施</w:t>
            </w:r>
          </w:p>
        </w:tc>
        <w:tc>
          <w:tcPr>
            <w:tcW w:w="767" w:type="dxa"/>
            <w:noWrap w:val="0"/>
            <w:vAlign w:val="center"/>
          </w:tcPr>
          <w:p w14:paraId="5508169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290B87E3">
            <w:pPr>
              <w:spacing w:line="600" w:lineRule="auto"/>
              <w:jc w:val="center"/>
              <w:rPr>
                <w:rFonts w:ascii="宋体" w:hAnsi="宋体" w:cs="仿宋"/>
                <w:color w:val="auto"/>
                <w:sz w:val="22"/>
                <w:szCs w:val="22"/>
                <w:highlight w:val="none"/>
              </w:rPr>
            </w:pPr>
          </w:p>
        </w:tc>
        <w:tc>
          <w:tcPr>
            <w:tcW w:w="1368" w:type="dxa"/>
            <w:noWrap w:val="0"/>
            <w:vAlign w:val="center"/>
          </w:tcPr>
          <w:p w14:paraId="24A489B4">
            <w:pPr>
              <w:spacing w:line="600" w:lineRule="auto"/>
              <w:jc w:val="center"/>
              <w:rPr>
                <w:rFonts w:ascii="宋体" w:hAnsi="宋体" w:cs="仿宋"/>
                <w:color w:val="auto"/>
                <w:sz w:val="22"/>
                <w:szCs w:val="22"/>
                <w:highlight w:val="none"/>
              </w:rPr>
            </w:pPr>
          </w:p>
        </w:tc>
        <w:tc>
          <w:tcPr>
            <w:tcW w:w="2181" w:type="dxa"/>
            <w:noWrap w:val="0"/>
            <w:vAlign w:val="center"/>
          </w:tcPr>
          <w:p w14:paraId="3829F935">
            <w:pPr>
              <w:spacing w:line="600" w:lineRule="auto"/>
              <w:jc w:val="center"/>
              <w:rPr>
                <w:rFonts w:ascii="宋体" w:hAnsi="宋体" w:cs="仿宋"/>
                <w:color w:val="auto"/>
                <w:sz w:val="22"/>
                <w:szCs w:val="22"/>
                <w:highlight w:val="none"/>
              </w:rPr>
            </w:pPr>
          </w:p>
        </w:tc>
        <w:tc>
          <w:tcPr>
            <w:tcW w:w="1214" w:type="dxa"/>
            <w:noWrap w:val="0"/>
            <w:vAlign w:val="center"/>
          </w:tcPr>
          <w:p w14:paraId="62B530B2">
            <w:pPr>
              <w:spacing w:line="600" w:lineRule="auto"/>
              <w:jc w:val="center"/>
              <w:rPr>
                <w:rFonts w:ascii="宋体" w:hAnsi="宋体" w:cs="仿宋"/>
                <w:color w:val="auto"/>
                <w:sz w:val="22"/>
                <w:szCs w:val="22"/>
                <w:highlight w:val="none"/>
              </w:rPr>
            </w:pPr>
          </w:p>
        </w:tc>
        <w:tc>
          <w:tcPr>
            <w:tcW w:w="1931" w:type="dxa"/>
            <w:noWrap w:val="0"/>
            <w:vAlign w:val="center"/>
          </w:tcPr>
          <w:p w14:paraId="3495B1B1">
            <w:pPr>
              <w:spacing w:line="600" w:lineRule="auto"/>
              <w:jc w:val="center"/>
              <w:rPr>
                <w:rFonts w:ascii="宋体" w:hAnsi="宋体" w:cs="仿宋"/>
                <w:color w:val="auto"/>
                <w:sz w:val="22"/>
                <w:szCs w:val="22"/>
                <w:highlight w:val="none"/>
              </w:rPr>
            </w:pPr>
          </w:p>
        </w:tc>
        <w:tc>
          <w:tcPr>
            <w:tcW w:w="1655" w:type="dxa"/>
            <w:noWrap w:val="0"/>
            <w:vAlign w:val="center"/>
          </w:tcPr>
          <w:p w14:paraId="4D2F9488">
            <w:pPr>
              <w:spacing w:line="600" w:lineRule="auto"/>
              <w:jc w:val="center"/>
              <w:rPr>
                <w:rFonts w:ascii="宋体" w:hAnsi="宋体" w:cs="仿宋"/>
                <w:color w:val="auto"/>
                <w:sz w:val="22"/>
                <w:szCs w:val="22"/>
                <w:highlight w:val="none"/>
              </w:rPr>
            </w:pPr>
          </w:p>
        </w:tc>
        <w:tc>
          <w:tcPr>
            <w:tcW w:w="1643" w:type="dxa"/>
            <w:noWrap w:val="0"/>
            <w:vAlign w:val="center"/>
          </w:tcPr>
          <w:p w14:paraId="111326A3">
            <w:pPr>
              <w:spacing w:line="600" w:lineRule="auto"/>
              <w:jc w:val="center"/>
              <w:rPr>
                <w:rFonts w:ascii="宋体" w:hAnsi="宋体" w:cs="仿宋"/>
                <w:color w:val="auto"/>
                <w:sz w:val="22"/>
                <w:szCs w:val="22"/>
                <w:highlight w:val="none"/>
              </w:rPr>
            </w:pPr>
          </w:p>
        </w:tc>
      </w:tr>
      <w:tr w14:paraId="3C44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7227BDA8">
            <w:pPr>
              <w:jc w:val="center"/>
              <w:rPr>
                <w:rFonts w:ascii="宋体" w:hAnsi="宋体" w:cs="仿宋"/>
                <w:color w:val="auto"/>
                <w:sz w:val="22"/>
                <w:szCs w:val="22"/>
                <w:highlight w:val="none"/>
              </w:rPr>
            </w:pPr>
          </w:p>
        </w:tc>
        <w:tc>
          <w:tcPr>
            <w:tcW w:w="767" w:type="dxa"/>
            <w:noWrap w:val="0"/>
            <w:vAlign w:val="center"/>
          </w:tcPr>
          <w:p w14:paraId="6EC1282F">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401E9CEE">
            <w:pPr>
              <w:spacing w:line="600" w:lineRule="auto"/>
              <w:jc w:val="center"/>
              <w:rPr>
                <w:rFonts w:ascii="宋体" w:hAnsi="宋体" w:cs="仿宋"/>
                <w:color w:val="auto"/>
                <w:sz w:val="22"/>
                <w:szCs w:val="22"/>
                <w:highlight w:val="none"/>
              </w:rPr>
            </w:pPr>
          </w:p>
        </w:tc>
        <w:tc>
          <w:tcPr>
            <w:tcW w:w="1368" w:type="dxa"/>
            <w:noWrap w:val="0"/>
            <w:vAlign w:val="center"/>
          </w:tcPr>
          <w:p w14:paraId="6B0D2A1A">
            <w:pPr>
              <w:spacing w:line="600" w:lineRule="auto"/>
              <w:jc w:val="center"/>
              <w:rPr>
                <w:rFonts w:ascii="宋体" w:hAnsi="宋体" w:cs="仿宋"/>
                <w:color w:val="auto"/>
                <w:sz w:val="22"/>
                <w:szCs w:val="22"/>
                <w:highlight w:val="none"/>
              </w:rPr>
            </w:pPr>
          </w:p>
        </w:tc>
        <w:tc>
          <w:tcPr>
            <w:tcW w:w="2181" w:type="dxa"/>
            <w:noWrap w:val="0"/>
            <w:vAlign w:val="center"/>
          </w:tcPr>
          <w:p w14:paraId="6D6260E5">
            <w:pPr>
              <w:spacing w:line="600" w:lineRule="auto"/>
              <w:jc w:val="center"/>
              <w:rPr>
                <w:rFonts w:ascii="宋体" w:hAnsi="宋体" w:cs="仿宋"/>
                <w:color w:val="auto"/>
                <w:sz w:val="22"/>
                <w:szCs w:val="22"/>
                <w:highlight w:val="none"/>
              </w:rPr>
            </w:pPr>
          </w:p>
        </w:tc>
        <w:tc>
          <w:tcPr>
            <w:tcW w:w="1214" w:type="dxa"/>
            <w:noWrap w:val="0"/>
            <w:vAlign w:val="center"/>
          </w:tcPr>
          <w:p w14:paraId="11A1E15E">
            <w:pPr>
              <w:spacing w:line="600" w:lineRule="auto"/>
              <w:jc w:val="center"/>
              <w:rPr>
                <w:rFonts w:ascii="宋体" w:hAnsi="宋体" w:cs="仿宋"/>
                <w:color w:val="auto"/>
                <w:sz w:val="22"/>
                <w:szCs w:val="22"/>
                <w:highlight w:val="none"/>
              </w:rPr>
            </w:pPr>
          </w:p>
        </w:tc>
        <w:tc>
          <w:tcPr>
            <w:tcW w:w="1931" w:type="dxa"/>
            <w:noWrap w:val="0"/>
            <w:vAlign w:val="center"/>
          </w:tcPr>
          <w:p w14:paraId="7E201943">
            <w:pPr>
              <w:spacing w:line="600" w:lineRule="auto"/>
              <w:jc w:val="center"/>
              <w:rPr>
                <w:rFonts w:ascii="宋体" w:hAnsi="宋体" w:cs="仿宋"/>
                <w:color w:val="auto"/>
                <w:sz w:val="22"/>
                <w:szCs w:val="22"/>
                <w:highlight w:val="none"/>
              </w:rPr>
            </w:pPr>
          </w:p>
        </w:tc>
        <w:tc>
          <w:tcPr>
            <w:tcW w:w="1655" w:type="dxa"/>
            <w:noWrap w:val="0"/>
            <w:vAlign w:val="center"/>
          </w:tcPr>
          <w:p w14:paraId="46CCCF71">
            <w:pPr>
              <w:spacing w:line="600" w:lineRule="auto"/>
              <w:jc w:val="center"/>
              <w:rPr>
                <w:rFonts w:ascii="宋体" w:hAnsi="宋体" w:cs="仿宋"/>
                <w:color w:val="auto"/>
                <w:sz w:val="22"/>
                <w:szCs w:val="22"/>
                <w:highlight w:val="none"/>
              </w:rPr>
            </w:pPr>
          </w:p>
        </w:tc>
        <w:tc>
          <w:tcPr>
            <w:tcW w:w="1643" w:type="dxa"/>
            <w:noWrap w:val="0"/>
            <w:vAlign w:val="center"/>
          </w:tcPr>
          <w:p w14:paraId="7DC3E9B5">
            <w:pPr>
              <w:spacing w:line="600" w:lineRule="auto"/>
              <w:jc w:val="center"/>
              <w:rPr>
                <w:rFonts w:ascii="宋体" w:hAnsi="宋体" w:cs="仿宋"/>
                <w:color w:val="auto"/>
                <w:sz w:val="22"/>
                <w:szCs w:val="22"/>
                <w:highlight w:val="none"/>
              </w:rPr>
            </w:pPr>
          </w:p>
        </w:tc>
      </w:tr>
      <w:tr w14:paraId="6D73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5B6E549E">
            <w:pPr>
              <w:jc w:val="center"/>
              <w:rPr>
                <w:rFonts w:ascii="宋体" w:hAnsi="宋体" w:cs="仿宋"/>
                <w:color w:val="auto"/>
                <w:sz w:val="22"/>
                <w:szCs w:val="22"/>
                <w:highlight w:val="none"/>
              </w:rPr>
            </w:pPr>
          </w:p>
        </w:tc>
        <w:tc>
          <w:tcPr>
            <w:tcW w:w="767" w:type="dxa"/>
            <w:noWrap w:val="0"/>
            <w:vAlign w:val="center"/>
          </w:tcPr>
          <w:p w14:paraId="03BCF25F">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169D47E1">
            <w:pPr>
              <w:spacing w:line="600" w:lineRule="auto"/>
              <w:jc w:val="center"/>
              <w:rPr>
                <w:rFonts w:ascii="宋体" w:hAnsi="宋体" w:cs="仿宋"/>
                <w:color w:val="auto"/>
                <w:sz w:val="22"/>
                <w:szCs w:val="22"/>
                <w:highlight w:val="none"/>
              </w:rPr>
            </w:pPr>
          </w:p>
        </w:tc>
        <w:tc>
          <w:tcPr>
            <w:tcW w:w="1368" w:type="dxa"/>
            <w:noWrap w:val="0"/>
            <w:vAlign w:val="center"/>
          </w:tcPr>
          <w:p w14:paraId="24DB6741">
            <w:pPr>
              <w:spacing w:line="600" w:lineRule="auto"/>
              <w:jc w:val="center"/>
              <w:rPr>
                <w:rFonts w:ascii="宋体" w:hAnsi="宋体" w:cs="仿宋"/>
                <w:color w:val="auto"/>
                <w:sz w:val="22"/>
                <w:szCs w:val="22"/>
                <w:highlight w:val="none"/>
              </w:rPr>
            </w:pPr>
          </w:p>
        </w:tc>
        <w:tc>
          <w:tcPr>
            <w:tcW w:w="2181" w:type="dxa"/>
            <w:noWrap w:val="0"/>
            <w:vAlign w:val="center"/>
          </w:tcPr>
          <w:p w14:paraId="33EB7A41">
            <w:pPr>
              <w:spacing w:line="600" w:lineRule="auto"/>
              <w:jc w:val="center"/>
              <w:rPr>
                <w:rFonts w:ascii="宋体" w:hAnsi="宋体" w:cs="仿宋"/>
                <w:color w:val="auto"/>
                <w:sz w:val="22"/>
                <w:szCs w:val="22"/>
                <w:highlight w:val="none"/>
              </w:rPr>
            </w:pPr>
          </w:p>
        </w:tc>
        <w:tc>
          <w:tcPr>
            <w:tcW w:w="1214" w:type="dxa"/>
            <w:noWrap w:val="0"/>
            <w:vAlign w:val="center"/>
          </w:tcPr>
          <w:p w14:paraId="064E8812">
            <w:pPr>
              <w:spacing w:line="600" w:lineRule="auto"/>
              <w:jc w:val="center"/>
              <w:rPr>
                <w:rFonts w:ascii="宋体" w:hAnsi="宋体" w:cs="仿宋"/>
                <w:color w:val="auto"/>
                <w:sz w:val="22"/>
                <w:szCs w:val="22"/>
                <w:highlight w:val="none"/>
              </w:rPr>
            </w:pPr>
          </w:p>
        </w:tc>
        <w:tc>
          <w:tcPr>
            <w:tcW w:w="1931" w:type="dxa"/>
            <w:noWrap w:val="0"/>
            <w:vAlign w:val="center"/>
          </w:tcPr>
          <w:p w14:paraId="07255A23">
            <w:pPr>
              <w:spacing w:line="600" w:lineRule="auto"/>
              <w:jc w:val="center"/>
              <w:rPr>
                <w:rFonts w:ascii="宋体" w:hAnsi="宋体" w:cs="仿宋"/>
                <w:color w:val="auto"/>
                <w:sz w:val="22"/>
                <w:szCs w:val="22"/>
                <w:highlight w:val="none"/>
              </w:rPr>
            </w:pPr>
          </w:p>
        </w:tc>
        <w:tc>
          <w:tcPr>
            <w:tcW w:w="1655" w:type="dxa"/>
            <w:noWrap w:val="0"/>
            <w:vAlign w:val="center"/>
          </w:tcPr>
          <w:p w14:paraId="78875D22">
            <w:pPr>
              <w:spacing w:line="600" w:lineRule="auto"/>
              <w:jc w:val="center"/>
              <w:rPr>
                <w:rFonts w:ascii="宋体" w:hAnsi="宋体" w:cs="仿宋"/>
                <w:color w:val="auto"/>
                <w:sz w:val="22"/>
                <w:szCs w:val="22"/>
                <w:highlight w:val="none"/>
              </w:rPr>
            </w:pPr>
          </w:p>
        </w:tc>
        <w:tc>
          <w:tcPr>
            <w:tcW w:w="1643" w:type="dxa"/>
            <w:noWrap w:val="0"/>
            <w:vAlign w:val="center"/>
          </w:tcPr>
          <w:p w14:paraId="506B5D42">
            <w:pPr>
              <w:spacing w:line="600" w:lineRule="auto"/>
              <w:jc w:val="center"/>
              <w:rPr>
                <w:rFonts w:ascii="宋体" w:hAnsi="宋体" w:cs="仿宋"/>
                <w:color w:val="auto"/>
                <w:sz w:val="22"/>
                <w:szCs w:val="22"/>
                <w:highlight w:val="none"/>
              </w:rPr>
            </w:pPr>
          </w:p>
        </w:tc>
      </w:tr>
      <w:tr w14:paraId="2B3A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52DF58A0">
            <w:pPr>
              <w:jc w:val="center"/>
              <w:rPr>
                <w:rFonts w:ascii="宋体" w:hAnsi="宋体" w:cs="仿宋"/>
                <w:color w:val="auto"/>
                <w:sz w:val="22"/>
                <w:szCs w:val="22"/>
                <w:highlight w:val="none"/>
              </w:rPr>
            </w:pPr>
          </w:p>
        </w:tc>
        <w:tc>
          <w:tcPr>
            <w:tcW w:w="767" w:type="dxa"/>
            <w:noWrap w:val="0"/>
            <w:vAlign w:val="center"/>
          </w:tcPr>
          <w:p w14:paraId="291C9717">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12C6008C">
            <w:pPr>
              <w:spacing w:line="600" w:lineRule="auto"/>
              <w:jc w:val="center"/>
              <w:rPr>
                <w:rFonts w:ascii="宋体" w:hAnsi="宋体" w:cs="仿宋"/>
                <w:color w:val="auto"/>
                <w:sz w:val="22"/>
                <w:szCs w:val="22"/>
                <w:highlight w:val="none"/>
              </w:rPr>
            </w:pPr>
          </w:p>
        </w:tc>
        <w:tc>
          <w:tcPr>
            <w:tcW w:w="1368" w:type="dxa"/>
            <w:noWrap w:val="0"/>
            <w:vAlign w:val="center"/>
          </w:tcPr>
          <w:p w14:paraId="6908D1B5">
            <w:pPr>
              <w:spacing w:line="600" w:lineRule="auto"/>
              <w:jc w:val="center"/>
              <w:rPr>
                <w:rFonts w:ascii="宋体" w:hAnsi="宋体" w:cs="仿宋"/>
                <w:color w:val="auto"/>
                <w:sz w:val="22"/>
                <w:szCs w:val="22"/>
                <w:highlight w:val="none"/>
              </w:rPr>
            </w:pPr>
          </w:p>
        </w:tc>
        <w:tc>
          <w:tcPr>
            <w:tcW w:w="2181" w:type="dxa"/>
            <w:noWrap w:val="0"/>
            <w:vAlign w:val="center"/>
          </w:tcPr>
          <w:p w14:paraId="35FEB487">
            <w:pPr>
              <w:spacing w:line="600" w:lineRule="auto"/>
              <w:jc w:val="center"/>
              <w:rPr>
                <w:rFonts w:ascii="宋体" w:hAnsi="宋体" w:cs="仿宋"/>
                <w:color w:val="auto"/>
                <w:sz w:val="22"/>
                <w:szCs w:val="22"/>
                <w:highlight w:val="none"/>
              </w:rPr>
            </w:pPr>
          </w:p>
        </w:tc>
        <w:tc>
          <w:tcPr>
            <w:tcW w:w="1214" w:type="dxa"/>
            <w:noWrap w:val="0"/>
            <w:vAlign w:val="center"/>
          </w:tcPr>
          <w:p w14:paraId="0AF5909F">
            <w:pPr>
              <w:spacing w:line="600" w:lineRule="auto"/>
              <w:jc w:val="center"/>
              <w:rPr>
                <w:rFonts w:ascii="宋体" w:hAnsi="宋体" w:cs="仿宋"/>
                <w:color w:val="auto"/>
                <w:sz w:val="22"/>
                <w:szCs w:val="22"/>
                <w:highlight w:val="none"/>
              </w:rPr>
            </w:pPr>
          </w:p>
        </w:tc>
        <w:tc>
          <w:tcPr>
            <w:tcW w:w="1931" w:type="dxa"/>
            <w:noWrap w:val="0"/>
            <w:vAlign w:val="center"/>
          </w:tcPr>
          <w:p w14:paraId="36D65A4F">
            <w:pPr>
              <w:spacing w:line="600" w:lineRule="auto"/>
              <w:jc w:val="center"/>
              <w:rPr>
                <w:rFonts w:ascii="宋体" w:hAnsi="宋体" w:cs="仿宋"/>
                <w:color w:val="auto"/>
                <w:sz w:val="22"/>
                <w:szCs w:val="22"/>
                <w:highlight w:val="none"/>
              </w:rPr>
            </w:pPr>
          </w:p>
        </w:tc>
        <w:tc>
          <w:tcPr>
            <w:tcW w:w="1655" w:type="dxa"/>
            <w:noWrap w:val="0"/>
            <w:vAlign w:val="center"/>
          </w:tcPr>
          <w:p w14:paraId="7E21145A">
            <w:pPr>
              <w:spacing w:line="600" w:lineRule="auto"/>
              <w:jc w:val="center"/>
              <w:rPr>
                <w:rFonts w:ascii="宋体" w:hAnsi="宋体" w:cs="仿宋"/>
                <w:color w:val="auto"/>
                <w:sz w:val="22"/>
                <w:szCs w:val="22"/>
                <w:highlight w:val="none"/>
              </w:rPr>
            </w:pPr>
          </w:p>
        </w:tc>
        <w:tc>
          <w:tcPr>
            <w:tcW w:w="1643" w:type="dxa"/>
            <w:noWrap w:val="0"/>
            <w:vAlign w:val="center"/>
          </w:tcPr>
          <w:p w14:paraId="4398D567">
            <w:pPr>
              <w:spacing w:line="600" w:lineRule="auto"/>
              <w:jc w:val="center"/>
              <w:rPr>
                <w:rFonts w:ascii="宋体" w:hAnsi="宋体" w:cs="仿宋"/>
                <w:color w:val="auto"/>
                <w:sz w:val="22"/>
                <w:szCs w:val="22"/>
                <w:highlight w:val="none"/>
              </w:rPr>
            </w:pPr>
          </w:p>
        </w:tc>
      </w:tr>
      <w:tr w14:paraId="30C5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37FDEF63">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453314B3">
            <w:pPr>
              <w:spacing w:line="600" w:lineRule="auto"/>
              <w:jc w:val="center"/>
              <w:rPr>
                <w:rFonts w:ascii="宋体" w:hAnsi="宋体" w:cs="仿宋"/>
                <w:color w:val="auto"/>
                <w:sz w:val="22"/>
                <w:szCs w:val="22"/>
                <w:highlight w:val="none"/>
              </w:rPr>
            </w:pPr>
          </w:p>
        </w:tc>
        <w:tc>
          <w:tcPr>
            <w:tcW w:w="2256" w:type="dxa"/>
            <w:noWrap w:val="0"/>
            <w:vAlign w:val="center"/>
          </w:tcPr>
          <w:p w14:paraId="637F141A">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5A31523D">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3BE2E280">
            <w:pPr>
              <w:spacing w:line="600" w:lineRule="auto"/>
              <w:jc w:val="center"/>
              <w:rPr>
                <w:rFonts w:ascii="宋体" w:hAnsi="宋体" w:cs="仿宋"/>
                <w:color w:val="auto"/>
                <w:sz w:val="22"/>
                <w:szCs w:val="22"/>
                <w:highlight w:val="none"/>
              </w:rPr>
            </w:pPr>
          </w:p>
        </w:tc>
        <w:tc>
          <w:tcPr>
            <w:tcW w:w="1214" w:type="dxa"/>
            <w:noWrap w:val="0"/>
            <w:vAlign w:val="center"/>
          </w:tcPr>
          <w:p w14:paraId="015BD30C">
            <w:pPr>
              <w:spacing w:line="600" w:lineRule="auto"/>
              <w:jc w:val="center"/>
              <w:rPr>
                <w:rFonts w:ascii="宋体" w:hAnsi="宋体" w:cs="仿宋"/>
                <w:color w:val="auto"/>
                <w:sz w:val="22"/>
                <w:szCs w:val="22"/>
                <w:highlight w:val="none"/>
              </w:rPr>
            </w:pPr>
          </w:p>
        </w:tc>
        <w:tc>
          <w:tcPr>
            <w:tcW w:w="1931" w:type="dxa"/>
            <w:noWrap w:val="0"/>
            <w:vAlign w:val="center"/>
          </w:tcPr>
          <w:p w14:paraId="4032A727">
            <w:pPr>
              <w:spacing w:line="600" w:lineRule="auto"/>
              <w:jc w:val="center"/>
              <w:rPr>
                <w:rFonts w:ascii="宋体" w:hAnsi="宋体" w:cs="仿宋"/>
                <w:color w:val="auto"/>
                <w:sz w:val="22"/>
                <w:szCs w:val="22"/>
                <w:highlight w:val="none"/>
              </w:rPr>
            </w:pPr>
          </w:p>
        </w:tc>
        <w:tc>
          <w:tcPr>
            <w:tcW w:w="1655" w:type="dxa"/>
            <w:noWrap w:val="0"/>
            <w:vAlign w:val="center"/>
          </w:tcPr>
          <w:p w14:paraId="481BD599">
            <w:pPr>
              <w:spacing w:line="600" w:lineRule="auto"/>
              <w:jc w:val="center"/>
              <w:rPr>
                <w:rFonts w:ascii="宋体" w:hAnsi="宋体" w:cs="仿宋"/>
                <w:color w:val="auto"/>
                <w:sz w:val="22"/>
                <w:szCs w:val="22"/>
                <w:highlight w:val="none"/>
              </w:rPr>
            </w:pPr>
          </w:p>
        </w:tc>
        <w:tc>
          <w:tcPr>
            <w:tcW w:w="1643" w:type="dxa"/>
            <w:noWrap w:val="0"/>
            <w:vAlign w:val="center"/>
          </w:tcPr>
          <w:p w14:paraId="16878F81">
            <w:pPr>
              <w:spacing w:line="600" w:lineRule="auto"/>
              <w:jc w:val="center"/>
              <w:rPr>
                <w:rFonts w:ascii="宋体" w:hAnsi="宋体" w:cs="仿宋"/>
                <w:color w:val="auto"/>
                <w:sz w:val="22"/>
                <w:szCs w:val="22"/>
                <w:highlight w:val="none"/>
              </w:rPr>
            </w:pPr>
          </w:p>
        </w:tc>
      </w:tr>
    </w:tbl>
    <w:p w14:paraId="4D2CE485">
      <w:pPr>
        <w:rPr>
          <w:rFonts w:ascii="宋体" w:hAnsi="宋体"/>
          <w:color w:val="auto"/>
          <w:szCs w:val="21"/>
          <w:highlight w:val="none"/>
        </w:rPr>
      </w:pPr>
    </w:p>
    <w:p w14:paraId="5859A26B">
      <w:pPr>
        <w:ind w:firstLine="630" w:firstLineChars="300"/>
        <w:rPr>
          <w:rFonts w:ascii="宋体" w:hAnsi="宋体" w:cs="宋体"/>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附表1-2：                                 </w:t>
      </w:r>
      <w:r>
        <w:rPr>
          <w:rFonts w:hint="eastAsia" w:ascii="宋体" w:hAnsi="宋体" w:cs="宋体"/>
          <w:b/>
          <w:color w:val="auto"/>
          <w:sz w:val="24"/>
          <w:highlight w:val="none"/>
        </w:rPr>
        <w:t xml:space="preserve">      户用处理设备一览表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2371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554465B0">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7D684EA6">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24D9FEDB">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20AB7B41">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40B48205">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66B0CB5D">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36ABBA7E">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0FF8704B">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60EE8EA4">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194D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44997750">
            <w:pPr>
              <w:jc w:val="center"/>
              <w:rPr>
                <w:rFonts w:ascii="宋体" w:hAnsi="宋体" w:cs="仿宋"/>
                <w:color w:val="auto"/>
                <w:sz w:val="22"/>
                <w:szCs w:val="22"/>
                <w:highlight w:val="none"/>
              </w:rPr>
            </w:pPr>
            <w:r>
              <w:rPr>
                <w:rFonts w:hint="eastAsia" w:ascii="宋体" w:hAnsi="宋体" w:cs="仿宋"/>
                <w:color w:val="auto"/>
                <w:sz w:val="22"/>
                <w:szCs w:val="22"/>
                <w:highlight w:val="none"/>
              </w:rPr>
              <w:t>户用处理设备</w:t>
            </w:r>
          </w:p>
        </w:tc>
        <w:tc>
          <w:tcPr>
            <w:tcW w:w="767" w:type="dxa"/>
            <w:noWrap w:val="0"/>
            <w:vAlign w:val="center"/>
          </w:tcPr>
          <w:p w14:paraId="3A682EA7">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1A31C007">
            <w:pPr>
              <w:spacing w:line="600" w:lineRule="auto"/>
              <w:jc w:val="center"/>
              <w:rPr>
                <w:rFonts w:ascii="宋体" w:hAnsi="宋体" w:cs="仿宋"/>
                <w:color w:val="auto"/>
                <w:sz w:val="22"/>
                <w:szCs w:val="22"/>
                <w:highlight w:val="none"/>
              </w:rPr>
            </w:pPr>
          </w:p>
        </w:tc>
        <w:tc>
          <w:tcPr>
            <w:tcW w:w="1368" w:type="dxa"/>
            <w:noWrap w:val="0"/>
            <w:vAlign w:val="center"/>
          </w:tcPr>
          <w:p w14:paraId="577A6D11">
            <w:pPr>
              <w:spacing w:line="600" w:lineRule="auto"/>
              <w:jc w:val="center"/>
              <w:rPr>
                <w:rFonts w:ascii="宋体" w:hAnsi="宋体" w:cs="仿宋"/>
                <w:color w:val="auto"/>
                <w:sz w:val="22"/>
                <w:szCs w:val="22"/>
                <w:highlight w:val="none"/>
              </w:rPr>
            </w:pPr>
          </w:p>
        </w:tc>
        <w:tc>
          <w:tcPr>
            <w:tcW w:w="2181" w:type="dxa"/>
            <w:noWrap w:val="0"/>
            <w:vAlign w:val="center"/>
          </w:tcPr>
          <w:p w14:paraId="0B7B3EB6">
            <w:pPr>
              <w:spacing w:line="600" w:lineRule="auto"/>
              <w:jc w:val="center"/>
              <w:rPr>
                <w:rFonts w:ascii="宋体" w:hAnsi="宋体" w:cs="仿宋"/>
                <w:color w:val="auto"/>
                <w:sz w:val="22"/>
                <w:szCs w:val="22"/>
                <w:highlight w:val="none"/>
              </w:rPr>
            </w:pPr>
          </w:p>
        </w:tc>
        <w:tc>
          <w:tcPr>
            <w:tcW w:w="1214" w:type="dxa"/>
            <w:noWrap w:val="0"/>
            <w:vAlign w:val="center"/>
          </w:tcPr>
          <w:p w14:paraId="6E3EC6D5">
            <w:pPr>
              <w:spacing w:line="600" w:lineRule="auto"/>
              <w:jc w:val="center"/>
              <w:rPr>
                <w:rFonts w:ascii="宋体" w:hAnsi="宋体" w:cs="仿宋"/>
                <w:color w:val="auto"/>
                <w:sz w:val="22"/>
                <w:szCs w:val="22"/>
                <w:highlight w:val="none"/>
              </w:rPr>
            </w:pPr>
          </w:p>
        </w:tc>
        <w:tc>
          <w:tcPr>
            <w:tcW w:w="1931" w:type="dxa"/>
            <w:noWrap w:val="0"/>
            <w:vAlign w:val="center"/>
          </w:tcPr>
          <w:p w14:paraId="1635CE67">
            <w:pPr>
              <w:spacing w:line="600" w:lineRule="auto"/>
              <w:jc w:val="center"/>
              <w:rPr>
                <w:rFonts w:ascii="宋体" w:hAnsi="宋体" w:cs="仿宋"/>
                <w:color w:val="auto"/>
                <w:sz w:val="22"/>
                <w:szCs w:val="22"/>
                <w:highlight w:val="none"/>
              </w:rPr>
            </w:pPr>
          </w:p>
        </w:tc>
        <w:tc>
          <w:tcPr>
            <w:tcW w:w="1655" w:type="dxa"/>
            <w:noWrap w:val="0"/>
            <w:vAlign w:val="center"/>
          </w:tcPr>
          <w:p w14:paraId="04BE6925">
            <w:pPr>
              <w:spacing w:line="600" w:lineRule="auto"/>
              <w:jc w:val="center"/>
              <w:rPr>
                <w:rFonts w:ascii="宋体" w:hAnsi="宋体" w:cs="仿宋"/>
                <w:color w:val="auto"/>
                <w:sz w:val="22"/>
                <w:szCs w:val="22"/>
                <w:highlight w:val="none"/>
              </w:rPr>
            </w:pPr>
          </w:p>
        </w:tc>
        <w:tc>
          <w:tcPr>
            <w:tcW w:w="1643" w:type="dxa"/>
            <w:noWrap w:val="0"/>
            <w:vAlign w:val="center"/>
          </w:tcPr>
          <w:p w14:paraId="6D8BA601">
            <w:pPr>
              <w:spacing w:line="600" w:lineRule="auto"/>
              <w:jc w:val="center"/>
              <w:rPr>
                <w:rFonts w:ascii="宋体" w:hAnsi="宋体" w:cs="仿宋"/>
                <w:color w:val="auto"/>
                <w:sz w:val="22"/>
                <w:szCs w:val="22"/>
                <w:highlight w:val="none"/>
              </w:rPr>
            </w:pPr>
          </w:p>
        </w:tc>
      </w:tr>
      <w:tr w14:paraId="1F36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58C6D43D">
            <w:pPr>
              <w:jc w:val="center"/>
              <w:rPr>
                <w:rFonts w:ascii="宋体" w:hAnsi="宋体" w:cs="仿宋"/>
                <w:color w:val="auto"/>
                <w:sz w:val="22"/>
                <w:szCs w:val="22"/>
                <w:highlight w:val="none"/>
              </w:rPr>
            </w:pPr>
          </w:p>
        </w:tc>
        <w:tc>
          <w:tcPr>
            <w:tcW w:w="767" w:type="dxa"/>
            <w:noWrap w:val="0"/>
            <w:vAlign w:val="center"/>
          </w:tcPr>
          <w:p w14:paraId="14B7264F">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3B3FCF24">
            <w:pPr>
              <w:spacing w:line="600" w:lineRule="auto"/>
              <w:jc w:val="center"/>
              <w:rPr>
                <w:rFonts w:ascii="宋体" w:hAnsi="宋体" w:cs="仿宋"/>
                <w:color w:val="auto"/>
                <w:sz w:val="22"/>
                <w:szCs w:val="22"/>
                <w:highlight w:val="none"/>
              </w:rPr>
            </w:pPr>
          </w:p>
        </w:tc>
        <w:tc>
          <w:tcPr>
            <w:tcW w:w="1368" w:type="dxa"/>
            <w:noWrap w:val="0"/>
            <w:vAlign w:val="center"/>
          </w:tcPr>
          <w:p w14:paraId="185F9490">
            <w:pPr>
              <w:spacing w:line="600" w:lineRule="auto"/>
              <w:jc w:val="center"/>
              <w:rPr>
                <w:rFonts w:ascii="宋体" w:hAnsi="宋体" w:cs="仿宋"/>
                <w:color w:val="auto"/>
                <w:sz w:val="22"/>
                <w:szCs w:val="22"/>
                <w:highlight w:val="none"/>
              </w:rPr>
            </w:pPr>
          </w:p>
        </w:tc>
        <w:tc>
          <w:tcPr>
            <w:tcW w:w="2181" w:type="dxa"/>
            <w:noWrap w:val="0"/>
            <w:vAlign w:val="center"/>
          </w:tcPr>
          <w:p w14:paraId="505BDD37">
            <w:pPr>
              <w:spacing w:line="600" w:lineRule="auto"/>
              <w:jc w:val="center"/>
              <w:rPr>
                <w:rFonts w:ascii="宋体" w:hAnsi="宋体" w:cs="仿宋"/>
                <w:color w:val="auto"/>
                <w:sz w:val="22"/>
                <w:szCs w:val="22"/>
                <w:highlight w:val="none"/>
              </w:rPr>
            </w:pPr>
          </w:p>
        </w:tc>
        <w:tc>
          <w:tcPr>
            <w:tcW w:w="1214" w:type="dxa"/>
            <w:noWrap w:val="0"/>
            <w:vAlign w:val="center"/>
          </w:tcPr>
          <w:p w14:paraId="43B11AA3">
            <w:pPr>
              <w:spacing w:line="600" w:lineRule="auto"/>
              <w:jc w:val="center"/>
              <w:rPr>
                <w:rFonts w:ascii="宋体" w:hAnsi="宋体" w:cs="仿宋"/>
                <w:color w:val="auto"/>
                <w:sz w:val="22"/>
                <w:szCs w:val="22"/>
                <w:highlight w:val="none"/>
              </w:rPr>
            </w:pPr>
          </w:p>
        </w:tc>
        <w:tc>
          <w:tcPr>
            <w:tcW w:w="1931" w:type="dxa"/>
            <w:noWrap w:val="0"/>
            <w:vAlign w:val="center"/>
          </w:tcPr>
          <w:p w14:paraId="5648903E">
            <w:pPr>
              <w:spacing w:line="600" w:lineRule="auto"/>
              <w:jc w:val="center"/>
              <w:rPr>
                <w:rFonts w:ascii="宋体" w:hAnsi="宋体" w:cs="仿宋"/>
                <w:color w:val="auto"/>
                <w:sz w:val="22"/>
                <w:szCs w:val="22"/>
                <w:highlight w:val="none"/>
              </w:rPr>
            </w:pPr>
          </w:p>
        </w:tc>
        <w:tc>
          <w:tcPr>
            <w:tcW w:w="1655" w:type="dxa"/>
            <w:noWrap w:val="0"/>
            <w:vAlign w:val="center"/>
          </w:tcPr>
          <w:p w14:paraId="0EB04D12">
            <w:pPr>
              <w:spacing w:line="600" w:lineRule="auto"/>
              <w:jc w:val="center"/>
              <w:rPr>
                <w:rFonts w:ascii="宋体" w:hAnsi="宋体" w:cs="仿宋"/>
                <w:color w:val="auto"/>
                <w:sz w:val="22"/>
                <w:szCs w:val="22"/>
                <w:highlight w:val="none"/>
              </w:rPr>
            </w:pPr>
          </w:p>
        </w:tc>
        <w:tc>
          <w:tcPr>
            <w:tcW w:w="1643" w:type="dxa"/>
            <w:noWrap w:val="0"/>
            <w:vAlign w:val="center"/>
          </w:tcPr>
          <w:p w14:paraId="07E13332">
            <w:pPr>
              <w:spacing w:line="600" w:lineRule="auto"/>
              <w:jc w:val="center"/>
              <w:rPr>
                <w:rFonts w:ascii="宋体" w:hAnsi="宋体" w:cs="仿宋"/>
                <w:color w:val="auto"/>
                <w:sz w:val="22"/>
                <w:szCs w:val="22"/>
                <w:highlight w:val="none"/>
              </w:rPr>
            </w:pPr>
          </w:p>
        </w:tc>
      </w:tr>
      <w:tr w14:paraId="3A99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jc w:val="center"/>
        </w:trPr>
        <w:tc>
          <w:tcPr>
            <w:tcW w:w="1114" w:type="dxa"/>
            <w:vMerge w:val="continue"/>
            <w:noWrap w:val="0"/>
            <w:vAlign w:val="center"/>
          </w:tcPr>
          <w:p w14:paraId="61C8ABAD">
            <w:pPr>
              <w:jc w:val="center"/>
              <w:rPr>
                <w:rFonts w:ascii="宋体" w:hAnsi="宋体" w:cs="仿宋"/>
                <w:color w:val="auto"/>
                <w:sz w:val="22"/>
                <w:szCs w:val="22"/>
                <w:highlight w:val="none"/>
              </w:rPr>
            </w:pPr>
          </w:p>
        </w:tc>
        <w:tc>
          <w:tcPr>
            <w:tcW w:w="767" w:type="dxa"/>
            <w:noWrap w:val="0"/>
            <w:vAlign w:val="center"/>
          </w:tcPr>
          <w:p w14:paraId="49C7C49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5DD86DF4">
            <w:pPr>
              <w:spacing w:line="600" w:lineRule="auto"/>
              <w:jc w:val="center"/>
              <w:rPr>
                <w:rFonts w:ascii="宋体" w:hAnsi="宋体" w:cs="仿宋"/>
                <w:color w:val="auto"/>
                <w:sz w:val="22"/>
                <w:szCs w:val="22"/>
                <w:highlight w:val="none"/>
              </w:rPr>
            </w:pPr>
          </w:p>
        </w:tc>
        <w:tc>
          <w:tcPr>
            <w:tcW w:w="1368" w:type="dxa"/>
            <w:noWrap w:val="0"/>
            <w:vAlign w:val="center"/>
          </w:tcPr>
          <w:p w14:paraId="23D14C0F">
            <w:pPr>
              <w:spacing w:line="600" w:lineRule="auto"/>
              <w:jc w:val="center"/>
              <w:rPr>
                <w:rFonts w:ascii="宋体" w:hAnsi="宋体" w:cs="仿宋"/>
                <w:color w:val="auto"/>
                <w:sz w:val="22"/>
                <w:szCs w:val="22"/>
                <w:highlight w:val="none"/>
              </w:rPr>
            </w:pPr>
          </w:p>
        </w:tc>
        <w:tc>
          <w:tcPr>
            <w:tcW w:w="2181" w:type="dxa"/>
            <w:noWrap w:val="0"/>
            <w:vAlign w:val="center"/>
          </w:tcPr>
          <w:p w14:paraId="36E90773">
            <w:pPr>
              <w:spacing w:line="600" w:lineRule="auto"/>
              <w:jc w:val="center"/>
              <w:rPr>
                <w:rFonts w:ascii="宋体" w:hAnsi="宋体" w:cs="仿宋"/>
                <w:color w:val="auto"/>
                <w:sz w:val="22"/>
                <w:szCs w:val="22"/>
                <w:highlight w:val="none"/>
              </w:rPr>
            </w:pPr>
          </w:p>
        </w:tc>
        <w:tc>
          <w:tcPr>
            <w:tcW w:w="1214" w:type="dxa"/>
            <w:noWrap w:val="0"/>
            <w:vAlign w:val="center"/>
          </w:tcPr>
          <w:p w14:paraId="1D1D37C0">
            <w:pPr>
              <w:spacing w:line="600" w:lineRule="auto"/>
              <w:jc w:val="center"/>
              <w:rPr>
                <w:rFonts w:ascii="宋体" w:hAnsi="宋体" w:cs="仿宋"/>
                <w:color w:val="auto"/>
                <w:sz w:val="22"/>
                <w:szCs w:val="22"/>
                <w:highlight w:val="none"/>
              </w:rPr>
            </w:pPr>
          </w:p>
        </w:tc>
        <w:tc>
          <w:tcPr>
            <w:tcW w:w="1931" w:type="dxa"/>
            <w:noWrap w:val="0"/>
            <w:vAlign w:val="center"/>
          </w:tcPr>
          <w:p w14:paraId="6872461B">
            <w:pPr>
              <w:spacing w:line="600" w:lineRule="auto"/>
              <w:jc w:val="center"/>
              <w:rPr>
                <w:rFonts w:ascii="宋体" w:hAnsi="宋体" w:cs="仿宋"/>
                <w:color w:val="auto"/>
                <w:sz w:val="22"/>
                <w:szCs w:val="22"/>
                <w:highlight w:val="none"/>
              </w:rPr>
            </w:pPr>
          </w:p>
        </w:tc>
        <w:tc>
          <w:tcPr>
            <w:tcW w:w="1655" w:type="dxa"/>
            <w:noWrap w:val="0"/>
            <w:vAlign w:val="center"/>
          </w:tcPr>
          <w:p w14:paraId="6FA30A41">
            <w:pPr>
              <w:spacing w:line="600" w:lineRule="auto"/>
              <w:jc w:val="center"/>
              <w:rPr>
                <w:rFonts w:ascii="宋体" w:hAnsi="宋体" w:cs="仿宋"/>
                <w:color w:val="auto"/>
                <w:sz w:val="22"/>
                <w:szCs w:val="22"/>
                <w:highlight w:val="none"/>
              </w:rPr>
            </w:pPr>
          </w:p>
        </w:tc>
        <w:tc>
          <w:tcPr>
            <w:tcW w:w="1643" w:type="dxa"/>
            <w:noWrap w:val="0"/>
            <w:vAlign w:val="center"/>
          </w:tcPr>
          <w:p w14:paraId="0B23B0A4">
            <w:pPr>
              <w:spacing w:line="600" w:lineRule="auto"/>
              <w:jc w:val="center"/>
              <w:rPr>
                <w:rFonts w:ascii="宋体" w:hAnsi="宋体" w:cs="仿宋"/>
                <w:color w:val="auto"/>
                <w:sz w:val="22"/>
                <w:szCs w:val="22"/>
                <w:highlight w:val="none"/>
              </w:rPr>
            </w:pPr>
          </w:p>
        </w:tc>
      </w:tr>
      <w:tr w14:paraId="3BFF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09593DE2">
            <w:pPr>
              <w:jc w:val="center"/>
              <w:rPr>
                <w:rFonts w:ascii="宋体" w:hAnsi="宋体" w:cs="仿宋"/>
                <w:color w:val="auto"/>
                <w:sz w:val="22"/>
                <w:szCs w:val="22"/>
                <w:highlight w:val="none"/>
              </w:rPr>
            </w:pPr>
          </w:p>
        </w:tc>
        <w:tc>
          <w:tcPr>
            <w:tcW w:w="767" w:type="dxa"/>
            <w:noWrap w:val="0"/>
            <w:vAlign w:val="center"/>
          </w:tcPr>
          <w:p w14:paraId="6092FAF9">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11C2AC82">
            <w:pPr>
              <w:spacing w:line="600" w:lineRule="auto"/>
              <w:jc w:val="center"/>
              <w:rPr>
                <w:rFonts w:ascii="宋体" w:hAnsi="宋体" w:cs="仿宋"/>
                <w:color w:val="auto"/>
                <w:sz w:val="22"/>
                <w:szCs w:val="22"/>
                <w:highlight w:val="none"/>
              </w:rPr>
            </w:pPr>
          </w:p>
        </w:tc>
        <w:tc>
          <w:tcPr>
            <w:tcW w:w="1368" w:type="dxa"/>
            <w:noWrap w:val="0"/>
            <w:vAlign w:val="center"/>
          </w:tcPr>
          <w:p w14:paraId="64D04BC4">
            <w:pPr>
              <w:spacing w:line="600" w:lineRule="auto"/>
              <w:jc w:val="center"/>
              <w:rPr>
                <w:rFonts w:ascii="宋体" w:hAnsi="宋体" w:cs="仿宋"/>
                <w:color w:val="auto"/>
                <w:sz w:val="22"/>
                <w:szCs w:val="22"/>
                <w:highlight w:val="none"/>
              </w:rPr>
            </w:pPr>
          </w:p>
        </w:tc>
        <w:tc>
          <w:tcPr>
            <w:tcW w:w="2181" w:type="dxa"/>
            <w:noWrap w:val="0"/>
            <w:vAlign w:val="center"/>
          </w:tcPr>
          <w:p w14:paraId="5C722225">
            <w:pPr>
              <w:spacing w:line="600" w:lineRule="auto"/>
              <w:jc w:val="center"/>
              <w:rPr>
                <w:rFonts w:ascii="宋体" w:hAnsi="宋体" w:cs="仿宋"/>
                <w:color w:val="auto"/>
                <w:sz w:val="22"/>
                <w:szCs w:val="22"/>
                <w:highlight w:val="none"/>
              </w:rPr>
            </w:pPr>
          </w:p>
        </w:tc>
        <w:tc>
          <w:tcPr>
            <w:tcW w:w="1214" w:type="dxa"/>
            <w:noWrap w:val="0"/>
            <w:vAlign w:val="center"/>
          </w:tcPr>
          <w:p w14:paraId="0E79E55B">
            <w:pPr>
              <w:spacing w:line="600" w:lineRule="auto"/>
              <w:jc w:val="center"/>
              <w:rPr>
                <w:rFonts w:ascii="宋体" w:hAnsi="宋体" w:cs="仿宋"/>
                <w:color w:val="auto"/>
                <w:sz w:val="22"/>
                <w:szCs w:val="22"/>
                <w:highlight w:val="none"/>
              </w:rPr>
            </w:pPr>
          </w:p>
        </w:tc>
        <w:tc>
          <w:tcPr>
            <w:tcW w:w="1931" w:type="dxa"/>
            <w:noWrap w:val="0"/>
            <w:vAlign w:val="center"/>
          </w:tcPr>
          <w:p w14:paraId="2C753E5B">
            <w:pPr>
              <w:spacing w:line="600" w:lineRule="auto"/>
              <w:jc w:val="center"/>
              <w:rPr>
                <w:rFonts w:ascii="宋体" w:hAnsi="宋体" w:cs="仿宋"/>
                <w:color w:val="auto"/>
                <w:sz w:val="22"/>
                <w:szCs w:val="22"/>
                <w:highlight w:val="none"/>
              </w:rPr>
            </w:pPr>
          </w:p>
        </w:tc>
        <w:tc>
          <w:tcPr>
            <w:tcW w:w="1655" w:type="dxa"/>
            <w:noWrap w:val="0"/>
            <w:vAlign w:val="center"/>
          </w:tcPr>
          <w:p w14:paraId="6F8F2F31">
            <w:pPr>
              <w:spacing w:line="600" w:lineRule="auto"/>
              <w:jc w:val="center"/>
              <w:rPr>
                <w:rFonts w:ascii="宋体" w:hAnsi="宋体" w:cs="仿宋"/>
                <w:color w:val="auto"/>
                <w:sz w:val="22"/>
                <w:szCs w:val="22"/>
                <w:highlight w:val="none"/>
              </w:rPr>
            </w:pPr>
          </w:p>
        </w:tc>
        <w:tc>
          <w:tcPr>
            <w:tcW w:w="1643" w:type="dxa"/>
            <w:noWrap w:val="0"/>
            <w:vAlign w:val="center"/>
          </w:tcPr>
          <w:p w14:paraId="127C2598">
            <w:pPr>
              <w:spacing w:line="600" w:lineRule="auto"/>
              <w:jc w:val="center"/>
              <w:rPr>
                <w:rFonts w:ascii="宋体" w:hAnsi="宋体" w:cs="仿宋"/>
                <w:color w:val="auto"/>
                <w:sz w:val="22"/>
                <w:szCs w:val="22"/>
                <w:highlight w:val="none"/>
              </w:rPr>
            </w:pPr>
          </w:p>
        </w:tc>
      </w:tr>
      <w:tr w14:paraId="187A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56FAAD48">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370EECA4">
            <w:pPr>
              <w:spacing w:line="600" w:lineRule="auto"/>
              <w:jc w:val="center"/>
              <w:rPr>
                <w:rFonts w:ascii="宋体" w:hAnsi="宋体" w:cs="仿宋"/>
                <w:color w:val="auto"/>
                <w:sz w:val="22"/>
                <w:szCs w:val="22"/>
                <w:highlight w:val="none"/>
              </w:rPr>
            </w:pPr>
          </w:p>
        </w:tc>
        <w:tc>
          <w:tcPr>
            <w:tcW w:w="2256" w:type="dxa"/>
            <w:noWrap w:val="0"/>
            <w:vAlign w:val="center"/>
          </w:tcPr>
          <w:p w14:paraId="4FFFD92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5E941B89">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4280B951">
            <w:pPr>
              <w:spacing w:line="600" w:lineRule="auto"/>
              <w:jc w:val="center"/>
              <w:rPr>
                <w:rFonts w:ascii="宋体" w:hAnsi="宋体" w:cs="仿宋"/>
                <w:color w:val="auto"/>
                <w:sz w:val="22"/>
                <w:szCs w:val="22"/>
                <w:highlight w:val="none"/>
              </w:rPr>
            </w:pPr>
          </w:p>
        </w:tc>
        <w:tc>
          <w:tcPr>
            <w:tcW w:w="1214" w:type="dxa"/>
            <w:noWrap w:val="0"/>
            <w:vAlign w:val="center"/>
          </w:tcPr>
          <w:p w14:paraId="61CA7043">
            <w:pPr>
              <w:spacing w:line="600" w:lineRule="auto"/>
              <w:jc w:val="center"/>
              <w:rPr>
                <w:rFonts w:ascii="宋体" w:hAnsi="宋体" w:cs="仿宋"/>
                <w:color w:val="auto"/>
                <w:sz w:val="22"/>
                <w:szCs w:val="22"/>
                <w:highlight w:val="none"/>
              </w:rPr>
            </w:pPr>
          </w:p>
        </w:tc>
        <w:tc>
          <w:tcPr>
            <w:tcW w:w="1931" w:type="dxa"/>
            <w:noWrap w:val="0"/>
            <w:vAlign w:val="center"/>
          </w:tcPr>
          <w:p w14:paraId="6E4DC27D">
            <w:pPr>
              <w:spacing w:line="600" w:lineRule="auto"/>
              <w:jc w:val="center"/>
              <w:rPr>
                <w:rFonts w:ascii="宋体" w:hAnsi="宋体" w:cs="仿宋"/>
                <w:color w:val="auto"/>
                <w:sz w:val="22"/>
                <w:szCs w:val="22"/>
                <w:highlight w:val="none"/>
              </w:rPr>
            </w:pPr>
          </w:p>
        </w:tc>
        <w:tc>
          <w:tcPr>
            <w:tcW w:w="1655" w:type="dxa"/>
            <w:noWrap w:val="0"/>
            <w:vAlign w:val="center"/>
          </w:tcPr>
          <w:p w14:paraId="356E5D42">
            <w:pPr>
              <w:spacing w:line="600" w:lineRule="auto"/>
              <w:jc w:val="center"/>
              <w:rPr>
                <w:rFonts w:ascii="宋体" w:hAnsi="宋体" w:cs="仿宋"/>
                <w:color w:val="auto"/>
                <w:sz w:val="22"/>
                <w:szCs w:val="22"/>
                <w:highlight w:val="none"/>
              </w:rPr>
            </w:pPr>
          </w:p>
        </w:tc>
        <w:tc>
          <w:tcPr>
            <w:tcW w:w="1643" w:type="dxa"/>
            <w:noWrap w:val="0"/>
            <w:vAlign w:val="center"/>
          </w:tcPr>
          <w:p w14:paraId="018E6637">
            <w:pPr>
              <w:spacing w:line="600" w:lineRule="auto"/>
              <w:jc w:val="center"/>
              <w:rPr>
                <w:rFonts w:ascii="宋体" w:hAnsi="宋体" w:cs="仿宋"/>
                <w:color w:val="auto"/>
                <w:sz w:val="22"/>
                <w:szCs w:val="22"/>
                <w:highlight w:val="none"/>
              </w:rPr>
            </w:pPr>
          </w:p>
        </w:tc>
      </w:tr>
    </w:tbl>
    <w:p w14:paraId="2AF3C7D5">
      <w:pPr>
        <w:rPr>
          <w:rFonts w:ascii="宋体" w:hAnsi="宋体"/>
          <w:color w:val="auto"/>
          <w:szCs w:val="21"/>
          <w:highlight w:val="none"/>
        </w:rPr>
      </w:pPr>
    </w:p>
    <w:p w14:paraId="11C3A269">
      <w:pPr>
        <w:ind w:firstLine="630" w:firstLineChars="300"/>
        <w:rPr>
          <w:rFonts w:ascii="宋体" w:hAnsi="宋体" w:cs="宋体"/>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附表1-3：                                </w:t>
      </w:r>
      <w:r>
        <w:rPr>
          <w:rFonts w:hint="eastAsia" w:ascii="宋体" w:hAnsi="宋体" w:cs="宋体"/>
          <w:b/>
          <w:color w:val="auto"/>
          <w:sz w:val="24"/>
          <w:highlight w:val="none"/>
        </w:rPr>
        <w:t xml:space="preserve">    简易设施一览表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126B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4EBA8C86">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3DF9DAA2">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5D64DC1C">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292F5E55">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6E49B3DC">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0CC60F6E">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7F1613FE">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7CCCDFC1">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53D0AA4D">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2CFB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167E1A01">
            <w:pPr>
              <w:jc w:val="center"/>
              <w:rPr>
                <w:rFonts w:ascii="宋体" w:hAnsi="宋体" w:cs="仿宋"/>
                <w:color w:val="auto"/>
                <w:sz w:val="22"/>
                <w:szCs w:val="22"/>
                <w:highlight w:val="none"/>
              </w:rPr>
            </w:pPr>
            <w:r>
              <w:rPr>
                <w:rFonts w:hint="eastAsia" w:ascii="宋体" w:hAnsi="宋体" w:cs="仿宋"/>
                <w:color w:val="auto"/>
                <w:sz w:val="22"/>
                <w:szCs w:val="22"/>
                <w:highlight w:val="none"/>
              </w:rPr>
              <w:t>简易设施</w:t>
            </w:r>
          </w:p>
        </w:tc>
        <w:tc>
          <w:tcPr>
            <w:tcW w:w="767" w:type="dxa"/>
            <w:noWrap w:val="0"/>
            <w:vAlign w:val="center"/>
          </w:tcPr>
          <w:p w14:paraId="6DAC1056">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3C53E7A7">
            <w:pPr>
              <w:spacing w:line="600" w:lineRule="auto"/>
              <w:jc w:val="center"/>
              <w:rPr>
                <w:rFonts w:ascii="宋体" w:hAnsi="宋体" w:cs="仿宋"/>
                <w:color w:val="auto"/>
                <w:sz w:val="22"/>
                <w:szCs w:val="22"/>
                <w:highlight w:val="none"/>
              </w:rPr>
            </w:pPr>
          </w:p>
        </w:tc>
        <w:tc>
          <w:tcPr>
            <w:tcW w:w="1368" w:type="dxa"/>
            <w:noWrap w:val="0"/>
            <w:vAlign w:val="center"/>
          </w:tcPr>
          <w:p w14:paraId="71B1EA41">
            <w:pPr>
              <w:spacing w:line="600" w:lineRule="auto"/>
              <w:jc w:val="center"/>
              <w:rPr>
                <w:rFonts w:ascii="宋体" w:hAnsi="宋体" w:cs="仿宋"/>
                <w:color w:val="auto"/>
                <w:sz w:val="22"/>
                <w:szCs w:val="22"/>
                <w:highlight w:val="none"/>
              </w:rPr>
            </w:pPr>
          </w:p>
        </w:tc>
        <w:tc>
          <w:tcPr>
            <w:tcW w:w="2181" w:type="dxa"/>
            <w:noWrap w:val="0"/>
            <w:vAlign w:val="center"/>
          </w:tcPr>
          <w:p w14:paraId="1EC5C64E">
            <w:pPr>
              <w:spacing w:line="600" w:lineRule="auto"/>
              <w:jc w:val="center"/>
              <w:rPr>
                <w:rFonts w:ascii="宋体" w:hAnsi="宋体" w:cs="仿宋"/>
                <w:color w:val="auto"/>
                <w:sz w:val="22"/>
                <w:szCs w:val="22"/>
                <w:highlight w:val="none"/>
              </w:rPr>
            </w:pPr>
          </w:p>
        </w:tc>
        <w:tc>
          <w:tcPr>
            <w:tcW w:w="1214" w:type="dxa"/>
            <w:noWrap w:val="0"/>
            <w:vAlign w:val="center"/>
          </w:tcPr>
          <w:p w14:paraId="7760F23A">
            <w:pPr>
              <w:spacing w:line="600" w:lineRule="auto"/>
              <w:jc w:val="center"/>
              <w:rPr>
                <w:rFonts w:ascii="宋体" w:hAnsi="宋体" w:cs="仿宋"/>
                <w:color w:val="auto"/>
                <w:sz w:val="22"/>
                <w:szCs w:val="22"/>
                <w:highlight w:val="none"/>
              </w:rPr>
            </w:pPr>
          </w:p>
        </w:tc>
        <w:tc>
          <w:tcPr>
            <w:tcW w:w="1931" w:type="dxa"/>
            <w:noWrap w:val="0"/>
            <w:vAlign w:val="center"/>
          </w:tcPr>
          <w:p w14:paraId="792E4F8B">
            <w:pPr>
              <w:spacing w:line="600" w:lineRule="auto"/>
              <w:jc w:val="center"/>
              <w:rPr>
                <w:rFonts w:ascii="宋体" w:hAnsi="宋体" w:cs="仿宋"/>
                <w:color w:val="auto"/>
                <w:sz w:val="22"/>
                <w:szCs w:val="22"/>
                <w:highlight w:val="none"/>
              </w:rPr>
            </w:pPr>
          </w:p>
        </w:tc>
        <w:tc>
          <w:tcPr>
            <w:tcW w:w="1655" w:type="dxa"/>
            <w:noWrap w:val="0"/>
            <w:vAlign w:val="center"/>
          </w:tcPr>
          <w:p w14:paraId="26C5C820">
            <w:pPr>
              <w:spacing w:line="600" w:lineRule="auto"/>
              <w:jc w:val="center"/>
              <w:rPr>
                <w:rFonts w:ascii="宋体" w:hAnsi="宋体" w:cs="仿宋"/>
                <w:color w:val="auto"/>
                <w:sz w:val="22"/>
                <w:szCs w:val="22"/>
                <w:highlight w:val="none"/>
              </w:rPr>
            </w:pPr>
          </w:p>
        </w:tc>
        <w:tc>
          <w:tcPr>
            <w:tcW w:w="1643" w:type="dxa"/>
            <w:noWrap w:val="0"/>
            <w:vAlign w:val="center"/>
          </w:tcPr>
          <w:p w14:paraId="34F5FCF9">
            <w:pPr>
              <w:spacing w:line="600" w:lineRule="auto"/>
              <w:jc w:val="center"/>
              <w:rPr>
                <w:rFonts w:ascii="宋体" w:hAnsi="宋体" w:cs="仿宋"/>
                <w:color w:val="auto"/>
                <w:sz w:val="22"/>
                <w:szCs w:val="22"/>
                <w:highlight w:val="none"/>
              </w:rPr>
            </w:pPr>
          </w:p>
        </w:tc>
      </w:tr>
      <w:tr w14:paraId="6A04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685C3ED6">
            <w:pPr>
              <w:jc w:val="center"/>
              <w:rPr>
                <w:rFonts w:ascii="宋体" w:hAnsi="宋体" w:cs="仿宋"/>
                <w:color w:val="auto"/>
                <w:sz w:val="22"/>
                <w:szCs w:val="22"/>
                <w:highlight w:val="none"/>
              </w:rPr>
            </w:pPr>
          </w:p>
        </w:tc>
        <w:tc>
          <w:tcPr>
            <w:tcW w:w="767" w:type="dxa"/>
            <w:noWrap w:val="0"/>
            <w:vAlign w:val="center"/>
          </w:tcPr>
          <w:p w14:paraId="14EF4D78">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065FAA42">
            <w:pPr>
              <w:spacing w:line="600" w:lineRule="auto"/>
              <w:jc w:val="center"/>
              <w:rPr>
                <w:rFonts w:ascii="宋体" w:hAnsi="宋体" w:cs="仿宋"/>
                <w:color w:val="auto"/>
                <w:sz w:val="22"/>
                <w:szCs w:val="22"/>
                <w:highlight w:val="none"/>
              </w:rPr>
            </w:pPr>
          </w:p>
        </w:tc>
        <w:tc>
          <w:tcPr>
            <w:tcW w:w="1368" w:type="dxa"/>
            <w:noWrap w:val="0"/>
            <w:vAlign w:val="center"/>
          </w:tcPr>
          <w:p w14:paraId="76349949">
            <w:pPr>
              <w:spacing w:line="600" w:lineRule="auto"/>
              <w:jc w:val="center"/>
              <w:rPr>
                <w:rFonts w:ascii="宋体" w:hAnsi="宋体" w:cs="仿宋"/>
                <w:color w:val="auto"/>
                <w:sz w:val="22"/>
                <w:szCs w:val="22"/>
                <w:highlight w:val="none"/>
              </w:rPr>
            </w:pPr>
          </w:p>
        </w:tc>
        <w:tc>
          <w:tcPr>
            <w:tcW w:w="2181" w:type="dxa"/>
            <w:noWrap w:val="0"/>
            <w:vAlign w:val="center"/>
          </w:tcPr>
          <w:p w14:paraId="4ACC8850">
            <w:pPr>
              <w:spacing w:line="600" w:lineRule="auto"/>
              <w:jc w:val="center"/>
              <w:rPr>
                <w:rFonts w:ascii="宋体" w:hAnsi="宋体" w:cs="仿宋"/>
                <w:color w:val="auto"/>
                <w:sz w:val="22"/>
                <w:szCs w:val="22"/>
                <w:highlight w:val="none"/>
              </w:rPr>
            </w:pPr>
          </w:p>
        </w:tc>
        <w:tc>
          <w:tcPr>
            <w:tcW w:w="1214" w:type="dxa"/>
            <w:noWrap w:val="0"/>
            <w:vAlign w:val="center"/>
          </w:tcPr>
          <w:p w14:paraId="328631D9">
            <w:pPr>
              <w:spacing w:line="600" w:lineRule="auto"/>
              <w:jc w:val="center"/>
              <w:rPr>
                <w:rFonts w:ascii="宋体" w:hAnsi="宋体" w:cs="仿宋"/>
                <w:color w:val="auto"/>
                <w:sz w:val="22"/>
                <w:szCs w:val="22"/>
                <w:highlight w:val="none"/>
              </w:rPr>
            </w:pPr>
          </w:p>
        </w:tc>
        <w:tc>
          <w:tcPr>
            <w:tcW w:w="1931" w:type="dxa"/>
            <w:noWrap w:val="0"/>
            <w:vAlign w:val="center"/>
          </w:tcPr>
          <w:p w14:paraId="706A248C">
            <w:pPr>
              <w:spacing w:line="600" w:lineRule="auto"/>
              <w:jc w:val="center"/>
              <w:rPr>
                <w:rFonts w:ascii="宋体" w:hAnsi="宋体" w:cs="仿宋"/>
                <w:color w:val="auto"/>
                <w:sz w:val="22"/>
                <w:szCs w:val="22"/>
                <w:highlight w:val="none"/>
              </w:rPr>
            </w:pPr>
          </w:p>
        </w:tc>
        <w:tc>
          <w:tcPr>
            <w:tcW w:w="1655" w:type="dxa"/>
            <w:noWrap w:val="0"/>
            <w:vAlign w:val="center"/>
          </w:tcPr>
          <w:p w14:paraId="734D4C85">
            <w:pPr>
              <w:spacing w:line="600" w:lineRule="auto"/>
              <w:jc w:val="center"/>
              <w:rPr>
                <w:rFonts w:ascii="宋体" w:hAnsi="宋体" w:cs="仿宋"/>
                <w:color w:val="auto"/>
                <w:sz w:val="22"/>
                <w:szCs w:val="22"/>
                <w:highlight w:val="none"/>
              </w:rPr>
            </w:pPr>
          </w:p>
        </w:tc>
        <w:tc>
          <w:tcPr>
            <w:tcW w:w="1643" w:type="dxa"/>
            <w:noWrap w:val="0"/>
            <w:vAlign w:val="center"/>
          </w:tcPr>
          <w:p w14:paraId="724A83A7">
            <w:pPr>
              <w:spacing w:line="600" w:lineRule="auto"/>
              <w:jc w:val="center"/>
              <w:rPr>
                <w:rFonts w:ascii="宋体" w:hAnsi="宋体" w:cs="仿宋"/>
                <w:color w:val="auto"/>
                <w:sz w:val="22"/>
                <w:szCs w:val="22"/>
                <w:highlight w:val="none"/>
              </w:rPr>
            </w:pPr>
          </w:p>
        </w:tc>
      </w:tr>
      <w:tr w14:paraId="308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1ECDD003">
            <w:pPr>
              <w:jc w:val="center"/>
              <w:rPr>
                <w:rFonts w:ascii="宋体" w:hAnsi="宋体" w:cs="仿宋"/>
                <w:color w:val="auto"/>
                <w:sz w:val="22"/>
                <w:szCs w:val="22"/>
                <w:highlight w:val="none"/>
              </w:rPr>
            </w:pPr>
          </w:p>
        </w:tc>
        <w:tc>
          <w:tcPr>
            <w:tcW w:w="767" w:type="dxa"/>
            <w:noWrap w:val="0"/>
            <w:vAlign w:val="center"/>
          </w:tcPr>
          <w:p w14:paraId="57623273">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64021008">
            <w:pPr>
              <w:spacing w:line="600" w:lineRule="auto"/>
              <w:jc w:val="center"/>
              <w:rPr>
                <w:rFonts w:ascii="宋体" w:hAnsi="宋体" w:cs="仿宋"/>
                <w:color w:val="auto"/>
                <w:sz w:val="22"/>
                <w:szCs w:val="22"/>
                <w:highlight w:val="none"/>
              </w:rPr>
            </w:pPr>
          </w:p>
        </w:tc>
        <w:tc>
          <w:tcPr>
            <w:tcW w:w="1368" w:type="dxa"/>
            <w:noWrap w:val="0"/>
            <w:vAlign w:val="center"/>
          </w:tcPr>
          <w:p w14:paraId="611A099F">
            <w:pPr>
              <w:spacing w:line="600" w:lineRule="auto"/>
              <w:jc w:val="center"/>
              <w:rPr>
                <w:rFonts w:ascii="宋体" w:hAnsi="宋体" w:cs="仿宋"/>
                <w:color w:val="auto"/>
                <w:sz w:val="22"/>
                <w:szCs w:val="22"/>
                <w:highlight w:val="none"/>
              </w:rPr>
            </w:pPr>
          </w:p>
        </w:tc>
        <w:tc>
          <w:tcPr>
            <w:tcW w:w="2181" w:type="dxa"/>
            <w:noWrap w:val="0"/>
            <w:vAlign w:val="center"/>
          </w:tcPr>
          <w:p w14:paraId="14053C4D">
            <w:pPr>
              <w:spacing w:line="600" w:lineRule="auto"/>
              <w:jc w:val="center"/>
              <w:rPr>
                <w:rFonts w:ascii="宋体" w:hAnsi="宋体" w:cs="仿宋"/>
                <w:color w:val="auto"/>
                <w:sz w:val="22"/>
                <w:szCs w:val="22"/>
                <w:highlight w:val="none"/>
              </w:rPr>
            </w:pPr>
          </w:p>
        </w:tc>
        <w:tc>
          <w:tcPr>
            <w:tcW w:w="1214" w:type="dxa"/>
            <w:noWrap w:val="0"/>
            <w:vAlign w:val="center"/>
          </w:tcPr>
          <w:p w14:paraId="173EAB62">
            <w:pPr>
              <w:spacing w:line="600" w:lineRule="auto"/>
              <w:jc w:val="center"/>
              <w:rPr>
                <w:rFonts w:ascii="宋体" w:hAnsi="宋体" w:cs="仿宋"/>
                <w:color w:val="auto"/>
                <w:sz w:val="22"/>
                <w:szCs w:val="22"/>
                <w:highlight w:val="none"/>
              </w:rPr>
            </w:pPr>
          </w:p>
        </w:tc>
        <w:tc>
          <w:tcPr>
            <w:tcW w:w="1931" w:type="dxa"/>
            <w:noWrap w:val="0"/>
            <w:vAlign w:val="center"/>
          </w:tcPr>
          <w:p w14:paraId="36FB2720">
            <w:pPr>
              <w:spacing w:line="600" w:lineRule="auto"/>
              <w:jc w:val="center"/>
              <w:rPr>
                <w:rFonts w:ascii="宋体" w:hAnsi="宋体" w:cs="仿宋"/>
                <w:color w:val="auto"/>
                <w:sz w:val="22"/>
                <w:szCs w:val="22"/>
                <w:highlight w:val="none"/>
              </w:rPr>
            </w:pPr>
          </w:p>
        </w:tc>
        <w:tc>
          <w:tcPr>
            <w:tcW w:w="1655" w:type="dxa"/>
            <w:noWrap w:val="0"/>
            <w:vAlign w:val="center"/>
          </w:tcPr>
          <w:p w14:paraId="2948FC09">
            <w:pPr>
              <w:spacing w:line="600" w:lineRule="auto"/>
              <w:jc w:val="center"/>
              <w:rPr>
                <w:rFonts w:ascii="宋体" w:hAnsi="宋体" w:cs="仿宋"/>
                <w:color w:val="auto"/>
                <w:sz w:val="22"/>
                <w:szCs w:val="22"/>
                <w:highlight w:val="none"/>
              </w:rPr>
            </w:pPr>
          </w:p>
        </w:tc>
        <w:tc>
          <w:tcPr>
            <w:tcW w:w="1643" w:type="dxa"/>
            <w:noWrap w:val="0"/>
            <w:vAlign w:val="center"/>
          </w:tcPr>
          <w:p w14:paraId="40E14B89">
            <w:pPr>
              <w:spacing w:line="600" w:lineRule="auto"/>
              <w:jc w:val="center"/>
              <w:rPr>
                <w:rFonts w:ascii="宋体" w:hAnsi="宋体" w:cs="仿宋"/>
                <w:color w:val="auto"/>
                <w:sz w:val="22"/>
                <w:szCs w:val="22"/>
                <w:highlight w:val="none"/>
              </w:rPr>
            </w:pPr>
          </w:p>
        </w:tc>
      </w:tr>
      <w:tr w14:paraId="0FCB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4BBF8BE4">
            <w:pPr>
              <w:jc w:val="center"/>
              <w:rPr>
                <w:rFonts w:ascii="宋体" w:hAnsi="宋体" w:cs="仿宋"/>
                <w:color w:val="auto"/>
                <w:sz w:val="22"/>
                <w:szCs w:val="22"/>
                <w:highlight w:val="none"/>
              </w:rPr>
            </w:pPr>
          </w:p>
        </w:tc>
        <w:tc>
          <w:tcPr>
            <w:tcW w:w="767" w:type="dxa"/>
            <w:noWrap w:val="0"/>
            <w:vAlign w:val="center"/>
          </w:tcPr>
          <w:p w14:paraId="44F5F9C1">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08B19E77">
            <w:pPr>
              <w:spacing w:line="600" w:lineRule="auto"/>
              <w:jc w:val="center"/>
              <w:rPr>
                <w:rFonts w:ascii="宋体" w:hAnsi="宋体" w:cs="仿宋"/>
                <w:color w:val="auto"/>
                <w:sz w:val="22"/>
                <w:szCs w:val="22"/>
                <w:highlight w:val="none"/>
              </w:rPr>
            </w:pPr>
          </w:p>
        </w:tc>
        <w:tc>
          <w:tcPr>
            <w:tcW w:w="1368" w:type="dxa"/>
            <w:noWrap w:val="0"/>
            <w:vAlign w:val="center"/>
          </w:tcPr>
          <w:p w14:paraId="1D1FCD7C">
            <w:pPr>
              <w:spacing w:line="600" w:lineRule="auto"/>
              <w:jc w:val="center"/>
              <w:rPr>
                <w:rFonts w:ascii="宋体" w:hAnsi="宋体" w:cs="仿宋"/>
                <w:color w:val="auto"/>
                <w:sz w:val="22"/>
                <w:szCs w:val="22"/>
                <w:highlight w:val="none"/>
              </w:rPr>
            </w:pPr>
          </w:p>
        </w:tc>
        <w:tc>
          <w:tcPr>
            <w:tcW w:w="2181" w:type="dxa"/>
            <w:noWrap w:val="0"/>
            <w:vAlign w:val="center"/>
          </w:tcPr>
          <w:p w14:paraId="182DDE12">
            <w:pPr>
              <w:spacing w:line="600" w:lineRule="auto"/>
              <w:jc w:val="center"/>
              <w:rPr>
                <w:rFonts w:ascii="宋体" w:hAnsi="宋体" w:cs="仿宋"/>
                <w:color w:val="auto"/>
                <w:sz w:val="22"/>
                <w:szCs w:val="22"/>
                <w:highlight w:val="none"/>
              </w:rPr>
            </w:pPr>
          </w:p>
        </w:tc>
        <w:tc>
          <w:tcPr>
            <w:tcW w:w="1214" w:type="dxa"/>
            <w:noWrap w:val="0"/>
            <w:vAlign w:val="center"/>
          </w:tcPr>
          <w:p w14:paraId="59EB0A7C">
            <w:pPr>
              <w:spacing w:line="600" w:lineRule="auto"/>
              <w:jc w:val="center"/>
              <w:rPr>
                <w:rFonts w:ascii="宋体" w:hAnsi="宋体" w:cs="仿宋"/>
                <w:color w:val="auto"/>
                <w:sz w:val="22"/>
                <w:szCs w:val="22"/>
                <w:highlight w:val="none"/>
              </w:rPr>
            </w:pPr>
          </w:p>
        </w:tc>
        <w:tc>
          <w:tcPr>
            <w:tcW w:w="1931" w:type="dxa"/>
            <w:noWrap w:val="0"/>
            <w:vAlign w:val="center"/>
          </w:tcPr>
          <w:p w14:paraId="7310C343">
            <w:pPr>
              <w:spacing w:line="600" w:lineRule="auto"/>
              <w:jc w:val="center"/>
              <w:rPr>
                <w:rFonts w:ascii="宋体" w:hAnsi="宋体" w:cs="仿宋"/>
                <w:color w:val="auto"/>
                <w:sz w:val="22"/>
                <w:szCs w:val="22"/>
                <w:highlight w:val="none"/>
              </w:rPr>
            </w:pPr>
          </w:p>
        </w:tc>
        <w:tc>
          <w:tcPr>
            <w:tcW w:w="1655" w:type="dxa"/>
            <w:noWrap w:val="0"/>
            <w:vAlign w:val="center"/>
          </w:tcPr>
          <w:p w14:paraId="0B9AD344">
            <w:pPr>
              <w:spacing w:line="600" w:lineRule="auto"/>
              <w:jc w:val="center"/>
              <w:rPr>
                <w:rFonts w:ascii="宋体" w:hAnsi="宋体" w:cs="仿宋"/>
                <w:color w:val="auto"/>
                <w:sz w:val="22"/>
                <w:szCs w:val="22"/>
                <w:highlight w:val="none"/>
              </w:rPr>
            </w:pPr>
          </w:p>
        </w:tc>
        <w:tc>
          <w:tcPr>
            <w:tcW w:w="1643" w:type="dxa"/>
            <w:noWrap w:val="0"/>
            <w:vAlign w:val="center"/>
          </w:tcPr>
          <w:p w14:paraId="2B93AC1D">
            <w:pPr>
              <w:spacing w:line="600" w:lineRule="auto"/>
              <w:jc w:val="center"/>
              <w:rPr>
                <w:rFonts w:ascii="宋体" w:hAnsi="宋体" w:cs="仿宋"/>
                <w:color w:val="auto"/>
                <w:sz w:val="22"/>
                <w:szCs w:val="22"/>
                <w:highlight w:val="none"/>
              </w:rPr>
            </w:pPr>
          </w:p>
        </w:tc>
      </w:tr>
      <w:tr w14:paraId="1340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0DA2A36E">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0842A855">
            <w:pPr>
              <w:spacing w:line="600" w:lineRule="auto"/>
              <w:jc w:val="center"/>
              <w:rPr>
                <w:rFonts w:ascii="宋体" w:hAnsi="宋体" w:cs="仿宋"/>
                <w:color w:val="auto"/>
                <w:sz w:val="22"/>
                <w:szCs w:val="22"/>
                <w:highlight w:val="none"/>
              </w:rPr>
            </w:pPr>
          </w:p>
        </w:tc>
        <w:tc>
          <w:tcPr>
            <w:tcW w:w="2256" w:type="dxa"/>
            <w:noWrap w:val="0"/>
            <w:vAlign w:val="center"/>
          </w:tcPr>
          <w:p w14:paraId="02580443">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7BA82ABA">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561C4146">
            <w:pPr>
              <w:spacing w:line="600" w:lineRule="auto"/>
              <w:jc w:val="center"/>
              <w:rPr>
                <w:rFonts w:ascii="宋体" w:hAnsi="宋体" w:cs="仿宋"/>
                <w:color w:val="auto"/>
                <w:sz w:val="22"/>
                <w:szCs w:val="22"/>
                <w:highlight w:val="none"/>
              </w:rPr>
            </w:pPr>
          </w:p>
        </w:tc>
        <w:tc>
          <w:tcPr>
            <w:tcW w:w="1214" w:type="dxa"/>
            <w:noWrap w:val="0"/>
            <w:vAlign w:val="center"/>
          </w:tcPr>
          <w:p w14:paraId="61C53534">
            <w:pPr>
              <w:spacing w:line="600" w:lineRule="auto"/>
              <w:jc w:val="center"/>
              <w:rPr>
                <w:rFonts w:ascii="宋体" w:hAnsi="宋体" w:cs="仿宋"/>
                <w:color w:val="auto"/>
                <w:sz w:val="22"/>
                <w:szCs w:val="22"/>
                <w:highlight w:val="none"/>
              </w:rPr>
            </w:pPr>
          </w:p>
        </w:tc>
        <w:tc>
          <w:tcPr>
            <w:tcW w:w="1931" w:type="dxa"/>
            <w:noWrap w:val="0"/>
            <w:vAlign w:val="center"/>
          </w:tcPr>
          <w:p w14:paraId="1D0EF5D4">
            <w:pPr>
              <w:spacing w:line="600" w:lineRule="auto"/>
              <w:jc w:val="center"/>
              <w:rPr>
                <w:rFonts w:ascii="宋体" w:hAnsi="宋体" w:cs="仿宋"/>
                <w:color w:val="auto"/>
                <w:sz w:val="22"/>
                <w:szCs w:val="22"/>
                <w:highlight w:val="none"/>
              </w:rPr>
            </w:pPr>
          </w:p>
        </w:tc>
        <w:tc>
          <w:tcPr>
            <w:tcW w:w="1655" w:type="dxa"/>
            <w:noWrap w:val="0"/>
            <w:vAlign w:val="center"/>
          </w:tcPr>
          <w:p w14:paraId="77FF6215">
            <w:pPr>
              <w:spacing w:line="600" w:lineRule="auto"/>
              <w:jc w:val="center"/>
              <w:rPr>
                <w:rFonts w:ascii="宋体" w:hAnsi="宋体" w:cs="仿宋"/>
                <w:color w:val="auto"/>
                <w:sz w:val="22"/>
                <w:szCs w:val="22"/>
                <w:highlight w:val="none"/>
              </w:rPr>
            </w:pPr>
          </w:p>
        </w:tc>
        <w:tc>
          <w:tcPr>
            <w:tcW w:w="1643" w:type="dxa"/>
            <w:noWrap w:val="0"/>
            <w:vAlign w:val="center"/>
          </w:tcPr>
          <w:p w14:paraId="1A1C6D7B">
            <w:pPr>
              <w:spacing w:line="600" w:lineRule="auto"/>
              <w:jc w:val="center"/>
              <w:rPr>
                <w:rFonts w:ascii="宋体" w:hAnsi="宋体" w:cs="仿宋"/>
                <w:color w:val="auto"/>
                <w:sz w:val="22"/>
                <w:szCs w:val="22"/>
                <w:highlight w:val="none"/>
              </w:rPr>
            </w:pPr>
          </w:p>
        </w:tc>
      </w:tr>
    </w:tbl>
    <w:p w14:paraId="2C49F074">
      <w:pPr>
        <w:rPr>
          <w:rFonts w:ascii="宋体" w:hAnsi="宋体"/>
          <w:color w:val="auto"/>
          <w:szCs w:val="21"/>
          <w:highlight w:val="none"/>
        </w:rPr>
      </w:pPr>
    </w:p>
    <w:p w14:paraId="691818C7">
      <w:pPr>
        <w:ind w:firstLine="630" w:firstLineChars="300"/>
        <w:jc w:val="left"/>
        <w:rPr>
          <w:rFonts w:ascii="宋体" w:hAnsi="宋体" w:cs="宋体"/>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附表1-4：                  </w:t>
      </w:r>
      <w:r>
        <w:rPr>
          <w:rFonts w:hint="eastAsia" w:ascii="宋体" w:hAnsi="宋体" w:cs="宋体"/>
          <w:b/>
          <w:color w:val="auto"/>
          <w:sz w:val="24"/>
          <w:highlight w:val="none"/>
        </w:rPr>
        <w:t xml:space="preserve">                    公共化粪池一览表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76E4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624D4366">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15C72253">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03F7292B">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70D50338">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3827B287">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586FE2E2">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557DE485">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1BC596E2">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3839BF43">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393F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6B1D8003">
            <w:pPr>
              <w:jc w:val="center"/>
              <w:rPr>
                <w:rFonts w:ascii="宋体" w:hAnsi="宋体" w:cs="仿宋"/>
                <w:color w:val="auto"/>
                <w:sz w:val="22"/>
                <w:szCs w:val="22"/>
                <w:highlight w:val="none"/>
              </w:rPr>
            </w:pPr>
            <w:r>
              <w:rPr>
                <w:rFonts w:hint="eastAsia" w:ascii="宋体" w:hAnsi="宋体" w:cs="仿宋"/>
                <w:color w:val="auto"/>
                <w:sz w:val="22"/>
                <w:szCs w:val="22"/>
                <w:highlight w:val="none"/>
              </w:rPr>
              <w:t>公共化粪池</w:t>
            </w:r>
          </w:p>
        </w:tc>
        <w:tc>
          <w:tcPr>
            <w:tcW w:w="767" w:type="dxa"/>
            <w:noWrap w:val="0"/>
            <w:vAlign w:val="center"/>
          </w:tcPr>
          <w:p w14:paraId="2D5F0053">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5C681F05">
            <w:pPr>
              <w:spacing w:line="600" w:lineRule="auto"/>
              <w:jc w:val="center"/>
              <w:rPr>
                <w:rFonts w:ascii="宋体" w:hAnsi="宋体" w:cs="仿宋"/>
                <w:color w:val="auto"/>
                <w:sz w:val="22"/>
                <w:szCs w:val="22"/>
                <w:highlight w:val="none"/>
              </w:rPr>
            </w:pPr>
          </w:p>
        </w:tc>
        <w:tc>
          <w:tcPr>
            <w:tcW w:w="1368" w:type="dxa"/>
            <w:noWrap w:val="0"/>
            <w:vAlign w:val="center"/>
          </w:tcPr>
          <w:p w14:paraId="4358E5E3">
            <w:pPr>
              <w:spacing w:line="600" w:lineRule="auto"/>
              <w:jc w:val="center"/>
              <w:rPr>
                <w:rFonts w:ascii="宋体" w:hAnsi="宋体" w:cs="仿宋"/>
                <w:color w:val="auto"/>
                <w:sz w:val="22"/>
                <w:szCs w:val="22"/>
                <w:highlight w:val="none"/>
              </w:rPr>
            </w:pPr>
          </w:p>
        </w:tc>
        <w:tc>
          <w:tcPr>
            <w:tcW w:w="2181" w:type="dxa"/>
            <w:noWrap w:val="0"/>
            <w:vAlign w:val="center"/>
          </w:tcPr>
          <w:p w14:paraId="450F1C81">
            <w:pPr>
              <w:spacing w:line="600" w:lineRule="auto"/>
              <w:jc w:val="center"/>
              <w:rPr>
                <w:rFonts w:ascii="宋体" w:hAnsi="宋体" w:cs="仿宋"/>
                <w:color w:val="auto"/>
                <w:sz w:val="22"/>
                <w:szCs w:val="22"/>
                <w:highlight w:val="none"/>
              </w:rPr>
            </w:pPr>
          </w:p>
        </w:tc>
        <w:tc>
          <w:tcPr>
            <w:tcW w:w="1214" w:type="dxa"/>
            <w:noWrap w:val="0"/>
            <w:vAlign w:val="center"/>
          </w:tcPr>
          <w:p w14:paraId="45308D1D">
            <w:pPr>
              <w:spacing w:line="600" w:lineRule="auto"/>
              <w:jc w:val="center"/>
              <w:rPr>
                <w:rFonts w:ascii="宋体" w:hAnsi="宋体" w:cs="仿宋"/>
                <w:color w:val="auto"/>
                <w:sz w:val="22"/>
                <w:szCs w:val="22"/>
                <w:highlight w:val="none"/>
              </w:rPr>
            </w:pPr>
          </w:p>
        </w:tc>
        <w:tc>
          <w:tcPr>
            <w:tcW w:w="1931" w:type="dxa"/>
            <w:noWrap w:val="0"/>
            <w:vAlign w:val="center"/>
          </w:tcPr>
          <w:p w14:paraId="5E79F1E9">
            <w:pPr>
              <w:spacing w:line="600" w:lineRule="auto"/>
              <w:jc w:val="center"/>
              <w:rPr>
                <w:rFonts w:ascii="宋体" w:hAnsi="宋体" w:cs="仿宋"/>
                <w:color w:val="auto"/>
                <w:sz w:val="22"/>
                <w:szCs w:val="22"/>
                <w:highlight w:val="none"/>
              </w:rPr>
            </w:pPr>
          </w:p>
        </w:tc>
        <w:tc>
          <w:tcPr>
            <w:tcW w:w="1655" w:type="dxa"/>
            <w:noWrap w:val="0"/>
            <w:vAlign w:val="center"/>
          </w:tcPr>
          <w:p w14:paraId="1162251D">
            <w:pPr>
              <w:spacing w:line="600" w:lineRule="auto"/>
              <w:jc w:val="center"/>
              <w:rPr>
                <w:rFonts w:ascii="宋体" w:hAnsi="宋体" w:cs="仿宋"/>
                <w:color w:val="auto"/>
                <w:sz w:val="22"/>
                <w:szCs w:val="22"/>
                <w:highlight w:val="none"/>
              </w:rPr>
            </w:pPr>
          </w:p>
        </w:tc>
        <w:tc>
          <w:tcPr>
            <w:tcW w:w="1643" w:type="dxa"/>
            <w:noWrap w:val="0"/>
            <w:vAlign w:val="center"/>
          </w:tcPr>
          <w:p w14:paraId="28379A6B">
            <w:pPr>
              <w:spacing w:line="600" w:lineRule="auto"/>
              <w:jc w:val="center"/>
              <w:rPr>
                <w:rFonts w:ascii="宋体" w:hAnsi="宋体" w:cs="仿宋"/>
                <w:color w:val="auto"/>
                <w:sz w:val="22"/>
                <w:szCs w:val="22"/>
                <w:highlight w:val="none"/>
              </w:rPr>
            </w:pPr>
          </w:p>
        </w:tc>
      </w:tr>
      <w:tr w14:paraId="3EBD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0DECBFB5">
            <w:pPr>
              <w:jc w:val="center"/>
              <w:rPr>
                <w:rFonts w:ascii="宋体" w:hAnsi="宋体" w:cs="仿宋"/>
                <w:color w:val="auto"/>
                <w:sz w:val="22"/>
                <w:szCs w:val="22"/>
                <w:highlight w:val="none"/>
              </w:rPr>
            </w:pPr>
          </w:p>
        </w:tc>
        <w:tc>
          <w:tcPr>
            <w:tcW w:w="767" w:type="dxa"/>
            <w:noWrap w:val="0"/>
            <w:vAlign w:val="center"/>
          </w:tcPr>
          <w:p w14:paraId="373E90B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05858CBC">
            <w:pPr>
              <w:spacing w:line="600" w:lineRule="auto"/>
              <w:jc w:val="center"/>
              <w:rPr>
                <w:rFonts w:ascii="宋体" w:hAnsi="宋体" w:cs="仿宋"/>
                <w:color w:val="auto"/>
                <w:sz w:val="22"/>
                <w:szCs w:val="22"/>
                <w:highlight w:val="none"/>
              </w:rPr>
            </w:pPr>
          </w:p>
        </w:tc>
        <w:tc>
          <w:tcPr>
            <w:tcW w:w="1368" w:type="dxa"/>
            <w:noWrap w:val="0"/>
            <w:vAlign w:val="center"/>
          </w:tcPr>
          <w:p w14:paraId="239AD7CD">
            <w:pPr>
              <w:spacing w:line="600" w:lineRule="auto"/>
              <w:jc w:val="center"/>
              <w:rPr>
                <w:rFonts w:ascii="宋体" w:hAnsi="宋体" w:cs="仿宋"/>
                <w:color w:val="auto"/>
                <w:sz w:val="22"/>
                <w:szCs w:val="22"/>
                <w:highlight w:val="none"/>
              </w:rPr>
            </w:pPr>
          </w:p>
        </w:tc>
        <w:tc>
          <w:tcPr>
            <w:tcW w:w="2181" w:type="dxa"/>
            <w:noWrap w:val="0"/>
            <w:vAlign w:val="center"/>
          </w:tcPr>
          <w:p w14:paraId="33790C1A">
            <w:pPr>
              <w:spacing w:line="600" w:lineRule="auto"/>
              <w:jc w:val="center"/>
              <w:rPr>
                <w:rFonts w:ascii="宋体" w:hAnsi="宋体" w:cs="仿宋"/>
                <w:color w:val="auto"/>
                <w:sz w:val="22"/>
                <w:szCs w:val="22"/>
                <w:highlight w:val="none"/>
              </w:rPr>
            </w:pPr>
          </w:p>
        </w:tc>
        <w:tc>
          <w:tcPr>
            <w:tcW w:w="1214" w:type="dxa"/>
            <w:noWrap w:val="0"/>
            <w:vAlign w:val="center"/>
          </w:tcPr>
          <w:p w14:paraId="60A5CEA2">
            <w:pPr>
              <w:spacing w:line="600" w:lineRule="auto"/>
              <w:jc w:val="center"/>
              <w:rPr>
                <w:rFonts w:ascii="宋体" w:hAnsi="宋体" w:cs="仿宋"/>
                <w:color w:val="auto"/>
                <w:sz w:val="22"/>
                <w:szCs w:val="22"/>
                <w:highlight w:val="none"/>
              </w:rPr>
            </w:pPr>
          </w:p>
        </w:tc>
        <w:tc>
          <w:tcPr>
            <w:tcW w:w="1931" w:type="dxa"/>
            <w:noWrap w:val="0"/>
            <w:vAlign w:val="center"/>
          </w:tcPr>
          <w:p w14:paraId="42DD3087">
            <w:pPr>
              <w:spacing w:line="600" w:lineRule="auto"/>
              <w:jc w:val="center"/>
              <w:rPr>
                <w:rFonts w:ascii="宋体" w:hAnsi="宋体" w:cs="仿宋"/>
                <w:color w:val="auto"/>
                <w:sz w:val="22"/>
                <w:szCs w:val="22"/>
                <w:highlight w:val="none"/>
              </w:rPr>
            </w:pPr>
          </w:p>
        </w:tc>
        <w:tc>
          <w:tcPr>
            <w:tcW w:w="1655" w:type="dxa"/>
            <w:noWrap w:val="0"/>
            <w:vAlign w:val="center"/>
          </w:tcPr>
          <w:p w14:paraId="6B87BC6F">
            <w:pPr>
              <w:spacing w:line="600" w:lineRule="auto"/>
              <w:jc w:val="center"/>
              <w:rPr>
                <w:rFonts w:ascii="宋体" w:hAnsi="宋体" w:cs="仿宋"/>
                <w:color w:val="auto"/>
                <w:sz w:val="22"/>
                <w:szCs w:val="22"/>
                <w:highlight w:val="none"/>
              </w:rPr>
            </w:pPr>
          </w:p>
        </w:tc>
        <w:tc>
          <w:tcPr>
            <w:tcW w:w="1643" w:type="dxa"/>
            <w:noWrap w:val="0"/>
            <w:vAlign w:val="center"/>
          </w:tcPr>
          <w:p w14:paraId="13EDF990">
            <w:pPr>
              <w:spacing w:line="600" w:lineRule="auto"/>
              <w:jc w:val="center"/>
              <w:rPr>
                <w:rFonts w:ascii="宋体" w:hAnsi="宋体" w:cs="仿宋"/>
                <w:color w:val="auto"/>
                <w:sz w:val="22"/>
                <w:szCs w:val="22"/>
                <w:highlight w:val="none"/>
              </w:rPr>
            </w:pPr>
          </w:p>
        </w:tc>
      </w:tr>
      <w:tr w14:paraId="39EB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61264EDD">
            <w:pPr>
              <w:jc w:val="center"/>
              <w:rPr>
                <w:rFonts w:ascii="宋体" w:hAnsi="宋体" w:cs="仿宋"/>
                <w:color w:val="auto"/>
                <w:sz w:val="22"/>
                <w:szCs w:val="22"/>
                <w:highlight w:val="none"/>
              </w:rPr>
            </w:pPr>
          </w:p>
        </w:tc>
        <w:tc>
          <w:tcPr>
            <w:tcW w:w="767" w:type="dxa"/>
            <w:noWrap w:val="0"/>
            <w:vAlign w:val="center"/>
          </w:tcPr>
          <w:p w14:paraId="71D6EBD5">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60AB74A2">
            <w:pPr>
              <w:spacing w:line="600" w:lineRule="auto"/>
              <w:jc w:val="center"/>
              <w:rPr>
                <w:rFonts w:ascii="宋体" w:hAnsi="宋体" w:cs="仿宋"/>
                <w:color w:val="auto"/>
                <w:sz w:val="22"/>
                <w:szCs w:val="22"/>
                <w:highlight w:val="none"/>
              </w:rPr>
            </w:pPr>
          </w:p>
        </w:tc>
        <w:tc>
          <w:tcPr>
            <w:tcW w:w="1368" w:type="dxa"/>
            <w:noWrap w:val="0"/>
            <w:vAlign w:val="center"/>
          </w:tcPr>
          <w:p w14:paraId="77E4957B">
            <w:pPr>
              <w:spacing w:line="600" w:lineRule="auto"/>
              <w:jc w:val="center"/>
              <w:rPr>
                <w:rFonts w:ascii="宋体" w:hAnsi="宋体" w:cs="仿宋"/>
                <w:color w:val="auto"/>
                <w:sz w:val="22"/>
                <w:szCs w:val="22"/>
                <w:highlight w:val="none"/>
              </w:rPr>
            </w:pPr>
          </w:p>
        </w:tc>
        <w:tc>
          <w:tcPr>
            <w:tcW w:w="2181" w:type="dxa"/>
            <w:noWrap w:val="0"/>
            <w:vAlign w:val="center"/>
          </w:tcPr>
          <w:p w14:paraId="00A95BFA">
            <w:pPr>
              <w:spacing w:line="600" w:lineRule="auto"/>
              <w:jc w:val="center"/>
              <w:rPr>
                <w:rFonts w:ascii="宋体" w:hAnsi="宋体" w:cs="仿宋"/>
                <w:color w:val="auto"/>
                <w:sz w:val="22"/>
                <w:szCs w:val="22"/>
                <w:highlight w:val="none"/>
              </w:rPr>
            </w:pPr>
          </w:p>
        </w:tc>
        <w:tc>
          <w:tcPr>
            <w:tcW w:w="1214" w:type="dxa"/>
            <w:noWrap w:val="0"/>
            <w:vAlign w:val="center"/>
          </w:tcPr>
          <w:p w14:paraId="59E9BC13">
            <w:pPr>
              <w:spacing w:line="600" w:lineRule="auto"/>
              <w:jc w:val="center"/>
              <w:rPr>
                <w:rFonts w:ascii="宋体" w:hAnsi="宋体" w:cs="仿宋"/>
                <w:color w:val="auto"/>
                <w:sz w:val="22"/>
                <w:szCs w:val="22"/>
                <w:highlight w:val="none"/>
              </w:rPr>
            </w:pPr>
          </w:p>
        </w:tc>
        <w:tc>
          <w:tcPr>
            <w:tcW w:w="1931" w:type="dxa"/>
            <w:noWrap w:val="0"/>
            <w:vAlign w:val="center"/>
          </w:tcPr>
          <w:p w14:paraId="38FD3D39">
            <w:pPr>
              <w:spacing w:line="600" w:lineRule="auto"/>
              <w:jc w:val="center"/>
              <w:rPr>
                <w:rFonts w:ascii="宋体" w:hAnsi="宋体" w:cs="仿宋"/>
                <w:color w:val="auto"/>
                <w:sz w:val="22"/>
                <w:szCs w:val="22"/>
                <w:highlight w:val="none"/>
              </w:rPr>
            </w:pPr>
          </w:p>
        </w:tc>
        <w:tc>
          <w:tcPr>
            <w:tcW w:w="1655" w:type="dxa"/>
            <w:noWrap w:val="0"/>
            <w:vAlign w:val="center"/>
          </w:tcPr>
          <w:p w14:paraId="1AF3A5B7">
            <w:pPr>
              <w:spacing w:line="600" w:lineRule="auto"/>
              <w:jc w:val="center"/>
              <w:rPr>
                <w:rFonts w:ascii="宋体" w:hAnsi="宋体" w:cs="仿宋"/>
                <w:color w:val="auto"/>
                <w:sz w:val="22"/>
                <w:szCs w:val="22"/>
                <w:highlight w:val="none"/>
              </w:rPr>
            </w:pPr>
          </w:p>
        </w:tc>
        <w:tc>
          <w:tcPr>
            <w:tcW w:w="1643" w:type="dxa"/>
            <w:noWrap w:val="0"/>
            <w:vAlign w:val="center"/>
          </w:tcPr>
          <w:p w14:paraId="421C69E8">
            <w:pPr>
              <w:spacing w:line="600" w:lineRule="auto"/>
              <w:jc w:val="center"/>
              <w:rPr>
                <w:rFonts w:ascii="宋体" w:hAnsi="宋体" w:cs="仿宋"/>
                <w:color w:val="auto"/>
                <w:sz w:val="22"/>
                <w:szCs w:val="22"/>
                <w:highlight w:val="none"/>
              </w:rPr>
            </w:pPr>
          </w:p>
        </w:tc>
      </w:tr>
      <w:tr w14:paraId="7A4B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04AA3B3F">
            <w:pPr>
              <w:jc w:val="center"/>
              <w:rPr>
                <w:rFonts w:ascii="宋体" w:hAnsi="宋体" w:cs="仿宋"/>
                <w:color w:val="auto"/>
                <w:sz w:val="22"/>
                <w:szCs w:val="22"/>
                <w:highlight w:val="none"/>
              </w:rPr>
            </w:pPr>
          </w:p>
        </w:tc>
        <w:tc>
          <w:tcPr>
            <w:tcW w:w="767" w:type="dxa"/>
            <w:noWrap w:val="0"/>
            <w:vAlign w:val="center"/>
          </w:tcPr>
          <w:p w14:paraId="5DE6A70E">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2E2E004C">
            <w:pPr>
              <w:spacing w:line="600" w:lineRule="auto"/>
              <w:jc w:val="center"/>
              <w:rPr>
                <w:rFonts w:ascii="宋体" w:hAnsi="宋体" w:cs="仿宋"/>
                <w:color w:val="auto"/>
                <w:sz w:val="22"/>
                <w:szCs w:val="22"/>
                <w:highlight w:val="none"/>
              </w:rPr>
            </w:pPr>
          </w:p>
        </w:tc>
        <w:tc>
          <w:tcPr>
            <w:tcW w:w="1368" w:type="dxa"/>
            <w:noWrap w:val="0"/>
            <w:vAlign w:val="center"/>
          </w:tcPr>
          <w:p w14:paraId="42611B01">
            <w:pPr>
              <w:spacing w:line="600" w:lineRule="auto"/>
              <w:jc w:val="center"/>
              <w:rPr>
                <w:rFonts w:ascii="宋体" w:hAnsi="宋体" w:cs="仿宋"/>
                <w:color w:val="auto"/>
                <w:sz w:val="22"/>
                <w:szCs w:val="22"/>
                <w:highlight w:val="none"/>
              </w:rPr>
            </w:pPr>
          </w:p>
        </w:tc>
        <w:tc>
          <w:tcPr>
            <w:tcW w:w="2181" w:type="dxa"/>
            <w:noWrap w:val="0"/>
            <w:vAlign w:val="center"/>
          </w:tcPr>
          <w:p w14:paraId="00936BED">
            <w:pPr>
              <w:spacing w:line="600" w:lineRule="auto"/>
              <w:jc w:val="center"/>
              <w:rPr>
                <w:rFonts w:ascii="宋体" w:hAnsi="宋体" w:cs="仿宋"/>
                <w:color w:val="auto"/>
                <w:sz w:val="22"/>
                <w:szCs w:val="22"/>
                <w:highlight w:val="none"/>
              </w:rPr>
            </w:pPr>
          </w:p>
        </w:tc>
        <w:tc>
          <w:tcPr>
            <w:tcW w:w="1214" w:type="dxa"/>
            <w:noWrap w:val="0"/>
            <w:vAlign w:val="center"/>
          </w:tcPr>
          <w:p w14:paraId="4324CF94">
            <w:pPr>
              <w:spacing w:line="600" w:lineRule="auto"/>
              <w:jc w:val="center"/>
              <w:rPr>
                <w:rFonts w:ascii="宋体" w:hAnsi="宋体" w:cs="仿宋"/>
                <w:color w:val="auto"/>
                <w:sz w:val="22"/>
                <w:szCs w:val="22"/>
                <w:highlight w:val="none"/>
              </w:rPr>
            </w:pPr>
          </w:p>
        </w:tc>
        <w:tc>
          <w:tcPr>
            <w:tcW w:w="1931" w:type="dxa"/>
            <w:noWrap w:val="0"/>
            <w:vAlign w:val="center"/>
          </w:tcPr>
          <w:p w14:paraId="7A3D3AF7">
            <w:pPr>
              <w:spacing w:line="600" w:lineRule="auto"/>
              <w:jc w:val="center"/>
              <w:rPr>
                <w:rFonts w:ascii="宋体" w:hAnsi="宋体" w:cs="仿宋"/>
                <w:color w:val="auto"/>
                <w:sz w:val="22"/>
                <w:szCs w:val="22"/>
                <w:highlight w:val="none"/>
              </w:rPr>
            </w:pPr>
          </w:p>
        </w:tc>
        <w:tc>
          <w:tcPr>
            <w:tcW w:w="1655" w:type="dxa"/>
            <w:noWrap w:val="0"/>
            <w:vAlign w:val="center"/>
          </w:tcPr>
          <w:p w14:paraId="712C7161">
            <w:pPr>
              <w:spacing w:line="600" w:lineRule="auto"/>
              <w:jc w:val="center"/>
              <w:rPr>
                <w:rFonts w:ascii="宋体" w:hAnsi="宋体" w:cs="仿宋"/>
                <w:color w:val="auto"/>
                <w:sz w:val="22"/>
                <w:szCs w:val="22"/>
                <w:highlight w:val="none"/>
              </w:rPr>
            </w:pPr>
          </w:p>
        </w:tc>
        <w:tc>
          <w:tcPr>
            <w:tcW w:w="1643" w:type="dxa"/>
            <w:noWrap w:val="0"/>
            <w:vAlign w:val="center"/>
          </w:tcPr>
          <w:p w14:paraId="4F0AC26A">
            <w:pPr>
              <w:spacing w:line="600" w:lineRule="auto"/>
              <w:jc w:val="center"/>
              <w:rPr>
                <w:rFonts w:ascii="宋体" w:hAnsi="宋体" w:cs="仿宋"/>
                <w:color w:val="auto"/>
                <w:sz w:val="22"/>
                <w:szCs w:val="22"/>
                <w:highlight w:val="none"/>
              </w:rPr>
            </w:pPr>
          </w:p>
        </w:tc>
      </w:tr>
      <w:tr w14:paraId="668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30B04075">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1CAF2618">
            <w:pPr>
              <w:spacing w:line="600" w:lineRule="auto"/>
              <w:jc w:val="center"/>
              <w:rPr>
                <w:rFonts w:ascii="宋体" w:hAnsi="宋体" w:cs="仿宋"/>
                <w:color w:val="auto"/>
                <w:sz w:val="22"/>
                <w:szCs w:val="22"/>
                <w:highlight w:val="none"/>
              </w:rPr>
            </w:pPr>
          </w:p>
        </w:tc>
        <w:tc>
          <w:tcPr>
            <w:tcW w:w="2256" w:type="dxa"/>
            <w:noWrap w:val="0"/>
            <w:vAlign w:val="center"/>
          </w:tcPr>
          <w:p w14:paraId="4BE34E92">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48EA8367">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481AD51F">
            <w:pPr>
              <w:spacing w:line="600" w:lineRule="auto"/>
              <w:jc w:val="center"/>
              <w:rPr>
                <w:rFonts w:ascii="宋体" w:hAnsi="宋体" w:cs="仿宋"/>
                <w:color w:val="auto"/>
                <w:sz w:val="22"/>
                <w:szCs w:val="22"/>
                <w:highlight w:val="none"/>
              </w:rPr>
            </w:pPr>
          </w:p>
        </w:tc>
        <w:tc>
          <w:tcPr>
            <w:tcW w:w="1214" w:type="dxa"/>
            <w:noWrap w:val="0"/>
            <w:vAlign w:val="center"/>
          </w:tcPr>
          <w:p w14:paraId="356609CE">
            <w:pPr>
              <w:spacing w:line="600" w:lineRule="auto"/>
              <w:jc w:val="center"/>
              <w:rPr>
                <w:rFonts w:ascii="宋体" w:hAnsi="宋体" w:cs="仿宋"/>
                <w:color w:val="auto"/>
                <w:sz w:val="22"/>
                <w:szCs w:val="22"/>
                <w:highlight w:val="none"/>
              </w:rPr>
            </w:pPr>
          </w:p>
        </w:tc>
        <w:tc>
          <w:tcPr>
            <w:tcW w:w="1931" w:type="dxa"/>
            <w:noWrap w:val="0"/>
            <w:vAlign w:val="center"/>
          </w:tcPr>
          <w:p w14:paraId="2649C91B">
            <w:pPr>
              <w:spacing w:line="600" w:lineRule="auto"/>
              <w:jc w:val="center"/>
              <w:rPr>
                <w:rFonts w:ascii="宋体" w:hAnsi="宋体" w:cs="仿宋"/>
                <w:color w:val="auto"/>
                <w:sz w:val="22"/>
                <w:szCs w:val="22"/>
                <w:highlight w:val="none"/>
              </w:rPr>
            </w:pPr>
          </w:p>
        </w:tc>
        <w:tc>
          <w:tcPr>
            <w:tcW w:w="1655" w:type="dxa"/>
            <w:noWrap w:val="0"/>
            <w:vAlign w:val="center"/>
          </w:tcPr>
          <w:p w14:paraId="7274261A">
            <w:pPr>
              <w:spacing w:line="600" w:lineRule="auto"/>
              <w:jc w:val="center"/>
              <w:rPr>
                <w:rFonts w:ascii="宋体" w:hAnsi="宋体" w:cs="仿宋"/>
                <w:color w:val="auto"/>
                <w:sz w:val="22"/>
                <w:szCs w:val="22"/>
                <w:highlight w:val="none"/>
              </w:rPr>
            </w:pPr>
          </w:p>
        </w:tc>
        <w:tc>
          <w:tcPr>
            <w:tcW w:w="1643" w:type="dxa"/>
            <w:noWrap w:val="0"/>
            <w:vAlign w:val="center"/>
          </w:tcPr>
          <w:p w14:paraId="4F181D09">
            <w:pPr>
              <w:spacing w:line="600" w:lineRule="auto"/>
              <w:jc w:val="center"/>
              <w:rPr>
                <w:rFonts w:ascii="宋体" w:hAnsi="宋体" w:cs="仿宋"/>
                <w:color w:val="auto"/>
                <w:sz w:val="22"/>
                <w:szCs w:val="22"/>
                <w:highlight w:val="none"/>
              </w:rPr>
            </w:pPr>
            <w:r>
              <w:rPr>
                <w:rFonts w:hint="eastAsia" w:ascii="宋体" w:hAnsi="宋体" w:cs="宋体"/>
                <w:color w:val="auto"/>
                <w:sz w:val="22"/>
                <w:szCs w:val="22"/>
                <w:highlight w:val="none"/>
              </w:rPr>
              <w:t>/</w:t>
            </w:r>
          </w:p>
        </w:tc>
      </w:tr>
    </w:tbl>
    <w:p w14:paraId="2D8456B8">
      <w:pPr>
        <w:rPr>
          <w:rFonts w:ascii="宋体" w:hAnsi="宋体"/>
          <w:color w:val="auto"/>
          <w:szCs w:val="21"/>
          <w:highlight w:val="none"/>
        </w:rPr>
      </w:pPr>
      <w:r>
        <w:rPr>
          <w:rFonts w:ascii="宋体" w:hAnsi="宋体"/>
          <w:color w:val="auto"/>
          <w:szCs w:val="21"/>
          <w:highlight w:val="none"/>
        </w:rPr>
        <w:br w:type="page"/>
      </w:r>
    </w:p>
    <w:bookmarkEnd w:id="85"/>
    <w:tbl>
      <w:tblPr>
        <w:tblStyle w:val="21"/>
        <w:tblW w:w="14264" w:type="dxa"/>
        <w:tblInd w:w="93" w:type="dxa"/>
        <w:tblLayout w:type="fixed"/>
        <w:tblCellMar>
          <w:top w:w="0" w:type="dxa"/>
          <w:left w:w="108" w:type="dxa"/>
          <w:bottom w:w="0" w:type="dxa"/>
          <w:right w:w="108" w:type="dxa"/>
        </w:tblCellMar>
      </w:tblPr>
      <w:tblGrid>
        <w:gridCol w:w="647"/>
        <w:gridCol w:w="788"/>
        <w:gridCol w:w="2537"/>
        <w:gridCol w:w="7356"/>
        <w:gridCol w:w="786"/>
        <w:gridCol w:w="786"/>
        <w:gridCol w:w="1364"/>
      </w:tblGrid>
      <w:tr w14:paraId="15C2DC38">
        <w:tblPrEx>
          <w:tblCellMar>
            <w:top w:w="0" w:type="dxa"/>
            <w:left w:w="108" w:type="dxa"/>
            <w:bottom w:w="0" w:type="dxa"/>
            <w:right w:w="108" w:type="dxa"/>
          </w:tblCellMar>
        </w:tblPrEx>
        <w:trPr>
          <w:trHeight w:val="539" w:hRule="atLeast"/>
        </w:trPr>
        <w:tc>
          <w:tcPr>
            <w:tcW w:w="14264" w:type="dxa"/>
            <w:gridSpan w:val="7"/>
            <w:tcBorders>
              <w:top w:val="single" w:color="auto" w:sz="8" w:space="0"/>
              <w:left w:val="single" w:color="auto" w:sz="8" w:space="0"/>
              <w:bottom w:val="single" w:color="auto" w:sz="4" w:space="0"/>
              <w:right w:val="single" w:color="auto" w:sz="8" w:space="0"/>
            </w:tcBorders>
            <w:noWrap/>
            <w:vAlign w:val="center"/>
          </w:tcPr>
          <w:p w14:paraId="743ED5D7">
            <w:pPr>
              <w:rPr>
                <w:rFonts w:ascii="宋体" w:hAnsi="宋体" w:cs="宋体"/>
                <w:color w:val="auto"/>
                <w:sz w:val="24"/>
                <w:highlight w:val="none"/>
              </w:rPr>
            </w:pPr>
            <w:r>
              <w:rPr>
                <w:rFonts w:hint="eastAsia" w:ascii="宋体" w:hAnsi="宋体"/>
                <w:color w:val="auto"/>
                <w:sz w:val="24"/>
                <w:highlight w:val="none"/>
              </w:rPr>
              <w:t xml:space="preserve">附表2 ：                          </w:t>
            </w:r>
            <w:r>
              <w:rPr>
                <w:rFonts w:hint="eastAsia" w:ascii="宋体" w:hAnsi="宋体"/>
                <w:color w:val="auto"/>
                <w:sz w:val="24"/>
                <w:highlight w:val="none"/>
                <w:u w:val="single"/>
              </w:rPr>
              <w:t xml:space="preserve">      </w:t>
            </w:r>
            <w:r>
              <w:rPr>
                <w:rFonts w:hint="eastAsia" w:ascii="宋体" w:hAnsi="宋体"/>
                <w:color w:val="auto"/>
                <w:sz w:val="24"/>
                <w:highlight w:val="none"/>
              </w:rPr>
              <w:t>年第</w:t>
            </w:r>
            <w:r>
              <w:rPr>
                <w:rFonts w:hint="eastAsia" w:ascii="宋体" w:hAnsi="宋体"/>
                <w:color w:val="auto"/>
                <w:sz w:val="24"/>
                <w:highlight w:val="none"/>
                <w:u w:val="single"/>
              </w:rPr>
              <w:t xml:space="preserve">    </w:t>
            </w:r>
            <w:r>
              <w:rPr>
                <w:rFonts w:hint="eastAsia" w:ascii="宋体" w:hAnsi="宋体"/>
                <w:color w:val="auto"/>
                <w:sz w:val="24"/>
                <w:highlight w:val="none"/>
              </w:rPr>
              <w:t>季度</w:t>
            </w:r>
            <w:r>
              <w:rPr>
                <w:rFonts w:hint="eastAsia" w:ascii="宋体" w:hAnsi="宋体"/>
                <w:color w:val="auto"/>
                <w:sz w:val="24"/>
                <w:highlight w:val="none"/>
                <w:u w:val="single"/>
                <w:lang w:val="en-US" w:eastAsia="zh-CN"/>
              </w:rPr>
              <w:t>山福</w:t>
            </w:r>
            <w:r>
              <w:rPr>
                <w:rFonts w:hint="eastAsia" w:ascii="宋体" w:hAnsi="宋体"/>
                <w:color w:val="auto"/>
                <w:sz w:val="24"/>
                <w:highlight w:val="none"/>
                <w:u w:val="single"/>
              </w:rPr>
              <w:t>镇农村生活污水处理</w:t>
            </w:r>
            <w:r>
              <w:rPr>
                <w:rFonts w:hint="eastAsia" w:ascii="宋体" w:hAnsi="宋体"/>
                <w:color w:val="auto"/>
                <w:sz w:val="24"/>
                <w:highlight w:val="none"/>
              </w:rPr>
              <w:t>设施第三方运维考核评分表</w:t>
            </w:r>
          </w:p>
        </w:tc>
      </w:tr>
      <w:tr w14:paraId="311CE427">
        <w:tblPrEx>
          <w:tblCellMar>
            <w:top w:w="0" w:type="dxa"/>
            <w:left w:w="108" w:type="dxa"/>
            <w:bottom w:w="0" w:type="dxa"/>
            <w:right w:w="108" w:type="dxa"/>
          </w:tblCellMar>
        </w:tblPrEx>
        <w:trPr>
          <w:trHeight w:val="587" w:hRule="atLeast"/>
        </w:trPr>
        <w:tc>
          <w:tcPr>
            <w:tcW w:w="647" w:type="dxa"/>
            <w:tcBorders>
              <w:top w:val="single" w:color="auto" w:sz="8" w:space="0"/>
              <w:left w:val="single" w:color="auto" w:sz="8" w:space="0"/>
              <w:bottom w:val="single" w:color="auto" w:sz="4" w:space="0"/>
              <w:right w:val="single" w:color="auto" w:sz="4" w:space="0"/>
            </w:tcBorders>
            <w:noWrap/>
            <w:vAlign w:val="center"/>
          </w:tcPr>
          <w:p w14:paraId="450D3974">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8" w:type="dxa"/>
            <w:tcBorders>
              <w:top w:val="single" w:color="auto" w:sz="8" w:space="0"/>
              <w:left w:val="nil"/>
              <w:bottom w:val="single" w:color="auto" w:sz="4" w:space="0"/>
              <w:right w:val="single" w:color="auto" w:sz="4" w:space="0"/>
            </w:tcBorders>
            <w:noWrap/>
            <w:vAlign w:val="center"/>
          </w:tcPr>
          <w:p w14:paraId="36C33EE5">
            <w:pP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2537" w:type="dxa"/>
            <w:tcBorders>
              <w:top w:val="single" w:color="auto" w:sz="8" w:space="0"/>
              <w:left w:val="nil"/>
              <w:bottom w:val="single" w:color="auto" w:sz="4" w:space="0"/>
              <w:right w:val="single" w:color="auto" w:sz="4" w:space="0"/>
            </w:tcBorders>
            <w:noWrap/>
            <w:vAlign w:val="center"/>
          </w:tcPr>
          <w:p w14:paraId="23028D08">
            <w:pPr>
              <w:jc w:val="center"/>
              <w:rPr>
                <w:rFonts w:hint="eastAsia" w:ascii="宋体" w:hAnsi="宋体" w:cs="宋体"/>
                <w:color w:val="auto"/>
                <w:sz w:val="24"/>
                <w:highlight w:val="none"/>
              </w:rPr>
            </w:pPr>
            <w:r>
              <w:rPr>
                <w:rFonts w:hint="eastAsia" w:ascii="宋体" w:hAnsi="宋体" w:cs="宋体"/>
                <w:color w:val="auto"/>
                <w:sz w:val="24"/>
                <w:highlight w:val="none"/>
              </w:rPr>
              <w:t>运行维护要求</w:t>
            </w:r>
          </w:p>
        </w:tc>
        <w:tc>
          <w:tcPr>
            <w:tcW w:w="7356" w:type="dxa"/>
            <w:tcBorders>
              <w:top w:val="single" w:color="auto" w:sz="8" w:space="0"/>
              <w:left w:val="nil"/>
              <w:bottom w:val="single" w:color="auto" w:sz="4" w:space="0"/>
              <w:right w:val="single" w:color="auto" w:sz="4" w:space="0"/>
            </w:tcBorders>
            <w:noWrap/>
            <w:vAlign w:val="center"/>
          </w:tcPr>
          <w:p w14:paraId="5011DEB6">
            <w:pPr>
              <w:jc w:val="center"/>
              <w:rPr>
                <w:rFonts w:hint="eastAsia" w:ascii="宋体" w:hAnsi="宋体" w:cs="宋体"/>
                <w:color w:val="auto"/>
                <w:sz w:val="24"/>
                <w:highlight w:val="none"/>
              </w:rPr>
            </w:pPr>
            <w:r>
              <w:rPr>
                <w:rFonts w:hint="eastAsia" w:ascii="宋体" w:hAnsi="宋体" w:cs="宋体"/>
                <w:color w:val="auto"/>
                <w:sz w:val="24"/>
                <w:highlight w:val="none"/>
              </w:rPr>
              <w:t>评分标准</w:t>
            </w:r>
          </w:p>
        </w:tc>
        <w:tc>
          <w:tcPr>
            <w:tcW w:w="786" w:type="dxa"/>
            <w:tcBorders>
              <w:top w:val="single" w:color="auto" w:sz="8" w:space="0"/>
              <w:left w:val="nil"/>
              <w:bottom w:val="single" w:color="auto" w:sz="4" w:space="0"/>
              <w:right w:val="single" w:color="auto" w:sz="4" w:space="0"/>
            </w:tcBorders>
            <w:noWrap/>
            <w:vAlign w:val="center"/>
          </w:tcPr>
          <w:p w14:paraId="72083BB0">
            <w:pPr>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786" w:type="dxa"/>
            <w:tcBorders>
              <w:top w:val="single" w:color="auto" w:sz="8" w:space="0"/>
              <w:left w:val="nil"/>
              <w:bottom w:val="single" w:color="auto" w:sz="4" w:space="0"/>
              <w:right w:val="single" w:color="auto" w:sz="4" w:space="0"/>
            </w:tcBorders>
            <w:noWrap/>
            <w:vAlign w:val="center"/>
          </w:tcPr>
          <w:p w14:paraId="4B25AF2D">
            <w:pPr>
              <w:jc w:val="center"/>
              <w:rPr>
                <w:rFonts w:hint="eastAsia" w:ascii="宋体" w:hAnsi="宋体" w:cs="宋体"/>
                <w:color w:val="auto"/>
                <w:sz w:val="24"/>
                <w:highlight w:val="none"/>
              </w:rPr>
            </w:pPr>
            <w:r>
              <w:rPr>
                <w:rFonts w:hint="eastAsia" w:ascii="宋体" w:hAnsi="宋体" w:cs="宋体"/>
                <w:color w:val="auto"/>
                <w:sz w:val="24"/>
                <w:highlight w:val="none"/>
              </w:rPr>
              <w:t>得分</w:t>
            </w:r>
          </w:p>
        </w:tc>
        <w:tc>
          <w:tcPr>
            <w:tcW w:w="1364" w:type="dxa"/>
            <w:tcBorders>
              <w:top w:val="single" w:color="auto" w:sz="8" w:space="0"/>
              <w:left w:val="nil"/>
              <w:bottom w:val="single" w:color="auto" w:sz="4" w:space="0"/>
              <w:right w:val="single" w:color="auto" w:sz="8" w:space="0"/>
            </w:tcBorders>
            <w:noWrap/>
            <w:vAlign w:val="center"/>
          </w:tcPr>
          <w:p w14:paraId="0A9506AA">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7F615F2">
        <w:tblPrEx>
          <w:tblCellMar>
            <w:top w:w="0" w:type="dxa"/>
            <w:left w:w="108" w:type="dxa"/>
            <w:bottom w:w="0" w:type="dxa"/>
            <w:right w:w="108" w:type="dxa"/>
          </w:tblCellMar>
        </w:tblPrEx>
        <w:trPr>
          <w:trHeight w:val="1138"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7BD58E3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DFD2BFF">
            <w:pPr>
              <w:jc w:val="center"/>
              <w:rPr>
                <w:rFonts w:hint="eastAsia" w:ascii="宋体" w:hAnsi="宋体" w:cs="宋体"/>
                <w:color w:val="auto"/>
                <w:szCs w:val="21"/>
                <w:highlight w:val="none"/>
              </w:rPr>
            </w:pPr>
            <w:r>
              <w:rPr>
                <w:rFonts w:hint="eastAsia" w:ascii="宋体" w:hAnsi="宋体" w:cs="宋体"/>
                <w:color w:val="auto"/>
                <w:szCs w:val="21"/>
                <w:highlight w:val="none"/>
              </w:rPr>
              <w:t>平台运行</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7E2B21E4">
            <w:pPr>
              <w:rPr>
                <w:rFonts w:hint="eastAsia" w:ascii="宋体" w:hAnsi="宋体" w:cs="宋体"/>
                <w:color w:val="auto"/>
                <w:szCs w:val="21"/>
                <w:highlight w:val="none"/>
              </w:rPr>
            </w:pPr>
            <w:r>
              <w:rPr>
                <w:rFonts w:hint="eastAsia" w:ascii="宋体" w:hAnsi="宋体" w:cs="宋体"/>
                <w:color w:val="auto"/>
                <w:szCs w:val="21"/>
                <w:highlight w:val="none"/>
              </w:rPr>
              <w:t>平台运行情况良好，数据维护及时、完整，终端运行情况在平台上能直观反映。</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2EF3517B">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根据招标文件和省市农污运维管理平台相关导则、规范要求，缺少一项内容模块扣2分；有联网设施，终端运行情况不能正常反映，发现一处扣1分；扣完为止。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9837D86">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564E5B4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34E985F0">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932E929">
        <w:tblPrEx>
          <w:tblCellMar>
            <w:top w:w="0" w:type="dxa"/>
            <w:left w:w="108" w:type="dxa"/>
            <w:bottom w:w="0" w:type="dxa"/>
            <w:right w:w="108" w:type="dxa"/>
          </w:tblCellMar>
        </w:tblPrEx>
        <w:trPr>
          <w:trHeight w:val="1816"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3DB3A2F">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565A2C">
            <w:pPr>
              <w:jc w:val="center"/>
              <w:rPr>
                <w:rFonts w:hint="eastAsia" w:ascii="宋体" w:hAnsi="宋体" w:cs="宋体"/>
                <w:color w:val="auto"/>
                <w:szCs w:val="21"/>
                <w:highlight w:val="none"/>
              </w:rPr>
            </w:pPr>
            <w:r>
              <w:rPr>
                <w:rFonts w:hint="eastAsia" w:ascii="宋体" w:hAnsi="宋体" w:cs="宋体"/>
                <w:color w:val="auto"/>
                <w:szCs w:val="21"/>
                <w:highlight w:val="none"/>
              </w:rPr>
              <w:t>运行维护人员</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8673E7C">
            <w:pPr>
              <w:rPr>
                <w:rFonts w:hint="eastAsia" w:ascii="宋体" w:hAnsi="宋体" w:cs="宋体"/>
                <w:color w:val="auto"/>
                <w:szCs w:val="21"/>
                <w:highlight w:val="none"/>
              </w:rPr>
            </w:pPr>
            <w:r>
              <w:rPr>
                <w:rFonts w:hint="eastAsia" w:ascii="宋体" w:hAnsi="宋体" w:cs="宋体"/>
                <w:color w:val="auto"/>
                <w:szCs w:val="21"/>
                <w:highlight w:val="none"/>
              </w:rPr>
              <w:t>每个终端落实专业运行维护人员，并在终端告示牌上公示人员及联系方式，考勤系统正常考勤，足额配备运维车辆及工具。</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0CF64F9F">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根据招标文件和省市农污运维管理平台相关导则、规范要求，没有落实专人负责不得分，有落实但未公示扣2分，考勤系统未正常使用扣3分；运维设备配备不足扣2分。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0E4D461">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30695F0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3904123">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04CC326E">
        <w:tblPrEx>
          <w:tblCellMar>
            <w:top w:w="0" w:type="dxa"/>
            <w:left w:w="108" w:type="dxa"/>
            <w:bottom w:w="0" w:type="dxa"/>
            <w:right w:w="108" w:type="dxa"/>
          </w:tblCellMar>
        </w:tblPrEx>
        <w:trPr>
          <w:trHeight w:val="9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465405B7">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AD3DF77">
            <w:pPr>
              <w:jc w:val="center"/>
              <w:rPr>
                <w:rFonts w:hint="eastAsia" w:ascii="宋体" w:hAnsi="宋体" w:cs="宋体"/>
                <w:color w:val="auto"/>
                <w:szCs w:val="21"/>
                <w:highlight w:val="none"/>
              </w:rPr>
            </w:pPr>
            <w:r>
              <w:rPr>
                <w:rFonts w:hint="eastAsia" w:ascii="宋体" w:hAnsi="宋体" w:cs="宋体"/>
                <w:color w:val="auto"/>
                <w:szCs w:val="21"/>
                <w:highlight w:val="none"/>
              </w:rPr>
              <w:t>终端设施主体</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AD4E2E7">
            <w:pPr>
              <w:rPr>
                <w:rFonts w:hint="eastAsia" w:ascii="宋体" w:hAnsi="宋体" w:cs="宋体"/>
                <w:color w:val="auto"/>
                <w:szCs w:val="21"/>
                <w:highlight w:val="none"/>
              </w:rPr>
            </w:pPr>
            <w:r>
              <w:rPr>
                <w:rFonts w:hint="eastAsia" w:ascii="宋体" w:hAnsi="宋体" w:cs="宋体"/>
                <w:color w:val="auto"/>
                <w:szCs w:val="21"/>
                <w:highlight w:val="none"/>
              </w:rPr>
              <w:t>确保终端正常运行，定期检查水泵及风机运行维护和配电房、流量计的检查管理；及时对格栅清理，对集水井清淤以防止泥沙淤积造成水泵堵塞；终端场地内无垃圾、无积水，周边环境整洁。</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3C49405E">
            <w:pPr>
              <w:rPr>
                <w:rFonts w:hint="eastAsia" w:ascii="宋体" w:hAnsi="宋体" w:cs="宋体"/>
                <w:color w:val="auto"/>
                <w:szCs w:val="21"/>
                <w:highlight w:val="none"/>
              </w:rPr>
            </w:pPr>
            <w:r>
              <w:rPr>
                <w:rFonts w:hint="eastAsia" w:ascii="宋体" w:hAnsi="宋体" w:cs="宋体"/>
                <w:color w:val="auto"/>
                <w:szCs w:val="21"/>
                <w:highlight w:val="none"/>
              </w:rPr>
              <w:t>①随机抽取</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处终端，检查终端有设备不正常运行或缺失，而又未及时更换、修复的，每处扣1分；</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未对格栅或集水井进行定期清理，每处扣0.5分；</w:t>
            </w: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现场发现水泵堵塞、烧泵现象的，每处扣0.5分；</w:t>
            </w: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人工湿地堵塞或植物生长差的，扣2分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人工湿地杂草丛生、未及时收割修剪扣0.5分，湿地有垃圾扣0.5分，湿地硬件损坏等影响湿地作用发挥未及时修复，扣1分；扣完为止。</w:t>
            </w:r>
          </w:p>
          <w:p w14:paraId="2FC15CA6">
            <w:pPr>
              <w:rPr>
                <w:rFonts w:hint="eastAsia"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运行情况（有无占用，进出水量，人工湿地运行情况，流量计、监控监测、水泵、风机、电表等设备）（3分）。终端用于非处理设施功能的，扣2分；进出水量异常，原因不明的，扣2分；；其他设备不能正常运转使用的，发现1处扣1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8EEB6D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2F81FD4E">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82B2BE6">
            <w:pPr>
              <w:jc w:val="center"/>
              <w:rPr>
                <w:rFonts w:hint="eastAsia" w:ascii="宋体" w:hAnsi="宋体" w:cs="宋体"/>
                <w:color w:val="auto"/>
                <w:szCs w:val="21"/>
                <w:highlight w:val="none"/>
              </w:rPr>
            </w:pPr>
          </w:p>
        </w:tc>
      </w:tr>
      <w:tr w14:paraId="3F82D8CB">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C39BE96">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B9ABB26">
            <w:pPr>
              <w:jc w:val="center"/>
              <w:rPr>
                <w:rFonts w:ascii="宋体" w:hAnsi="宋体" w:cs="宋体"/>
                <w:color w:val="auto"/>
                <w:szCs w:val="21"/>
                <w:highlight w:val="none"/>
              </w:rPr>
            </w:pPr>
            <w:r>
              <w:rPr>
                <w:rFonts w:hint="eastAsia" w:ascii="宋体" w:hAnsi="宋体" w:cs="宋体"/>
                <w:color w:val="auto"/>
                <w:szCs w:val="21"/>
                <w:highlight w:val="none"/>
              </w:rPr>
              <w:t>管网运行维护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FD619B4">
            <w:pPr>
              <w:rPr>
                <w:rFonts w:ascii="宋体" w:hAnsi="宋体" w:cs="宋体"/>
                <w:color w:val="auto"/>
                <w:szCs w:val="21"/>
                <w:highlight w:val="none"/>
              </w:rPr>
            </w:pPr>
            <w:r>
              <w:rPr>
                <w:rFonts w:hint="eastAsia" w:ascii="宋体" w:hAnsi="宋体" w:cs="宋体"/>
                <w:color w:val="auto"/>
                <w:szCs w:val="21"/>
                <w:highlight w:val="none"/>
              </w:rPr>
              <w:t>定期检查污水管道和清扫口，检查井等有关设施，及时清理淤积物，保持管道畅通</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A494077">
            <w:pPr>
              <w:rPr>
                <w:rFonts w:hint="eastAsia" w:ascii="宋体" w:hAnsi="宋体" w:cs="宋体"/>
                <w:color w:val="auto"/>
                <w:szCs w:val="21"/>
                <w:highlight w:val="none"/>
              </w:rPr>
            </w:pPr>
            <w:r>
              <w:rPr>
                <w:rFonts w:hint="eastAsia" w:ascii="宋体" w:hAnsi="宋体" w:cs="宋体"/>
                <w:color w:val="auto"/>
                <w:szCs w:val="21"/>
                <w:highlight w:val="none"/>
              </w:rPr>
              <w:t>①及时清理、疏通清扫口、检查井，每发现严重淤积扣0.1分，堵塞扣0.3分；②管网破损且未及时报告修复，检查发现，主干管一次扣0.5分，支管一次扣0.3分；③管网堵塞未及时疏通，发现一次扣0.3分，严重淤积扣0.1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64D9626">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3229902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D5B93D0">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288B4ED3">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D4245A8">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58C18DA">
            <w:pPr>
              <w:jc w:val="center"/>
              <w:rPr>
                <w:rFonts w:hint="eastAsia" w:ascii="宋体" w:hAnsi="宋体" w:cs="宋体"/>
                <w:color w:val="auto"/>
                <w:szCs w:val="21"/>
                <w:highlight w:val="none"/>
              </w:rPr>
            </w:pPr>
            <w:r>
              <w:rPr>
                <w:rFonts w:hint="eastAsia" w:ascii="宋体" w:hAnsi="宋体" w:cs="宋体"/>
                <w:color w:val="auto"/>
                <w:szCs w:val="21"/>
                <w:highlight w:val="none"/>
              </w:rPr>
              <w:t>终端进出水量、水质</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C7910D4">
            <w:pPr>
              <w:rPr>
                <w:rFonts w:hint="eastAsia" w:ascii="宋体" w:hAnsi="宋体" w:cs="宋体"/>
                <w:color w:val="auto"/>
                <w:szCs w:val="21"/>
                <w:highlight w:val="none"/>
              </w:rPr>
            </w:pPr>
            <w:r>
              <w:rPr>
                <w:rFonts w:hint="eastAsia" w:ascii="宋体" w:hAnsi="宋体" w:cs="宋体"/>
                <w:color w:val="auto"/>
                <w:szCs w:val="21"/>
                <w:highlight w:val="none"/>
              </w:rPr>
              <w:t>观察、检测进出水水量、水质是否正常，发现异常及时查找原因并进行维护；对出水按规范开展自检。</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70C6B5B0">
            <w:pPr>
              <w:rPr>
                <w:rFonts w:hint="eastAsia" w:ascii="宋体" w:hAnsi="宋体" w:cs="宋体"/>
                <w:color w:val="auto"/>
                <w:szCs w:val="21"/>
                <w:highlight w:val="none"/>
              </w:rPr>
            </w:pPr>
            <w:r>
              <w:rPr>
                <w:rFonts w:hint="eastAsia" w:ascii="宋体" w:hAnsi="宋体" w:cs="宋体"/>
                <w:color w:val="auto"/>
                <w:szCs w:val="21"/>
                <w:highlight w:val="none"/>
              </w:rPr>
              <w:t>①定期将水质检测结果报送至业主单位，发现一次未及时提交业主单位扣5分；②水量异常或无进水，且未及时报告修复，发现一次扣5分；③考核期内，抽检</w:t>
            </w:r>
            <w:r>
              <w:rPr>
                <w:rFonts w:hint="eastAsia" w:ascii="宋体" w:hAnsi="宋体" w:cs="宋体"/>
                <w:color w:val="auto"/>
                <w:szCs w:val="21"/>
                <w:highlight w:val="none"/>
                <w:lang w:val="en-US" w:eastAsia="zh-CN"/>
              </w:rPr>
              <w:t>承诺出水设施</w:t>
            </w:r>
            <w:r>
              <w:rPr>
                <w:rFonts w:hint="eastAsia" w:ascii="宋体" w:hAnsi="宋体" w:cs="宋体"/>
                <w:color w:val="auto"/>
                <w:szCs w:val="21"/>
                <w:highlight w:val="none"/>
              </w:rPr>
              <w:t>水质达标率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不达标扣1分</w:t>
            </w:r>
            <w:r>
              <w:rPr>
                <w:rFonts w:hint="eastAsia" w:ascii="宋体" w:hAnsi="宋体" w:cs="宋体"/>
                <w:color w:val="auto"/>
                <w:szCs w:val="21"/>
                <w:highlight w:val="none"/>
              </w:rPr>
              <w:t>；扣完为止。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A920A8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7B92FDFC">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2C4AA80">
            <w:pPr>
              <w:jc w:val="center"/>
              <w:rPr>
                <w:rFonts w:hint="eastAsia" w:ascii="宋体" w:hAnsi="宋体" w:cs="宋体"/>
                <w:color w:val="auto"/>
                <w:szCs w:val="21"/>
                <w:highlight w:val="none"/>
              </w:rPr>
            </w:pPr>
          </w:p>
        </w:tc>
      </w:tr>
      <w:tr w14:paraId="405C441C">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52A3337">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E226C8D">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规章</w:t>
            </w:r>
            <w:r>
              <w:rPr>
                <w:rFonts w:hint="eastAsia" w:ascii="宋体" w:hAnsi="宋体" w:cs="宋体"/>
                <w:color w:val="auto"/>
                <w:szCs w:val="21"/>
                <w:highlight w:val="none"/>
              </w:rPr>
              <w:t>制度落实及台账资料情况</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361D821">
            <w:pPr>
              <w:rPr>
                <w:rFonts w:hint="eastAsia" w:ascii="宋体" w:hAnsi="宋体" w:cs="宋体"/>
                <w:color w:val="auto"/>
                <w:szCs w:val="21"/>
                <w:highlight w:val="none"/>
              </w:rPr>
            </w:pPr>
            <w:r>
              <w:rPr>
                <w:rFonts w:hint="eastAsia" w:ascii="宋体" w:hAnsi="宋体" w:cs="宋体"/>
                <w:color w:val="auto"/>
                <w:szCs w:val="21"/>
                <w:highlight w:val="none"/>
              </w:rPr>
              <w:t>建立完整规范的各种规章制度、维护管理记录，重大事故报告及处理记录，年度检修维护记录和水质监测记录报告。</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4ABDC5BC">
            <w:pPr>
              <w:rPr>
                <w:rFonts w:hint="eastAsia" w:ascii="宋体" w:hAnsi="宋体" w:cs="宋体"/>
                <w:color w:val="auto"/>
                <w:szCs w:val="21"/>
                <w:highlight w:val="none"/>
              </w:rPr>
            </w:pPr>
            <w:r>
              <w:rPr>
                <w:rFonts w:hint="eastAsia" w:ascii="宋体" w:hAnsi="宋体" w:cs="宋体"/>
                <w:color w:val="auto"/>
                <w:szCs w:val="21"/>
                <w:highlight w:val="none"/>
              </w:rPr>
              <w:t>①未建立日常维护制度的扣5分，制度缺一项扣1分，未明确日常人员管理范围、管理职责，扣2分；②未按要求落实相关管理职责及时上报相关数据报表,扣3分；③终端及管网的检查、维护、维修记录等资料齐全，水质自检相关记录真实完整，无记录扣5分，不规范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79C6D14">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86" w:type="dxa"/>
            <w:tcBorders>
              <w:top w:val="single" w:color="auto" w:sz="4" w:space="0"/>
              <w:left w:val="single" w:color="auto" w:sz="4" w:space="0"/>
              <w:bottom w:val="single" w:color="auto" w:sz="4" w:space="0"/>
              <w:right w:val="nil"/>
            </w:tcBorders>
            <w:noWrap w:val="0"/>
            <w:vAlign w:val="center"/>
          </w:tcPr>
          <w:p w14:paraId="738E3906">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FE0E332">
            <w:pPr>
              <w:jc w:val="center"/>
              <w:rPr>
                <w:rFonts w:hint="eastAsia" w:ascii="宋体" w:hAnsi="宋体" w:cs="宋体"/>
                <w:color w:val="auto"/>
                <w:szCs w:val="21"/>
                <w:highlight w:val="none"/>
              </w:rPr>
            </w:pPr>
          </w:p>
        </w:tc>
      </w:tr>
      <w:tr w14:paraId="51B6DB0C">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037CB664">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BEE8705">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lang w:eastAsia="zh-CN"/>
              </w:rPr>
              <w:t>及</w:t>
            </w:r>
            <w:r>
              <w:rPr>
                <w:rFonts w:hint="eastAsia" w:ascii="宋体" w:hAnsi="宋体" w:cs="宋体"/>
                <w:color w:val="auto"/>
                <w:szCs w:val="21"/>
                <w:highlight w:val="none"/>
              </w:rPr>
              <w:t>主要运维设施、设备</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8BDFC60">
            <w:pPr>
              <w:rPr>
                <w:rFonts w:hint="eastAsia" w:ascii="宋体" w:hAnsi="宋体" w:cs="宋体"/>
                <w:color w:val="auto"/>
                <w:szCs w:val="21"/>
                <w:highlight w:val="none"/>
              </w:rPr>
            </w:pPr>
            <w:r>
              <w:rPr>
                <w:rFonts w:hint="eastAsia" w:ascii="宋体" w:hAnsi="宋体" w:cs="宋体"/>
                <w:color w:val="auto"/>
                <w:szCs w:val="21"/>
                <w:highlight w:val="none"/>
              </w:rPr>
              <w:t>配备</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和运维设施设备</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0AA43DE">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①未配备化验人员、化验仪器试剂药品或未对水质进行检测并提交化验报告与分析的酌情扣分。</w:t>
            </w:r>
          </w:p>
          <w:p w14:paraId="28C510EA">
            <w:pPr>
              <w:rPr>
                <w:rFonts w:hint="eastAsia" w:ascii="宋体" w:hAnsi="宋体" w:cs="宋体"/>
                <w:color w:val="auto"/>
                <w:szCs w:val="21"/>
                <w:highlight w:val="none"/>
              </w:rPr>
            </w:pPr>
            <w:r>
              <w:rPr>
                <w:rFonts w:hint="eastAsia" w:ascii="宋体" w:hAnsi="宋体" w:cs="宋体"/>
                <w:color w:val="auto"/>
                <w:szCs w:val="21"/>
                <w:highlight w:val="none"/>
              </w:rPr>
              <w:t>②主要运维设施、设备。未配备运维车辆、吸粪车、高压冲洗车、CCTV管道机器人等设备或配置运维设备不足的酌情扣分。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50BC6D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4FC990B4">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B49603C">
            <w:pPr>
              <w:jc w:val="center"/>
              <w:rPr>
                <w:rFonts w:hint="eastAsia" w:ascii="宋体" w:hAnsi="宋体" w:cs="宋体"/>
                <w:color w:val="auto"/>
                <w:szCs w:val="21"/>
                <w:highlight w:val="none"/>
              </w:rPr>
            </w:pPr>
          </w:p>
        </w:tc>
      </w:tr>
      <w:tr w14:paraId="0115A185">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28C74BC">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1B0D1E5">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接户井</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7A652845">
            <w:pPr>
              <w:rPr>
                <w:rFonts w:hint="eastAsia" w:ascii="宋体" w:hAnsi="宋体" w:cs="宋体"/>
                <w:color w:val="auto"/>
                <w:szCs w:val="21"/>
                <w:highlight w:val="none"/>
              </w:rPr>
            </w:pPr>
            <w:r>
              <w:rPr>
                <w:rFonts w:hint="eastAsia" w:ascii="宋体" w:hAnsi="宋体" w:cs="宋体"/>
                <w:color w:val="auto"/>
                <w:szCs w:val="21"/>
                <w:highlight w:val="none"/>
                <w:lang w:eastAsia="zh-CN"/>
              </w:rPr>
              <w:t>定期检查接户井，</w:t>
            </w:r>
            <w:r>
              <w:rPr>
                <w:rFonts w:hint="eastAsia" w:ascii="宋体" w:hAnsi="宋体" w:cs="宋体"/>
                <w:color w:val="auto"/>
                <w:szCs w:val="21"/>
                <w:highlight w:val="none"/>
              </w:rPr>
              <w:t>及时清理淤积物</w:t>
            </w:r>
            <w:r>
              <w:rPr>
                <w:rFonts w:hint="eastAsia" w:ascii="宋体" w:hAnsi="宋体" w:cs="宋体"/>
                <w:color w:val="auto"/>
                <w:szCs w:val="21"/>
                <w:highlight w:val="none"/>
                <w:lang w:eastAsia="zh-CN"/>
              </w:rPr>
              <w:t>。</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697D99E5">
            <w:pPr>
              <w:rPr>
                <w:rFonts w:hint="eastAsia" w:ascii="宋体" w:hAnsi="宋体" w:cs="宋体"/>
                <w:color w:val="auto"/>
                <w:szCs w:val="21"/>
                <w:highlight w:val="none"/>
              </w:rPr>
            </w:pPr>
            <w:r>
              <w:rPr>
                <w:rFonts w:hint="eastAsia" w:ascii="宋体" w:hAnsi="宋体" w:cs="宋体"/>
                <w:color w:val="auto"/>
                <w:szCs w:val="21"/>
                <w:highlight w:val="none"/>
              </w:rPr>
              <w:t>接户井（无接户井的，检查离农户最近的检查井）不少于3个。1处接户井开裂、无格栅或栅渣不及时清除的，扣0.5分；1处生活污水排放口未接入接户井的或有雨水管接入的，扣1分。</w:t>
            </w:r>
          </w:p>
          <w:p w14:paraId="4653374D">
            <w:pPr>
              <w:rPr>
                <w:rFonts w:hint="eastAsia" w:ascii="宋体" w:hAnsi="宋体" w:cs="宋体"/>
                <w:color w:val="auto"/>
                <w:szCs w:val="21"/>
                <w:highlight w:val="none"/>
              </w:rPr>
            </w:pPr>
            <w:r>
              <w:rPr>
                <w:rFonts w:hint="eastAsia" w:ascii="宋体" w:hAnsi="宋体" w:cs="宋体"/>
                <w:color w:val="auto"/>
                <w:szCs w:val="21"/>
                <w:highlight w:val="none"/>
              </w:rPr>
              <w:t>其他检查井不少于3个。1处检查井井盖、井体开裂损坏的，扣1分；井内有污泥淤积、垃圾留存的，扣0.5分；未按规定设置防坠网的，扣0.5分；有雨水管接入的，扣0.5分。发现其他异常情况酌情扣分。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244C230">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5</w:t>
            </w:r>
          </w:p>
        </w:tc>
        <w:tc>
          <w:tcPr>
            <w:tcW w:w="786" w:type="dxa"/>
            <w:tcBorders>
              <w:top w:val="single" w:color="auto" w:sz="4" w:space="0"/>
              <w:left w:val="single" w:color="auto" w:sz="4" w:space="0"/>
              <w:bottom w:val="single" w:color="auto" w:sz="4" w:space="0"/>
              <w:right w:val="nil"/>
            </w:tcBorders>
            <w:noWrap w:val="0"/>
            <w:vAlign w:val="center"/>
          </w:tcPr>
          <w:p w14:paraId="5AA5CEF7">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0FAC89E">
            <w:pPr>
              <w:jc w:val="center"/>
              <w:rPr>
                <w:rFonts w:hint="eastAsia" w:ascii="宋体" w:hAnsi="宋体" w:cs="宋体"/>
                <w:color w:val="auto"/>
                <w:szCs w:val="21"/>
                <w:highlight w:val="none"/>
              </w:rPr>
            </w:pPr>
          </w:p>
        </w:tc>
      </w:tr>
      <w:tr w14:paraId="1653C1A9">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668FBE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CF6799">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标准化运维</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55606C6">
            <w:pPr>
              <w:rPr>
                <w:rFonts w:hint="eastAsia" w:ascii="宋体" w:hAnsi="宋体" w:cs="宋体"/>
                <w:color w:val="auto"/>
                <w:szCs w:val="21"/>
                <w:highlight w:val="none"/>
              </w:rPr>
            </w:pPr>
            <w:r>
              <w:rPr>
                <w:rFonts w:hint="eastAsia" w:ascii="仿宋_GB2312" w:hAnsi="仿宋_GB2312" w:cs="仿宋_GB2312"/>
                <w:color w:val="auto"/>
                <w:kern w:val="0"/>
                <w:szCs w:val="32"/>
                <w:highlight w:val="none"/>
                <w:lang w:eastAsia="zh-CN" w:bidi="ar"/>
              </w:rPr>
              <w:t>完成</w:t>
            </w:r>
            <w:r>
              <w:rPr>
                <w:rFonts w:hint="eastAsia" w:ascii="仿宋_GB2312" w:hAnsi="仿宋_GB2312" w:cs="仿宋_GB2312"/>
                <w:color w:val="auto"/>
                <w:kern w:val="0"/>
                <w:szCs w:val="32"/>
                <w:highlight w:val="none"/>
                <w:lang w:val="en-US" w:eastAsia="zh-CN" w:bidi="ar"/>
              </w:rPr>
              <w:t>2025</w:t>
            </w:r>
            <w:r>
              <w:rPr>
                <w:rFonts w:hint="eastAsia" w:ascii="仿宋_GB2312" w:hAnsi="仿宋_GB2312" w:cs="仿宋_GB2312"/>
                <w:color w:val="auto"/>
                <w:kern w:val="0"/>
                <w:szCs w:val="32"/>
                <w:highlight w:val="none"/>
                <w:lang w:bidi="ar"/>
              </w:rPr>
              <w:t>年的任务数</w:t>
            </w:r>
            <w:r>
              <w:rPr>
                <w:rFonts w:hint="eastAsia" w:ascii="仿宋_GB2312" w:hAnsi="仿宋_GB2312" w:cs="仿宋_GB2312"/>
                <w:color w:val="auto"/>
                <w:kern w:val="0"/>
                <w:szCs w:val="32"/>
                <w:highlight w:val="none"/>
                <w:lang w:eastAsia="zh-CN" w:bidi="ar"/>
              </w:rPr>
              <w:t>且质量合格</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3C84278F">
            <w:pPr>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下达的任务数，完成任务得5分；工作质量（15分）；实施方案、工作计划（2分）；标准化运维公示牌（1分）；处理设施问题与整改（5分）；标准化运维评价过程，评价资料（包括运维单位的自评表1分、自评报告1分，水质自检和分析报告1分、复核评价表1.5分、复核报告1.5分和标准化运维完成后照片1分）上报并上传平台（7分）。</w:t>
            </w:r>
          </w:p>
          <w:p w14:paraId="0226B590">
            <w:pPr>
              <w:rPr>
                <w:rFonts w:hint="eastAsia" w:ascii="宋体" w:hAnsi="宋体" w:cs="宋体"/>
                <w:color w:val="auto"/>
                <w:szCs w:val="21"/>
                <w:highlight w:val="none"/>
              </w:rPr>
            </w:pPr>
            <w:r>
              <w:rPr>
                <w:rFonts w:hint="eastAsia" w:ascii="宋体" w:hAnsi="宋体" w:cs="宋体"/>
                <w:color w:val="auto"/>
                <w:szCs w:val="21"/>
                <w:highlight w:val="none"/>
              </w:rPr>
              <w:t>未完成任务扣20分。</w:t>
            </w:r>
          </w:p>
          <w:p w14:paraId="7D3D184F">
            <w:pPr>
              <w:rPr>
                <w:rFonts w:hint="eastAsia" w:ascii="宋体" w:hAnsi="宋体" w:cs="宋体"/>
                <w:color w:val="auto"/>
                <w:szCs w:val="21"/>
                <w:highlight w:val="none"/>
              </w:rPr>
            </w:pPr>
            <w:r>
              <w:rPr>
                <w:rFonts w:hint="eastAsia" w:ascii="宋体" w:hAnsi="宋体" w:cs="宋体"/>
                <w:color w:val="auto"/>
                <w:szCs w:val="21"/>
                <w:highlight w:val="none"/>
              </w:rPr>
              <w:t>完成任务的得5分。工作质量评分：无实施方案、工作计划扣2分，未按方案、计划实施的，酌情扣分；1个处理设施未进行自评或复核的扣2分，自评、复核质量差的酌情扣分；无公示牌或未按要求设置公示牌的，1处扣1分；问题处理程序不规范的扣1分，未整改的扣5分，未及时整改或整改不到位的酌情扣分。上传平台不及时、信息质量差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ABD6A2B">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20</w:t>
            </w:r>
          </w:p>
        </w:tc>
        <w:tc>
          <w:tcPr>
            <w:tcW w:w="786" w:type="dxa"/>
            <w:tcBorders>
              <w:top w:val="single" w:color="auto" w:sz="4" w:space="0"/>
              <w:left w:val="single" w:color="auto" w:sz="4" w:space="0"/>
              <w:bottom w:val="single" w:color="auto" w:sz="4" w:space="0"/>
              <w:right w:val="nil"/>
            </w:tcBorders>
            <w:noWrap w:val="0"/>
            <w:vAlign w:val="center"/>
          </w:tcPr>
          <w:p w14:paraId="31626602">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A25470D">
            <w:pPr>
              <w:jc w:val="center"/>
              <w:rPr>
                <w:rFonts w:hint="eastAsia" w:ascii="宋体" w:hAnsi="宋体" w:cs="宋体"/>
                <w:color w:val="auto"/>
                <w:szCs w:val="21"/>
                <w:highlight w:val="none"/>
              </w:rPr>
            </w:pPr>
          </w:p>
        </w:tc>
      </w:tr>
      <w:tr w14:paraId="7C8BB93A">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0B9C94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EAA2FDC">
            <w:pPr>
              <w:jc w:val="center"/>
              <w:rPr>
                <w:rFonts w:hint="eastAsia" w:ascii="宋体" w:hAnsi="宋体" w:cs="宋体"/>
                <w:color w:val="auto"/>
                <w:szCs w:val="21"/>
                <w:highlight w:val="none"/>
              </w:rPr>
            </w:pPr>
            <w:r>
              <w:rPr>
                <w:rFonts w:hint="eastAsia" w:ascii="宋体" w:hAnsi="宋体" w:cs="宋体"/>
                <w:color w:val="auto"/>
                <w:szCs w:val="21"/>
                <w:highlight w:val="none"/>
              </w:rPr>
              <w:t>社会综合评价</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0B0EF70">
            <w:pPr>
              <w:rPr>
                <w:rFonts w:hint="eastAsia" w:ascii="宋体" w:hAnsi="宋体" w:cs="宋体"/>
                <w:color w:val="auto"/>
                <w:szCs w:val="21"/>
                <w:highlight w:val="none"/>
              </w:rPr>
            </w:pPr>
            <w:r>
              <w:rPr>
                <w:rFonts w:hint="eastAsia" w:ascii="宋体" w:hAnsi="宋体" w:cs="宋体"/>
                <w:color w:val="auto"/>
                <w:szCs w:val="21"/>
                <w:highlight w:val="none"/>
              </w:rPr>
              <w:t>运行维护总体社会评价良好，运行维护成效明显。</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57EEB48A">
            <w:pPr>
              <w:rPr>
                <w:rFonts w:hint="eastAsia" w:ascii="宋体" w:hAnsi="宋体" w:cs="宋体"/>
                <w:color w:val="auto"/>
                <w:szCs w:val="21"/>
                <w:highlight w:val="none"/>
              </w:rPr>
            </w:pPr>
            <w:r>
              <w:rPr>
                <w:rFonts w:hint="eastAsia" w:ascii="宋体" w:hAnsi="宋体" w:cs="宋体"/>
                <w:color w:val="auto"/>
                <w:szCs w:val="21"/>
                <w:highlight w:val="none"/>
              </w:rPr>
              <w:t>①被媒体曝光或被人举报查实的，每次扣2分；②被省市县各级领导或主管部门批评或通报，每次分别扣5分、3分、2分；③未及时有效地按照主管部门要求开展运行维护工作，由主管部门酌情扣分。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E3A85B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786" w:type="dxa"/>
            <w:tcBorders>
              <w:top w:val="single" w:color="auto" w:sz="4" w:space="0"/>
              <w:left w:val="single" w:color="auto" w:sz="4" w:space="0"/>
              <w:bottom w:val="single" w:color="auto" w:sz="4" w:space="0"/>
              <w:right w:val="nil"/>
            </w:tcBorders>
            <w:noWrap w:val="0"/>
            <w:vAlign w:val="center"/>
          </w:tcPr>
          <w:p w14:paraId="77B43B9E">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20DA887">
            <w:pPr>
              <w:jc w:val="center"/>
              <w:rPr>
                <w:rFonts w:hint="eastAsia" w:ascii="宋体" w:hAnsi="宋体" w:cs="宋体"/>
                <w:color w:val="auto"/>
                <w:szCs w:val="21"/>
                <w:highlight w:val="none"/>
              </w:rPr>
            </w:pPr>
          </w:p>
        </w:tc>
      </w:tr>
    </w:tbl>
    <w:p w14:paraId="6890A260">
      <w:pPr>
        <w:pStyle w:val="33"/>
        <w:ind w:firstLine="440"/>
        <w:rPr>
          <w:rFonts w:hint="eastAsia" w:ascii="宋体"/>
          <w:color w:val="auto"/>
          <w:sz w:val="22"/>
          <w:szCs w:val="22"/>
          <w:highlight w:val="none"/>
        </w:rPr>
        <w:sectPr>
          <w:pgSz w:w="16838" w:h="11906" w:orient="landscape"/>
          <w:pgMar w:top="1588" w:right="1588" w:bottom="709" w:left="1134" w:header="680" w:footer="992" w:gutter="0"/>
          <w:cols w:space="720" w:num="1"/>
          <w:docGrid w:type="linesAndChars" w:linePitch="312" w:charSpace="0"/>
        </w:sectPr>
      </w:pPr>
      <w:r>
        <w:rPr>
          <w:rFonts w:hint="eastAsia" w:ascii="宋体"/>
          <w:color w:val="auto"/>
          <w:sz w:val="22"/>
          <w:szCs w:val="22"/>
          <w:highlight w:val="none"/>
        </w:rPr>
        <w:t>考核组成员：</w:t>
      </w:r>
    </w:p>
    <w:p w14:paraId="2E3CDE53">
      <w:pPr>
        <w:pStyle w:val="32"/>
        <w:keepNext/>
        <w:keepLines/>
        <w:shd w:val="clear" w:color="auto" w:fill="auto"/>
        <w:ind w:left="140"/>
        <w:jc w:val="left"/>
        <w:rPr>
          <w:rFonts w:hint="eastAsia" w:ascii="宋体" w:hAnsi="宋体" w:eastAsia="宋体" w:cs="新宋体"/>
          <w:color w:val="auto"/>
          <w:sz w:val="22"/>
          <w:szCs w:val="22"/>
          <w:highlight w:val="none"/>
        </w:rPr>
      </w:pPr>
      <w:r>
        <w:rPr>
          <w:rFonts w:hint="eastAsia" w:ascii="宋体" w:hAnsi="宋体" w:eastAsia="宋体" w:cs="新宋体"/>
          <w:bCs w:val="0"/>
          <w:color w:val="auto"/>
          <w:sz w:val="22"/>
          <w:szCs w:val="22"/>
          <w:highlight w:val="none"/>
        </w:rPr>
        <w:t xml:space="preserve"> </w:t>
      </w:r>
    </w:p>
    <w:p w14:paraId="7FAAB431">
      <w:pPr>
        <w:pStyle w:val="2"/>
        <w:rPr>
          <w:rFonts w:hint="eastAsia" w:ascii="宋体" w:hAnsi="宋体" w:eastAsia="宋体" w:cs="新宋体"/>
          <w:bCs w:val="0"/>
          <w:color w:val="auto"/>
          <w:sz w:val="36"/>
          <w:szCs w:val="36"/>
          <w:highlight w:val="none"/>
        </w:rPr>
      </w:pPr>
      <w:bookmarkStart w:id="389" w:name="_Toc34572038"/>
      <w:bookmarkStart w:id="390" w:name="_Toc29422"/>
      <w:bookmarkStart w:id="391" w:name="_Toc21106"/>
      <w:bookmarkStart w:id="392" w:name="_Toc5314"/>
      <w:r>
        <w:rPr>
          <w:rFonts w:hint="eastAsia" w:ascii="宋体" w:hAnsi="宋体" w:eastAsia="宋体" w:cs="新宋体"/>
          <w:bCs w:val="0"/>
          <w:color w:val="auto"/>
          <w:sz w:val="36"/>
          <w:szCs w:val="36"/>
          <w:highlight w:val="none"/>
        </w:rPr>
        <w:t>第四部分   投标文件格式</w:t>
      </w:r>
      <w:bookmarkEnd w:id="389"/>
      <w:bookmarkEnd w:id="390"/>
      <w:bookmarkEnd w:id="391"/>
      <w:bookmarkEnd w:id="392"/>
    </w:p>
    <w:p w14:paraId="7097536F">
      <w:pPr>
        <w:spacing w:before="156" w:beforeLines="50" w:after="156" w:afterLines="50"/>
        <w:rPr>
          <w:rFonts w:hint="eastAsia" w:ascii="宋体" w:hAnsi="宋体"/>
          <w:color w:val="auto"/>
          <w:sz w:val="22"/>
          <w:szCs w:val="22"/>
          <w:highlight w:val="none"/>
        </w:rPr>
      </w:pPr>
      <w:r>
        <w:rPr>
          <w:rFonts w:hint="eastAsia" w:ascii="宋体" w:hAnsi="宋体"/>
          <w:color w:val="auto"/>
          <w:sz w:val="22"/>
          <w:szCs w:val="22"/>
          <w:highlight w:val="none"/>
        </w:rPr>
        <w:t>（资格审查资料封面，供参考）</w:t>
      </w:r>
    </w:p>
    <w:p w14:paraId="774FF2F0">
      <w:pPr>
        <w:rPr>
          <w:rFonts w:hint="eastAsia" w:ascii="宋体" w:hAnsi="宋体" w:cs="新宋体"/>
          <w:color w:val="auto"/>
          <w:highlight w:val="none"/>
        </w:rPr>
      </w:pPr>
    </w:p>
    <w:p w14:paraId="1C3A49B6">
      <w:pPr>
        <w:rPr>
          <w:rFonts w:hint="eastAsia" w:ascii="宋体" w:hAnsi="宋体" w:cs="新宋体"/>
          <w:color w:val="auto"/>
          <w:highlight w:val="none"/>
        </w:rPr>
      </w:pPr>
    </w:p>
    <w:p w14:paraId="07686E5A">
      <w:pPr>
        <w:rPr>
          <w:rFonts w:hint="eastAsia" w:ascii="宋体" w:hAnsi="宋体" w:cs="新宋体"/>
          <w:color w:val="auto"/>
          <w:highlight w:val="none"/>
        </w:rPr>
      </w:pPr>
    </w:p>
    <w:p w14:paraId="726231E4">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（项目名称）</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投标文件</w:t>
      </w:r>
    </w:p>
    <w:p w14:paraId="6919A480">
      <w:pPr>
        <w:rPr>
          <w:rFonts w:hint="eastAsia" w:ascii="宋体" w:hAnsi="宋体" w:cs="新宋体"/>
          <w:color w:val="auto"/>
          <w:sz w:val="28"/>
          <w:szCs w:val="28"/>
          <w:highlight w:val="none"/>
        </w:rPr>
      </w:pPr>
    </w:p>
    <w:p w14:paraId="2BAA2E0B">
      <w:pPr>
        <w:rPr>
          <w:rFonts w:hint="eastAsia" w:ascii="宋体" w:hAnsi="宋体" w:cs="新宋体"/>
          <w:color w:val="auto"/>
          <w:sz w:val="28"/>
          <w:szCs w:val="28"/>
          <w:highlight w:val="none"/>
        </w:rPr>
      </w:pPr>
    </w:p>
    <w:p w14:paraId="11CD8322">
      <w:pPr>
        <w:pStyle w:val="8"/>
        <w:ind w:firstLine="281"/>
        <w:rPr>
          <w:rFonts w:hint="eastAsia" w:ascii="宋体" w:hAnsi="宋体" w:cs="新宋体"/>
          <w:color w:val="auto"/>
          <w:sz w:val="28"/>
          <w:szCs w:val="28"/>
          <w:highlight w:val="none"/>
        </w:rPr>
      </w:pPr>
    </w:p>
    <w:p w14:paraId="39A179A6">
      <w:pPr>
        <w:pStyle w:val="8"/>
        <w:ind w:firstLine="281"/>
        <w:rPr>
          <w:rFonts w:hint="eastAsia" w:ascii="宋体" w:hAnsi="宋体" w:cs="新宋体"/>
          <w:color w:val="auto"/>
          <w:sz w:val="28"/>
          <w:szCs w:val="28"/>
          <w:highlight w:val="none"/>
        </w:rPr>
      </w:pPr>
    </w:p>
    <w:p w14:paraId="7B9AAA84">
      <w:pPr>
        <w:rPr>
          <w:rFonts w:hint="eastAsia" w:ascii="宋体" w:hAnsi="宋体" w:cs="新宋体"/>
          <w:color w:val="auto"/>
          <w:sz w:val="28"/>
          <w:szCs w:val="28"/>
          <w:highlight w:val="none"/>
        </w:rPr>
      </w:pPr>
    </w:p>
    <w:p w14:paraId="1E9E1BA0">
      <w:pPr>
        <w:rPr>
          <w:rFonts w:hint="eastAsia" w:ascii="宋体" w:hAnsi="宋体" w:cs="新宋体"/>
          <w:color w:val="auto"/>
          <w:sz w:val="28"/>
          <w:szCs w:val="28"/>
          <w:highlight w:val="none"/>
        </w:rPr>
      </w:pPr>
    </w:p>
    <w:p w14:paraId="401D6D44">
      <w:pPr>
        <w:jc w:val="center"/>
        <w:rPr>
          <w:rFonts w:hint="eastAsia" w:ascii="宋体" w:hAnsi="宋体" w:cs="新宋体"/>
          <w:color w:val="auto"/>
          <w:sz w:val="52"/>
          <w:szCs w:val="52"/>
          <w:highlight w:val="none"/>
        </w:rPr>
      </w:pPr>
      <w:r>
        <w:rPr>
          <w:rFonts w:hint="eastAsia" w:ascii="宋体" w:hAnsi="宋体" w:cs="新宋体"/>
          <w:color w:val="auto"/>
          <w:sz w:val="52"/>
          <w:szCs w:val="52"/>
          <w:highlight w:val="none"/>
        </w:rPr>
        <w:t>资格审查资料</w:t>
      </w:r>
    </w:p>
    <w:p w14:paraId="52C88299">
      <w:pPr>
        <w:spacing w:line="360" w:lineRule="auto"/>
        <w:rPr>
          <w:rFonts w:hint="eastAsia" w:ascii="宋体" w:hAnsi="宋体" w:cs="新宋体"/>
          <w:color w:val="auto"/>
          <w:szCs w:val="21"/>
          <w:highlight w:val="none"/>
        </w:rPr>
      </w:pPr>
    </w:p>
    <w:p w14:paraId="379692D4">
      <w:pPr>
        <w:spacing w:line="360" w:lineRule="auto"/>
        <w:rPr>
          <w:rFonts w:hint="eastAsia" w:ascii="宋体" w:hAnsi="宋体" w:cs="新宋体"/>
          <w:color w:val="auto"/>
          <w:szCs w:val="21"/>
          <w:highlight w:val="none"/>
        </w:rPr>
      </w:pPr>
    </w:p>
    <w:p w14:paraId="1C702A2B">
      <w:pPr>
        <w:spacing w:line="360" w:lineRule="auto"/>
        <w:rPr>
          <w:rFonts w:hint="eastAsia" w:ascii="宋体" w:hAnsi="宋体" w:cs="新宋体"/>
          <w:color w:val="auto"/>
          <w:szCs w:val="21"/>
          <w:highlight w:val="none"/>
        </w:rPr>
      </w:pPr>
    </w:p>
    <w:p w14:paraId="0313B177">
      <w:pPr>
        <w:spacing w:line="360" w:lineRule="auto"/>
        <w:rPr>
          <w:rFonts w:hint="eastAsia" w:ascii="宋体" w:hAnsi="宋体" w:cs="新宋体"/>
          <w:color w:val="auto"/>
          <w:szCs w:val="21"/>
          <w:highlight w:val="none"/>
        </w:rPr>
      </w:pPr>
    </w:p>
    <w:p w14:paraId="6512651D">
      <w:pPr>
        <w:spacing w:line="360" w:lineRule="auto"/>
        <w:rPr>
          <w:rFonts w:hint="eastAsia" w:ascii="宋体" w:hAnsi="宋体" w:cs="新宋体"/>
          <w:color w:val="auto"/>
          <w:szCs w:val="21"/>
          <w:highlight w:val="none"/>
        </w:rPr>
      </w:pPr>
    </w:p>
    <w:p w14:paraId="618A29EE">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投标人：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（盖单位章）</w:t>
      </w:r>
    </w:p>
    <w:p w14:paraId="501520AE">
      <w:pPr>
        <w:rPr>
          <w:rFonts w:hint="eastAsia" w:ascii="宋体" w:hAnsi="宋体" w:cs="新宋体"/>
          <w:color w:val="auto"/>
          <w:sz w:val="28"/>
          <w:szCs w:val="28"/>
          <w:highlight w:val="none"/>
          <w:u w:val="single"/>
        </w:rPr>
      </w:pPr>
    </w:p>
    <w:p w14:paraId="03D59FE7">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法定代表人或其委托代理人：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（签字或盖章）</w:t>
      </w:r>
    </w:p>
    <w:p w14:paraId="595C7BC5">
      <w:pPr>
        <w:rPr>
          <w:rFonts w:hint="eastAsia" w:ascii="宋体" w:hAnsi="宋体" w:cs="新宋体"/>
          <w:color w:val="auto"/>
          <w:sz w:val="28"/>
          <w:szCs w:val="28"/>
          <w:highlight w:val="none"/>
        </w:rPr>
      </w:pPr>
    </w:p>
    <w:p w14:paraId="6D5ED043">
      <w:pPr>
        <w:overflowPunct w:val="0"/>
        <w:spacing w:line="380" w:lineRule="exact"/>
        <w:ind w:firstLine="2738" w:firstLineChars="978"/>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年</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月</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日</w:t>
      </w:r>
    </w:p>
    <w:p w14:paraId="1E47233B">
      <w:pPr>
        <w:spacing w:line="460" w:lineRule="exact"/>
        <w:jc w:val="center"/>
        <w:rPr>
          <w:rFonts w:hint="eastAsia" w:ascii="宋体" w:hAnsi="宋体"/>
          <w:color w:val="auto"/>
          <w:sz w:val="22"/>
          <w:szCs w:val="22"/>
          <w:highlight w:val="none"/>
        </w:rPr>
      </w:pPr>
      <w:r>
        <w:rPr>
          <w:rFonts w:hint="eastAsia" w:ascii="宋体" w:hAnsi="宋体"/>
          <w:color w:val="auto"/>
          <w:sz w:val="22"/>
          <w:szCs w:val="22"/>
          <w:highlight w:val="none"/>
        </w:rPr>
        <w:br w:type="page"/>
      </w:r>
      <w:bookmarkStart w:id="393" w:name="_Toc465107614"/>
      <w:bookmarkStart w:id="394" w:name="_Toc504034734"/>
    </w:p>
    <w:p w14:paraId="7654F6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新宋体"/>
          <w:b/>
          <w:bCs/>
          <w:color w:val="auto"/>
          <w:sz w:val="52"/>
          <w:szCs w:val="52"/>
          <w:highlight w:val="none"/>
        </w:rPr>
      </w:pPr>
      <w:r>
        <w:rPr>
          <w:rFonts w:hint="eastAsia" w:ascii="宋体" w:hAnsi="宋体" w:cs="新宋体"/>
          <w:b/>
          <w:bCs/>
          <w:color w:val="auto"/>
          <w:sz w:val="52"/>
          <w:szCs w:val="52"/>
          <w:highlight w:val="none"/>
        </w:rPr>
        <w:t>目    录</w:t>
      </w:r>
    </w:p>
    <w:p w14:paraId="018646EE">
      <w:pPr>
        <w:numPr>
          <w:ilvl w:val="0"/>
          <w:numId w:val="12"/>
        </w:numPr>
        <w:spacing w:before="156" w:beforeLines="50" w:after="156"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法定代表人（单位负责人）授权书和被授权人有效身份证明。</w:t>
      </w:r>
    </w:p>
    <w:p w14:paraId="1817E917">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营业执照(或事业法人登记证书或其它工商等登记证明材料)。</w:t>
      </w:r>
    </w:p>
    <w:p w14:paraId="63F23277">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符合参加政府采购活动应当具备的一般条件的承诺函。</w:t>
      </w:r>
    </w:p>
    <w:p w14:paraId="65E6061E">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特殊资格条件：资质证书</w:t>
      </w:r>
      <w:r>
        <w:rPr>
          <w:rFonts w:hint="eastAsia" w:ascii="宋体" w:hAnsi="宋体"/>
          <w:color w:val="auto"/>
          <w:sz w:val="22"/>
          <w:szCs w:val="22"/>
          <w:highlight w:val="none"/>
          <w:lang w:eastAsia="zh-CN"/>
        </w:rPr>
        <w:t>，</w:t>
      </w:r>
      <w:r>
        <w:rPr>
          <w:rFonts w:hint="eastAsia" w:ascii="宋体" w:hAnsi="宋体" w:eastAsia="宋体"/>
          <w:color w:val="auto"/>
          <w:sz w:val="22"/>
          <w:szCs w:val="22"/>
          <w:highlight w:val="none"/>
        </w:rPr>
        <w:t>有效安全生产许可证（或有效的安全生产许可证电子证书打印件）及A类人员证书、</w:t>
      </w:r>
    </w:p>
    <w:p w14:paraId="665CBA8C">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有效的分管安全生产副经理的任职文件、无行贿犯罪档案记录查询打印件</w:t>
      </w:r>
      <w:r>
        <w:rPr>
          <w:rFonts w:hint="eastAsia" w:ascii="宋体" w:hAnsi="宋体" w:eastAsia="宋体"/>
          <w:color w:val="auto"/>
          <w:sz w:val="22"/>
          <w:szCs w:val="22"/>
          <w:highlight w:val="none"/>
          <w:lang w:eastAsia="zh-CN"/>
        </w:rPr>
        <w:t>。</w:t>
      </w:r>
    </w:p>
    <w:p w14:paraId="3E7B4C9F">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中小企业声明函（或残疾人福利性单位声明函或监狱企业声明函）</w:t>
      </w:r>
    </w:p>
    <w:p w14:paraId="21473B42">
      <w:pPr>
        <w:numPr>
          <w:ilvl w:val="0"/>
          <w:numId w:val="0"/>
        </w:numPr>
        <w:spacing w:before="156" w:beforeLines="50" w:after="156" w:afterLines="50" w:line="480" w:lineRule="auto"/>
        <w:ind w:left="420" w:leftChars="0"/>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 xml:space="preserve">    </w:t>
      </w:r>
    </w:p>
    <w:p w14:paraId="3CDACCAE">
      <w:pPr>
        <w:pStyle w:val="2"/>
        <w:spacing w:line="360" w:lineRule="auto"/>
        <w:ind w:left="420"/>
        <w:rPr>
          <w:rFonts w:hint="eastAsia" w:ascii="宋体" w:hAnsi="宋体" w:eastAsia="宋体" w:cs="新宋体"/>
          <w:b w:val="0"/>
          <w:color w:val="auto"/>
          <w:sz w:val="22"/>
          <w:szCs w:val="22"/>
          <w:highlight w:val="none"/>
        </w:rPr>
      </w:pPr>
      <w:r>
        <w:rPr>
          <w:rFonts w:hint="eastAsia" w:ascii="宋体" w:hAnsi="宋体" w:eastAsia="宋体" w:cs="新宋体"/>
          <w:b w:val="0"/>
          <w:color w:val="auto"/>
          <w:sz w:val="22"/>
          <w:szCs w:val="22"/>
          <w:highlight w:val="none"/>
        </w:rPr>
        <w:br w:type="page"/>
      </w:r>
    </w:p>
    <w:p w14:paraId="799B3AB3">
      <w:pPr>
        <w:widowControl/>
        <w:adjustRightInd w:val="0"/>
        <w:snapToGrid w:val="0"/>
        <w:spacing w:line="360" w:lineRule="auto"/>
        <w:jc w:val="center"/>
        <w:rPr>
          <w:rFonts w:hint="eastAsia" w:ascii="宋体" w:hAnsi="宋体" w:cs="新宋体"/>
          <w:b/>
          <w:color w:val="auto"/>
          <w:kern w:val="0"/>
          <w:sz w:val="28"/>
          <w:szCs w:val="28"/>
          <w:highlight w:val="none"/>
        </w:rPr>
      </w:pPr>
      <w:r>
        <w:rPr>
          <w:rFonts w:hint="eastAsia" w:ascii="宋体" w:hAnsi="宋体" w:cs="新宋体"/>
          <w:b/>
          <w:color w:val="auto"/>
          <w:kern w:val="0"/>
          <w:sz w:val="28"/>
          <w:szCs w:val="28"/>
          <w:highlight w:val="none"/>
        </w:rPr>
        <w:t>法定代表人授权书</w:t>
      </w:r>
    </w:p>
    <w:p w14:paraId="6A7DCD40">
      <w:pPr>
        <w:spacing w:line="420" w:lineRule="exact"/>
        <w:rPr>
          <w:rFonts w:hint="eastAsia" w:ascii="宋体" w:hAnsi="宋体"/>
          <w:b/>
          <w:color w:val="auto"/>
          <w:sz w:val="22"/>
          <w:szCs w:val="22"/>
          <w:highlight w:val="none"/>
        </w:rPr>
      </w:pPr>
    </w:p>
    <w:p w14:paraId="60DA4652">
      <w:pPr>
        <w:spacing w:line="42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温州市鹿城区山福镇人民政府</w:t>
      </w:r>
    </w:p>
    <w:p w14:paraId="2606EA83">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浙江三凯工程管理有限公司</w:t>
      </w:r>
      <w:r>
        <w:rPr>
          <w:rFonts w:hint="eastAsia" w:ascii="宋体" w:hAnsi="宋体"/>
          <w:color w:val="auto"/>
          <w:sz w:val="22"/>
          <w:szCs w:val="22"/>
          <w:highlight w:val="none"/>
        </w:rPr>
        <w:t>：</w:t>
      </w:r>
    </w:p>
    <w:p w14:paraId="6B02AEF5">
      <w:pPr>
        <w:spacing w:line="460" w:lineRule="exact"/>
        <w:rPr>
          <w:rFonts w:hint="eastAsia" w:ascii="宋体" w:hAnsi="宋体"/>
          <w:color w:val="auto"/>
          <w:sz w:val="22"/>
          <w:szCs w:val="22"/>
          <w:highlight w:val="none"/>
          <w:u w:val="single"/>
        </w:rPr>
      </w:pPr>
    </w:p>
    <w:p w14:paraId="118E1CD8">
      <w:pPr>
        <w:spacing w:line="46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（投标人全称）法定代表人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（全权代表姓名）为全权代表，参加贵处组织的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（招标项目名称、编号）的招标活动，全权代表我方处理招标活动中的一切事宜。</w:t>
      </w:r>
    </w:p>
    <w:p w14:paraId="4D666C58">
      <w:pPr>
        <w:spacing w:line="460" w:lineRule="exact"/>
        <w:ind w:firstLine="2955"/>
        <w:rPr>
          <w:rFonts w:hint="eastAsia" w:ascii="宋体" w:hAnsi="宋体"/>
          <w:color w:val="auto"/>
          <w:sz w:val="22"/>
          <w:szCs w:val="22"/>
          <w:highlight w:val="none"/>
        </w:rPr>
      </w:pPr>
    </w:p>
    <w:p w14:paraId="3A3D5999">
      <w:pPr>
        <w:spacing w:line="46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w:t>
      </w:r>
    </w:p>
    <w:p w14:paraId="158AA20F">
      <w:pPr>
        <w:spacing w:line="460" w:lineRule="exact"/>
        <w:ind w:firstLine="3971" w:firstLineChars="1805"/>
        <w:rPr>
          <w:rFonts w:hint="eastAsia" w:ascii="宋体" w:hAnsi="宋体"/>
          <w:color w:val="auto"/>
          <w:sz w:val="22"/>
          <w:szCs w:val="22"/>
          <w:highlight w:val="none"/>
        </w:rPr>
      </w:pPr>
      <w:r>
        <w:rPr>
          <w:rFonts w:hint="eastAsia" w:ascii="宋体" w:hAnsi="宋体"/>
          <w:color w:val="auto"/>
          <w:sz w:val="22"/>
          <w:szCs w:val="22"/>
          <w:highlight w:val="none"/>
        </w:rPr>
        <w:t>法定代表人 (签字或盖章)：</w:t>
      </w:r>
    </w:p>
    <w:p w14:paraId="287D14EB">
      <w:pPr>
        <w:spacing w:line="46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3DD4BC3C">
      <w:pPr>
        <w:spacing w:line="46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日期：     年    月   日</w:t>
      </w:r>
    </w:p>
    <w:p w14:paraId="4EC85A20">
      <w:pPr>
        <w:spacing w:line="460" w:lineRule="exact"/>
        <w:rPr>
          <w:rFonts w:hint="eastAsia" w:ascii="宋体" w:hAnsi="宋体"/>
          <w:color w:val="auto"/>
          <w:sz w:val="22"/>
          <w:szCs w:val="22"/>
          <w:highlight w:val="none"/>
        </w:rPr>
      </w:pPr>
    </w:p>
    <w:p w14:paraId="45D1E35C">
      <w:pPr>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附：</w:t>
      </w:r>
    </w:p>
    <w:p w14:paraId="240BA2BC">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授权代表姓名：</w:t>
      </w:r>
    </w:p>
    <w:p w14:paraId="0A0D767D">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职务：</w:t>
      </w:r>
    </w:p>
    <w:p w14:paraId="4476D7CE">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详细通讯地址：</w:t>
      </w:r>
    </w:p>
    <w:p w14:paraId="213C1301">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电话：</w:t>
      </w:r>
    </w:p>
    <w:p w14:paraId="1B21535F">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传真：</w:t>
      </w:r>
    </w:p>
    <w:p w14:paraId="666148EF">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邮政编码:</w:t>
      </w:r>
    </w:p>
    <w:tbl>
      <w:tblPr>
        <w:tblStyle w:val="21"/>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52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4A4446D0">
            <w:pPr>
              <w:spacing w:line="38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投标人代表身份证复印件</w:t>
            </w:r>
          </w:p>
          <w:p w14:paraId="465B0D14">
            <w:pPr>
              <w:spacing w:line="380" w:lineRule="exact"/>
              <w:jc w:val="center"/>
              <w:rPr>
                <w:rFonts w:hint="eastAsia" w:ascii="宋体" w:hAnsi="宋体"/>
                <w:b/>
                <w:bCs/>
                <w:color w:val="auto"/>
                <w:sz w:val="28"/>
                <w:highlight w:val="none"/>
              </w:rPr>
            </w:pPr>
          </w:p>
        </w:tc>
      </w:tr>
    </w:tbl>
    <w:p w14:paraId="54583436">
      <w:pPr>
        <w:widowControl/>
        <w:adjustRightInd w:val="0"/>
        <w:snapToGrid w:val="0"/>
        <w:spacing w:line="360" w:lineRule="auto"/>
        <w:ind w:firstLine="440" w:firstLineChars="200"/>
        <w:jc w:val="left"/>
        <w:rPr>
          <w:rFonts w:hint="eastAsia" w:ascii="宋体" w:hAnsi="宋体" w:cs="新宋体"/>
          <w:color w:val="auto"/>
          <w:kern w:val="0"/>
          <w:sz w:val="22"/>
          <w:szCs w:val="22"/>
          <w:highlight w:val="none"/>
        </w:rPr>
      </w:pPr>
      <w:r>
        <w:rPr>
          <w:rFonts w:hint="eastAsia" w:ascii="宋体" w:hAnsi="宋体"/>
          <w:color w:val="auto"/>
          <w:sz w:val="22"/>
          <w:szCs w:val="22"/>
          <w:highlight w:val="none"/>
        </w:rPr>
        <w:br w:type="page"/>
      </w:r>
    </w:p>
    <w:p w14:paraId="3DFA09A8">
      <w:pPr>
        <w:pageBreakBefore w:val="0"/>
        <w:kinsoku/>
        <w:topLinePunct w:val="0"/>
        <w:bidi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符合参加政府采购活动应当具备的一般条件的承诺函</w:t>
      </w:r>
    </w:p>
    <w:p w14:paraId="2903764E">
      <w:pPr>
        <w:pageBreakBefore w:val="0"/>
        <w:kinsoku/>
        <w:topLinePunct w:val="0"/>
        <w:bidi w:val="0"/>
        <w:spacing w:line="360" w:lineRule="exact"/>
        <w:rPr>
          <w:rFonts w:hint="eastAsia" w:ascii="宋体" w:hAnsi="宋体" w:cs="宋体"/>
          <w:b/>
          <w:color w:val="auto"/>
          <w:sz w:val="24"/>
          <w:highlight w:val="none"/>
        </w:rPr>
      </w:pPr>
    </w:p>
    <w:p w14:paraId="774C77CA">
      <w:pPr>
        <w:pageBreakBefore w:val="0"/>
        <w:kinsoku/>
        <w:topLinePunct w:val="0"/>
        <w:bidi w:val="0"/>
        <w:spacing w:line="360" w:lineRule="exac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温州市鹿城区山福镇人民政府</w:t>
      </w:r>
    </w:p>
    <w:p w14:paraId="316E2DB7">
      <w:pPr>
        <w:pageBreakBefore w:val="0"/>
        <w:kinsoku/>
        <w:topLinePunct w:val="0"/>
        <w:bidi w:val="0"/>
        <w:spacing w:line="3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浙江三凯工程管理有限公司</w:t>
      </w:r>
      <w:r>
        <w:rPr>
          <w:rFonts w:hint="eastAsia" w:ascii="宋体" w:hAnsi="宋体" w:cs="宋体"/>
          <w:b/>
          <w:color w:val="auto"/>
          <w:sz w:val="24"/>
          <w:highlight w:val="none"/>
        </w:rPr>
        <w:t>：</w:t>
      </w:r>
    </w:p>
    <w:p w14:paraId="222AFC65">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514C8320">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（项目名称）【项目编号：    】</w:t>
      </w:r>
      <w:r>
        <w:rPr>
          <w:rFonts w:hint="eastAsia" w:ascii="宋体" w:hAnsi="宋体" w:cs="宋体"/>
          <w:color w:val="auto"/>
          <w:sz w:val="22"/>
          <w:szCs w:val="22"/>
          <w:highlight w:val="none"/>
        </w:rPr>
        <w:t>政府采购活动，郑重承诺：</w:t>
      </w:r>
    </w:p>
    <w:p w14:paraId="67BCD077">
      <w:pPr>
        <w:pageBreakBefore w:val="0"/>
        <w:kinsoku/>
        <w:topLinePunct w:val="0"/>
        <w:bidi w:val="0"/>
        <w:snapToGrid w:val="0"/>
        <w:spacing w:line="36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（一）具备《中华人民共和国政府采购法》第二十二条第一款规定的条件：</w:t>
      </w:r>
    </w:p>
    <w:p w14:paraId="0EC7A99F">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522422E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2、具有良好的商业信誉和健全的财务会计制度； </w:t>
      </w:r>
    </w:p>
    <w:p w14:paraId="52730AA5">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3、具有履行合同所必需的设备和专业技术能力；</w:t>
      </w:r>
    </w:p>
    <w:p w14:paraId="557480C8">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4、有依法缴纳税收和社会保障资金的良好记录；</w:t>
      </w:r>
    </w:p>
    <w:p w14:paraId="27468159">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w:t>
      </w:r>
    </w:p>
    <w:p w14:paraId="72F69300">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6、具有法律、行政法规规定的其他条件。</w:t>
      </w:r>
    </w:p>
    <w:p w14:paraId="0238EE8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p>
    <w:p w14:paraId="04C9169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（三）不存在以下情况：</w:t>
      </w:r>
    </w:p>
    <w:p w14:paraId="16078F82">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1、单位负责人为同一人或者存在直接控股、管理关系的不同供应商参加同一合同项下的政府采购活动的；</w:t>
      </w:r>
    </w:p>
    <w:p w14:paraId="1937B05F">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2、为采购项目提供整体设计、规范编制或者项目管理、监理、检测等服务后再参加该采购项目的其他采购活动的。</w:t>
      </w:r>
    </w:p>
    <w:p w14:paraId="455CB7B9">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630BEF11">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763A62A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19068DAD">
      <w:pPr>
        <w:pageBreakBefore w:val="0"/>
        <w:kinsoku/>
        <w:topLinePunct w:val="0"/>
        <w:bidi w:val="0"/>
        <w:spacing w:line="36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供应商名称（电子签名/公章）：</w:t>
      </w:r>
    </w:p>
    <w:p w14:paraId="0BEC4DD2">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日期：       年    月     日</w:t>
      </w:r>
    </w:p>
    <w:p w14:paraId="3757387C">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7BEE2400">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5364D0F8">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0D9DC222">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77639BD5">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55F42EF5">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05C6A353">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51316153">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06A85E72">
      <w:pPr>
        <w:pageBreakBefore w:val="0"/>
        <w:kinsoku/>
        <w:topLinePunct w:val="0"/>
        <w:bidi w:val="0"/>
        <w:spacing w:line="360" w:lineRule="exact"/>
        <w:jc w:val="center"/>
        <w:rPr>
          <w:rFonts w:hint="eastAsia" w:hAnsi="宋体"/>
          <w:b/>
          <w:color w:val="auto"/>
          <w:sz w:val="30"/>
          <w:highlight w:val="none"/>
        </w:rPr>
      </w:pPr>
      <w:r>
        <w:rPr>
          <w:rFonts w:hint="eastAsia" w:hAnsi="宋体"/>
          <w:b/>
          <w:color w:val="auto"/>
          <w:sz w:val="30"/>
          <w:highlight w:val="none"/>
        </w:rPr>
        <w:t>其他格式投标人自行拟定。</w:t>
      </w:r>
    </w:p>
    <w:p w14:paraId="22D26798">
      <w:pPr>
        <w:pStyle w:val="2"/>
        <w:jc w:val="left"/>
        <w:rPr>
          <w:rFonts w:hint="eastAsia" w:ascii="宋体" w:hAnsi="宋体" w:eastAsia="宋体" w:cs="新宋体"/>
          <w:b w:val="0"/>
          <w:color w:val="auto"/>
          <w:szCs w:val="21"/>
          <w:highlight w:val="none"/>
        </w:rPr>
      </w:pPr>
      <w:r>
        <w:rPr>
          <w:rFonts w:hint="eastAsia" w:ascii="宋体" w:hAnsi="宋体" w:eastAsia="宋体" w:cs="新宋体"/>
          <w:b w:val="0"/>
          <w:color w:val="auto"/>
          <w:szCs w:val="21"/>
          <w:highlight w:val="none"/>
        </w:rPr>
        <w:br w:type="page"/>
      </w:r>
    </w:p>
    <w:p w14:paraId="01DE4FAE">
      <w:pPr>
        <w:spacing w:before="156" w:beforeLines="50" w:after="156" w:afterLines="50"/>
        <w:rPr>
          <w:rFonts w:hint="eastAsia" w:ascii="宋体" w:hAnsi="宋体"/>
          <w:color w:val="auto"/>
          <w:sz w:val="22"/>
          <w:szCs w:val="22"/>
          <w:highlight w:val="none"/>
        </w:rPr>
      </w:pPr>
      <w:r>
        <w:rPr>
          <w:rFonts w:hint="eastAsia" w:ascii="宋体" w:hAnsi="宋体"/>
          <w:color w:val="auto"/>
          <w:sz w:val="22"/>
          <w:szCs w:val="22"/>
          <w:highlight w:val="none"/>
        </w:rPr>
        <w:t>（技术资信文件封面，供参考）</w:t>
      </w:r>
      <w:bookmarkEnd w:id="393"/>
      <w:bookmarkEnd w:id="394"/>
    </w:p>
    <w:p w14:paraId="613DF3A7">
      <w:pPr>
        <w:rPr>
          <w:rFonts w:hint="eastAsia" w:ascii="宋体" w:hAnsi="宋体" w:cs="新宋体"/>
          <w:color w:val="auto"/>
          <w:highlight w:val="none"/>
        </w:rPr>
      </w:pPr>
    </w:p>
    <w:p w14:paraId="0C888B24">
      <w:pPr>
        <w:rPr>
          <w:rFonts w:hint="eastAsia" w:ascii="宋体" w:hAnsi="宋体" w:cs="新宋体"/>
          <w:color w:val="auto"/>
          <w:highlight w:val="none"/>
        </w:rPr>
      </w:pPr>
    </w:p>
    <w:p w14:paraId="74D93623">
      <w:pPr>
        <w:rPr>
          <w:rFonts w:hint="eastAsia" w:ascii="宋体" w:hAnsi="宋体" w:cs="新宋体"/>
          <w:color w:val="auto"/>
          <w:highlight w:val="none"/>
        </w:rPr>
      </w:pPr>
    </w:p>
    <w:p w14:paraId="1E648C5C">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（项目名称）</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投标文件</w:t>
      </w:r>
    </w:p>
    <w:p w14:paraId="440CA8E1">
      <w:pPr>
        <w:rPr>
          <w:rFonts w:hint="eastAsia" w:ascii="宋体" w:hAnsi="宋体" w:cs="新宋体"/>
          <w:color w:val="auto"/>
          <w:sz w:val="28"/>
          <w:szCs w:val="28"/>
          <w:highlight w:val="none"/>
        </w:rPr>
      </w:pPr>
    </w:p>
    <w:p w14:paraId="36273FA2">
      <w:pPr>
        <w:rPr>
          <w:rFonts w:hint="eastAsia" w:ascii="宋体" w:hAnsi="宋体" w:cs="新宋体"/>
          <w:color w:val="auto"/>
          <w:sz w:val="28"/>
          <w:szCs w:val="28"/>
          <w:highlight w:val="none"/>
        </w:rPr>
      </w:pPr>
    </w:p>
    <w:p w14:paraId="4D6ABF69">
      <w:pPr>
        <w:pStyle w:val="8"/>
        <w:ind w:firstLine="281"/>
        <w:rPr>
          <w:rFonts w:hint="eastAsia" w:ascii="宋体" w:hAnsi="宋体" w:cs="新宋体"/>
          <w:color w:val="auto"/>
          <w:sz w:val="28"/>
          <w:szCs w:val="28"/>
          <w:highlight w:val="none"/>
        </w:rPr>
      </w:pPr>
    </w:p>
    <w:p w14:paraId="42D3362D">
      <w:pPr>
        <w:pStyle w:val="8"/>
        <w:ind w:firstLine="281"/>
        <w:rPr>
          <w:rFonts w:hint="eastAsia" w:ascii="宋体" w:hAnsi="宋体" w:cs="新宋体"/>
          <w:color w:val="auto"/>
          <w:sz w:val="28"/>
          <w:szCs w:val="28"/>
          <w:highlight w:val="none"/>
        </w:rPr>
      </w:pPr>
    </w:p>
    <w:p w14:paraId="7F615577">
      <w:pPr>
        <w:rPr>
          <w:rFonts w:hint="eastAsia" w:ascii="宋体" w:hAnsi="宋体" w:cs="新宋体"/>
          <w:color w:val="auto"/>
          <w:sz w:val="28"/>
          <w:szCs w:val="28"/>
          <w:highlight w:val="none"/>
        </w:rPr>
      </w:pPr>
    </w:p>
    <w:p w14:paraId="7C4E2840">
      <w:pPr>
        <w:rPr>
          <w:rFonts w:hint="eastAsia" w:ascii="宋体" w:hAnsi="宋体" w:cs="新宋体"/>
          <w:color w:val="auto"/>
          <w:sz w:val="28"/>
          <w:szCs w:val="28"/>
          <w:highlight w:val="none"/>
        </w:rPr>
      </w:pPr>
    </w:p>
    <w:p w14:paraId="17DB838F">
      <w:pPr>
        <w:jc w:val="center"/>
        <w:rPr>
          <w:rFonts w:hint="eastAsia" w:ascii="宋体" w:hAnsi="宋体" w:cs="新宋体"/>
          <w:color w:val="auto"/>
          <w:sz w:val="52"/>
          <w:szCs w:val="52"/>
          <w:highlight w:val="none"/>
        </w:rPr>
      </w:pPr>
      <w:r>
        <w:rPr>
          <w:rFonts w:hint="eastAsia" w:ascii="宋体" w:hAnsi="宋体" w:cs="新宋体"/>
          <w:color w:val="auto"/>
          <w:sz w:val="52"/>
          <w:szCs w:val="52"/>
          <w:highlight w:val="none"/>
        </w:rPr>
        <w:t>技 术 资 信 文 件</w:t>
      </w:r>
    </w:p>
    <w:p w14:paraId="34D2B3DC">
      <w:pPr>
        <w:spacing w:line="360" w:lineRule="auto"/>
        <w:rPr>
          <w:rFonts w:hint="eastAsia" w:ascii="宋体" w:hAnsi="宋体" w:cs="新宋体"/>
          <w:color w:val="auto"/>
          <w:szCs w:val="21"/>
          <w:highlight w:val="none"/>
        </w:rPr>
      </w:pPr>
    </w:p>
    <w:p w14:paraId="66431B6C">
      <w:pPr>
        <w:spacing w:line="360" w:lineRule="auto"/>
        <w:rPr>
          <w:rFonts w:hint="eastAsia" w:ascii="宋体" w:hAnsi="宋体" w:cs="新宋体"/>
          <w:color w:val="auto"/>
          <w:szCs w:val="21"/>
          <w:highlight w:val="none"/>
        </w:rPr>
      </w:pPr>
    </w:p>
    <w:p w14:paraId="1862AB80">
      <w:pPr>
        <w:spacing w:line="360" w:lineRule="auto"/>
        <w:rPr>
          <w:rFonts w:hint="eastAsia" w:ascii="宋体" w:hAnsi="宋体" w:cs="新宋体"/>
          <w:color w:val="auto"/>
          <w:szCs w:val="21"/>
          <w:highlight w:val="none"/>
        </w:rPr>
      </w:pPr>
    </w:p>
    <w:p w14:paraId="103C1B4F">
      <w:pPr>
        <w:spacing w:line="360" w:lineRule="auto"/>
        <w:rPr>
          <w:rFonts w:hint="eastAsia" w:ascii="宋体" w:hAnsi="宋体" w:cs="新宋体"/>
          <w:color w:val="auto"/>
          <w:szCs w:val="21"/>
          <w:highlight w:val="none"/>
        </w:rPr>
      </w:pPr>
    </w:p>
    <w:p w14:paraId="6854B8C9">
      <w:pPr>
        <w:pStyle w:val="8"/>
        <w:ind w:firstLine="321"/>
        <w:rPr>
          <w:rFonts w:hint="eastAsia" w:ascii="宋体" w:hAnsi="宋体"/>
          <w:color w:val="auto"/>
          <w:highlight w:val="none"/>
        </w:rPr>
      </w:pPr>
    </w:p>
    <w:p w14:paraId="024A4AFA">
      <w:pPr>
        <w:spacing w:line="360" w:lineRule="auto"/>
        <w:rPr>
          <w:rFonts w:hint="eastAsia" w:ascii="宋体" w:hAnsi="宋体" w:cs="新宋体"/>
          <w:color w:val="auto"/>
          <w:szCs w:val="21"/>
          <w:highlight w:val="none"/>
        </w:rPr>
      </w:pPr>
    </w:p>
    <w:p w14:paraId="314E706B">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投标人：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（盖单位章）</w:t>
      </w:r>
    </w:p>
    <w:p w14:paraId="4739A17A">
      <w:pPr>
        <w:rPr>
          <w:rFonts w:hint="eastAsia" w:ascii="宋体" w:hAnsi="宋体" w:cs="新宋体"/>
          <w:color w:val="auto"/>
          <w:sz w:val="28"/>
          <w:szCs w:val="28"/>
          <w:highlight w:val="none"/>
          <w:u w:val="single"/>
        </w:rPr>
      </w:pPr>
    </w:p>
    <w:p w14:paraId="2C3ED770">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法定代表人或其委托代理人：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（签字或盖章）</w:t>
      </w:r>
    </w:p>
    <w:p w14:paraId="1B929721">
      <w:pPr>
        <w:rPr>
          <w:rFonts w:hint="eastAsia" w:ascii="宋体" w:hAnsi="宋体" w:cs="新宋体"/>
          <w:color w:val="auto"/>
          <w:sz w:val="28"/>
          <w:szCs w:val="28"/>
          <w:highlight w:val="none"/>
        </w:rPr>
      </w:pPr>
    </w:p>
    <w:p w14:paraId="3814BAA1">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年</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月</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日</w:t>
      </w:r>
    </w:p>
    <w:p w14:paraId="188B76FC">
      <w:pPr>
        <w:pStyle w:val="8"/>
        <w:ind w:firstLine="0" w:firstLineChars="0"/>
        <w:rPr>
          <w:rFonts w:hint="eastAsia" w:ascii="宋体" w:hAnsi="宋体"/>
          <w:color w:val="auto"/>
          <w:sz w:val="22"/>
          <w:szCs w:val="22"/>
          <w:highlight w:val="none"/>
        </w:rPr>
      </w:pPr>
      <w:r>
        <w:rPr>
          <w:rFonts w:hint="eastAsia" w:ascii="宋体" w:hAnsi="宋体" w:cs="宋体"/>
          <w:color w:val="auto"/>
          <w:highlight w:val="none"/>
        </w:rPr>
        <w:br w:type="page"/>
      </w:r>
    </w:p>
    <w:p w14:paraId="4D097CC4">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针对评分细则，编制目录索引，注明评标细则项目所在投标文件页码，格式自拟</w:t>
      </w:r>
    </w:p>
    <w:p w14:paraId="46DF92FC">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投标函</w:t>
      </w:r>
    </w:p>
    <w:p w14:paraId="364D5C3A">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技术要求应答表、商务条款偏离表</w:t>
      </w:r>
    </w:p>
    <w:p w14:paraId="353686EF">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投标技术方案（按“评标细则”相关评分内容逐项编制，格式自拟）</w:t>
      </w:r>
    </w:p>
    <w:p w14:paraId="75AFEA09">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资信证明文件（本部分为技术资信文件评分内容，各供应商参照评分标准根据自身情况提供）</w:t>
      </w:r>
    </w:p>
    <w:p w14:paraId="68E41B90">
      <w:pPr>
        <w:spacing w:line="460" w:lineRule="exact"/>
        <w:rPr>
          <w:rFonts w:hint="eastAsia" w:ascii="宋体" w:hAnsi="宋体"/>
          <w:b/>
          <w:bCs/>
          <w:color w:val="auto"/>
          <w:sz w:val="22"/>
          <w:szCs w:val="22"/>
          <w:highlight w:val="none"/>
        </w:rPr>
      </w:pPr>
      <w:r>
        <w:rPr>
          <w:rFonts w:ascii="宋体" w:hAnsi="宋体" w:cs="新宋体"/>
          <w:color w:val="auto"/>
          <w:sz w:val="22"/>
          <w:szCs w:val="22"/>
          <w:highlight w:val="none"/>
        </w:rPr>
        <w:br w:type="page"/>
      </w:r>
      <w:r>
        <w:rPr>
          <w:rFonts w:hint="eastAsia" w:ascii="宋体" w:hAnsi="宋体"/>
          <w:b/>
          <w:bCs/>
          <w:color w:val="auto"/>
          <w:sz w:val="22"/>
          <w:szCs w:val="22"/>
          <w:highlight w:val="none"/>
        </w:rPr>
        <w:t>附件一</w:t>
      </w:r>
    </w:p>
    <w:p w14:paraId="410909BF">
      <w:pPr>
        <w:spacing w:line="460" w:lineRule="exact"/>
        <w:ind w:left="22" w:hanging="22" w:hangingChars="8"/>
        <w:jc w:val="center"/>
        <w:rPr>
          <w:rFonts w:hint="eastAsia" w:ascii="宋体" w:hAnsi="宋体"/>
          <w:b/>
          <w:bCs/>
          <w:color w:val="auto"/>
          <w:sz w:val="28"/>
          <w:szCs w:val="28"/>
          <w:highlight w:val="none"/>
        </w:rPr>
      </w:pPr>
      <w:r>
        <w:rPr>
          <w:rFonts w:hint="eastAsia" w:ascii="宋体" w:hAnsi="宋体"/>
          <w:b/>
          <w:bCs/>
          <w:color w:val="auto"/>
          <w:sz w:val="28"/>
          <w:szCs w:val="28"/>
          <w:highlight w:val="none"/>
        </w:rPr>
        <w:t>投 标 函</w:t>
      </w:r>
    </w:p>
    <w:p w14:paraId="244B80DC">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温州市鹿城区山福镇人民政府</w:t>
      </w:r>
      <w:r>
        <w:rPr>
          <w:rFonts w:hint="eastAsia" w:ascii="宋体" w:hAnsi="宋体"/>
          <w:color w:val="auto"/>
          <w:sz w:val="22"/>
          <w:szCs w:val="22"/>
          <w:highlight w:val="none"/>
        </w:rPr>
        <w:t>：</w:t>
      </w:r>
    </w:p>
    <w:p w14:paraId="7C9C2522">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浙江三凯工程管理有限公司</w:t>
      </w:r>
      <w:r>
        <w:rPr>
          <w:rFonts w:hint="eastAsia" w:ascii="宋体" w:hAnsi="宋体"/>
          <w:color w:val="auto"/>
          <w:sz w:val="22"/>
          <w:szCs w:val="22"/>
          <w:highlight w:val="none"/>
        </w:rPr>
        <w:t>：</w:t>
      </w:r>
    </w:p>
    <w:p w14:paraId="0C27F0CE">
      <w:pPr>
        <w:spacing w:line="42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项目（项目编号：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（授权代表全名，职务）代表我方处理有关本项目投标的一切事宜。</w:t>
      </w:r>
    </w:p>
    <w:p w14:paraId="1E686BB5">
      <w:pPr>
        <w:autoSpaceDE w:val="0"/>
        <w:autoSpaceDN w:val="0"/>
        <w:adjustRightInd w:val="0"/>
        <w:spacing w:line="420" w:lineRule="atLeast"/>
        <w:ind w:firstLine="440" w:firstLineChars="200"/>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在此提交的投标文件中，包括如下内容，并已分别单独密封装袋：</w:t>
      </w:r>
    </w:p>
    <w:p w14:paraId="35FCB6D9">
      <w:pPr>
        <w:numPr>
          <w:ilvl w:val="0"/>
          <w:numId w:val="14"/>
        </w:numPr>
        <w:spacing w:line="420" w:lineRule="exact"/>
        <w:rPr>
          <w:rFonts w:hint="eastAsia" w:ascii="宋体" w:hAnsi="宋体" w:cs="新宋体"/>
          <w:color w:val="auto"/>
          <w:szCs w:val="21"/>
          <w:highlight w:val="none"/>
        </w:rPr>
      </w:pPr>
      <w:r>
        <w:rPr>
          <w:rFonts w:hint="eastAsia" w:ascii="宋体" w:hAnsi="宋体" w:cs="新宋体"/>
          <w:color w:val="auto"/>
          <w:sz w:val="22"/>
          <w:highlight w:val="none"/>
        </w:rPr>
        <w:t>按“投标人须知”要求编制的投标文件资格审查资料 ；</w:t>
      </w:r>
    </w:p>
    <w:p w14:paraId="3D1B7C59">
      <w:pPr>
        <w:numPr>
          <w:ilvl w:val="0"/>
          <w:numId w:val="14"/>
        </w:numPr>
        <w:spacing w:line="420" w:lineRule="exact"/>
        <w:rPr>
          <w:rFonts w:hint="eastAsia" w:ascii="宋体" w:hAnsi="宋体" w:cs="新宋体"/>
          <w:color w:val="auto"/>
          <w:szCs w:val="21"/>
          <w:highlight w:val="none"/>
        </w:rPr>
      </w:pPr>
      <w:r>
        <w:rPr>
          <w:rFonts w:hint="eastAsia" w:ascii="宋体" w:hAnsi="宋体" w:cs="新宋体"/>
          <w:color w:val="auto"/>
          <w:sz w:val="22"/>
          <w:highlight w:val="none"/>
        </w:rPr>
        <w:t>按“投标人须知”要求编制的投标文件技术资信资信文件 ；</w:t>
      </w:r>
    </w:p>
    <w:p w14:paraId="392C28DE">
      <w:pPr>
        <w:numPr>
          <w:ilvl w:val="0"/>
          <w:numId w:val="14"/>
        </w:numPr>
        <w:spacing w:line="420" w:lineRule="exact"/>
        <w:rPr>
          <w:rFonts w:hint="eastAsia" w:ascii="宋体" w:hAnsi="宋体" w:cs="新宋体"/>
          <w:color w:val="auto"/>
          <w:szCs w:val="21"/>
          <w:highlight w:val="none"/>
        </w:rPr>
      </w:pPr>
      <w:r>
        <w:rPr>
          <w:rFonts w:hint="eastAsia" w:ascii="宋体" w:hAnsi="宋体" w:cs="新宋体"/>
          <w:color w:val="auto"/>
          <w:sz w:val="22"/>
          <w:highlight w:val="none"/>
        </w:rPr>
        <w:t>按“投标人须知”要求编制的投标文件投标报价标 。</w:t>
      </w:r>
    </w:p>
    <w:p w14:paraId="43077EF2">
      <w:pPr>
        <w:autoSpaceDE w:val="0"/>
        <w:autoSpaceDN w:val="0"/>
        <w:adjustRightInd w:val="0"/>
        <w:spacing w:line="420" w:lineRule="atLeast"/>
        <w:ind w:firstLine="440"/>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我方己完全明白采购文件的所有条款要求，并重申以下几点：</w:t>
      </w:r>
    </w:p>
    <w:p w14:paraId="5D78E44B">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6DEA4FEE">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同意提供按照贵方可能要求的与投标有关的一切数据或资料等。若贵方需要，我方愿意提供我方作出的一切承诺的证明材料。</w:t>
      </w:r>
    </w:p>
    <w:p w14:paraId="3D5B765C">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如中标，保证按照采购文件要求及投标文件的承诺与采购人签订合同，保证履行合同条款。</w:t>
      </w:r>
    </w:p>
    <w:p w14:paraId="02748144">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同意在采购文件中供应商须知规定的开标日期起遵守本投标书中的承诺且在投标有效期满之前均具有约束力。</w:t>
      </w:r>
    </w:p>
    <w:p w14:paraId="4A662B5B">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如果在开标后规定的投标有效期内撤回投标，我方接受贵方处罚。</w:t>
      </w:r>
    </w:p>
    <w:p w14:paraId="0BA78B4D">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完全理解贵方不一定要接受最低价的投标。</w:t>
      </w:r>
    </w:p>
    <w:p w14:paraId="2C364A08">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在参加本项目前三年内（被通报或者处罚的违法行为有：</w:t>
      </w:r>
      <w:r>
        <w:rPr>
          <w:rFonts w:hint="eastAsia" w:ascii="宋体" w:hAnsi="宋体" w:cs="新宋体"/>
          <w:color w:val="auto"/>
          <w:sz w:val="22"/>
          <w:highlight w:val="none"/>
          <w:u w:val="single"/>
        </w:rPr>
        <w:t xml:space="preserve">                  </w:t>
      </w:r>
      <w:r>
        <w:rPr>
          <w:rFonts w:hint="eastAsia" w:ascii="宋体" w:hAnsi="宋体" w:cs="新宋体"/>
          <w:color w:val="auto"/>
          <w:sz w:val="22"/>
          <w:highlight w:val="none"/>
        </w:rPr>
        <w:t>）或（没有因违法经营受到刑事处罚或者责令停产停业、吊销许可证或者执照、较大数额罚款等行政处罚或处罚）或（在</w:t>
      </w:r>
      <w:r>
        <w:rPr>
          <w:rFonts w:hint="eastAsia" w:ascii="宋体" w:hAnsi="宋体" w:cs="新宋体"/>
          <w:color w:val="auto"/>
          <w:sz w:val="22"/>
          <w:highlight w:val="none"/>
          <w:u w:val="single"/>
        </w:rPr>
        <w:t xml:space="preserve">  </w:t>
      </w:r>
      <w:r>
        <w:rPr>
          <w:rFonts w:hint="eastAsia" w:ascii="宋体" w:hAnsi="宋体" w:cs="新宋体"/>
          <w:color w:val="auto"/>
          <w:sz w:val="22"/>
          <w:highlight w:val="none"/>
        </w:rPr>
        <w:t>至</w:t>
      </w:r>
      <w:r>
        <w:rPr>
          <w:rFonts w:hint="eastAsia" w:ascii="宋体" w:hAnsi="宋体" w:cs="新宋体"/>
          <w:color w:val="auto"/>
          <w:sz w:val="22"/>
          <w:highlight w:val="none"/>
          <w:u w:val="single"/>
        </w:rPr>
        <w:t xml:space="preserve">  </w:t>
      </w:r>
      <w:r>
        <w:rPr>
          <w:rFonts w:hint="eastAsia" w:ascii="宋体" w:hAnsi="宋体" w:cs="新宋体"/>
          <w:color w:val="auto"/>
          <w:sz w:val="22"/>
          <w:highlight w:val="none"/>
        </w:rPr>
        <w:t>期间禁止参加政府采购活动但是期限届满，须附相关证明文件）</w:t>
      </w:r>
    </w:p>
    <w:p w14:paraId="12A1E970">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在投标截止前（未被“信用中国”网站(</w:t>
      </w:r>
      <w:r>
        <w:rPr>
          <w:rFonts w:hint="eastAsia" w:ascii="宋体" w:hAnsi="宋体" w:cs="新宋体"/>
          <w:color w:val="auto"/>
          <w:highlight w:val="none"/>
        </w:rPr>
        <w:fldChar w:fldCharType="begin"/>
      </w:r>
      <w:r>
        <w:rPr>
          <w:rFonts w:hint="eastAsia" w:ascii="宋体" w:hAnsi="宋体" w:cs="新宋体"/>
          <w:color w:val="auto"/>
          <w:highlight w:val="none"/>
        </w:rPr>
        <w:instrText xml:space="preserve"> HYPERLINK "http://www.creditchina.gov.cn" </w:instrText>
      </w:r>
      <w:r>
        <w:rPr>
          <w:rFonts w:hint="eastAsia" w:ascii="宋体" w:hAnsi="宋体" w:cs="新宋体"/>
          <w:color w:val="auto"/>
          <w:highlight w:val="none"/>
        </w:rPr>
        <w:fldChar w:fldCharType="separate"/>
      </w:r>
      <w:r>
        <w:rPr>
          <w:rFonts w:hint="eastAsia" w:ascii="宋体" w:hAnsi="宋体" w:cs="新宋体"/>
          <w:color w:val="auto"/>
          <w:sz w:val="22"/>
          <w:highlight w:val="none"/>
        </w:rPr>
        <w:t>www.creditchina.gov.cn</w:t>
      </w:r>
      <w:r>
        <w:rPr>
          <w:rFonts w:hint="eastAsia" w:ascii="宋体" w:hAnsi="宋体" w:cs="新宋体"/>
          <w:color w:val="auto"/>
          <w:sz w:val="22"/>
          <w:highlight w:val="none"/>
        </w:rPr>
        <w:fldChar w:fldCharType="end"/>
      </w:r>
      <w:r>
        <w:rPr>
          <w:rFonts w:hint="eastAsia" w:ascii="宋体" w:hAnsi="宋体" w:cs="新宋体"/>
          <w:color w:val="auto"/>
          <w:sz w:val="22"/>
          <w:highlight w:val="none"/>
        </w:rPr>
        <w:t>)列入失信被执行人、重大税收违法案件当事人名单；未被“中国政府采购网”(</w:t>
      </w:r>
      <w:r>
        <w:rPr>
          <w:rFonts w:hint="eastAsia" w:ascii="宋体" w:hAnsi="宋体" w:cs="新宋体"/>
          <w:color w:val="auto"/>
          <w:highlight w:val="none"/>
        </w:rPr>
        <w:fldChar w:fldCharType="begin"/>
      </w:r>
      <w:r>
        <w:rPr>
          <w:rFonts w:hint="eastAsia" w:ascii="宋体" w:hAnsi="宋体" w:cs="新宋体"/>
          <w:color w:val="auto"/>
          <w:highlight w:val="none"/>
        </w:rPr>
        <w:instrText xml:space="preserve"> HYPERLINK "http://www.ccgp.gov.cn" </w:instrText>
      </w:r>
      <w:r>
        <w:rPr>
          <w:rFonts w:hint="eastAsia" w:ascii="宋体" w:hAnsi="宋体" w:cs="新宋体"/>
          <w:color w:val="auto"/>
          <w:highlight w:val="none"/>
        </w:rPr>
        <w:fldChar w:fldCharType="separate"/>
      </w:r>
      <w:r>
        <w:rPr>
          <w:rFonts w:hint="eastAsia" w:ascii="宋体" w:hAnsi="宋体" w:cs="新宋体"/>
          <w:color w:val="auto"/>
          <w:sz w:val="22"/>
          <w:highlight w:val="none"/>
        </w:rPr>
        <w:t>www.ccgp.gov.cn</w:t>
      </w:r>
      <w:r>
        <w:rPr>
          <w:rFonts w:hint="eastAsia" w:ascii="宋体" w:hAnsi="宋体" w:cs="新宋体"/>
          <w:color w:val="auto"/>
          <w:sz w:val="22"/>
          <w:highlight w:val="none"/>
        </w:rPr>
        <w:fldChar w:fldCharType="end"/>
      </w:r>
      <w:r>
        <w:rPr>
          <w:rFonts w:hint="eastAsia" w:ascii="宋体" w:hAnsi="宋体" w:cs="新宋体"/>
          <w:color w:val="auto"/>
          <w:sz w:val="22"/>
          <w:highlight w:val="none"/>
        </w:rPr>
        <w:t>)列入政府采购严重违法失信行为记录名单。）或（被“信用中国”或“中国政府采购网”列入……名单。）</w:t>
      </w:r>
    </w:p>
    <w:p w14:paraId="6AA4BCDD">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单位、法定代表人（单位负责人）、本项目被授权人及本项目负责人在参加本项目前三年内（以法院判决书生效日期为准）均无行贿犯罪记录。</w:t>
      </w:r>
    </w:p>
    <w:p w14:paraId="0603CF34">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如有列情形之一的，我方愿意被取消中标资格（如中标），同时继续承担其他一切法律后果，并不再寻求任何旨在减轻或免除法律责任的解释：</w:t>
      </w:r>
    </w:p>
    <w:p w14:paraId="06769413">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(1)提供虚假材料（承诺）谋取中标、成交的；</w:t>
      </w:r>
    </w:p>
    <w:p w14:paraId="62576CE4">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(2)采取不正当手段诋毁、排挤其他供应商的；</w:t>
      </w:r>
    </w:p>
    <w:p w14:paraId="5C83AAC4">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(3)与采购人、其它供应商或者采购代理机构恶意串通的；</w:t>
      </w:r>
    </w:p>
    <w:p w14:paraId="76D4847B">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(4)向采购人、采购代理机构行贿或者提供其他不正当利益的；</w:t>
      </w:r>
    </w:p>
    <w:p w14:paraId="47726D45">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(5)在招标采购过程中与采购人进行协商谈判的；</w:t>
      </w:r>
    </w:p>
    <w:p w14:paraId="109296A1">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(6)拒绝有关部门监督检查或提供虚假情况的。</w:t>
      </w:r>
    </w:p>
    <w:p w14:paraId="2965BF93">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所有与本投标有关的函件请发往下列地址：</w:t>
      </w:r>
    </w:p>
    <w:p w14:paraId="74E477E6">
      <w:pPr>
        <w:spacing w:line="420" w:lineRule="exact"/>
        <w:ind w:firstLine="435"/>
        <w:rPr>
          <w:rFonts w:hint="eastAsia" w:ascii="宋体" w:hAnsi="宋体" w:cs="新宋体"/>
          <w:color w:val="auto"/>
          <w:sz w:val="22"/>
          <w:szCs w:val="22"/>
          <w:highlight w:val="none"/>
        </w:rPr>
      </w:pPr>
      <w:r>
        <w:rPr>
          <w:rFonts w:hint="eastAsia" w:ascii="宋体" w:hAnsi="宋体" w:cs="新宋体"/>
          <w:color w:val="auto"/>
          <w:sz w:val="22"/>
          <w:szCs w:val="22"/>
          <w:highlight w:val="none"/>
        </w:rPr>
        <w:t xml:space="preserve">   地址</w:t>
      </w:r>
      <w:r>
        <w:rPr>
          <w:rFonts w:hint="eastAsia" w:ascii="宋体" w:hAnsi="宋体" w:cs="新宋体"/>
          <w:color w:val="auto"/>
          <w:sz w:val="22"/>
          <w:szCs w:val="22"/>
          <w:highlight w:val="none"/>
          <w:u w:val="single"/>
        </w:rPr>
        <w:t xml:space="preserve">                           </w:t>
      </w:r>
    </w:p>
    <w:p w14:paraId="12F55501">
      <w:pPr>
        <w:spacing w:line="420" w:lineRule="exact"/>
        <w:ind w:firstLine="435"/>
        <w:rPr>
          <w:rFonts w:hint="eastAsia" w:ascii="宋体" w:hAnsi="宋体" w:cs="新宋体"/>
          <w:color w:val="auto"/>
          <w:sz w:val="22"/>
          <w:szCs w:val="22"/>
          <w:highlight w:val="none"/>
        </w:rPr>
      </w:pPr>
      <w:r>
        <w:rPr>
          <w:rFonts w:hint="eastAsia" w:ascii="宋体" w:hAnsi="宋体" w:cs="新宋体"/>
          <w:color w:val="auto"/>
          <w:sz w:val="22"/>
          <w:szCs w:val="22"/>
          <w:highlight w:val="none"/>
        </w:rPr>
        <w:t xml:space="preserve">   电话</w:t>
      </w:r>
      <w:r>
        <w:rPr>
          <w:rFonts w:hint="eastAsia" w:ascii="宋体" w:hAnsi="宋体" w:cs="新宋体"/>
          <w:color w:val="auto"/>
          <w:sz w:val="22"/>
          <w:szCs w:val="22"/>
          <w:highlight w:val="none"/>
          <w:u w:val="single"/>
        </w:rPr>
        <w:t xml:space="preserve">                           </w:t>
      </w:r>
    </w:p>
    <w:p w14:paraId="1EA6D478">
      <w:pPr>
        <w:spacing w:line="420" w:lineRule="exact"/>
        <w:ind w:firstLine="435"/>
        <w:rPr>
          <w:rFonts w:hint="eastAsia" w:ascii="宋体" w:hAnsi="宋体" w:cs="新宋体"/>
          <w:color w:val="auto"/>
          <w:sz w:val="22"/>
          <w:szCs w:val="22"/>
          <w:highlight w:val="none"/>
          <w:u w:val="single"/>
        </w:rPr>
      </w:pPr>
      <w:r>
        <w:rPr>
          <w:rFonts w:hint="eastAsia" w:ascii="宋体" w:hAnsi="宋体" w:cs="新宋体"/>
          <w:color w:val="auto"/>
          <w:sz w:val="22"/>
          <w:szCs w:val="22"/>
          <w:highlight w:val="none"/>
        </w:rPr>
        <w:t xml:space="preserve">   传真</w:t>
      </w:r>
      <w:r>
        <w:rPr>
          <w:rFonts w:hint="eastAsia" w:ascii="宋体" w:hAnsi="宋体" w:cs="新宋体"/>
          <w:color w:val="auto"/>
          <w:sz w:val="22"/>
          <w:szCs w:val="22"/>
          <w:highlight w:val="none"/>
          <w:u w:val="single"/>
        </w:rPr>
        <w:t xml:space="preserve">                           </w:t>
      </w:r>
    </w:p>
    <w:p w14:paraId="2DD8A984">
      <w:pPr>
        <w:spacing w:line="420" w:lineRule="exact"/>
        <w:ind w:firstLine="770" w:firstLineChars="350"/>
        <w:rPr>
          <w:rFonts w:hint="eastAsia" w:ascii="宋体" w:hAnsi="宋体"/>
          <w:color w:val="auto"/>
          <w:sz w:val="22"/>
          <w:szCs w:val="22"/>
          <w:highlight w:val="none"/>
        </w:rPr>
      </w:pPr>
      <w:r>
        <w:rPr>
          <w:rFonts w:hint="eastAsia" w:ascii="宋体" w:hAnsi="宋体" w:cs="新宋体"/>
          <w:color w:val="auto"/>
          <w:sz w:val="22"/>
          <w:szCs w:val="22"/>
          <w:highlight w:val="none"/>
        </w:rPr>
        <w:t>电子邮件</w:t>
      </w:r>
      <w:r>
        <w:rPr>
          <w:rFonts w:hint="eastAsia" w:ascii="宋体" w:hAnsi="宋体" w:cs="新宋体"/>
          <w:color w:val="auto"/>
          <w:sz w:val="22"/>
          <w:szCs w:val="22"/>
          <w:highlight w:val="none"/>
          <w:u w:val="single"/>
        </w:rPr>
        <w:t xml:space="preserve">                           </w:t>
      </w:r>
    </w:p>
    <w:p w14:paraId="4BEF1B3B">
      <w:pPr>
        <w:spacing w:line="420" w:lineRule="exact"/>
        <w:ind w:firstLine="4620"/>
        <w:rPr>
          <w:rFonts w:hint="eastAsia" w:ascii="宋体" w:hAnsi="宋体" w:cs="hakuyoxingshu7000"/>
          <w:color w:val="auto"/>
          <w:sz w:val="22"/>
          <w:szCs w:val="22"/>
          <w:highlight w:val="none"/>
        </w:rPr>
      </w:pPr>
      <w:r>
        <w:rPr>
          <w:rFonts w:hint="eastAsia" w:ascii="宋体" w:hAnsi="宋体" w:cs="hakuyoxingshu7000"/>
          <w:color w:val="auto"/>
          <w:sz w:val="22"/>
          <w:szCs w:val="22"/>
          <w:highlight w:val="none"/>
        </w:rPr>
        <w:t xml:space="preserve">投标人名称（盖章） ： </w:t>
      </w:r>
      <w:r>
        <w:rPr>
          <w:rFonts w:hint="eastAsia" w:ascii="宋体" w:hAnsi="宋体" w:cs="hakuyoxingshu7000"/>
          <w:color w:val="auto"/>
          <w:sz w:val="22"/>
          <w:szCs w:val="22"/>
          <w:highlight w:val="none"/>
          <w:u w:val="single"/>
        </w:rPr>
        <w:t xml:space="preserve">                </w:t>
      </w:r>
    </w:p>
    <w:p w14:paraId="4E82083C">
      <w:pPr>
        <w:spacing w:line="420" w:lineRule="exact"/>
        <w:ind w:firstLine="4620"/>
        <w:rPr>
          <w:rFonts w:hint="eastAsia" w:ascii="宋体" w:hAnsi="宋体" w:cs="hakuyoxingshu7000"/>
          <w:color w:val="auto"/>
          <w:sz w:val="22"/>
          <w:szCs w:val="22"/>
          <w:highlight w:val="none"/>
        </w:rPr>
      </w:pPr>
      <w:r>
        <w:rPr>
          <w:rFonts w:hint="eastAsia" w:ascii="宋体" w:hAnsi="宋体"/>
          <w:color w:val="auto"/>
          <w:sz w:val="22"/>
          <w:szCs w:val="22"/>
          <w:highlight w:val="none"/>
        </w:rPr>
        <w:t>法定代表人或其委托代理人（签字或盖章）：</w:t>
      </w:r>
      <w:r>
        <w:rPr>
          <w:rFonts w:hint="eastAsia" w:ascii="宋体" w:hAnsi="宋体" w:cs="hakuyoxingshu7000"/>
          <w:color w:val="auto"/>
          <w:sz w:val="22"/>
          <w:szCs w:val="22"/>
          <w:highlight w:val="none"/>
          <w:u w:val="single"/>
        </w:rPr>
        <w:t xml:space="preserve">                   </w:t>
      </w:r>
    </w:p>
    <w:p w14:paraId="06887A61">
      <w:pPr>
        <w:spacing w:line="460" w:lineRule="exact"/>
        <w:ind w:firstLine="4620"/>
        <w:rPr>
          <w:rFonts w:hint="eastAsia" w:ascii="宋体" w:hAnsi="宋体" w:cs="hakuyoxingshu7000"/>
          <w:color w:val="auto"/>
          <w:sz w:val="22"/>
          <w:szCs w:val="22"/>
          <w:highlight w:val="none"/>
          <w:u w:val="single"/>
        </w:rPr>
      </w:pPr>
      <w:r>
        <w:rPr>
          <w:rFonts w:hint="eastAsia" w:ascii="宋体" w:hAnsi="宋体" w:cs="hakuyoxingshu7000"/>
          <w:color w:val="auto"/>
          <w:sz w:val="22"/>
          <w:szCs w:val="22"/>
          <w:highlight w:val="none"/>
        </w:rPr>
        <w:t>日    期</w:t>
      </w:r>
      <w:r>
        <w:rPr>
          <w:rFonts w:hint="eastAsia" w:ascii="宋体" w:hAnsi="宋体" w:cs="hakuyoxingshu7000"/>
          <w:color w:val="auto"/>
          <w:sz w:val="22"/>
          <w:szCs w:val="22"/>
          <w:highlight w:val="none"/>
          <w:u w:val="single"/>
        </w:rPr>
        <w:t xml:space="preserve">           </w:t>
      </w:r>
    </w:p>
    <w:p w14:paraId="51852A61">
      <w:pPr>
        <w:spacing w:line="460" w:lineRule="exact"/>
        <w:ind w:firstLine="4620"/>
        <w:rPr>
          <w:rFonts w:hint="eastAsia" w:ascii="宋体" w:hAnsi="宋体" w:cs="hakuyoxingshu7000"/>
          <w:color w:val="auto"/>
          <w:sz w:val="22"/>
          <w:szCs w:val="22"/>
          <w:highlight w:val="none"/>
          <w:u w:val="single"/>
        </w:rPr>
      </w:pPr>
    </w:p>
    <w:p w14:paraId="2661B683">
      <w:pPr>
        <w:spacing w:line="460" w:lineRule="exact"/>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▲不提供投标函的投标文件将被视为未实质性响应采购文件。</w:t>
      </w:r>
    </w:p>
    <w:p w14:paraId="3F49CC1B">
      <w:pPr>
        <w:spacing w:line="460" w:lineRule="exact"/>
        <w:ind w:firstLine="435"/>
        <w:rPr>
          <w:rFonts w:hint="eastAsia" w:ascii="宋体" w:hAnsi="宋体"/>
          <w:b/>
          <w:color w:val="auto"/>
          <w:sz w:val="22"/>
          <w:szCs w:val="22"/>
          <w:highlight w:val="none"/>
          <w:u w:val="single"/>
        </w:rPr>
      </w:pPr>
    </w:p>
    <w:p w14:paraId="30EABB39">
      <w:pPr>
        <w:spacing w:line="460" w:lineRule="exact"/>
        <w:rPr>
          <w:rFonts w:hint="eastAsia" w:ascii="宋体" w:hAnsi="宋体"/>
          <w:b/>
          <w:bCs/>
          <w:color w:val="auto"/>
          <w:sz w:val="22"/>
          <w:szCs w:val="22"/>
          <w:highlight w:val="none"/>
        </w:rPr>
      </w:pPr>
      <w:r>
        <w:rPr>
          <w:rFonts w:hint="eastAsia" w:ascii="宋体" w:hAnsi="宋体"/>
          <w:b/>
          <w:color w:val="auto"/>
          <w:sz w:val="22"/>
          <w:szCs w:val="22"/>
          <w:highlight w:val="none"/>
          <w:u w:val="single"/>
        </w:rPr>
        <w:br w:type="page"/>
      </w:r>
      <w:r>
        <w:rPr>
          <w:rFonts w:hint="eastAsia" w:ascii="宋体" w:hAnsi="宋体"/>
          <w:b/>
          <w:bCs/>
          <w:color w:val="auto"/>
          <w:sz w:val="22"/>
          <w:szCs w:val="22"/>
          <w:highlight w:val="none"/>
        </w:rPr>
        <w:t>附件二</w:t>
      </w:r>
    </w:p>
    <w:p w14:paraId="4741ADC2">
      <w:pPr>
        <w:spacing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(1)技术要求应答表</w:t>
      </w:r>
    </w:p>
    <w:p w14:paraId="5D179741">
      <w:pPr>
        <w:ind w:firstLine="435"/>
        <w:jc w:val="center"/>
        <w:rPr>
          <w:rFonts w:hint="eastAsia" w:ascii="宋体" w:hAnsi="宋体"/>
          <w:b/>
          <w:color w:val="auto"/>
          <w:sz w:val="44"/>
          <w:highlight w:val="none"/>
        </w:rPr>
      </w:pPr>
    </w:p>
    <w:p w14:paraId="7B85A918">
      <w:pPr>
        <w:overflowPunct w:val="0"/>
        <w:spacing w:line="380" w:lineRule="exact"/>
        <w:rPr>
          <w:rFonts w:hint="eastAsia" w:ascii="宋体" w:hAnsi="宋体"/>
          <w:bCs/>
          <w:color w:val="auto"/>
          <w:sz w:val="22"/>
          <w:szCs w:val="22"/>
          <w:highlight w:val="none"/>
        </w:rPr>
      </w:pPr>
      <w:r>
        <w:rPr>
          <w:rFonts w:hint="eastAsia" w:ascii="宋体" w:hAnsi="宋体"/>
          <w:b/>
          <w:color w:val="auto"/>
          <w:sz w:val="24"/>
          <w:highlight w:val="none"/>
        </w:rPr>
        <w:t xml:space="preserve">   </w:t>
      </w:r>
      <w:r>
        <w:rPr>
          <w:rFonts w:hint="eastAsia" w:ascii="宋体" w:hAnsi="宋体"/>
          <w:bCs/>
          <w:color w:val="auto"/>
          <w:sz w:val="22"/>
          <w:szCs w:val="22"/>
          <w:highlight w:val="none"/>
        </w:rPr>
        <w:t>项目名称：                        项目编号：</w:t>
      </w:r>
    </w:p>
    <w:p w14:paraId="239CB7B1">
      <w:pPr>
        <w:ind w:firstLine="360" w:firstLineChars="150"/>
        <w:rPr>
          <w:rFonts w:hint="eastAsia" w:ascii="宋体" w:hAnsi="宋体"/>
          <w:b/>
          <w:color w:val="auto"/>
          <w:sz w:val="24"/>
          <w:highlight w:val="none"/>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64D578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1DFB2B30">
            <w:pPr>
              <w:jc w:val="center"/>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2538" w:type="dxa"/>
            <w:noWrap w:val="0"/>
            <w:vAlign w:val="center"/>
          </w:tcPr>
          <w:p w14:paraId="4CD05630">
            <w:pPr>
              <w:jc w:val="center"/>
              <w:rPr>
                <w:rFonts w:hint="eastAsia" w:ascii="宋体" w:hAnsi="宋体"/>
                <w:color w:val="auto"/>
                <w:sz w:val="22"/>
                <w:szCs w:val="22"/>
                <w:highlight w:val="none"/>
              </w:rPr>
            </w:pPr>
            <w:r>
              <w:rPr>
                <w:rFonts w:hint="eastAsia" w:ascii="宋体" w:hAnsi="宋体"/>
                <w:color w:val="auto"/>
                <w:sz w:val="22"/>
                <w:szCs w:val="22"/>
                <w:highlight w:val="none"/>
              </w:rPr>
              <w:t>采购文件技术要求</w:t>
            </w:r>
          </w:p>
        </w:tc>
        <w:tc>
          <w:tcPr>
            <w:tcW w:w="2326" w:type="dxa"/>
            <w:noWrap w:val="0"/>
            <w:vAlign w:val="center"/>
          </w:tcPr>
          <w:p w14:paraId="7B34379F">
            <w:pPr>
              <w:jc w:val="center"/>
              <w:rPr>
                <w:rFonts w:hint="eastAsia" w:ascii="宋体" w:hAnsi="宋体"/>
                <w:color w:val="auto"/>
                <w:sz w:val="22"/>
                <w:szCs w:val="22"/>
                <w:highlight w:val="none"/>
              </w:rPr>
            </w:pPr>
            <w:r>
              <w:rPr>
                <w:rFonts w:hint="eastAsia" w:ascii="宋体" w:hAnsi="宋体"/>
                <w:color w:val="auto"/>
                <w:sz w:val="22"/>
                <w:szCs w:val="22"/>
                <w:highlight w:val="none"/>
              </w:rPr>
              <w:t>投标人技术响应</w:t>
            </w:r>
          </w:p>
        </w:tc>
        <w:tc>
          <w:tcPr>
            <w:tcW w:w="2115" w:type="dxa"/>
            <w:noWrap w:val="0"/>
            <w:vAlign w:val="center"/>
          </w:tcPr>
          <w:p w14:paraId="3ED77AE0">
            <w:pPr>
              <w:jc w:val="center"/>
              <w:rPr>
                <w:rFonts w:hint="eastAsia" w:ascii="宋体" w:hAnsi="宋体"/>
                <w:color w:val="auto"/>
                <w:sz w:val="22"/>
                <w:szCs w:val="22"/>
                <w:highlight w:val="none"/>
              </w:rPr>
            </w:pPr>
            <w:r>
              <w:rPr>
                <w:rFonts w:hint="eastAsia" w:ascii="宋体" w:hAnsi="宋体"/>
                <w:color w:val="auto"/>
                <w:sz w:val="22"/>
                <w:szCs w:val="22"/>
                <w:highlight w:val="none"/>
              </w:rPr>
              <w:t>偏离</w:t>
            </w:r>
          </w:p>
        </w:tc>
        <w:tc>
          <w:tcPr>
            <w:tcW w:w="1902" w:type="dxa"/>
            <w:noWrap w:val="0"/>
            <w:vAlign w:val="center"/>
          </w:tcPr>
          <w:p w14:paraId="12DC8CE0">
            <w:pPr>
              <w:jc w:val="center"/>
              <w:rPr>
                <w:rFonts w:hint="eastAsia" w:ascii="宋体" w:hAnsi="宋体"/>
                <w:color w:val="auto"/>
                <w:sz w:val="22"/>
                <w:szCs w:val="22"/>
                <w:highlight w:val="none"/>
              </w:rPr>
            </w:pPr>
            <w:r>
              <w:rPr>
                <w:rFonts w:hint="eastAsia" w:ascii="宋体" w:hAnsi="宋体"/>
                <w:color w:val="auto"/>
                <w:sz w:val="22"/>
                <w:szCs w:val="22"/>
                <w:highlight w:val="none"/>
              </w:rPr>
              <w:t>说  明</w:t>
            </w:r>
          </w:p>
        </w:tc>
      </w:tr>
      <w:tr w14:paraId="0879ED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17BBB8A8">
            <w:pPr>
              <w:jc w:val="center"/>
              <w:rPr>
                <w:rFonts w:hint="eastAsia" w:ascii="宋体" w:hAnsi="宋体"/>
                <w:color w:val="auto"/>
                <w:sz w:val="22"/>
                <w:szCs w:val="22"/>
                <w:highlight w:val="none"/>
              </w:rPr>
            </w:pPr>
          </w:p>
        </w:tc>
        <w:tc>
          <w:tcPr>
            <w:tcW w:w="2538" w:type="dxa"/>
            <w:noWrap w:val="0"/>
            <w:vAlign w:val="center"/>
          </w:tcPr>
          <w:p w14:paraId="67B1A665">
            <w:pPr>
              <w:jc w:val="center"/>
              <w:rPr>
                <w:rFonts w:hint="eastAsia" w:ascii="宋体" w:hAnsi="宋体"/>
                <w:color w:val="auto"/>
                <w:sz w:val="22"/>
                <w:szCs w:val="22"/>
                <w:highlight w:val="none"/>
              </w:rPr>
            </w:pPr>
          </w:p>
        </w:tc>
        <w:tc>
          <w:tcPr>
            <w:tcW w:w="2326" w:type="dxa"/>
            <w:noWrap w:val="0"/>
            <w:vAlign w:val="center"/>
          </w:tcPr>
          <w:p w14:paraId="414E8B10">
            <w:pPr>
              <w:jc w:val="center"/>
              <w:rPr>
                <w:rFonts w:hint="eastAsia" w:ascii="宋体" w:hAnsi="宋体"/>
                <w:color w:val="auto"/>
                <w:sz w:val="22"/>
                <w:szCs w:val="22"/>
                <w:highlight w:val="none"/>
              </w:rPr>
            </w:pPr>
          </w:p>
        </w:tc>
        <w:tc>
          <w:tcPr>
            <w:tcW w:w="2115" w:type="dxa"/>
            <w:noWrap w:val="0"/>
            <w:vAlign w:val="center"/>
          </w:tcPr>
          <w:p w14:paraId="5908EF20">
            <w:pPr>
              <w:jc w:val="center"/>
              <w:rPr>
                <w:rFonts w:hint="eastAsia" w:ascii="宋体" w:hAnsi="宋体"/>
                <w:color w:val="auto"/>
                <w:sz w:val="22"/>
                <w:szCs w:val="22"/>
                <w:highlight w:val="none"/>
              </w:rPr>
            </w:pPr>
          </w:p>
        </w:tc>
        <w:tc>
          <w:tcPr>
            <w:tcW w:w="1902" w:type="dxa"/>
            <w:noWrap w:val="0"/>
            <w:vAlign w:val="center"/>
          </w:tcPr>
          <w:p w14:paraId="2BACEC1D">
            <w:pPr>
              <w:jc w:val="center"/>
              <w:rPr>
                <w:rFonts w:hint="eastAsia" w:ascii="宋体" w:hAnsi="宋体"/>
                <w:color w:val="auto"/>
                <w:sz w:val="22"/>
                <w:szCs w:val="22"/>
                <w:highlight w:val="none"/>
              </w:rPr>
            </w:pPr>
          </w:p>
        </w:tc>
      </w:tr>
      <w:tr w14:paraId="11A144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0D061C00">
            <w:pPr>
              <w:jc w:val="center"/>
              <w:rPr>
                <w:rFonts w:hint="eastAsia" w:ascii="宋体" w:hAnsi="宋体"/>
                <w:color w:val="auto"/>
                <w:sz w:val="22"/>
                <w:szCs w:val="22"/>
                <w:highlight w:val="none"/>
              </w:rPr>
            </w:pPr>
          </w:p>
        </w:tc>
        <w:tc>
          <w:tcPr>
            <w:tcW w:w="2538" w:type="dxa"/>
            <w:noWrap w:val="0"/>
            <w:vAlign w:val="center"/>
          </w:tcPr>
          <w:p w14:paraId="628EBCE6">
            <w:pPr>
              <w:jc w:val="center"/>
              <w:rPr>
                <w:rFonts w:hint="eastAsia" w:ascii="宋体" w:hAnsi="宋体"/>
                <w:color w:val="auto"/>
                <w:sz w:val="22"/>
                <w:szCs w:val="22"/>
                <w:highlight w:val="none"/>
              </w:rPr>
            </w:pPr>
          </w:p>
        </w:tc>
        <w:tc>
          <w:tcPr>
            <w:tcW w:w="2326" w:type="dxa"/>
            <w:noWrap w:val="0"/>
            <w:vAlign w:val="center"/>
          </w:tcPr>
          <w:p w14:paraId="3EE68ABD">
            <w:pPr>
              <w:jc w:val="center"/>
              <w:rPr>
                <w:rFonts w:hint="eastAsia" w:ascii="宋体" w:hAnsi="宋体"/>
                <w:color w:val="auto"/>
                <w:sz w:val="22"/>
                <w:szCs w:val="22"/>
                <w:highlight w:val="none"/>
              </w:rPr>
            </w:pPr>
          </w:p>
        </w:tc>
        <w:tc>
          <w:tcPr>
            <w:tcW w:w="2115" w:type="dxa"/>
            <w:noWrap w:val="0"/>
            <w:vAlign w:val="center"/>
          </w:tcPr>
          <w:p w14:paraId="4E2F3081">
            <w:pPr>
              <w:jc w:val="center"/>
              <w:rPr>
                <w:rFonts w:hint="eastAsia" w:ascii="宋体" w:hAnsi="宋体"/>
                <w:color w:val="auto"/>
                <w:sz w:val="22"/>
                <w:szCs w:val="22"/>
                <w:highlight w:val="none"/>
              </w:rPr>
            </w:pPr>
          </w:p>
        </w:tc>
        <w:tc>
          <w:tcPr>
            <w:tcW w:w="1902" w:type="dxa"/>
            <w:noWrap w:val="0"/>
            <w:vAlign w:val="center"/>
          </w:tcPr>
          <w:p w14:paraId="0CF70B48">
            <w:pPr>
              <w:jc w:val="center"/>
              <w:rPr>
                <w:rFonts w:hint="eastAsia" w:ascii="宋体" w:hAnsi="宋体"/>
                <w:color w:val="auto"/>
                <w:sz w:val="22"/>
                <w:szCs w:val="22"/>
                <w:highlight w:val="none"/>
              </w:rPr>
            </w:pPr>
          </w:p>
        </w:tc>
      </w:tr>
      <w:tr w14:paraId="16931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235E7A9B">
            <w:pPr>
              <w:jc w:val="center"/>
              <w:rPr>
                <w:rFonts w:hint="eastAsia" w:ascii="宋体" w:hAnsi="宋体"/>
                <w:color w:val="auto"/>
                <w:sz w:val="22"/>
                <w:szCs w:val="22"/>
                <w:highlight w:val="none"/>
              </w:rPr>
            </w:pPr>
          </w:p>
        </w:tc>
        <w:tc>
          <w:tcPr>
            <w:tcW w:w="2538" w:type="dxa"/>
            <w:noWrap w:val="0"/>
            <w:vAlign w:val="center"/>
          </w:tcPr>
          <w:p w14:paraId="70B5AA86">
            <w:pPr>
              <w:jc w:val="center"/>
              <w:rPr>
                <w:rFonts w:hint="eastAsia" w:ascii="宋体" w:hAnsi="宋体"/>
                <w:color w:val="auto"/>
                <w:sz w:val="22"/>
                <w:szCs w:val="22"/>
                <w:highlight w:val="none"/>
              </w:rPr>
            </w:pPr>
          </w:p>
        </w:tc>
        <w:tc>
          <w:tcPr>
            <w:tcW w:w="2326" w:type="dxa"/>
            <w:noWrap w:val="0"/>
            <w:vAlign w:val="center"/>
          </w:tcPr>
          <w:p w14:paraId="42CCB490">
            <w:pPr>
              <w:jc w:val="center"/>
              <w:rPr>
                <w:rFonts w:hint="eastAsia" w:ascii="宋体" w:hAnsi="宋体"/>
                <w:color w:val="auto"/>
                <w:sz w:val="22"/>
                <w:szCs w:val="22"/>
                <w:highlight w:val="none"/>
              </w:rPr>
            </w:pPr>
          </w:p>
        </w:tc>
        <w:tc>
          <w:tcPr>
            <w:tcW w:w="2115" w:type="dxa"/>
            <w:noWrap w:val="0"/>
            <w:vAlign w:val="center"/>
          </w:tcPr>
          <w:p w14:paraId="324D722D">
            <w:pPr>
              <w:jc w:val="center"/>
              <w:rPr>
                <w:rFonts w:hint="eastAsia" w:ascii="宋体" w:hAnsi="宋体"/>
                <w:color w:val="auto"/>
                <w:sz w:val="22"/>
                <w:szCs w:val="22"/>
                <w:highlight w:val="none"/>
              </w:rPr>
            </w:pPr>
          </w:p>
        </w:tc>
        <w:tc>
          <w:tcPr>
            <w:tcW w:w="1902" w:type="dxa"/>
            <w:noWrap w:val="0"/>
            <w:vAlign w:val="center"/>
          </w:tcPr>
          <w:p w14:paraId="137F6506">
            <w:pPr>
              <w:jc w:val="center"/>
              <w:rPr>
                <w:rFonts w:hint="eastAsia" w:ascii="宋体" w:hAnsi="宋体"/>
                <w:color w:val="auto"/>
                <w:sz w:val="22"/>
                <w:szCs w:val="22"/>
                <w:highlight w:val="none"/>
              </w:rPr>
            </w:pPr>
          </w:p>
        </w:tc>
      </w:tr>
      <w:tr w14:paraId="05E06E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38FDC1FB">
            <w:pPr>
              <w:jc w:val="center"/>
              <w:rPr>
                <w:rFonts w:hint="eastAsia" w:ascii="宋体" w:hAnsi="宋体"/>
                <w:color w:val="auto"/>
                <w:sz w:val="22"/>
                <w:szCs w:val="22"/>
                <w:highlight w:val="none"/>
              </w:rPr>
            </w:pPr>
          </w:p>
        </w:tc>
        <w:tc>
          <w:tcPr>
            <w:tcW w:w="2538" w:type="dxa"/>
            <w:noWrap w:val="0"/>
            <w:vAlign w:val="center"/>
          </w:tcPr>
          <w:p w14:paraId="0F021DC9">
            <w:pPr>
              <w:jc w:val="center"/>
              <w:rPr>
                <w:rFonts w:hint="eastAsia" w:ascii="宋体" w:hAnsi="宋体"/>
                <w:color w:val="auto"/>
                <w:sz w:val="22"/>
                <w:szCs w:val="22"/>
                <w:highlight w:val="none"/>
              </w:rPr>
            </w:pPr>
          </w:p>
        </w:tc>
        <w:tc>
          <w:tcPr>
            <w:tcW w:w="2326" w:type="dxa"/>
            <w:noWrap w:val="0"/>
            <w:vAlign w:val="center"/>
          </w:tcPr>
          <w:p w14:paraId="16223F86">
            <w:pPr>
              <w:jc w:val="center"/>
              <w:rPr>
                <w:rFonts w:hint="eastAsia" w:ascii="宋体" w:hAnsi="宋体"/>
                <w:color w:val="auto"/>
                <w:sz w:val="22"/>
                <w:szCs w:val="22"/>
                <w:highlight w:val="none"/>
              </w:rPr>
            </w:pPr>
          </w:p>
        </w:tc>
        <w:tc>
          <w:tcPr>
            <w:tcW w:w="2115" w:type="dxa"/>
            <w:noWrap w:val="0"/>
            <w:vAlign w:val="center"/>
          </w:tcPr>
          <w:p w14:paraId="6723FCAB">
            <w:pPr>
              <w:jc w:val="center"/>
              <w:rPr>
                <w:rFonts w:hint="eastAsia" w:ascii="宋体" w:hAnsi="宋体"/>
                <w:color w:val="auto"/>
                <w:sz w:val="22"/>
                <w:szCs w:val="22"/>
                <w:highlight w:val="none"/>
              </w:rPr>
            </w:pPr>
          </w:p>
        </w:tc>
        <w:tc>
          <w:tcPr>
            <w:tcW w:w="1902" w:type="dxa"/>
            <w:noWrap w:val="0"/>
            <w:vAlign w:val="center"/>
          </w:tcPr>
          <w:p w14:paraId="37E9D67B">
            <w:pPr>
              <w:jc w:val="center"/>
              <w:rPr>
                <w:rFonts w:hint="eastAsia" w:ascii="宋体" w:hAnsi="宋体"/>
                <w:color w:val="auto"/>
                <w:sz w:val="22"/>
                <w:szCs w:val="22"/>
                <w:highlight w:val="none"/>
              </w:rPr>
            </w:pPr>
          </w:p>
        </w:tc>
      </w:tr>
      <w:tr w14:paraId="066C8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702C55BA">
            <w:pPr>
              <w:jc w:val="center"/>
              <w:rPr>
                <w:rFonts w:hint="eastAsia" w:ascii="宋体" w:hAnsi="宋体"/>
                <w:color w:val="auto"/>
                <w:sz w:val="22"/>
                <w:szCs w:val="22"/>
                <w:highlight w:val="none"/>
              </w:rPr>
            </w:pPr>
          </w:p>
        </w:tc>
        <w:tc>
          <w:tcPr>
            <w:tcW w:w="2538" w:type="dxa"/>
            <w:noWrap w:val="0"/>
            <w:vAlign w:val="center"/>
          </w:tcPr>
          <w:p w14:paraId="381C9CBB">
            <w:pPr>
              <w:jc w:val="center"/>
              <w:rPr>
                <w:rFonts w:hint="eastAsia" w:ascii="宋体" w:hAnsi="宋体"/>
                <w:color w:val="auto"/>
                <w:sz w:val="22"/>
                <w:szCs w:val="22"/>
                <w:highlight w:val="none"/>
              </w:rPr>
            </w:pPr>
          </w:p>
        </w:tc>
        <w:tc>
          <w:tcPr>
            <w:tcW w:w="2326" w:type="dxa"/>
            <w:noWrap w:val="0"/>
            <w:vAlign w:val="center"/>
          </w:tcPr>
          <w:p w14:paraId="6ACBB6CA">
            <w:pPr>
              <w:jc w:val="center"/>
              <w:rPr>
                <w:rFonts w:hint="eastAsia" w:ascii="宋体" w:hAnsi="宋体"/>
                <w:color w:val="auto"/>
                <w:sz w:val="22"/>
                <w:szCs w:val="22"/>
                <w:highlight w:val="none"/>
              </w:rPr>
            </w:pPr>
          </w:p>
        </w:tc>
        <w:tc>
          <w:tcPr>
            <w:tcW w:w="2115" w:type="dxa"/>
            <w:noWrap w:val="0"/>
            <w:vAlign w:val="center"/>
          </w:tcPr>
          <w:p w14:paraId="41F18772">
            <w:pPr>
              <w:jc w:val="center"/>
              <w:rPr>
                <w:rFonts w:hint="eastAsia" w:ascii="宋体" w:hAnsi="宋体"/>
                <w:color w:val="auto"/>
                <w:sz w:val="22"/>
                <w:szCs w:val="22"/>
                <w:highlight w:val="none"/>
              </w:rPr>
            </w:pPr>
          </w:p>
        </w:tc>
        <w:tc>
          <w:tcPr>
            <w:tcW w:w="1902" w:type="dxa"/>
            <w:noWrap w:val="0"/>
            <w:vAlign w:val="center"/>
          </w:tcPr>
          <w:p w14:paraId="7E7B5C0E">
            <w:pPr>
              <w:jc w:val="center"/>
              <w:rPr>
                <w:rFonts w:hint="eastAsia" w:ascii="宋体" w:hAnsi="宋体"/>
                <w:color w:val="auto"/>
                <w:sz w:val="22"/>
                <w:szCs w:val="22"/>
                <w:highlight w:val="none"/>
              </w:rPr>
            </w:pPr>
          </w:p>
        </w:tc>
      </w:tr>
    </w:tbl>
    <w:p w14:paraId="7FC3952E">
      <w:pPr>
        <w:spacing w:line="500" w:lineRule="exact"/>
        <w:rPr>
          <w:rFonts w:hint="eastAsia" w:ascii="宋体" w:hAnsi="宋体"/>
          <w:color w:val="auto"/>
          <w:sz w:val="24"/>
          <w:highlight w:val="none"/>
        </w:rPr>
      </w:pPr>
      <w:r>
        <w:rPr>
          <w:rFonts w:hint="eastAsia" w:ascii="宋体" w:hAnsi="宋体"/>
          <w:color w:val="auto"/>
          <w:sz w:val="24"/>
          <w:highlight w:val="none"/>
        </w:rPr>
        <w:t>说明：</w:t>
      </w:r>
    </w:p>
    <w:p w14:paraId="4BC3E419">
      <w:pPr>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不填写此表视作完全响应采购文件要求。</w:t>
      </w:r>
    </w:p>
    <w:p w14:paraId="7EF769B2">
      <w:pPr>
        <w:spacing w:line="400" w:lineRule="exact"/>
        <w:rPr>
          <w:rFonts w:hint="eastAsia" w:ascii="宋体" w:hAnsi="宋体"/>
          <w:color w:val="auto"/>
          <w:sz w:val="22"/>
          <w:szCs w:val="22"/>
          <w:highlight w:val="none"/>
        </w:rPr>
      </w:pPr>
    </w:p>
    <w:p w14:paraId="34BC483D">
      <w:pPr>
        <w:spacing w:line="400" w:lineRule="exact"/>
        <w:rPr>
          <w:rFonts w:hint="eastAsia" w:ascii="宋体" w:hAnsi="宋体"/>
          <w:color w:val="auto"/>
          <w:sz w:val="22"/>
          <w:szCs w:val="22"/>
          <w:highlight w:val="none"/>
        </w:rPr>
      </w:pPr>
    </w:p>
    <w:p w14:paraId="26A6969A">
      <w:pPr>
        <w:spacing w:line="400" w:lineRule="exact"/>
        <w:rPr>
          <w:rFonts w:hint="eastAsia" w:ascii="宋体" w:hAnsi="宋体"/>
          <w:color w:val="auto"/>
          <w:sz w:val="22"/>
          <w:szCs w:val="22"/>
          <w:highlight w:val="none"/>
        </w:rPr>
      </w:pPr>
    </w:p>
    <w:p w14:paraId="63FE83F5">
      <w:pPr>
        <w:spacing w:line="400" w:lineRule="exact"/>
        <w:rPr>
          <w:rFonts w:hint="eastAsia" w:ascii="宋体" w:hAnsi="宋体"/>
          <w:color w:val="auto"/>
          <w:sz w:val="22"/>
          <w:szCs w:val="22"/>
          <w:highlight w:val="none"/>
        </w:rPr>
      </w:pPr>
    </w:p>
    <w:p w14:paraId="2AD6C963">
      <w:pPr>
        <w:spacing w:line="360" w:lineRule="auto"/>
        <w:ind w:firstLine="770" w:firstLineChars="350"/>
        <w:rPr>
          <w:rFonts w:hint="eastAsia" w:ascii="宋体" w:hAnsi="宋体"/>
          <w:color w:val="auto"/>
          <w:sz w:val="22"/>
          <w:szCs w:val="22"/>
          <w:highlight w:val="none"/>
        </w:rPr>
      </w:pPr>
      <w:r>
        <w:rPr>
          <w:rFonts w:hint="eastAsia" w:ascii="宋体" w:hAnsi="宋体"/>
          <w:color w:val="auto"/>
          <w:sz w:val="22"/>
          <w:szCs w:val="22"/>
          <w:highlight w:val="none"/>
        </w:rPr>
        <w:t>投标人全称（盖章）：</w:t>
      </w:r>
    </w:p>
    <w:p w14:paraId="2C925AC8">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35C5EE0A">
      <w:pPr>
        <w:spacing w:line="360" w:lineRule="auto"/>
        <w:ind w:firstLine="770" w:firstLineChars="350"/>
        <w:rPr>
          <w:rFonts w:hint="eastAsia" w:ascii="宋体" w:hAnsi="宋体"/>
          <w:color w:val="auto"/>
          <w:sz w:val="22"/>
          <w:szCs w:val="22"/>
          <w:highlight w:val="none"/>
        </w:rPr>
      </w:pPr>
      <w:r>
        <w:rPr>
          <w:rFonts w:hint="eastAsia" w:ascii="宋体" w:hAnsi="宋体"/>
          <w:color w:val="auto"/>
          <w:sz w:val="22"/>
          <w:szCs w:val="22"/>
          <w:highlight w:val="none"/>
        </w:rPr>
        <w:t>日 期：  年  月  日</w:t>
      </w:r>
    </w:p>
    <w:p w14:paraId="4E1542B2">
      <w:pPr>
        <w:spacing w:line="400" w:lineRule="exact"/>
        <w:rPr>
          <w:rFonts w:hint="eastAsia" w:ascii="宋体" w:hAnsi="宋体"/>
          <w:color w:val="auto"/>
          <w:sz w:val="22"/>
          <w:szCs w:val="22"/>
          <w:highlight w:val="none"/>
        </w:rPr>
      </w:pPr>
    </w:p>
    <w:p w14:paraId="57240D8E">
      <w:pPr>
        <w:spacing w:line="500" w:lineRule="exact"/>
        <w:jc w:val="center"/>
        <w:rPr>
          <w:rFonts w:hint="eastAsia" w:ascii="宋体" w:hAnsi="宋体"/>
          <w:b/>
          <w:bCs/>
          <w:color w:val="auto"/>
          <w:sz w:val="28"/>
          <w:szCs w:val="28"/>
          <w:highlight w:val="none"/>
        </w:rPr>
      </w:pPr>
      <w:r>
        <w:rPr>
          <w:rFonts w:hint="eastAsia" w:ascii="宋体" w:hAnsi="宋体"/>
          <w:color w:val="auto"/>
          <w:sz w:val="24"/>
          <w:highlight w:val="none"/>
        </w:rPr>
        <w:br w:type="page"/>
      </w:r>
      <w:r>
        <w:rPr>
          <w:rFonts w:hint="eastAsia" w:ascii="宋体" w:hAnsi="宋体"/>
          <w:b/>
          <w:bCs/>
          <w:color w:val="auto"/>
          <w:sz w:val="28"/>
          <w:szCs w:val="28"/>
          <w:highlight w:val="none"/>
        </w:rPr>
        <w:t>(2)商务条款偏离表</w:t>
      </w:r>
    </w:p>
    <w:p w14:paraId="267E8B37">
      <w:pPr>
        <w:ind w:firstLine="435"/>
        <w:jc w:val="center"/>
        <w:rPr>
          <w:rFonts w:hint="eastAsia" w:ascii="宋体" w:hAnsi="宋体"/>
          <w:b/>
          <w:color w:val="auto"/>
          <w:sz w:val="44"/>
          <w:highlight w:val="none"/>
        </w:rPr>
      </w:pPr>
    </w:p>
    <w:p w14:paraId="071C65A6">
      <w:pPr>
        <w:overflowPunct w:val="0"/>
        <w:spacing w:line="380" w:lineRule="exact"/>
        <w:rPr>
          <w:rFonts w:hint="eastAsia" w:ascii="宋体" w:hAnsi="宋体"/>
          <w:bCs/>
          <w:color w:val="auto"/>
          <w:sz w:val="22"/>
          <w:szCs w:val="22"/>
          <w:highlight w:val="none"/>
        </w:rPr>
      </w:pPr>
      <w:r>
        <w:rPr>
          <w:rFonts w:hint="eastAsia" w:ascii="宋体" w:hAnsi="宋体"/>
          <w:b/>
          <w:color w:val="auto"/>
          <w:sz w:val="22"/>
          <w:szCs w:val="22"/>
          <w:highlight w:val="none"/>
        </w:rPr>
        <w:t xml:space="preserve">  </w:t>
      </w:r>
      <w:r>
        <w:rPr>
          <w:rFonts w:hint="eastAsia" w:ascii="宋体" w:hAnsi="宋体"/>
          <w:bCs/>
          <w:color w:val="auto"/>
          <w:sz w:val="22"/>
          <w:szCs w:val="22"/>
          <w:highlight w:val="none"/>
        </w:rPr>
        <w:t>项目名称：                       项目编号：</w:t>
      </w:r>
    </w:p>
    <w:p w14:paraId="63E75B3C">
      <w:pPr>
        <w:ind w:firstLine="220" w:firstLineChars="100"/>
        <w:rPr>
          <w:rFonts w:hint="eastAsia" w:ascii="宋体" w:hAnsi="宋体"/>
          <w:b/>
          <w:color w:val="auto"/>
          <w:sz w:val="22"/>
          <w:szCs w:val="22"/>
          <w:highlight w:val="none"/>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302A04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4ABD3484">
            <w:pPr>
              <w:jc w:val="center"/>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1559" w:type="dxa"/>
            <w:noWrap w:val="0"/>
            <w:vAlign w:val="center"/>
          </w:tcPr>
          <w:p w14:paraId="01C3C6F5">
            <w:pPr>
              <w:jc w:val="center"/>
              <w:rPr>
                <w:rFonts w:hint="eastAsia" w:ascii="宋体" w:hAnsi="宋体"/>
                <w:color w:val="auto"/>
                <w:sz w:val="22"/>
                <w:szCs w:val="22"/>
                <w:highlight w:val="none"/>
              </w:rPr>
            </w:pPr>
            <w:r>
              <w:rPr>
                <w:rFonts w:hint="eastAsia" w:ascii="宋体" w:hAnsi="宋体"/>
                <w:color w:val="auto"/>
                <w:sz w:val="22"/>
                <w:szCs w:val="22"/>
                <w:highlight w:val="none"/>
              </w:rPr>
              <w:t>条款内容</w:t>
            </w:r>
          </w:p>
        </w:tc>
        <w:tc>
          <w:tcPr>
            <w:tcW w:w="2184" w:type="dxa"/>
            <w:noWrap w:val="0"/>
            <w:vAlign w:val="center"/>
          </w:tcPr>
          <w:p w14:paraId="73DFFA4C">
            <w:pPr>
              <w:jc w:val="center"/>
              <w:rPr>
                <w:rFonts w:hint="eastAsia" w:ascii="宋体" w:hAnsi="宋体"/>
                <w:color w:val="auto"/>
                <w:sz w:val="22"/>
                <w:szCs w:val="22"/>
                <w:highlight w:val="none"/>
              </w:rPr>
            </w:pPr>
            <w:r>
              <w:rPr>
                <w:rFonts w:hint="eastAsia" w:ascii="宋体" w:hAnsi="宋体"/>
                <w:color w:val="auto"/>
                <w:sz w:val="22"/>
                <w:szCs w:val="22"/>
                <w:highlight w:val="none"/>
              </w:rPr>
              <w:t>采购文件商务条款描述</w:t>
            </w:r>
          </w:p>
        </w:tc>
        <w:tc>
          <w:tcPr>
            <w:tcW w:w="2402" w:type="dxa"/>
            <w:noWrap w:val="0"/>
            <w:vAlign w:val="center"/>
          </w:tcPr>
          <w:p w14:paraId="03B50276">
            <w:pPr>
              <w:jc w:val="center"/>
              <w:rPr>
                <w:rFonts w:hint="eastAsia" w:ascii="宋体" w:hAnsi="宋体"/>
                <w:color w:val="auto"/>
                <w:sz w:val="22"/>
                <w:szCs w:val="22"/>
                <w:highlight w:val="none"/>
              </w:rPr>
            </w:pPr>
            <w:r>
              <w:rPr>
                <w:rFonts w:hint="eastAsia" w:ascii="宋体" w:hAnsi="宋体"/>
                <w:color w:val="auto"/>
                <w:sz w:val="22"/>
                <w:szCs w:val="22"/>
                <w:highlight w:val="none"/>
              </w:rPr>
              <w:t>投标文件商务条款</w:t>
            </w:r>
          </w:p>
        </w:tc>
        <w:tc>
          <w:tcPr>
            <w:tcW w:w="1200" w:type="dxa"/>
            <w:noWrap w:val="0"/>
            <w:vAlign w:val="center"/>
          </w:tcPr>
          <w:p w14:paraId="0064AE42">
            <w:pPr>
              <w:jc w:val="center"/>
              <w:rPr>
                <w:rFonts w:hint="eastAsia" w:ascii="宋体" w:hAnsi="宋体"/>
                <w:color w:val="auto"/>
                <w:sz w:val="22"/>
                <w:szCs w:val="22"/>
                <w:highlight w:val="none"/>
              </w:rPr>
            </w:pPr>
            <w:r>
              <w:rPr>
                <w:rFonts w:hint="eastAsia" w:ascii="宋体" w:hAnsi="宋体"/>
                <w:color w:val="auto"/>
                <w:sz w:val="22"/>
                <w:szCs w:val="22"/>
                <w:highlight w:val="none"/>
              </w:rPr>
              <w:t>偏离</w:t>
            </w:r>
          </w:p>
        </w:tc>
        <w:tc>
          <w:tcPr>
            <w:tcW w:w="1588" w:type="dxa"/>
            <w:noWrap w:val="0"/>
            <w:vAlign w:val="center"/>
          </w:tcPr>
          <w:p w14:paraId="657AA23A">
            <w:pPr>
              <w:jc w:val="center"/>
              <w:rPr>
                <w:rFonts w:hint="eastAsia" w:ascii="宋体" w:hAnsi="宋体"/>
                <w:color w:val="auto"/>
                <w:sz w:val="22"/>
                <w:szCs w:val="22"/>
                <w:highlight w:val="none"/>
              </w:rPr>
            </w:pPr>
            <w:r>
              <w:rPr>
                <w:rFonts w:hint="eastAsia" w:ascii="宋体" w:hAnsi="宋体"/>
                <w:color w:val="auto"/>
                <w:sz w:val="22"/>
                <w:szCs w:val="22"/>
                <w:highlight w:val="none"/>
              </w:rPr>
              <w:t>说   明</w:t>
            </w:r>
          </w:p>
        </w:tc>
      </w:tr>
      <w:tr w14:paraId="48D7FB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59272D8B">
            <w:pPr>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1559" w:type="dxa"/>
            <w:noWrap w:val="0"/>
            <w:vAlign w:val="center"/>
          </w:tcPr>
          <w:p w14:paraId="4235A668">
            <w:pPr>
              <w:jc w:val="center"/>
              <w:rPr>
                <w:rFonts w:hint="eastAsia" w:ascii="宋体" w:hAnsi="宋体"/>
                <w:color w:val="auto"/>
                <w:sz w:val="22"/>
                <w:szCs w:val="22"/>
                <w:highlight w:val="none"/>
              </w:rPr>
            </w:pPr>
          </w:p>
        </w:tc>
        <w:tc>
          <w:tcPr>
            <w:tcW w:w="2184" w:type="dxa"/>
            <w:noWrap w:val="0"/>
            <w:vAlign w:val="center"/>
          </w:tcPr>
          <w:p w14:paraId="670D7483">
            <w:pPr>
              <w:jc w:val="center"/>
              <w:rPr>
                <w:rFonts w:hint="eastAsia" w:ascii="宋体" w:hAnsi="宋体"/>
                <w:color w:val="auto"/>
                <w:sz w:val="22"/>
                <w:szCs w:val="22"/>
                <w:highlight w:val="none"/>
              </w:rPr>
            </w:pPr>
          </w:p>
        </w:tc>
        <w:tc>
          <w:tcPr>
            <w:tcW w:w="2402" w:type="dxa"/>
            <w:noWrap w:val="0"/>
            <w:vAlign w:val="center"/>
          </w:tcPr>
          <w:p w14:paraId="1C85AF50">
            <w:pPr>
              <w:jc w:val="center"/>
              <w:rPr>
                <w:rFonts w:hint="eastAsia" w:ascii="宋体" w:hAnsi="宋体"/>
                <w:color w:val="auto"/>
                <w:sz w:val="22"/>
                <w:szCs w:val="22"/>
                <w:highlight w:val="none"/>
              </w:rPr>
            </w:pPr>
          </w:p>
        </w:tc>
        <w:tc>
          <w:tcPr>
            <w:tcW w:w="1200" w:type="dxa"/>
            <w:noWrap w:val="0"/>
            <w:vAlign w:val="center"/>
          </w:tcPr>
          <w:p w14:paraId="3BC394DC">
            <w:pPr>
              <w:jc w:val="center"/>
              <w:rPr>
                <w:rFonts w:hint="eastAsia" w:ascii="宋体" w:hAnsi="宋体"/>
                <w:color w:val="auto"/>
                <w:sz w:val="22"/>
                <w:szCs w:val="22"/>
                <w:highlight w:val="none"/>
              </w:rPr>
            </w:pPr>
          </w:p>
        </w:tc>
        <w:tc>
          <w:tcPr>
            <w:tcW w:w="1588" w:type="dxa"/>
            <w:noWrap w:val="0"/>
            <w:vAlign w:val="center"/>
          </w:tcPr>
          <w:p w14:paraId="77401E47">
            <w:pPr>
              <w:jc w:val="center"/>
              <w:rPr>
                <w:rFonts w:hint="eastAsia" w:ascii="宋体" w:hAnsi="宋体"/>
                <w:color w:val="auto"/>
                <w:sz w:val="22"/>
                <w:szCs w:val="22"/>
                <w:highlight w:val="none"/>
              </w:rPr>
            </w:pPr>
          </w:p>
        </w:tc>
      </w:tr>
      <w:tr w14:paraId="58E1B4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55279A37">
            <w:pPr>
              <w:jc w:val="center"/>
              <w:rPr>
                <w:rFonts w:hint="eastAsia" w:ascii="宋体" w:hAnsi="宋体"/>
                <w:color w:val="auto"/>
                <w:sz w:val="22"/>
                <w:szCs w:val="22"/>
                <w:highlight w:val="none"/>
              </w:rPr>
            </w:pPr>
            <w:r>
              <w:rPr>
                <w:rFonts w:hint="eastAsia" w:ascii="宋体" w:hAnsi="宋体"/>
                <w:color w:val="auto"/>
                <w:sz w:val="22"/>
                <w:szCs w:val="22"/>
                <w:highlight w:val="none"/>
              </w:rPr>
              <w:t>2</w:t>
            </w:r>
          </w:p>
        </w:tc>
        <w:tc>
          <w:tcPr>
            <w:tcW w:w="1559" w:type="dxa"/>
            <w:noWrap w:val="0"/>
            <w:vAlign w:val="center"/>
          </w:tcPr>
          <w:p w14:paraId="5D261B7B">
            <w:pPr>
              <w:jc w:val="center"/>
              <w:rPr>
                <w:rFonts w:hint="eastAsia" w:ascii="宋体" w:hAnsi="宋体"/>
                <w:color w:val="auto"/>
                <w:sz w:val="22"/>
                <w:szCs w:val="22"/>
                <w:highlight w:val="none"/>
              </w:rPr>
            </w:pPr>
          </w:p>
        </w:tc>
        <w:tc>
          <w:tcPr>
            <w:tcW w:w="2184" w:type="dxa"/>
            <w:noWrap w:val="0"/>
            <w:vAlign w:val="center"/>
          </w:tcPr>
          <w:p w14:paraId="478C843F">
            <w:pPr>
              <w:jc w:val="center"/>
              <w:rPr>
                <w:rFonts w:hint="eastAsia" w:ascii="宋体" w:hAnsi="宋体"/>
                <w:color w:val="auto"/>
                <w:sz w:val="22"/>
                <w:szCs w:val="22"/>
                <w:highlight w:val="none"/>
              </w:rPr>
            </w:pPr>
          </w:p>
        </w:tc>
        <w:tc>
          <w:tcPr>
            <w:tcW w:w="2402" w:type="dxa"/>
            <w:noWrap w:val="0"/>
            <w:vAlign w:val="center"/>
          </w:tcPr>
          <w:p w14:paraId="6B7E2065">
            <w:pPr>
              <w:jc w:val="center"/>
              <w:rPr>
                <w:rFonts w:hint="eastAsia" w:ascii="宋体" w:hAnsi="宋体"/>
                <w:color w:val="auto"/>
                <w:sz w:val="22"/>
                <w:szCs w:val="22"/>
                <w:highlight w:val="none"/>
              </w:rPr>
            </w:pPr>
          </w:p>
        </w:tc>
        <w:tc>
          <w:tcPr>
            <w:tcW w:w="1200" w:type="dxa"/>
            <w:noWrap w:val="0"/>
            <w:vAlign w:val="center"/>
          </w:tcPr>
          <w:p w14:paraId="50278A16">
            <w:pPr>
              <w:jc w:val="center"/>
              <w:rPr>
                <w:rFonts w:hint="eastAsia" w:ascii="宋体" w:hAnsi="宋体"/>
                <w:color w:val="auto"/>
                <w:sz w:val="22"/>
                <w:szCs w:val="22"/>
                <w:highlight w:val="none"/>
              </w:rPr>
            </w:pPr>
          </w:p>
        </w:tc>
        <w:tc>
          <w:tcPr>
            <w:tcW w:w="1588" w:type="dxa"/>
            <w:noWrap w:val="0"/>
            <w:vAlign w:val="center"/>
          </w:tcPr>
          <w:p w14:paraId="281085EC">
            <w:pPr>
              <w:jc w:val="center"/>
              <w:rPr>
                <w:rFonts w:hint="eastAsia" w:ascii="宋体" w:hAnsi="宋体"/>
                <w:color w:val="auto"/>
                <w:sz w:val="22"/>
                <w:szCs w:val="22"/>
                <w:highlight w:val="none"/>
              </w:rPr>
            </w:pPr>
          </w:p>
        </w:tc>
      </w:tr>
      <w:tr w14:paraId="149B9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5841ABA9">
            <w:pPr>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1559" w:type="dxa"/>
            <w:noWrap w:val="0"/>
            <w:vAlign w:val="center"/>
          </w:tcPr>
          <w:p w14:paraId="7BD03FF9">
            <w:pPr>
              <w:jc w:val="center"/>
              <w:rPr>
                <w:rFonts w:hint="eastAsia" w:ascii="宋体" w:hAnsi="宋体"/>
                <w:color w:val="auto"/>
                <w:sz w:val="22"/>
                <w:szCs w:val="22"/>
                <w:highlight w:val="none"/>
              </w:rPr>
            </w:pPr>
          </w:p>
        </w:tc>
        <w:tc>
          <w:tcPr>
            <w:tcW w:w="2184" w:type="dxa"/>
            <w:noWrap w:val="0"/>
            <w:vAlign w:val="center"/>
          </w:tcPr>
          <w:p w14:paraId="36D34AAB">
            <w:pPr>
              <w:jc w:val="center"/>
              <w:rPr>
                <w:rFonts w:hint="eastAsia" w:ascii="宋体" w:hAnsi="宋体"/>
                <w:color w:val="auto"/>
                <w:sz w:val="22"/>
                <w:szCs w:val="22"/>
                <w:highlight w:val="none"/>
              </w:rPr>
            </w:pPr>
          </w:p>
        </w:tc>
        <w:tc>
          <w:tcPr>
            <w:tcW w:w="2402" w:type="dxa"/>
            <w:noWrap w:val="0"/>
            <w:vAlign w:val="center"/>
          </w:tcPr>
          <w:p w14:paraId="5D5FA307">
            <w:pPr>
              <w:jc w:val="center"/>
              <w:rPr>
                <w:rFonts w:hint="eastAsia" w:ascii="宋体" w:hAnsi="宋体"/>
                <w:color w:val="auto"/>
                <w:sz w:val="22"/>
                <w:szCs w:val="22"/>
                <w:highlight w:val="none"/>
              </w:rPr>
            </w:pPr>
          </w:p>
        </w:tc>
        <w:tc>
          <w:tcPr>
            <w:tcW w:w="1200" w:type="dxa"/>
            <w:noWrap w:val="0"/>
            <w:vAlign w:val="center"/>
          </w:tcPr>
          <w:p w14:paraId="1BA8EE7A">
            <w:pPr>
              <w:jc w:val="center"/>
              <w:rPr>
                <w:rFonts w:hint="eastAsia" w:ascii="宋体" w:hAnsi="宋体"/>
                <w:color w:val="auto"/>
                <w:sz w:val="22"/>
                <w:szCs w:val="22"/>
                <w:highlight w:val="none"/>
              </w:rPr>
            </w:pPr>
          </w:p>
        </w:tc>
        <w:tc>
          <w:tcPr>
            <w:tcW w:w="1588" w:type="dxa"/>
            <w:noWrap w:val="0"/>
            <w:vAlign w:val="center"/>
          </w:tcPr>
          <w:p w14:paraId="7CF6B809">
            <w:pPr>
              <w:jc w:val="center"/>
              <w:rPr>
                <w:rFonts w:hint="eastAsia" w:ascii="宋体" w:hAnsi="宋体"/>
                <w:color w:val="auto"/>
                <w:sz w:val="22"/>
                <w:szCs w:val="22"/>
                <w:highlight w:val="none"/>
              </w:rPr>
            </w:pPr>
          </w:p>
        </w:tc>
      </w:tr>
      <w:tr w14:paraId="1C9D0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67061FFA">
            <w:pPr>
              <w:jc w:val="center"/>
              <w:rPr>
                <w:rFonts w:hint="eastAsia" w:ascii="宋体" w:hAnsi="宋体"/>
                <w:color w:val="auto"/>
                <w:sz w:val="22"/>
                <w:szCs w:val="22"/>
                <w:highlight w:val="none"/>
              </w:rPr>
            </w:pPr>
            <w:r>
              <w:rPr>
                <w:rFonts w:hint="eastAsia" w:ascii="宋体" w:hAnsi="宋体"/>
                <w:color w:val="auto"/>
                <w:sz w:val="22"/>
                <w:szCs w:val="22"/>
                <w:highlight w:val="none"/>
              </w:rPr>
              <w:t>4</w:t>
            </w:r>
          </w:p>
        </w:tc>
        <w:tc>
          <w:tcPr>
            <w:tcW w:w="1559" w:type="dxa"/>
            <w:noWrap w:val="0"/>
            <w:vAlign w:val="center"/>
          </w:tcPr>
          <w:p w14:paraId="31671E51">
            <w:pPr>
              <w:jc w:val="center"/>
              <w:rPr>
                <w:rFonts w:hint="eastAsia" w:ascii="宋体" w:hAnsi="宋体"/>
                <w:color w:val="auto"/>
                <w:sz w:val="22"/>
                <w:szCs w:val="22"/>
                <w:highlight w:val="none"/>
              </w:rPr>
            </w:pPr>
          </w:p>
        </w:tc>
        <w:tc>
          <w:tcPr>
            <w:tcW w:w="2184" w:type="dxa"/>
            <w:noWrap w:val="0"/>
            <w:vAlign w:val="center"/>
          </w:tcPr>
          <w:p w14:paraId="48CA3D81">
            <w:pPr>
              <w:jc w:val="center"/>
              <w:rPr>
                <w:rFonts w:hint="eastAsia" w:ascii="宋体" w:hAnsi="宋体"/>
                <w:color w:val="auto"/>
                <w:sz w:val="22"/>
                <w:szCs w:val="22"/>
                <w:highlight w:val="none"/>
              </w:rPr>
            </w:pPr>
          </w:p>
        </w:tc>
        <w:tc>
          <w:tcPr>
            <w:tcW w:w="2402" w:type="dxa"/>
            <w:noWrap w:val="0"/>
            <w:vAlign w:val="center"/>
          </w:tcPr>
          <w:p w14:paraId="3C2EC17A">
            <w:pPr>
              <w:jc w:val="center"/>
              <w:rPr>
                <w:rFonts w:hint="eastAsia" w:ascii="宋体" w:hAnsi="宋体"/>
                <w:color w:val="auto"/>
                <w:sz w:val="22"/>
                <w:szCs w:val="22"/>
                <w:highlight w:val="none"/>
              </w:rPr>
            </w:pPr>
          </w:p>
        </w:tc>
        <w:tc>
          <w:tcPr>
            <w:tcW w:w="1200" w:type="dxa"/>
            <w:noWrap w:val="0"/>
            <w:vAlign w:val="center"/>
          </w:tcPr>
          <w:p w14:paraId="5E7FB7AF">
            <w:pPr>
              <w:jc w:val="center"/>
              <w:rPr>
                <w:rFonts w:hint="eastAsia" w:ascii="宋体" w:hAnsi="宋体"/>
                <w:color w:val="auto"/>
                <w:sz w:val="22"/>
                <w:szCs w:val="22"/>
                <w:highlight w:val="none"/>
              </w:rPr>
            </w:pPr>
          </w:p>
        </w:tc>
        <w:tc>
          <w:tcPr>
            <w:tcW w:w="1588" w:type="dxa"/>
            <w:noWrap w:val="0"/>
            <w:vAlign w:val="center"/>
          </w:tcPr>
          <w:p w14:paraId="0A974BFD">
            <w:pPr>
              <w:jc w:val="center"/>
              <w:rPr>
                <w:rFonts w:hint="eastAsia" w:ascii="宋体" w:hAnsi="宋体"/>
                <w:color w:val="auto"/>
                <w:sz w:val="22"/>
                <w:szCs w:val="22"/>
                <w:highlight w:val="none"/>
              </w:rPr>
            </w:pPr>
          </w:p>
        </w:tc>
      </w:tr>
      <w:tr w14:paraId="3B35B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6F0131D3">
            <w:pPr>
              <w:jc w:val="center"/>
              <w:rPr>
                <w:rFonts w:hint="eastAsia" w:ascii="宋体" w:hAnsi="宋体"/>
                <w:color w:val="auto"/>
                <w:sz w:val="22"/>
                <w:szCs w:val="22"/>
                <w:highlight w:val="none"/>
              </w:rPr>
            </w:pPr>
            <w:r>
              <w:rPr>
                <w:rFonts w:hint="eastAsia" w:ascii="宋体" w:hAnsi="宋体"/>
                <w:color w:val="auto"/>
                <w:sz w:val="22"/>
                <w:szCs w:val="22"/>
                <w:highlight w:val="none"/>
              </w:rPr>
              <w:t>5</w:t>
            </w:r>
          </w:p>
        </w:tc>
        <w:tc>
          <w:tcPr>
            <w:tcW w:w="1559" w:type="dxa"/>
            <w:noWrap w:val="0"/>
            <w:vAlign w:val="center"/>
          </w:tcPr>
          <w:p w14:paraId="6EA205A0">
            <w:pPr>
              <w:jc w:val="center"/>
              <w:rPr>
                <w:rFonts w:hint="eastAsia" w:ascii="宋体" w:hAnsi="宋体"/>
                <w:color w:val="auto"/>
                <w:sz w:val="22"/>
                <w:szCs w:val="22"/>
                <w:highlight w:val="none"/>
              </w:rPr>
            </w:pPr>
          </w:p>
        </w:tc>
        <w:tc>
          <w:tcPr>
            <w:tcW w:w="2184" w:type="dxa"/>
            <w:noWrap w:val="0"/>
            <w:vAlign w:val="center"/>
          </w:tcPr>
          <w:p w14:paraId="79C96371">
            <w:pPr>
              <w:jc w:val="center"/>
              <w:rPr>
                <w:rFonts w:hint="eastAsia" w:ascii="宋体" w:hAnsi="宋体"/>
                <w:color w:val="auto"/>
                <w:sz w:val="22"/>
                <w:szCs w:val="22"/>
                <w:highlight w:val="none"/>
              </w:rPr>
            </w:pPr>
          </w:p>
        </w:tc>
        <w:tc>
          <w:tcPr>
            <w:tcW w:w="2402" w:type="dxa"/>
            <w:noWrap w:val="0"/>
            <w:vAlign w:val="center"/>
          </w:tcPr>
          <w:p w14:paraId="2A9E66D1">
            <w:pPr>
              <w:jc w:val="center"/>
              <w:rPr>
                <w:rFonts w:hint="eastAsia" w:ascii="宋体" w:hAnsi="宋体"/>
                <w:color w:val="auto"/>
                <w:sz w:val="22"/>
                <w:szCs w:val="22"/>
                <w:highlight w:val="none"/>
              </w:rPr>
            </w:pPr>
          </w:p>
        </w:tc>
        <w:tc>
          <w:tcPr>
            <w:tcW w:w="1200" w:type="dxa"/>
            <w:noWrap w:val="0"/>
            <w:vAlign w:val="center"/>
          </w:tcPr>
          <w:p w14:paraId="240912E3">
            <w:pPr>
              <w:jc w:val="center"/>
              <w:rPr>
                <w:rFonts w:hint="eastAsia" w:ascii="宋体" w:hAnsi="宋体"/>
                <w:color w:val="auto"/>
                <w:sz w:val="22"/>
                <w:szCs w:val="22"/>
                <w:highlight w:val="none"/>
              </w:rPr>
            </w:pPr>
          </w:p>
        </w:tc>
        <w:tc>
          <w:tcPr>
            <w:tcW w:w="1588" w:type="dxa"/>
            <w:noWrap w:val="0"/>
            <w:vAlign w:val="center"/>
          </w:tcPr>
          <w:p w14:paraId="263E51AA">
            <w:pPr>
              <w:jc w:val="center"/>
              <w:rPr>
                <w:rFonts w:hint="eastAsia" w:ascii="宋体" w:hAnsi="宋体"/>
                <w:color w:val="auto"/>
                <w:sz w:val="22"/>
                <w:szCs w:val="22"/>
                <w:highlight w:val="none"/>
              </w:rPr>
            </w:pPr>
          </w:p>
        </w:tc>
      </w:tr>
      <w:tr w14:paraId="6637DF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1C710345">
            <w:pPr>
              <w:jc w:val="center"/>
              <w:rPr>
                <w:rFonts w:hint="eastAsia" w:ascii="宋体" w:hAnsi="宋体"/>
                <w:color w:val="auto"/>
                <w:sz w:val="22"/>
                <w:szCs w:val="22"/>
                <w:highlight w:val="none"/>
              </w:rPr>
            </w:pPr>
            <w:r>
              <w:rPr>
                <w:rFonts w:hint="eastAsia" w:ascii="宋体" w:hAnsi="宋体"/>
                <w:color w:val="auto"/>
                <w:sz w:val="22"/>
                <w:szCs w:val="22"/>
                <w:highlight w:val="none"/>
              </w:rPr>
              <w:t>……</w:t>
            </w:r>
          </w:p>
        </w:tc>
        <w:tc>
          <w:tcPr>
            <w:tcW w:w="1559" w:type="dxa"/>
            <w:noWrap w:val="0"/>
            <w:vAlign w:val="center"/>
          </w:tcPr>
          <w:p w14:paraId="60443EAF">
            <w:pPr>
              <w:jc w:val="center"/>
              <w:rPr>
                <w:rFonts w:hint="eastAsia" w:ascii="宋体" w:hAnsi="宋体"/>
                <w:color w:val="auto"/>
                <w:sz w:val="22"/>
                <w:szCs w:val="22"/>
                <w:highlight w:val="none"/>
              </w:rPr>
            </w:pPr>
            <w:r>
              <w:rPr>
                <w:rFonts w:hint="eastAsia" w:ascii="宋体" w:hAnsi="宋体"/>
                <w:color w:val="auto"/>
                <w:sz w:val="22"/>
                <w:szCs w:val="22"/>
                <w:highlight w:val="none"/>
              </w:rPr>
              <w:t>……</w:t>
            </w:r>
          </w:p>
        </w:tc>
        <w:tc>
          <w:tcPr>
            <w:tcW w:w="2184" w:type="dxa"/>
            <w:noWrap w:val="0"/>
            <w:vAlign w:val="center"/>
          </w:tcPr>
          <w:p w14:paraId="2D3E6338">
            <w:pPr>
              <w:jc w:val="center"/>
              <w:rPr>
                <w:rFonts w:hint="eastAsia" w:ascii="宋体" w:hAnsi="宋体"/>
                <w:color w:val="auto"/>
                <w:sz w:val="22"/>
                <w:szCs w:val="22"/>
                <w:highlight w:val="none"/>
              </w:rPr>
            </w:pPr>
          </w:p>
        </w:tc>
        <w:tc>
          <w:tcPr>
            <w:tcW w:w="2402" w:type="dxa"/>
            <w:noWrap w:val="0"/>
            <w:vAlign w:val="center"/>
          </w:tcPr>
          <w:p w14:paraId="6550BB03">
            <w:pPr>
              <w:jc w:val="center"/>
              <w:rPr>
                <w:rFonts w:hint="eastAsia" w:ascii="宋体" w:hAnsi="宋体"/>
                <w:color w:val="auto"/>
                <w:sz w:val="22"/>
                <w:szCs w:val="22"/>
                <w:highlight w:val="none"/>
              </w:rPr>
            </w:pPr>
          </w:p>
        </w:tc>
        <w:tc>
          <w:tcPr>
            <w:tcW w:w="1200" w:type="dxa"/>
            <w:noWrap w:val="0"/>
            <w:vAlign w:val="center"/>
          </w:tcPr>
          <w:p w14:paraId="74F89489">
            <w:pPr>
              <w:jc w:val="center"/>
              <w:rPr>
                <w:rFonts w:hint="eastAsia" w:ascii="宋体" w:hAnsi="宋体"/>
                <w:color w:val="auto"/>
                <w:sz w:val="22"/>
                <w:szCs w:val="22"/>
                <w:highlight w:val="none"/>
              </w:rPr>
            </w:pPr>
          </w:p>
        </w:tc>
        <w:tc>
          <w:tcPr>
            <w:tcW w:w="1588" w:type="dxa"/>
            <w:noWrap w:val="0"/>
            <w:vAlign w:val="center"/>
          </w:tcPr>
          <w:p w14:paraId="7A02E565">
            <w:pPr>
              <w:jc w:val="center"/>
              <w:rPr>
                <w:rFonts w:hint="eastAsia" w:ascii="宋体" w:hAnsi="宋体"/>
                <w:color w:val="auto"/>
                <w:sz w:val="22"/>
                <w:szCs w:val="22"/>
                <w:highlight w:val="none"/>
              </w:rPr>
            </w:pPr>
          </w:p>
        </w:tc>
      </w:tr>
    </w:tbl>
    <w:p w14:paraId="28A84D43">
      <w:pPr>
        <w:spacing w:line="500" w:lineRule="exact"/>
        <w:rPr>
          <w:rFonts w:hint="eastAsia" w:ascii="宋体" w:hAnsi="宋体"/>
          <w:color w:val="auto"/>
          <w:sz w:val="24"/>
          <w:highlight w:val="none"/>
        </w:rPr>
      </w:pPr>
      <w:r>
        <w:rPr>
          <w:rFonts w:hint="eastAsia" w:ascii="宋体" w:hAnsi="宋体"/>
          <w:color w:val="auto"/>
          <w:sz w:val="24"/>
          <w:highlight w:val="none"/>
        </w:rPr>
        <w:t>说明：</w:t>
      </w:r>
    </w:p>
    <w:p w14:paraId="23B31164">
      <w:pPr>
        <w:spacing w:line="500" w:lineRule="exact"/>
        <w:rPr>
          <w:rFonts w:hint="eastAsia" w:ascii="宋体" w:hAnsi="宋体"/>
          <w:color w:val="auto"/>
          <w:sz w:val="22"/>
          <w:szCs w:val="22"/>
          <w:highlight w:val="none"/>
        </w:rPr>
      </w:pPr>
      <w:r>
        <w:rPr>
          <w:rFonts w:hint="eastAsia" w:ascii="宋体" w:hAnsi="宋体"/>
          <w:color w:val="auto"/>
          <w:sz w:val="22"/>
          <w:szCs w:val="22"/>
          <w:highlight w:val="none"/>
        </w:rPr>
        <w:t>不填写此表视作完全响应采购文件要求。</w:t>
      </w:r>
    </w:p>
    <w:p w14:paraId="7EE838BF">
      <w:pPr>
        <w:spacing w:line="500" w:lineRule="exact"/>
        <w:ind w:firstLine="4400" w:firstLineChars="2000"/>
        <w:rPr>
          <w:rFonts w:hint="eastAsia" w:ascii="宋体" w:hAnsi="宋体"/>
          <w:color w:val="auto"/>
          <w:sz w:val="22"/>
          <w:szCs w:val="22"/>
          <w:highlight w:val="none"/>
        </w:rPr>
      </w:pPr>
    </w:p>
    <w:p w14:paraId="73D57792">
      <w:pPr>
        <w:spacing w:line="500" w:lineRule="exact"/>
        <w:ind w:firstLine="4400" w:firstLineChars="2000"/>
        <w:rPr>
          <w:rFonts w:hint="eastAsia" w:ascii="宋体" w:hAnsi="宋体"/>
          <w:color w:val="auto"/>
          <w:sz w:val="22"/>
          <w:szCs w:val="22"/>
          <w:highlight w:val="none"/>
        </w:rPr>
      </w:pPr>
    </w:p>
    <w:p w14:paraId="33168344">
      <w:pPr>
        <w:spacing w:line="500" w:lineRule="exact"/>
        <w:ind w:firstLine="4400" w:firstLineChars="2000"/>
        <w:rPr>
          <w:rFonts w:hint="eastAsia" w:ascii="宋体" w:hAnsi="宋体"/>
          <w:color w:val="auto"/>
          <w:sz w:val="22"/>
          <w:szCs w:val="22"/>
          <w:highlight w:val="none"/>
        </w:rPr>
      </w:pPr>
    </w:p>
    <w:p w14:paraId="5E0B5461">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投标人全称（盖章）：</w:t>
      </w:r>
    </w:p>
    <w:p w14:paraId="68043FFB">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377F7AF7">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日 期：  年  月  日</w:t>
      </w:r>
    </w:p>
    <w:p w14:paraId="1FCD40B2">
      <w:pPr>
        <w:tabs>
          <w:tab w:val="left" w:pos="840"/>
        </w:tabs>
        <w:adjustRightInd w:val="0"/>
        <w:snapToGrid w:val="0"/>
        <w:spacing w:line="360" w:lineRule="auto"/>
        <w:ind w:left="420" w:leftChars="200" w:firstLine="330" w:firstLineChars="150"/>
        <w:rPr>
          <w:rFonts w:ascii="宋体" w:hAnsi="宋体"/>
          <w:color w:val="auto"/>
          <w:sz w:val="22"/>
          <w:szCs w:val="22"/>
          <w:highlight w:val="none"/>
        </w:rPr>
      </w:pPr>
    </w:p>
    <w:p w14:paraId="69C1FA48">
      <w:pPr>
        <w:pStyle w:val="7"/>
        <w:rPr>
          <w:rFonts w:ascii="宋体" w:hAnsi="宋体"/>
          <w:color w:val="auto"/>
          <w:highlight w:val="none"/>
        </w:rPr>
      </w:pPr>
    </w:p>
    <w:p w14:paraId="773D5ADE">
      <w:pPr>
        <w:pStyle w:val="8"/>
        <w:ind w:firstLine="321"/>
        <w:rPr>
          <w:rFonts w:hint="eastAsia" w:ascii="宋体" w:hAnsi="宋体" w:cs="Arial"/>
          <w:b w:val="0"/>
          <w:color w:val="auto"/>
          <w:sz w:val="22"/>
          <w:szCs w:val="22"/>
          <w:highlight w:val="none"/>
        </w:rPr>
      </w:pPr>
      <w:r>
        <w:rPr>
          <w:rFonts w:ascii="宋体" w:hAnsi="宋体"/>
          <w:color w:val="auto"/>
          <w:highlight w:val="none"/>
        </w:rPr>
        <w:br w:type="page"/>
      </w:r>
      <w:r>
        <w:rPr>
          <w:rFonts w:hint="eastAsia" w:ascii="宋体" w:hAnsi="宋体" w:cs="Arial"/>
          <w:b w:val="0"/>
          <w:color w:val="auto"/>
          <w:sz w:val="22"/>
          <w:szCs w:val="22"/>
          <w:highlight w:val="none"/>
        </w:rPr>
        <w:t>附件三</w:t>
      </w:r>
    </w:p>
    <w:p w14:paraId="367F17EB">
      <w:pPr>
        <w:jc w:val="center"/>
        <w:rPr>
          <w:rFonts w:hint="eastAsia" w:ascii="宋体" w:hAnsi="宋体"/>
          <w:color w:val="auto"/>
          <w:sz w:val="28"/>
          <w:highlight w:val="none"/>
        </w:rPr>
      </w:pPr>
      <w:r>
        <w:rPr>
          <w:rFonts w:hint="eastAsia" w:ascii="宋体" w:hAnsi="宋体"/>
          <w:color w:val="auto"/>
          <w:sz w:val="28"/>
          <w:highlight w:val="none"/>
        </w:rPr>
        <w:t>项目组成员</w:t>
      </w:r>
      <w:r>
        <w:rPr>
          <w:rFonts w:ascii="宋体" w:hAnsi="宋体"/>
          <w:color w:val="auto"/>
          <w:sz w:val="28"/>
          <w:highlight w:val="none"/>
        </w:rPr>
        <w:t>一览表</w:t>
      </w:r>
    </w:p>
    <w:p w14:paraId="188747AB">
      <w:pPr>
        <w:pStyle w:val="13"/>
        <w:numPr>
          <w:ilvl w:val="0"/>
          <w:numId w:val="16"/>
        </w:numPr>
        <w:spacing w:line="400" w:lineRule="atLeast"/>
        <w:rPr>
          <w:rFonts w:hint="eastAsia" w:hAnsi="宋体"/>
          <w:color w:val="auto"/>
          <w:sz w:val="28"/>
          <w:highlight w:val="none"/>
        </w:rPr>
      </w:pPr>
      <w:r>
        <w:rPr>
          <w:rFonts w:hAnsi="宋体"/>
          <w:color w:val="auto"/>
          <w:sz w:val="28"/>
          <w:highlight w:val="none"/>
        </w:rPr>
        <w:t>项目主要负责人简历表</w:t>
      </w:r>
    </w:p>
    <w:p w14:paraId="059737A2">
      <w:pPr>
        <w:pStyle w:val="13"/>
        <w:spacing w:line="400" w:lineRule="atLeast"/>
        <w:ind w:left="660" w:hanging="660" w:hangingChars="300"/>
        <w:rPr>
          <w:rFonts w:hAnsi="宋体"/>
          <w:color w:val="auto"/>
          <w:sz w:val="22"/>
          <w:highlight w:val="none"/>
        </w:rPr>
      </w:pPr>
      <w:r>
        <w:rPr>
          <w:rFonts w:hAnsi="宋体"/>
          <w:color w:val="auto"/>
          <w:sz w:val="22"/>
          <w:highlight w:val="none"/>
        </w:rPr>
        <w:t>项目名称：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14:paraId="29C2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12" w:space="0"/>
              <w:left w:val="single" w:color="auto" w:sz="12" w:space="0"/>
              <w:bottom w:val="single" w:color="auto" w:sz="6" w:space="0"/>
              <w:right w:val="single" w:color="auto" w:sz="6" w:space="0"/>
            </w:tcBorders>
            <w:noWrap w:val="0"/>
            <w:vAlign w:val="center"/>
          </w:tcPr>
          <w:p w14:paraId="22395918">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姓 名</w:t>
            </w:r>
          </w:p>
        </w:tc>
        <w:tc>
          <w:tcPr>
            <w:tcW w:w="1636" w:type="dxa"/>
            <w:tcBorders>
              <w:top w:val="single" w:color="auto" w:sz="12" w:space="0"/>
              <w:left w:val="single" w:color="auto" w:sz="6" w:space="0"/>
              <w:bottom w:val="single" w:color="auto" w:sz="6" w:space="0"/>
              <w:right w:val="single" w:color="auto" w:sz="6" w:space="0"/>
            </w:tcBorders>
            <w:noWrap w:val="0"/>
            <w:vAlign w:val="center"/>
          </w:tcPr>
          <w:p w14:paraId="14F81365">
            <w:pPr>
              <w:pStyle w:val="13"/>
              <w:spacing w:line="400" w:lineRule="atLeast"/>
              <w:ind w:left="660" w:hanging="660" w:hangingChars="300"/>
              <w:jc w:val="center"/>
              <w:rPr>
                <w:rFonts w:hAnsi="宋体"/>
                <w:color w:val="auto"/>
                <w:sz w:val="22"/>
                <w:highlight w:val="none"/>
              </w:rPr>
            </w:pPr>
          </w:p>
        </w:tc>
        <w:tc>
          <w:tcPr>
            <w:tcW w:w="1632" w:type="dxa"/>
            <w:tcBorders>
              <w:top w:val="single" w:color="auto" w:sz="12" w:space="0"/>
              <w:left w:val="single" w:color="auto" w:sz="6" w:space="0"/>
              <w:bottom w:val="single" w:color="auto" w:sz="6" w:space="0"/>
              <w:right w:val="single" w:color="auto" w:sz="6" w:space="0"/>
            </w:tcBorders>
            <w:noWrap w:val="0"/>
            <w:vAlign w:val="center"/>
          </w:tcPr>
          <w:p w14:paraId="175E6B0E">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性 别</w:t>
            </w:r>
          </w:p>
        </w:tc>
        <w:tc>
          <w:tcPr>
            <w:tcW w:w="1744" w:type="dxa"/>
            <w:tcBorders>
              <w:top w:val="single" w:color="auto" w:sz="12" w:space="0"/>
              <w:left w:val="single" w:color="auto" w:sz="6" w:space="0"/>
              <w:bottom w:val="single" w:color="auto" w:sz="6" w:space="0"/>
              <w:right w:val="single" w:color="auto" w:sz="6" w:space="0"/>
            </w:tcBorders>
            <w:noWrap w:val="0"/>
            <w:vAlign w:val="center"/>
          </w:tcPr>
          <w:p w14:paraId="71921E19">
            <w:pPr>
              <w:pStyle w:val="13"/>
              <w:spacing w:line="400" w:lineRule="atLeast"/>
              <w:ind w:left="660" w:hanging="660" w:hangingChars="300"/>
              <w:jc w:val="center"/>
              <w:rPr>
                <w:rFonts w:hAnsi="宋体"/>
                <w:color w:val="auto"/>
                <w:sz w:val="22"/>
                <w:highlight w:val="none"/>
              </w:rPr>
            </w:pPr>
          </w:p>
        </w:tc>
        <w:tc>
          <w:tcPr>
            <w:tcW w:w="1561" w:type="dxa"/>
            <w:tcBorders>
              <w:top w:val="single" w:color="auto" w:sz="12" w:space="0"/>
              <w:left w:val="single" w:color="auto" w:sz="6" w:space="0"/>
              <w:bottom w:val="single" w:color="auto" w:sz="6" w:space="0"/>
              <w:right w:val="single" w:color="auto" w:sz="6" w:space="0"/>
            </w:tcBorders>
            <w:noWrap w:val="0"/>
            <w:vAlign w:val="center"/>
          </w:tcPr>
          <w:p w14:paraId="4347ACA5">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年 龄</w:t>
            </w:r>
          </w:p>
        </w:tc>
        <w:tc>
          <w:tcPr>
            <w:tcW w:w="1677" w:type="dxa"/>
            <w:tcBorders>
              <w:top w:val="single" w:color="auto" w:sz="12" w:space="0"/>
              <w:left w:val="single" w:color="auto" w:sz="6" w:space="0"/>
              <w:bottom w:val="single" w:color="auto" w:sz="6" w:space="0"/>
              <w:right w:val="single" w:color="auto" w:sz="12" w:space="0"/>
            </w:tcBorders>
            <w:noWrap w:val="0"/>
            <w:vAlign w:val="center"/>
          </w:tcPr>
          <w:p w14:paraId="10B5315E">
            <w:pPr>
              <w:pStyle w:val="13"/>
              <w:spacing w:line="400" w:lineRule="atLeast"/>
              <w:ind w:left="660" w:hanging="660" w:hangingChars="300"/>
              <w:jc w:val="center"/>
              <w:rPr>
                <w:rFonts w:hAnsi="宋体"/>
                <w:color w:val="auto"/>
                <w:sz w:val="22"/>
                <w:highlight w:val="none"/>
              </w:rPr>
            </w:pPr>
          </w:p>
        </w:tc>
      </w:tr>
      <w:tr w14:paraId="2712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noWrap w:val="0"/>
            <w:vAlign w:val="center"/>
          </w:tcPr>
          <w:p w14:paraId="441EC825">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学 历</w:t>
            </w:r>
          </w:p>
        </w:tc>
        <w:tc>
          <w:tcPr>
            <w:tcW w:w="1636" w:type="dxa"/>
            <w:tcBorders>
              <w:top w:val="single" w:color="auto" w:sz="6" w:space="0"/>
              <w:left w:val="single" w:color="auto" w:sz="6" w:space="0"/>
              <w:bottom w:val="single" w:color="auto" w:sz="6" w:space="0"/>
              <w:right w:val="single" w:color="auto" w:sz="6" w:space="0"/>
            </w:tcBorders>
            <w:noWrap w:val="0"/>
            <w:vAlign w:val="center"/>
          </w:tcPr>
          <w:p w14:paraId="67DC95BE">
            <w:pPr>
              <w:pStyle w:val="13"/>
              <w:spacing w:line="400" w:lineRule="atLeast"/>
              <w:ind w:left="660" w:hanging="660" w:hangingChars="300"/>
              <w:jc w:val="center"/>
              <w:rPr>
                <w:rFonts w:hAnsi="宋体"/>
                <w:color w:val="auto"/>
                <w:sz w:val="22"/>
                <w:highlight w:val="none"/>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14:paraId="18DBC15F">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职 称</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32BFA8DD">
            <w:pPr>
              <w:pStyle w:val="13"/>
              <w:spacing w:line="400" w:lineRule="atLeast"/>
              <w:ind w:left="660" w:hanging="660" w:hangingChars="300"/>
              <w:jc w:val="center"/>
              <w:rPr>
                <w:rFonts w:hAnsi="宋体"/>
                <w:color w:val="auto"/>
                <w:sz w:val="22"/>
                <w:highlight w:val="none"/>
              </w:rPr>
            </w:pPr>
          </w:p>
        </w:tc>
        <w:tc>
          <w:tcPr>
            <w:tcW w:w="1561" w:type="dxa"/>
            <w:tcBorders>
              <w:top w:val="single" w:color="auto" w:sz="6" w:space="0"/>
              <w:left w:val="single" w:color="auto" w:sz="6" w:space="0"/>
              <w:bottom w:val="single" w:color="auto" w:sz="6" w:space="0"/>
              <w:right w:val="single" w:color="auto" w:sz="6" w:space="0"/>
            </w:tcBorders>
            <w:noWrap w:val="0"/>
            <w:vAlign w:val="center"/>
          </w:tcPr>
          <w:p w14:paraId="1E8EA99B">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职 务</w:t>
            </w:r>
          </w:p>
        </w:tc>
        <w:tc>
          <w:tcPr>
            <w:tcW w:w="1677" w:type="dxa"/>
            <w:tcBorders>
              <w:top w:val="single" w:color="auto" w:sz="6" w:space="0"/>
              <w:left w:val="single" w:color="auto" w:sz="6" w:space="0"/>
              <w:bottom w:val="single" w:color="auto" w:sz="6" w:space="0"/>
              <w:right w:val="single" w:color="auto" w:sz="12" w:space="0"/>
            </w:tcBorders>
            <w:noWrap w:val="0"/>
            <w:vAlign w:val="center"/>
          </w:tcPr>
          <w:p w14:paraId="595B7532">
            <w:pPr>
              <w:pStyle w:val="13"/>
              <w:spacing w:line="400" w:lineRule="atLeast"/>
              <w:ind w:left="660" w:hanging="660" w:hangingChars="300"/>
              <w:jc w:val="center"/>
              <w:rPr>
                <w:rFonts w:hAnsi="宋体"/>
                <w:color w:val="auto"/>
                <w:sz w:val="22"/>
                <w:highlight w:val="none"/>
              </w:rPr>
            </w:pPr>
          </w:p>
        </w:tc>
      </w:tr>
      <w:tr w14:paraId="128D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noWrap w:val="0"/>
            <w:vAlign w:val="center"/>
          </w:tcPr>
          <w:p w14:paraId="0D87B2D6">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联系电话</w:t>
            </w:r>
          </w:p>
        </w:tc>
        <w:tc>
          <w:tcPr>
            <w:tcW w:w="3268" w:type="dxa"/>
            <w:gridSpan w:val="2"/>
            <w:tcBorders>
              <w:top w:val="single" w:color="auto" w:sz="6" w:space="0"/>
              <w:left w:val="single" w:color="auto" w:sz="6" w:space="0"/>
              <w:bottom w:val="single" w:color="auto" w:sz="6" w:space="0"/>
              <w:right w:val="single" w:color="auto" w:sz="6" w:space="0"/>
            </w:tcBorders>
            <w:noWrap w:val="0"/>
            <w:vAlign w:val="center"/>
          </w:tcPr>
          <w:p w14:paraId="771AE0F0">
            <w:pPr>
              <w:pStyle w:val="13"/>
              <w:spacing w:line="400" w:lineRule="atLeast"/>
              <w:ind w:left="660" w:hanging="660" w:hangingChars="300"/>
              <w:jc w:val="center"/>
              <w:rPr>
                <w:rFonts w:hAnsi="宋体"/>
                <w:color w:val="auto"/>
                <w:sz w:val="22"/>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39459F0B">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手 机</w:t>
            </w:r>
          </w:p>
        </w:tc>
        <w:tc>
          <w:tcPr>
            <w:tcW w:w="3238" w:type="dxa"/>
            <w:gridSpan w:val="2"/>
            <w:tcBorders>
              <w:top w:val="single" w:color="auto" w:sz="6" w:space="0"/>
              <w:left w:val="single" w:color="auto" w:sz="6" w:space="0"/>
              <w:bottom w:val="single" w:color="auto" w:sz="6" w:space="0"/>
              <w:right w:val="single" w:color="auto" w:sz="12" w:space="0"/>
            </w:tcBorders>
            <w:noWrap w:val="0"/>
            <w:vAlign w:val="center"/>
          </w:tcPr>
          <w:p w14:paraId="61E42E21">
            <w:pPr>
              <w:pStyle w:val="13"/>
              <w:spacing w:line="400" w:lineRule="atLeast"/>
              <w:ind w:left="660" w:hanging="660" w:hangingChars="300"/>
              <w:jc w:val="center"/>
              <w:rPr>
                <w:rFonts w:hAnsi="宋体"/>
                <w:color w:val="auto"/>
                <w:sz w:val="22"/>
                <w:highlight w:val="none"/>
              </w:rPr>
            </w:pPr>
          </w:p>
        </w:tc>
      </w:tr>
      <w:tr w14:paraId="6F75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9854" w:type="dxa"/>
            <w:gridSpan w:val="6"/>
            <w:tcBorders>
              <w:top w:val="single" w:color="auto" w:sz="6" w:space="0"/>
              <w:left w:val="single" w:color="auto" w:sz="12" w:space="0"/>
              <w:bottom w:val="single" w:color="auto" w:sz="12" w:space="0"/>
              <w:right w:val="single" w:color="auto" w:sz="12" w:space="0"/>
            </w:tcBorders>
            <w:noWrap w:val="0"/>
            <w:vAlign w:val="top"/>
          </w:tcPr>
          <w:p w14:paraId="6799C9DC">
            <w:pPr>
              <w:pStyle w:val="13"/>
              <w:spacing w:line="400" w:lineRule="atLeast"/>
              <w:ind w:left="659" w:leftChars="52" w:hanging="550" w:hangingChars="250"/>
              <w:rPr>
                <w:rFonts w:hAnsi="宋体"/>
                <w:color w:val="auto"/>
                <w:sz w:val="22"/>
                <w:highlight w:val="none"/>
              </w:rPr>
            </w:pPr>
            <w:r>
              <w:rPr>
                <w:rFonts w:hAnsi="宋体"/>
                <w:color w:val="auto"/>
                <w:sz w:val="22"/>
                <w:highlight w:val="none"/>
              </w:rPr>
              <w:t>从事相关工作经历及业绩：</w:t>
            </w:r>
          </w:p>
        </w:tc>
      </w:tr>
    </w:tbl>
    <w:p w14:paraId="70DE5B76">
      <w:pPr>
        <w:pStyle w:val="13"/>
        <w:spacing w:line="400" w:lineRule="atLeast"/>
        <w:ind w:left="660" w:hanging="660" w:hangingChars="300"/>
        <w:rPr>
          <w:rFonts w:hint="eastAsia" w:hAnsi="宋体"/>
          <w:color w:val="auto"/>
          <w:sz w:val="22"/>
          <w:szCs w:val="22"/>
          <w:highlight w:val="none"/>
        </w:rPr>
      </w:pPr>
      <w:r>
        <w:rPr>
          <w:rFonts w:hint="eastAsia" w:hAnsi="宋体"/>
          <w:color w:val="auto"/>
          <w:sz w:val="22"/>
          <w:szCs w:val="22"/>
          <w:highlight w:val="none"/>
        </w:rPr>
        <w:t>注：1、本表应附资格证书、身份证、业绩证明等复印件。</w:t>
      </w:r>
    </w:p>
    <w:p w14:paraId="5FE3E9E2">
      <w:pPr>
        <w:pStyle w:val="13"/>
        <w:spacing w:line="400" w:lineRule="atLeast"/>
        <w:ind w:left="658" w:leftChars="209" w:hanging="220" w:hangingChars="100"/>
        <w:rPr>
          <w:rFonts w:hint="eastAsia" w:hAnsi="宋体"/>
          <w:color w:val="auto"/>
          <w:sz w:val="22"/>
          <w:szCs w:val="22"/>
          <w:highlight w:val="none"/>
        </w:rPr>
      </w:pPr>
      <w:r>
        <w:rPr>
          <w:rFonts w:hint="eastAsia" w:hAnsi="宋体"/>
          <w:color w:val="auto"/>
          <w:sz w:val="22"/>
          <w:szCs w:val="22"/>
          <w:highlight w:val="none"/>
        </w:rPr>
        <w:t>2、此表仅提供了表格形式，投标供应商可按此表格复制。</w:t>
      </w:r>
    </w:p>
    <w:p w14:paraId="1FF37DEF">
      <w:pPr>
        <w:spacing w:line="500" w:lineRule="exact"/>
        <w:ind w:firstLine="5060" w:firstLineChars="2300"/>
        <w:rPr>
          <w:rFonts w:hint="eastAsia" w:ascii="宋体" w:hAnsi="宋体"/>
          <w:color w:val="auto"/>
          <w:sz w:val="22"/>
          <w:highlight w:val="none"/>
        </w:rPr>
      </w:pPr>
      <w:r>
        <w:rPr>
          <w:rFonts w:hint="eastAsia" w:ascii="宋体" w:hAnsi="宋体"/>
          <w:color w:val="auto"/>
          <w:sz w:val="22"/>
          <w:highlight w:val="none"/>
        </w:rPr>
        <w:t>投标供应商全称（盖章）：</w:t>
      </w:r>
    </w:p>
    <w:p w14:paraId="5F8A01E6">
      <w:pPr>
        <w:spacing w:line="500" w:lineRule="exact"/>
        <w:jc w:val="right"/>
        <w:rPr>
          <w:rFonts w:hint="eastAsia" w:ascii="宋体" w:hAnsi="宋体"/>
          <w:color w:val="auto"/>
          <w:sz w:val="22"/>
          <w:highlight w:val="none"/>
        </w:rPr>
      </w:pPr>
      <w:r>
        <w:rPr>
          <w:rFonts w:hint="eastAsia" w:ascii="宋体" w:hAnsi="宋体"/>
          <w:color w:val="auto"/>
          <w:sz w:val="22"/>
          <w:szCs w:val="22"/>
          <w:highlight w:val="none"/>
        </w:rPr>
        <w:t>法定代表人或其委托代理人（签字或盖章）</w:t>
      </w:r>
      <w:r>
        <w:rPr>
          <w:rFonts w:hint="eastAsia" w:ascii="宋体" w:hAnsi="宋体"/>
          <w:color w:val="auto"/>
          <w:sz w:val="22"/>
          <w:highlight w:val="none"/>
        </w:rPr>
        <w:t>：</w:t>
      </w:r>
    </w:p>
    <w:p w14:paraId="2E29E29E">
      <w:pPr>
        <w:spacing w:line="500" w:lineRule="exact"/>
        <w:ind w:firstLine="5060" w:firstLineChars="2300"/>
        <w:rPr>
          <w:rFonts w:hint="eastAsia" w:ascii="宋体" w:hAnsi="宋体"/>
          <w:color w:val="auto"/>
          <w:sz w:val="22"/>
          <w:highlight w:val="none"/>
        </w:rPr>
      </w:pPr>
      <w:r>
        <w:rPr>
          <w:rFonts w:hint="eastAsia" w:ascii="宋体" w:hAnsi="宋体"/>
          <w:color w:val="auto"/>
          <w:sz w:val="22"/>
          <w:highlight w:val="none"/>
        </w:rPr>
        <w:t>日    期：    年   月   日</w:t>
      </w:r>
    </w:p>
    <w:p w14:paraId="222EB285">
      <w:pPr>
        <w:jc w:val="center"/>
        <w:rPr>
          <w:rFonts w:ascii="宋体" w:hAnsi="宋体"/>
          <w:color w:val="auto"/>
          <w:sz w:val="28"/>
          <w:highlight w:val="none"/>
        </w:rPr>
      </w:pPr>
      <w:r>
        <w:rPr>
          <w:rFonts w:ascii="宋体" w:hAnsi="宋体"/>
          <w:color w:val="auto"/>
          <w:sz w:val="28"/>
          <w:highlight w:val="none"/>
        </w:rPr>
        <w:t>（2）拟投入的项目实施人员名单</w:t>
      </w:r>
    </w:p>
    <w:p w14:paraId="3BD6E29B">
      <w:pPr>
        <w:rPr>
          <w:rFonts w:ascii="宋体" w:hAnsi="宋体"/>
          <w:color w:val="auto"/>
          <w:sz w:val="22"/>
          <w:highlight w:val="none"/>
        </w:rPr>
      </w:pPr>
      <w:r>
        <w:rPr>
          <w:rFonts w:ascii="宋体" w:hAnsi="宋体"/>
          <w:color w:val="auto"/>
          <w:sz w:val="24"/>
          <w:highlight w:val="none"/>
        </w:rPr>
        <w:t>项目名称：</w:t>
      </w:r>
      <w:r>
        <w:rPr>
          <w:rFonts w:ascii="宋体" w:hAnsi="宋体"/>
          <w:color w:val="auto"/>
          <w:sz w:val="22"/>
          <w:highlight w:val="none"/>
        </w:rPr>
        <w:t xml:space="preserve">                                         项目编号： </w:t>
      </w:r>
    </w:p>
    <w:tbl>
      <w:tblPr>
        <w:tblStyle w:val="21"/>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08C90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2BA19939">
            <w:pPr>
              <w:spacing w:line="360" w:lineRule="auto"/>
              <w:jc w:val="center"/>
              <w:rPr>
                <w:rFonts w:ascii="宋体" w:hAnsi="宋体"/>
                <w:color w:val="auto"/>
                <w:sz w:val="22"/>
                <w:highlight w:val="none"/>
              </w:rPr>
            </w:pPr>
            <w:r>
              <w:rPr>
                <w:rFonts w:ascii="宋体" w:hAnsi="宋体"/>
                <w:color w:val="auto"/>
                <w:sz w:val="22"/>
                <w:highlight w:val="none"/>
              </w:rPr>
              <w:t>序号</w:t>
            </w:r>
          </w:p>
        </w:tc>
        <w:tc>
          <w:tcPr>
            <w:tcW w:w="958" w:type="dxa"/>
            <w:noWrap w:val="0"/>
            <w:vAlign w:val="center"/>
          </w:tcPr>
          <w:p w14:paraId="131C3D76">
            <w:pPr>
              <w:spacing w:line="360" w:lineRule="auto"/>
              <w:jc w:val="center"/>
              <w:rPr>
                <w:rFonts w:ascii="宋体" w:hAnsi="宋体"/>
                <w:color w:val="auto"/>
                <w:sz w:val="22"/>
                <w:highlight w:val="none"/>
              </w:rPr>
            </w:pPr>
            <w:r>
              <w:rPr>
                <w:rFonts w:ascii="宋体" w:hAnsi="宋体"/>
                <w:color w:val="auto"/>
                <w:sz w:val="22"/>
                <w:highlight w:val="none"/>
              </w:rPr>
              <w:t>姓名</w:t>
            </w:r>
          </w:p>
        </w:tc>
        <w:tc>
          <w:tcPr>
            <w:tcW w:w="958" w:type="dxa"/>
            <w:noWrap w:val="0"/>
            <w:vAlign w:val="center"/>
          </w:tcPr>
          <w:p w14:paraId="5A190B58">
            <w:pPr>
              <w:spacing w:line="360" w:lineRule="auto"/>
              <w:jc w:val="center"/>
              <w:rPr>
                <w:rFonts w:ascii="宋体" w:hAnsi="宋体"/>
                <w:color w:val="auto"/>
                <w:sz w:val="22"/>
                <w:highlight w:val="none"/>
              </w:rPr>
            </w:pPr>
            <w:r>
              <w:rPr>
                <w:rFonts w:ascii="宋体" w:hAnsi="宋体"/>
                <w:color w:val="auto"/>
                <w:sz w:val="22"/>
                <w:highlight w:val="none"/>
              </w:rPr>
              <w:t>性别</w:t>
            </w:r>
          </w:p>
        </w:tc>
        <w:tc>
          <w:tcPr>
            <w:tcW w:w="767" w:type="dxa"/>
            <w:noWrap w:val="0"/>
            <w:vAlign w:val="center"/>
          </w:tcPr>
          <w:p w14:paraId="5345FDB0">
            <w:pPr>
              <w:spacing w:line="360" w:lineRule="auto"/>
              <w:jc w:val="center"/>
              <w:rPr>
                <w:rFonts w:ascii="宋体" w:hAnsi="宋体"/>
                <w:color w:val="auto"/>
                <w:sz w:val="22"/>
                <w:highlight w:val="none"/>
              </w:rPr>
            </w:pPr>
            <w:r>
              <w:rPr>
                <w:rFonts w:ascii="宋体" w:hAnsi="宋体"/>
                <w:color w:val="auto"/>
                <w:sz w:val="22"/>
                <w:highlight w:val="none"/>
              </w:rPr>
              <w:t>年龄</w:t>
            </w:r>
          </w:p>
        </w:tc>
        <w:tc>
          <w:tcPr>
            <w:tcW w:w="767" w:type="dxa"/>
            <w:noWrap w:val="0"/>
            <w:vAlign w:val="center"/>
          </w:tcPr>
          <w:p w14:paraId="2E038B65">
            <w:pPr>
              <w:spacing w:line="360" w:lineRule="auto"/>
              <w:jc w:val="center"/>
              <w:rPr>
                <w:rFonts w:ascii="宋体" w:hAnsi="宋体"/>
                <w:color w:val="auto"/>
                <w:sz w:val="22"/>
                <w:highlight w:val="none"/>
              </w:rPr>
            </w:pPr>
            <w:r>
              <w:rPr>
                <w:rFonts w:ascii="宋体" w:hAnsi="宋体"/>
                <w:color w:val="auto"/>
                <w:sz w:val="22"/>
                <w:highlight w:val="none"/>
              </w:rPr>
              <w:t>学历</w:t>
            </w:r>
          </w:p>
        </w:tc>
        <w:tc>
          <w:tcPr>
            <w:tcW w:w="1340" w:type="dxa"/>
            <w:noWrap w:val="0"/>
            <w:vAlign w:val="center"/>
          </w:tcPr>
          <w:p w14:paraId="2050A957">
            <w:pPr>
              <w:spacing w:line="280" w:lineRule="exact"/>
              <w:jc w:val="center"/>
              <w:rPr>
                <w:rFonts w:ascii="宋体" w:hAnsi="宋体"/>
                <w:color w:val="auto"/>
                <w:sz w:val="22"/>
                <w:highlight w:val="none"/>
              </w:rPr>
            </w:pPr>
            <w:r>
              <w:rPr>
                <w:rFonts w:ascii="宋体" w:hAnsi="宋体"/>
                <w:color w:val="auto"/>
                <w:sz w:val="22"/>
                <w:highlight w:val="none"/>
              </w:rPr>
              <w:t>职称/职务</w:t>
            </w:r>
          </w:p>
        </w:tc>
        <w:tc>
          <w:tcPr>
            <w:tcW w:w="1326" w:type="dxa"/>
            <w:noWrap w:val="0"/>
            <w:vAlign w:val="center"/>
          </w:tcPr>
          <w:p w14:paraId="2F4FDCA7">
            <w:pPr>
              <w:spacing w:line="280" w:lineRule="exact"/>
              <w:jc w:val="center"/>
              <w:rPr>
                <w:rFonts w:ascii="宋体" w:hAnsi="宋体"/>
                <w:color w:val="auto"/>
                <w:sz w:val="22"/>
                <w:highlight w:val="none"/>
              </w:rPr>
            </w:pPr>
            <w:r>
              <w:rPr>
                <w:rFonts w:ascii="宋体" w:hAnsi="宋体"/>
                <w:color w:val="auto"/>
                <w:highlight w:val="none"/>
              </w:rPr>
              <w:t>本工程中的岗位</w:t>
            </w:r>
          </w:p>
        </w:tc>
        <w:tc>
          <w:tcPr>
            <w:tcW w:w="1825" w:type="dxa"/>
            <w:noWrap w:val="0"/>
            <w:vAlign w:val="center"/>
          </w:tcPr>
          <w:p w14:paraId="508F90E5">
            <w:pPr>
              <w:spacing w:line="360" w:lineRule="auto"/>
              <w:jc w:val="center"/>
              <w:rPr>
                <w:rFonts w:ascii="宋体" w:hAnsi="宋体"/>
                <w:color w:val="auto"/>
                <w:sz w:val="22"/>
                <w:highlight w:val="none"/>
              </w:rPr>
            </w:pPr>
            <w:r>
              <w:rPr>
                <w:rFonts w:ascii="宋体" w:hAnsi="宋体"/>
                <w:color w:val="auto"/>
                <w:sz w:val="22"/>
                <w:highlight w:val="none"/>
              </w:rPr>
              <w:t>从事专业年限</w:t>
            </w:r>
          </w:p>
        </w:tc>
        <w:tc>
          <w:tcPr>
            <w:tcW w:w="1147" w:type="dxa"/>
            <w:noWrap w:val="0"/>
            <w:vAlign w:val="center"/>
          </w:tcPr>
          <w:p w14:paraId="3635EECF">
            <w:pPr>
              <w:spacing w:line="360" w:lineRule="auto"/>
              <w:jc w:val="center"/>
              <w:rPr>
                <w:rFonts w:ascii="宋体" w:hAnsi="宋体"/>
                <w:color w:val="auto"/>
                <w:sz w:val="22"/>
                <w:highlight w:val="none"/>
              </w:rPr>
            </w:pPr>
            <w:r>
              <w:rPr>
                <w:rFonts w:ascii="宋体" w:hAnsi="宋体"/>
                <w:color w:val="auto"/>
                <w:sz w:val="22"/>
                <w:highlight w:val="none"/>
              </w:rPr>
              <w:t>备注</w:t>
            </w:r>
          </w:p>
        </w:tc>
      </w:tr>
      <w:tr w14:paraId="7C9DC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4F0FE8B">
            <w:pPr>
              <w:spacing w:line="360" w:lineRule="auto"/>
              <w:jc w:val="center"/>
              <w:rPr>
                <w:rFonts w:ascii="宋体" w:hAnsi="宋体"/>
                <w:color w:val="auto"/>
                <w:sz w:val="22"/>
                <w:highlight w:val="none"/>
              </w:rPr>
            </w:pPr>
          </w:p>
        </w:tc>
        <w:tc>
          <w:tcPr>
            <w:tcW w:w="958" w:type="dxa"/>
            <w:noWrap w:val="0"/>
            <w:vAlign w:val="center"/>
          </w:tcPr>
          <w:p w14:paraId="773C635C">
            <w:pPr>
              <w:spacing w:line="360" w:lineRule="auto"/>
              <w:jc w:val="center"/>
              <w:rPr>
                <w:rFonts w:ascii="宋体" w:hAnsi="宋体"/>
                <w:color w:val="auto"/>
                <w:sz w:val="22"/>
                <w:highlight w:val="none"/>
              </w:rPr>
            </w:pPr>
          </w:p>
        </w:tc>
        <w:tc>
          <w:tcPr>
            <w:tcW w:w="958" w:type="dxa"/>
            <w:noWrap w:val="0"/>
            <w:vAlign w:val="center"/>
          </w:tcPr>
          <w:p w14:paraId="28AC5AAE">
            <w:pPr>
              <w:spacing w:line="360" w:lineRule="auto"/>
              <w:jc w:val="center"/>
              <w:rPr>
                <w:rFonts w:ascii="宋体" w:hAnsi="宋体"/>
                <w:color w:val="auto"/>
                <w:sz w:val="22"/>
                <w:highlight w:val="none"/>
              </w:rPr>
            </w:pPr>
          </w:p>
        </w:tc>
        <w:tc>
          <w:tcPr>
            <w:tcW w:w="767" w:type="dxa"/>
            <w:noWrap w:val="0"/>
            <w:vAlign w:val="center"/>
          </w:tcPr>
          <w:p w14:paraId="2538D5D8">
            <w:pPr>
              <w:spacing w:line="360" w:lineRule="auto"/>
              <w:jc w:val="center"/>
              <w:rPr>
                <w:rFonts w:ascii="宋体" w:hAnsi="宋体"/>
                <w:color w:val="auto"/>
                <w:sz w:val="22"/>
                <w:highlight w:val="none"/>
              </w:rPr>
            </w:pPr>
          </w:p>
        </w:tc>
        <w:tc>
          <w:tcPr>
            <w:tcW w:w="767" w:type="dxa"/>
            <w:noWrap w:val="0"/>
            <w:vAlign w:val="center"/>
          </w:tcPr>
          <w:p w14:paraId="2EB254EE">
            <w:pPr>
              <w:spacing w:line="360" w:lineRule="auto"/>
              <w:jc w:val="center"/>
              <w:rPr>
                <w:rFonts w:ascii="宋体" w:hAnsi="宋体"/>
                <w:color w:val="auto"/>
                <w:sz w:val="22"/>
                <w:highlight w:val="none"/>
              </w:rPr>
            </w:pPr>
          </w:p>
        </w:tc>
        <w:tc>
          <w:tcPr>
            <w:tcW w:w="1340" w:type="dxa"/>
            <w:noWrap w:val="0"/>
            <w:vAlign w:val="center"/>
          </w:tcPr>
          <w:p w14:paraId="3841C789">
            <w:pPr>
              <w:spacing w:line="360" w:lineRule="auto"/>
              <w:jc w:val="center"/>
              <w:rPr>
                <w:rFonts w:ascii="宋体" w:hAnsi="宋体"/>
                <w:color w:val="auto"/>
                <w:sz w:val="22"/>
                <w:highlight w:val="none"/>
              </w:rPr>
            </w:pPr>
          </w:p>
        </w:tc>
        <w:tc>
          <w:tcPr>
            <w:tcW w:w="1326" w:type="dxa"/>
            <w:noWrap w:val="0"/>
            <w:vAlign w:val="center"/>
          </w:tcPr>
          <w:p w14:paraId="3759E5B6">
            <w:pPr>
              <w:spacing w:line="360" w:lineRule="auto"/>
              <w:jc w:val="center"/>
              <w:rPr>
                <w:rFonts w:ascii="宋体" w:hAnsi="宋体"/>
                <w:color w:val="auto"/>
                <w:sz w:val="22"/>
                <w:highlight w:val="none"/>
              </w:rPr>
            </w:pPr>
          </w:p>
        </w:tc>
        <w:tc>
          <w:tcPr>
            <w:tcW w:w="1825" w:type="dxa"/>
            <w:noWrap w:val="0"/>
            <w:vAlign w:val="top"/>
          </w:tcPr>
          <w:p w14:paraId="5F031B6C">
            <w:pPr>
              <w:spacing w:line="360" w:lineRule="auto"/>
              <w:jc w:val="center"/>
              <w:rPr>
                <w:rFonts w:ascii="宋体" w:hAnsi="宋体"/>
                <w:color w:val="auto"/>
                <w:sz w:val="22"/>
                <w:highlight w:val="none"/>
              </w:rPr>
            </w:pPr>
          </w:p>
        </w:tc>
        <w:tc>
          <w:tcPr>
            <w:tcW w:w="1147" w:type="dxa"/>
            <w:noWrap w:val="0"/>
            <w:vAlign w:val="center"/>
          </w:tcPr>
          <w:p w14:paraId="12ECBB48">
            <w:pPr>
              <w:spacing w:line="360" w:lineRule="auto"/>
              <w:jc w:val="center"/>
              <w:rPr>
                <w:rFonts w:ascii="宋体" w:hAnsi="宋体"/>
                <w:color w:val="auto"/>
                <w:sz w:val="22"/>
                <w:highlight w:val="none"/>
              </w:rPr>
            </w:pPr>
          </w:p>
        </w:tc>
      </w:tr>
      <w:tr w14:paraId="29E72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60BE11C">
            <w:pPr>
              <w:spacing w:line="360" w:lineRule="auto"/>
              <w:jc w:val="center"/>
              <w:rPr>
                <w:rFonts w:ascii="宋体" w:hAnsi="宋体"/>
                <w:color w:val="auto"/>
                <w:sz w:val="22"/>
                <w:highlight w:val="none"/>
              </w:rPr>
            </w:pPr>
          </w:p>
        </w:tc>
        <w:tc>
          <w:tcPr>
            <w:tcW w:w="958" w:type="dxa"/>
            <w:noWrap w:val="0"/>
            <w:vAlign w:val="center"/>
          </w:tcPr>
          <w:p w14:paraId="62EF9464">
            <w:pPr>
              <w:spacing w:line="360" w:lineRule="auto"/>
              <w:jc w:val="center"/>
              <w:rPr>
                <w:rFonts w:ascii="宋体" w:hAnsi="宋体"/>
                <w:color w:val="auto"/>
                <w:sz w:val="22"/>
                <w:highlight w:val="none"/>
              </w:rPr>
            </w:pPr>
          </w:p>
        </w:tc>
        <w:tc>
          <w:tcPr>
            <w:tcW w:w="958" w:type="dxa"/>
            <w:noWrap w:val="0"/>
            <w:vAlign w:val="center"/>
          </w:tcPr>
          <w:p w14:paraId="4025F134">
            <w:pPr>
              <w:spacing w:line="360" w:lineRule="auto"/>
              <w:jc w:val="center"/>
              <w:rPr>
                <w:rFonts w:ascii="宋体" w:hAnsi="宋体"/>
                <w:color w:val="auto"/>
                <w:sz w:val="22"/>
                <w:highlight w:val="none"/>
              </w:rPr>
            </w:pPr>
          </w:p>
        </w:tc>
        <w:tc>
          <w:tcPr>
            <w:tcW w:w="767" w:type="dxa"/>
            <w:noWrap w:val="0"/>
            <w:vAlign w:val="center"/>
          </w:tcPr>
          <w:p w14:paraId="188A66AF">
            <w:pPr>
              <w:spacing w:line="360" w:lineRule="auto"/>
              <w:jc w:val="center"/>
              <w:rPr>
                <w:rFonts w:ascii="宋体" w:hAnsi="宋体"/>
                <w:color w:val="auto"/>
                <w:sz w:val="22"/>
                <w:highlight w:val="none"/>
              </w:rPr>
            </w:pPr>
          </w:p>
        </w:tc>
        <w:tc>
          <w:tcPr>
            <w:tcW w:w="767" w:type="dxa"/>
            <w:noWrap w:val="0"/>
            <w:vAlign w:val="center"/>
          </w:tcPr>
          <w:p w14:paraId="1986ADFA">
            <w:pPr>
              <w:spacing w:line="360" w:lineRule="auto"/>
              <w:jc w:val="center"/>
              <w:rPr>
                <w:rFonts w:ascii="宋体" w:hAnsi="宋体"/>
                <w:color w:val="auto"/>
                <w:sz w:val="22"/>
                <w:highlight w:val="none"/>
              </w:rPr>
            </w:pPr>
          </w:p>
        </w:tc>
        <w:tc>
          <w:tcPr>
            <w:tcW w:w="1340" w:type="dxa"/>
            <w:noWrap w:val="0"/>
            <w:vAlign w:val="center"/>
          </w:tcPr>
          <w:p w14:paraId="7BC0D306">
            <w:pPr>
              <w:spacing w:line="360" w:lineRule="auto"/>
              <w:jc w:val="center"/>
              <w:rPr>
                <w:rFonts w:ascii="宋体" w:hAnsi="宋体"/>
                <w:color w:val="auto"/>
                <w:sz w:val="22"/>
                <w:highlight w:val="none"/>
              </w:rPr>
            </w:pPr>
          </w:p>
        </w:tc>
        <w:tc>
          <w:tcPr>
            <w:tcW w:w="1326" w:type="dxa"/>
            <w:noWrap w:val="0"/>
            <w:vAlign w:val="center"/>
          </w:tcPr>
          <w:p w14:paraId="733EF5DA">
            <w:pPr>
              <w:spacing w:line="360" w:lineRule="auto"/>
              <w:jc w:val="center"/>
              <w:rPr>
                <w:rFonts w:ascii="宋体" w:hAnsi="宋体"/>
                <w:color w:val="auto"/>
                <w:sz w:val="22"/>
                <w:highlight w:val="none"/>
              </w:rPr>
            </w:pPr>
          </w:p>
        </w:tc>
        <w:tc>
          <w:tcPr>
            <w:tcW w:w="1825" w:type="dxa"/>
            <w:noWrap w:val="0"/>
            <w:vAlign w:val="top"/>
          </w:tcPr>
          <w:p w14:paraId="62237F27">
            <w:pPr>
              <w:spacing w:line="360" w:lineRule="auto"/>
              <w:jc w:val="center"/>
              <w:rPr>
                <w:rFonts w:ascii="宋体" w:hAnsi="宋体"/>
                <w:color w:val="auto"/>
                <w:sz w:val="22"/>
                <w:highlight w:val="none"/>
              </w:rPr>
            </w:pPr>
          </w:p>
        </w:tc>
        <w:tc>
          <w:tcPr>
            <w:tcW w:w="1147" w:type="dxa"/>
            <w:noWrap w:val="0"/>
            <w:vAlign w:val="center"/>
          </w:tcPr>
          <w:p w14:paraId="07ED782E">
            <w:pPr>
              <w:spacing w:line="360" w:lineRule="auto"/>
              <w:jc w:val="center"/>
              <w:rPr>
                <w:rFonts w:ascii="宋体" w:hAnsi="宋体"/>
                <w:color w:val="auto"/>
                <w:sz w:val="22"/>
                <w:highlight w:val="none"/>
              </w:rPr>
            </w:pPr>
          </w:p>
        </w:tc>
      </w:tr>
    </w:tbl>
    <w:p w14:paraId="5C46B0FD">
      <w:pPr>
        <w:pStyle w:val="13"/>
        <w:spacing w:line="400" w:lineRule="atLeast"/>
        <w:ind w:left="660" w:hanging="660" w:hangingChars="300"/>
        <w:rPr>
          <w:rFonts w:hint="eastAsia" w:hAnsi="宋体"/>
          <w:color w:val="auto"/>
          <w:sz w:val="22"/>
          <w:szCs w:val="22"/>
          <w:highlight w:val="none"/>
        </w:rPr>
      </w:pPr>
      <w:r>
        <w:rPr>
          <w:rFonts w:hint="eastAsia" w:hAnsi="宋体"/>
          <w:color w:val="auto"/>
          <w:sz w:val="22"/>
          <w:szCs w:val="22"/>
          <w:highlight w:val="none"/>
        </w:rPr>
        <w:t>注：1、本表应附资格证书、身份证等复印件。</w:t>
      </w:r>
    </w:p>
    <w:p w14:paraId="0F5A91D7">
      <w:pPr>
        <w:pStyle w:val="13"/>
        <w:spacing w:line="400" w:lineRule="atLeast"/>
        <w:ind w:left="658" w:leftChars="209" w:hanging="220" w:hangingChars="100"/>
        <w:rPr>
          <w:rFonts w:hint="eastAsia" w:hAnsi="宋体"/>
          <w:color w:val="auto"/>
          <w:sz w:val="22"/>
          <w:highlight w:val="none"/>
        </w:rPr>
      </w:pPr>
      <w:r>
        <w:rPr>
          <w:rFonts w:hint="eastAsia" w:hAnsi="宋体"/>
          <w:color w:val="auto"/>
          <w:sz w:val="22"/>
          <w:szCs w:val="22"/>
          <w:highlight w:val="none"/>
        </w:rPr>
        <w:t>2、此表仅提供了表格形式，投标供应商可按此表格复制。</w:t>
      </w:r>
    </w:p>
    <w:p w14:paraId="170C8102">
      <w:pPr>
        <w:spacing w:line="500" w:lineRule="exact"/>
        <w:ind w:firstLine="5060" w:firstLineChars="2300"/>
        <w:rPr>
          <w:rFonts w:hint="eastAsia" w:ascii="宋体" w:hAnsi="宋体"/>
          <w:color w:val="auto"/>
          <w:sz w:val="22"/>
          <w:highlight w:val="none"/>
        </w:rPr>
      </w:pPr>
      <w:r>
        <w:rPr>
          <w:rFonts w:hint="eastAsia" w:ascii="宋体" w:hAnsi="宋体"/>
          <w:color w:val="auto"/>
          <w:sz w:val="22"/>
          <w:highlight w:val="none"/>
        </w:rPr>
        <w:t>投标供应商全称（盖章）：</w:t>
      </w:r>
    </w:p>
    <w:p w14:paraId="1C592CE9">
      <w:pPr>
        <w:spacing w:line="500" w:lineRule="exact"/>
        <w:jc w:val="right"/>
        <w:rPr>
          <w:rFonts w:hint="eastAsia" w:ascii="宋体" w:hAnsi="宋体"/>
          <w:color w:val="auto"/>
          <w:sz w:val="22"/>
          <w:highlight w:val="none"/>
        </w:rPr>
      </w:pPr>
      <w:r>
        <w:rPr>
          <w:rFonts w:hint="eastAsia" w:ascii="宋体" w:hAnsi="宋体"/>
          <w:color w:val="auto"/>
          <w:sz w:val="22"/>
          <w:szCs w:val="22"/>
          <w:highlight w:val="none"/>
        </w:rPr>
        <w:t>法定代表人或其委托代理人（签字或盖章）</w:t>
      </w:r>
      <w:r>
        <w:rPr>
          <w:rFonts w:hint="eastAsia" w:ascii="宋体" w:hAnsi="宋体"/>
          <w:color w:val="auto"/>
          <w:sz w:val="22"/>
          <w:highlight w:val="none"/>
        </w:rPr>
        <w:t>：</w:t>
      </w:r>
    </w:p>
    <w:p w14:paraId="182A5242">
      <w:pPr>
        <w:spacing w:line="500" w:lineRule="exact"/>
        <w:ind w:firstLine="5060" w:firstLineChars="2300"/>
        <w:rPr>
          <w:rFonts w:ascii="宋体" w:hAnsi="宋体"/>
          <w:color w:val="auto"/>
          <w:sz w:val="22"/>
          <w:highlight w:val="none"/>
        </w:rPr>
      </w:pPr>
      <w:r>
        <w:rPr>
          <w:rFonts w:hint="eastAsia" w:ascii="宋体" w:hAnsi="宋体"/>
          <w:color w:val="auto"/>
          <w:sz w:val="22"/>
          <w:highlight w:val="none"/>
        </w:rPr>
        <w:t>日    期：    年   月   日</w:t>
      </w:r>
    </w:p>
    <w:p w14:paraId="61EEE44F">
      <w:pPr>
        <w:spacing w:line="500" w:lineRule="exact"/>
        <w:ind w:firstLine="5060" w:firstLineChars="2300"/>
        <w:rPr>
          <w:rFonts w:hint="eastAsia" w:ascii="宋体" w:hAnsi="宋体"/>
          <w:b/>
          <w:bCs/>
          <w:color w:val="auto"/>
          <w:sz w:val="28"/>
          <w:szCs w:val="28"/>
          <w:highlight w:val="none"/>
        </w:rPr>
      </w:pPr>
      <w:r>
        <w:rPr>
          <w:rFonts w:ascii="宋体" w:hAnsi="宋体"/>
          <w:b/>
          <w:color w:val="auto"/>
          <w:sz w:val="22"/>
          <w:highlight w:val="none"/>
        </w:rPr>
        <w:br w:type="page"/>
      </w:r>
    </w:p>
    <w:p w14:paraId="1B05568F">
      <w:pPr>
        <w:spacing w:line="460" w:lineRule="exact"/>
        <w:jc w:val="left"/>
        <w:rPr>
          <w:rFonts w:hint="eastAsia" w:ascii="宋体" w:hAnsi="宋体"/>
          <w:b/>
          <w:bCs/>
          <w:color w:val="auto"/>
          <w:sz w:val="28"/>
          <w:szCs w:val="28"/>
          <w:highlight w:val="none"/>
        </w:rPr>
      </w:pPr>
      <w:r>
        <w:rPr>
          <w:rFonts w:hint="eastAsia" w:ascii="宋体" w:hAnsi="宋体"/>
          <w:b/>
          <w:color w:val="auto"/>
          <w:highlight w:val="none"/>
          <w:lang w:val="zh-CN"/>
        </w:rPr>
        <w:t>附件四</w:t>
      </w:r>
    </w:p>
    <w:p w14:paraId="4E7E0960">
      <w:pPr>
        <w:spacing w:line="460" w:lineRule="exact"/>
        <w:jc w:val="center"/>
        <w:rPr>
          <w:rFonts w:hint="eastAsia" w:ascii="宋体" w:hAnsi="宋体"/>
          <w:bCs/>
          <w:color w:val="auto"/>
          <w:sz w:val="28"/>
          <w:szCs w:val="28"/>
          <w:highlight w:val="none"/>
        </w:rPr>
      </w:pPr>
      <w:r>
        <w:rPr>
          <w:rFonts w:hint="eastAsia" w:ascii="宋体" w:hAnsi="宋体"/>
          <w:b/>
          <w:bCs/>
          <w:color w:val="auto"/>
          <w:sz w:val="28"/>
          <w:szCs w:val="28"/>
          <w:highlight w:val="none"/>
        </w:rPr>
        <w:t>投标供应商近年类似项目业绩</w:t>
      </w:r>
    </w:p>
    <w:p w14:paraId="21E74BA4">
      <w:pPr>
        <w:spacing w:line="460" w:lineRule="exact"/>
        <w:rPr>
          <w:rFonts w:hint="eastAsia" w:ascii="宋体" w:hAnsi="宋体"/>
          <w:bCs/>
          <w:color w:val="auto"/>
          <w:sz w:val="28"/>
          <w:szCs w:val="28"/>
          <w:highlight w:val="none"/>
        </w:rPr>
      </w:pPr>
      <w:r>
        <w:rPr>
          <w:rFonts w:hint="eastAsia" w:ascii="宋体" w:hAnsi="宋体"/>
          <w:bCs/>
          <w:color w:val="auto"/>
          <w:sz w:val="22"/>
          <w:szCs w:val="22"/>
          <w:highlight w:val="none"/>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432"/>
        <w:gridCol w:w="2162"/>
        <w:gridCol w:w="1441"/>
        <w:gridCol w:w="1261"/>
        <w:gridCol w:w="1321"/>
      </w:tblGrid>
      <w:tr w14:paraId="01D4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2081B77D">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序号</w:t>
            </w:r>
          </w:p>
        </w:tc>
        <w:tc>
          <w:tcPr>
            <w:tcW w:w="2432" w:type="dxa"/>
            <w:noWrap w:val="0"/>
            <w:vAlign w:val="center"/>
          </w:tcPr>
          <w:p w14:paraId="4E5B5C2F">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项目名称</w:t>
            </w:r>
          </w:p>
        </w:tc>
        <w:tc>
          <w:tcPr>
            <w:tcW w:w="2162" w:type="dxa"/>
            <w:noWrap w:val="0"/>
            <w:vAlign w:val="center"/>
          </w:tcPr>
          <w:p w14:paraId="253D099A">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用户单位</w:t>
            </w:r>
          </w:p>
        </w:tc>
        <w:tc>
          <w:tcPr>
            <w:tcW w:w="1441" w:type="dxa"/>
            <w:noWrap w:val="0"/>
            <w:vAlign w:val="center"/>
          </w:tcPr>
          <w:p w14:paraId="251300CA">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合同金额</w:t>
            </w:r>
          </w:p>
        </w:tc>
        <w:tc>
          <w:tcPr>
            <w:tcW w:w="1261" w:type="dxa"/>
            <w:noWrap w:val="0"/>
            <w:vAlign w:val="center"/>
          </w:tcPr>
          <w:p w14:paraId="57144B8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合同日期</w:t>
            </w:r>
          </w:p>
        </w:tc>
        <w:tc>
          <w:tcPr>
            <w:tcW w:w="1321" w:type="dxa"/>
            <w:noWrap w:val="0"/>
            <w:vAlign w:val="center"/>
          </w:tcPr>
          <w:p w14:paraId="742D420D">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联系方式</w:t>
            </w:r>
          </w:p>
        </w:tc>
      </w:tr>
      <w:tr w14:paraId="37C7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7941C07B">
            <w:pPr>
              <w:spacing w:line="380" w:lineRule="exact"/>
              <w:jc w:val="center"/>
              <w:rPr>
                <w:rFonts w:hint="eastAsia" w:ascii="宋体" w:hAnsi="宋体"/>
                <w:bCs/>
                <w:color w:val="auto"/>
                <w:sz w:val="22"/>
                <w:szCs w:val="22"/>
                <w:highlight w:val="none"/>
              </w:rPr>
            </w:pPr>
          </w:p>
        </w:tc>
        <w:tc>
          <w:tcPr>
            <w:tcW w:w="2432" w:type="dxa"/>
            <w:noWrap w:val="0"/>
            <w:vAlign w:val="center"/>
          </w:tcPr>
          <w:p w14:paraId="21B4E17A">
            <w:pPr>
              <w:spacing w:line="380" w:lineRule="exact"/>
              <w:jc w:val="center"/>
              <w:rPr>
                <w:rFonts w:hint="eastAsia" w:ascii="宋体" w:hAnsi="宋体"/>
                <w:bCs/>
                <w:color w:val="auto"/>
                <w:sz w:val="22"/>
                <w:szCs w:val="22"/>
                <w:highlight w:val="none"/>
              </w:rPr>
            </w:pPr>
          </w:p>
        </w:tc>
        <w:tc>
          <w:tcPr>
            <w:tcW w:w="2162" w:type="dxa"/>
            <w:noWrap w:val="0"/>
            <w:vAlign w:val="center"/>
          </w:tcPr>
          <w:p w14:paraId="3AEDA5D7">
            <w:pPr>
              <w:spacing w:line="380" w:lineRule="exact"/>
              <w:jc w:val="center"/>
              <w:rPr>
                <w:rFonts w:hint="eastAsia" w:ascii="宋体" w:hAnsi="宋体"/>
                <w:bCs/>
                <w:color w:val="auto"/>
                <w:sz w:val="22"/>
                <w:szCs w:val="22"/>
                <w:highlight w:val="none"/>
              </w:rPr>
            </w:pPr>
          </w:p>
        </w:tc>
        <w:tc>
          <w:tcPr>
            <w:tcW w:w="1441" w:type="dxa"/>
            <w:noWrap w:val="0"/>
            <w:vAlign w:val="center"/>
          </w:tcPr>
          <w:p w14:paraId="53523F1D">
            <w:pPr>
              <w:spacing w:line="380" w:lineRule="exact"/>
              <w:jc w:val="center"/>
              <w:rPr>
                <w:rFonts w:hint="eastAsia" w:ascii="宋体" w:hAnsi="宋体"/>
                <w:bCs/>
                <w:color w:val="auto"/>
                <w:sz w:val="22"/>
                <w:szCs w:val="22"/>
                <w:highlight w:val="none"/>
              </w:rPr>
            </w:pPr>
          </w:p>
        </w:tc>
        <w:tc>
          <w:tcPr>
            <w:tcW w:w="1261" w:type="dxa"/>
            <w:noWrap w:val="0"/>
            <w:vAlign w:val="center"/>
          </w:tcPr>
          <w:p w14:paraId="30007F6F">
            <w:pPr>
              <w:spacing w:line="380" w:lineRule="exact"/>
              <w:jc w:val="center"/>
              <w:rPr>
                <w:rFonts w:hint="eastAsia" w:ascii="宋体" w:hAnsi="宋体"/>
                <w:bCs/>
                <w:color w:val="auto"/>
                <w:sz w:val="22"/>
                <w:szCs w:val="22"/>
                <w:highlight w:val="none"/>
              </w:rPr>
            </w:pPr>
          </w:p>
        </w:tc>
        <w:tc>
          <w:tcPr>
            <w:tcW w:w="1321" w:type="dxa"/>
            <w:noWrap w:val="0"/>
            <w:vAlign w:val="center"/>
          </w:tcPr>
          <w:p w14:paraId="2DAD3833">
            <w:pPr>
              <w:spacing w:line="380" w:lineRule="exact"/>
              <w:jc w:val="center"/>
              <w:rPr>
                <w:rFonts w:hint="eastAsia" w:ascii="宋体" w:hAnsi="宋体"/>
                <w:bCs/>
                <w:color w:val="auto"/>
                <w:sz w:val="22"/>
                <w:szCs w:val="22"/>
                <w:highlight w:val="none"/>
              </w:rPr>
            </w:pPr>
          </w:p>
        </w:tc>
      </w:tr>
      <w:tr w14:paraId="52E9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534221EE">
            <w:pPr>
              <w:spacing w:line="380" w:lineRule="exact"/>
              <w:jc w:val="center"/>
              <w:rPr>
                <w:rFonts w:hint="eastAsia" w:ascii="宋体" w:hAnsi="宋体"/>
                <w:bCs/>
                <w:color w:val="auto"/>
                <w:sz w:val="22"/>
                <w:szCs w:val="22"/>
                <w:highlight w:val="none"/>
              </w:rPr>
            </w:pPr>
          </w:p>
        </w:tc>
        <w:tc>
          <w:tcPr>
            <w:tcW w:w="2432" w:type="dxa"/>
            <w:noWrap w:val="0"/>
            <w:vAlign w:val="center"/>
          </w:tcPr>
          <w:p w14:paraId="600A8E78">
            <w:pPr>
              <w:spacing w:line="380" w:lineRule="exact"/>
              <w:jc w:val="center"/>
              <w:rPr>
                <w:rFonts w:hint="eastAsia" w:ascii="宋体" w:hAnsi="宋体"/>
                <w:bCs/>
                <w:color w:val="auto"/>
                <w:sz w:val="22"/>
                <w:szCs w:val="22"/>
                <w:highlight w:val="none"/>
              </w:rPr>
            </w:pPr>
          </w:p>
        </w:tc>
        <w:tc>
          <w:tcPr>
            <w:tcW w:w="2162" w:type="dxa"/>
            <w:noWrap w:val="0"/>
            <w:vAlign w:val="center"/>
          </w:tcPr>
          <w:p w14:paraId="07EE222F">
            <w:pPr>
              <w:spacing w:line="380" w:lineRule="exact"/>
              <w:jc w:val="center"/>
              <w:rPr>
                <w:rFonts w:hint="eastAsia" w:ascii="宋体" w:hAnsi="宋体"/>
                <w:bCs/>
                <w:color w:val="auto"/>
                <w:sz w:val="22"/>
                <w:szCs w:val="22"/>
                <w:highlight w:val="none"/>
              </w:rPr>
            </w:pPr>
          </w:p>
        </w:tc>
        <w:tc>
          <w:tcPr>
            <w:tcW w:w="1441" w:type="dxa"/>
            <w:noWrap w:val="0"/>
            <w:vAlign w:val="center"/>
          </w:tcPr>
          <w:p w14:paraId="54EE5DDE">
            <w:pPr>
              <w:spacing w:line="380" w:lineRule="exact"/>
              <w:jc w:val="center"/>
              <w:rPr>
                <w:rFonts w:hint="eastAsia" w:ascii="宋体" w:hAnsi="宋体"/>
                <w:bCs/>
                <w:color w:val="auto"/>
                <w:sz w:val="22"/>
                <w:szCs w:val="22"/>
                <w:highlight w:val="none"/>
              </w:rPr>
            </w:pPr>
          </w:p>
        </w:tc>
        <w:tc>
          <w:tcPr>
            <w:tcW w:w="1261" w:type="dxa"/>
            <w:noWrap w:val="0"/>
            <w:vAlign w:val="center"/>
          </w:tcPr>
          <w:p w14:paraId="7A04FF77">
            <w:pPr>
              <w:spacing w:line="380" w:lineRule="exact"/>
              <w:jc w:val="center"/>
              <w:rPr>
                <w:rFonts w:hint="eastAsia" w:ascii="宋体" w:hAnsi="宋体"/>
                <w:bCs/>
                <w:color w:val="auto"/>
                <w:sz w:val="22"/>
                <w:szCs w:val="22"/>
                <w:highlight w:val="none"/>
              </w:rPr>
            </w:pPr>
          </w:p>
        </w:tc>
        <w:tc>
          <w:tcPr>
            <w:tcW w:w="1321" w:type="dxa"/>
            <w:noWrap w:val="0"/>
            <w:vAlign w:val="center"/>
          </w:tcPr>
          <w:p w14:paraId="2F5AFE84">
            <w:pPr>
              <w:spacing w:line="380" w:lineRule="exact"/>
              <w:jc w:val="center"/>
              <w:rPr>
                <w:rFonts w:hint="eastAsia" w:ascii="宋体" w:hAnsi="宋体"/>
                <w:bCs/>
                <w:color w:val="auto"/>
                <w:sz w:val="22"/>
                <w:szCs w:val="22"/>
                <w:highlight w:val="none"/>
              </w:rPr>
            </w:pPr>
          </w:p>
        </w:tc>
      </w:tr>
      <w:tr w14:paraId="2A5A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42A0E1D2">
            <w:pPr>
              <w:spacing w:line="380" w:lineRule="exact"/>
              <w:jc w:val="center"/>
              <w:rPr>
                <w:rFonts w:hint="eastAsia" w:ascii="宋体" w:hAnsi="宋体"/>
                <w:bCs/>
                <w:color w:val="auto"/>
                <w:sz w:val="22"/>
                <w:szCs w:val="22"/>
                <w:highlight w:val="none"/>
              </w:rPr>
            </w:pPr>
          </w:p>
        </w:tc>
        <w:tc>
          <w:tcPr>
            <w:tcW w:w="2432" w:type="dxa"/>
            <w:noWrap w:val="0"/>
            <w:vAlign w:val="center"/>
          </w:tcPr>
          <w:p w14:paraId="7D9D58A3">
            <w:pPr>
              <w:spacing w:line="380" w:lineRule="exact"/>
              <w:jc w:val="center"/>
              <w:rPr>
                <w:rFonts w:hint="eastAsia" w:ascii="宋体" w:hAnsi="宋体"/>
                <w:bCs/>
                <w:color w:val="auto"/>
                <w:sz w:val="22"/>
                <w:szCs w:val="22"/>
                <w:highlight w:val="none"/>
              </w:rPr>
            </w:pPr>
          </w:p>
        </w:tc>
        <w:tc>
          <w:tcPr>
            <w:tcW w:w="2162" w:type="dxa"/>
            <w:noWrap w:val="0"/>
            <w:vAlign w:val="center"/>
          </w:tcPr>
          <w:p w14:paraId="3116EA1D">
            <w:pPr>
              <w:spacing w:line="380" w:lineRule="exact"/>
              <w:jc w:val="center"/>
              <w:rPr>
                <w:rFonts w:hint="eastAsia" w:ascii="宋体" w:hAnsi="宋体"/>
                <w:bCs/>
                <w:color w:val="auto"/>
                <w:sz w:val="22"/>
                <w:szCs w:val="22"/>
                <w:highlight w:val="none"/>
              </w:rPr>
            </w:pPr>
          </w:p>
        </w:tc>
        <w:tc>
          <w:tcPr>
            <w:tcW w:w="1441" w:type="dxa"/>
            <w:noWrap w:val="0"/>
            <w:vAlign w:val="center"/>
          </w:tcPr>
          <w:p w14:paraId="1FAD9EAB">
            <w:pPr>
              <w:spacing w:line="380" w:lineRule="exact"/>
              <w:jc w:val="center"/>
              <w:rPr>
                <w:rFonts w:hint="eastAsia" w:ascii="宋体" w:hAnsi="宋体"/>
                <w:bCs/>
                <w:color w:val="auto"/>
                <w:sz w:val="22"/>
                <w:szCs w:val="22"/>
                <w:highlight w:val="none"/>
              </w:rPr>
            </w:pPr>
          </w:p>
        </w:tc>
        <w:tc>
          <w:tcPr>
            <w:tcW w:w="1261" w:type="dxa"/>
            <w:noWrap w:val="0"/>
            <w:vAlign w:val="center"/>
          </w:tcPr>
          <w:p w14:paraId="2ED5B430">
            <w:pPr>
              <w:spacing w:line="380" w:lineRule="exact"/>
              <w:jc w:val="center"/>
              <w:rPr>
                <w:rFonts w:hint="eastAsia" w:ascii="宋体" w:hAnsi="宋体"/>
                <w:bCs/>
                <w:color w:val="auto"/>
                <w:sz w:val="22"/>
                <w:szCs w:val="22"/>
                <w:highlight w:val="none"/>
              </w:rPr>
            </w:pPr>
          </w:p>
        </w:tc>
        <w:tc>
          <w:tcPr>
            <w:tcW w:w="1321" w:type="dxa"/>
            <w:noWrap w:val="0"/>
            <w:vAlign w:val="center"/>
          </w:tcPr>
          <w:p w14:paraId="0642258E">
            <w:pPr>
              <w:spacing w:line="380" w:lineRule="exact"/>
              <w:jc w:val="center"/>
              <w:rPr>
                <w:rFonts w:hint="eastAsia" w:ascii="宋体" w:hAnsi="宋体"/>
                <w:bCs/>
                <w:color w:val="auto"/>
                <w:sz w:val="22"/>
                <w:szCs w:val="22"/>
                <w:highlight w:val="none"/>
              </w:rPr>
            </w:pPr>
          </w:p>
        </w:tc>
      </w:tr>
      <w:tr w14:paraId="3B49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460AEDA">
            <w:pPr>
              <w:spacing w:line="380" w:lineRule="exact"/>
              <w:jc w:val="center"/>
              <w:rPr>
                <w:rFonts w:hint="eastAsia" w:ascii="宋体" w:hAnsi="宋体"/>
                <w:bCs/>
                <w:color w:val="auto"/>
                <w:sz w:val="22"/>
                <w:szCs w:val="22"/>
                <w:highlight w:val="none"/>
              </w:rPr>
            </w:pPr>
          </w:p>
        </w:tc>
        <w:tc>
          <w:tcPr>
            <w:tcW w:w="2432" w:type="dxa"/>
            <w:noWrap w:val="0"/>
            <w:vAlign w:val="center"/>
          </w:tcPr>
          <w:p w14:paraId="473DB070">
            <w:pPr>
              <w:spacing w:line="380" w:lineRule="exact"/>
              <w:jc w:val="center"/>
              <w:rPr>
                <w:rFonts w:hint="eastAsia" w:ascii="宋体" w:hAnsi="宋体"/>
                <w:bCs/>
                <w:color w:val="auto"/>
                <w:sz w:val="22"/>
                <w:szCs w:val="22"/>
                <w:highlight w:val="none"/>
              </w:rPr>
            </w:pPr>
          </w:p>
        </w:tc>
        <w:tc>
          <w:tcPr>
            <w:tcW w:w="2162" w:type="dxa"/>
            <w:noWrap w:val="0"/>
            <w:vAlign w:val="center"/>
          </w:tcPr>
          <w:p w14:paraId="633B2F42">
            <w:pPr>
              <w:spacing w:line="380" w:lineRule="exact"/>
              <w:jc w:val="center"/>
              <w:rPr>
                <w:rFonts w:hint="eastAsia" w:ascii="宋体" w:hAnsi="宋体"/>
                <w:bCs/>
                <w:color w:val="auto"/>
                <w:sz w:val="22"/>
                <w:szCs w:val="22"/>
                <w:highlight w:val="none"/>
              </w:rPr>
            </w:pPr>
          </w:p>
        </w:tc>
        <w:tc>
          <w:tcPr>
            <w:tcW w:w="1441" w:type="dxa"/>
            <w:noWrap w:val="0"/>
            <w:vAlign w:val="center"/>
          </w:tcPr>
          <w:p w14:paraId="296D4FBC">
            <w:pPr>
              <w:spacing w:line="380" w:lineRule="exact"/>
              <w:jc w:val="center"/>
              <w:rPr>
                <w:rFonts w:hint="eastAsia" w:ascii="宋体" w:hAnsi="宋体"/>
                <w:bCs/>
                <w:color w:val="auto"/>
                <w:sz w:val="22"/>
                <w:szCs w:val="22"/>
                <w:highlight w:val="none"/>
              </w:rPr>
            </w:pPr>
          </w:p>
        </w:tc>
        <w:tc>
          <w:tcPr>
            <w:tcW w:w="1261" w:type="dxa"/>
            <w:noWrap w:val="0"/>
            <w:vAlign w:val="center"/>
          </w:tcPr>
          <w:p w14:paraId="3AB24D1C">
            <w:pPr>
              <w:spacing w:line="380" w:lineRule="exact"/>
              <w:jc w:val="center"/>
              <w:rPr>
                <w:rFonts w:hint="eastAsia" w:ascii="宋体" w:hAnsi="宋体"/>
                <w:bCs/>
                <w:color w:val="auto"/>
                <w:sz w:val="22"/>
                <w:szCs w:val="22"/>
                <w:highlight w:val="none"/>
              </w:rPr>
            </w:pPr>
          </w:p>
        </w:tc>
        <w:tc>
          <w:tcPr>
            <w:tcW w:w="1321" w:type="dxa"/>
            <w:noWrap w:val="0"/>
            <w:vAlign w:val="center"/>
          </w:tcPr>
          <w:p w14:paraId="636A829B">
            <w:pPr>
              <w:spacing w:line="380" w:lineRule="exact"/>
              <w:jc w:val="center"/>
              <w:rPr>
                <w:rFonts w:hint="eastAsia" w:ascii="宋体" w:hAnsi="宋体"/>
                <w:bCs/>
                <w:color w:val="auto"/>
                <w:sz w:val="22"/>
                <w:szCs w:val="22"/>
                <w:highlight w:val="none"/>
              </w:rPr>
            </w:pPr>
          </w:p>
        </w:tc>
      </w:tr>
      <w:tr w14:paraId="11B1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4F997B70">
            <w:pPr>
              <w:spacing w:line="380" w:lineRule="exact"/>
              <w:jc w:val="center"/>
              <w:rPr>
                <w:rFonts w:hint="eastAsia" w:ascii="宋体" w:hAnsi="宋体"/>
                <w:bCs/>
                <w:color w:val="auto"/>
                <w:sz w:val="22"/>
                <w:szCs w:val="22"/>
                <w:highlight w:val="none"/>
              </w:rPr>
            </w:pPr>
          </w:p>
        </w:tc>
        <w:tc>
          <w:tcPr>
            <w:tcW w:w="2432" w:type="dxa"/>
            <w:noWrap w:val="0"/>
            <w:vAlign w:val="center"/>
          </w:tcPr>
          <w:p w14:paraId="37C86A13">
            <w:pPr>
              <w:spacing w:line="380" w:lineRule="exact"/>
              <w:jc w:val="center"/>
              <w:rPr>
                <w:rFonts w:hint="eastAsia" w:ascii="宋体" w:hAnsi="宋体"/>
                <w:bCs/>
                <w:color w:val="auto"/>
                <w:sz w:val="22"/>
                <w:szCs w:val="22"/>
                <w:highlight w:val="none"/>
              </w:rPr>
            </w:pPr>
          </w:p>
        </w:tc>
        <w:tc>
          <w:tcPr>
            <w:tcW w:w="2162" w:type="dxa"/>
            <w:noWrap w:val="0"/>
            <w:vAlign w:val="center"/>
          </w:tcPr>
          <w:p w14:paraId="630EFF17">
            <w:pPr>
              <w:spacing w:line="380" w:lineRule="exact"/>
              <w:jc w:val="center"/>
              <w:rPr>
                <w:rFonts w:hint="eastAsia" w:ascii="宋体" w:hAnsi="宋体"/>
                <w:bCs/>
                <w:color w:val="auto"/>
                <w:sz w:val="22"/>
                <w:szCs w:val="22"/>
                <w:highlight w:val="none"/>
              </w:rPr>
            </w:pPr>
          </w:p>
        </w:tc>
        <w:tc>
          <w:tcPr>
            <w:tcW w:w="1441" w:type="dxa"/>
            <w:noWrap w:val="0"/>
            <w:vAlign w:val="center"/>
          </w:tcPr>
          <w:p w14:paraId="6B0AB8FF">
            <w:pPr>
              <w:spacing w:line="380" w:lineRule="exact"/>
              <w:jc w:val="center"/>
              <w:rPr>
                <w:rFonts w:hint="eastAsia" w:ascii="宋体" w:hAnsi="宋体"/>
                <w:bCs/>
                <w:color w:val="auto"/>
                <w:sz w:val="22"/>
                <w:szCs w:val="22"/>
                <w:highlight w:val="none"/>
              </w:rPr>
            </w:pPr>
          </w:p>
        </w:tc>
        <w:tc>
          <w:tcPr>
            <w:tcW w:w="1261" w:type="dxa"/>
            <w:noWrap w:val="0"/>
            <w:vAlign w:val="center"/>
          </w:tcPr>
          <w:p w14:paraId="0B59EBED">
            <w:pPr>
              <w:spacing w:line="380" w:lineRule="exact"/>
              <w:jc w:val="center"/>
              <w:rPr>
                <w:rFonts w:hint="eastAsia" w:ascii="宋体" w:hAnsi="宋体"/>
                <w:bCs/>
                <w:color w:val="auto"/>
                <w:sz w:val="22"/>
                <w:szCs w:val="22"/>
                <w:highlight w:val="none"/>
              </w:rPr>
            </w:pPr>
          </w:p>
        </w:tc>
        <w:tc>
          <w:tcPr>
            <w:tcW w:w="1321" w:type="dxa"/>
            <w:noWrap w:val="0"/>
            <w:vAlign w:val="center"/>
          </w:tcPr>
          <w:p w14:paraId="2812CA2C">
            <w:pPr>
              <w:spacing w:line="380" w:lineRule="exact"/>
              <w:jc w:val="center"/>
              <w:rPr>
                <w:rFonts w:hint="eastAsia" w:ascii="宋体" w:hAnsi="宋体"/>
                <w:bCs/>
                <w:color w:val="auto"/>
                <w:sz w:val="22"/>
                <w:szCs w:val="22"/>
                <w:highlight w:val="none"/>
              </w:rPr>
            </w:pPr>
          </w:p>
        </w:tc>
      </w:tr>
      <w:tr w14:paraId="092E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186393A">
            <w:pPr>
              <w:spacing w:line="380" w:lineRule="exact"/>
              <w:jc w:val="center"/>
              <w:rPr>
                <w:rFonts w:hint="eastAsia" w:ascii="宋体" w:hAnsi="宋体"/>
                <w:bCs/>
                <w:color w:val="auto"/>
                <w:sz w:val="22"/>
                <w:szCs w:val="22"/>
                <w:highlight w:val="none"/>
              </w:rPr>
            </w:pPr>
          </w:p>
        </w:tc>
        <w:tc>
          <w:tcPr>
            <w:tcW w:w="2432" w:type="dxa"/>
            <w:noWrap w:val="0"/>
            <w:vAlign w:val="center"/>
          </w:tcPr>
          <w:p w14:paraId="69DF9034">
            <w:pPr>
              <w:spacing w:line="380" w:lineRule="exact"/>
              <w:jc w:val="center"/>
              <w:rPr>
                <w:rFonts w:hint="eastAsia" w:ascii="宋体" w:hAnsi="宋体"/>
                <w:bCs/>
                <w:color w:val="auto"/>
                <w:sz w:val="22"/>
                <w:szCs w:val="22"/>
                <w:highlight w:val="none"/>
              </w:rPr>
            </w:pPr>
          </w:p>
        </w:tc>
        <w:tc>
          <w:tcPr>
            <w:tcW w:w="2162" w:type="dxa"/>
            <w:noWrap w:val="0"/>
            <w:vAlign w:val="center"/>
          </w:tcPr>
          <w:p w14:paraId="6BA54F56">
            <w:pPr>
              <w:spacing w:line="380" w:lineRule="exact"/>
              <w:jc w:val="center"/>
              <w:rPr>
                <w:rFonts w:hint="eastAsia" w:ascii="宋体" w:hAnsi="宋体"/>
                <w:bCs/>
                <w:color w:val="auto"/>
                <w:sz w:val="22"/>
                <w:szCs w:val="22"/>
                <w:highlight w:val="none"/>
              </w:rPr>
            </w:pPr>
          </w:p>
        </w:tc>
        <w:tc>
          <w:tcPr>
            <w:tcW w:w="1441" w:type="dxa"/>
            <w:noWrap w:val="0"/>
            <w:vAlign w:val="center"/>
          </w:tcPr>
          <w:p w14:paraId="342E4718">
            <w:pPr>
              <w:spacing w:line="380" w:lineRule="exact"/>
              <w:jc w:val="center"/>
              <w:rPr>
                <w:rFonts w:hint="eastAsia" w:ascii="宋体" w:hAnsi="宋体"/>
                <w:bCs/>
                <w:color w:val="auto"/>
                <w:sz w:val="22"/>
                <w:szCs w:val="22"/>
                <w:highlight w:val="none"/>
              </w:rPr>
            </w:pPr>
          </w:p>
        </w:tc>
        <w:tc>
          <w:tcPr>
            <w:tcW w:w="1261" w:type="dxa"/>
            <w:noWrap w:val="0"/>
            <w:vAlign w:val="center"/>
          </w:tcPr>
          <w:p w14:paraId="2D0DD622">
            <w:pPr>
              <w:spacing w:line="380" w:lineRule="exact"/>
              <w:jc w:val="center"/>
              <w:rPr>
                <w:rFonts w:hint="eastAsia" w:ascii="宋体" w:hAnsi="宋体"/>
                <w:bCs/>
                <w:color w:val="auto"/>
                <w:sz w:val="22"/>
                <w:szCs w:val="22"/>
                <w:highlight w:val="none"/>
              </w:rPr>
            </w:pPr>
          </w:p>
        </w:tc>
        <w:tc>
          <w:tcPr>
            <w:tcW w:w="1321" w:type="dxa"/>
            <w:noWrap w:val="0"/>
            <w:vAlign w:val="center"/>
          </w:tcPr>
          <w:p w14:paraId="07566048">
            <w:pPr>
              <w:spacing w:line="380" w:lineRule="exact"/>
              <w:jc w:val="center"/>
              <w:rPr>
                <w:rFonts w:hint="eastAsia" w:ascii="宋体" w:hAnsi="宋体"/>
                <w:bCs/>
                <w:color w:val="auto"/>
                <w:sz w:val="22"/>
                <w:szCs w:val="22"/>
                <w:highlight w:val="none"/>
              </w:rPr>
            </w:pPr>
          </w:p>
        </w:tc>
      </w:tr>
      <w:tr w14:paraId="7A4D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033DF6B9">
            <w:pPr>
              <w:spacing w:line="380" w:lineRule="exact"/>
              <w:jc w:val="center"/>
              <w:rPr>
                <w:rFonts w:hint="eastAsia" w:ascii="宋体" w:hAnsi="宋体"/>
                <w:bCs/>
                <w:color w:val="auto"/>
                <w:sz w:val="22"/>
                <w:szCs w:val="22"/>
                <w:highlight w:val="none"/>
              </w:rPr>
            </w:pPr>
          </w:p>
        </w:tc>
        <w:tc>
          <w:tcPr>
            <w:tcW w:w="2432" w:type="dxa"/>
            <w:noWrap w:val="0"/>
            <w:vAlign w:val="center"/>
          </w:tcPr>
          <w:p w14:paraId="3662D68E">
            <w:pPr>
              <w:spacing w:line="380" w:lineRule="exact"/>
              <w:jc w:val="center"/>
              <w:rPr>
                <w:rFonts w:hint="eastAsia" w:ascii="宋体" w:hAnsi="宋体"/>
                <w:bCs/>
                <w:color w:val="auto"/>
                <w:sz w:val="22"/>
                <w:szCs w:val="22"/>
                <w:highlight w:val="none"/>
              </w:rPr>
            </w:pPr>
          </w:p>
        </w:tc>
        <w:tc>
          <w:tcPr>
            <w:tcW w:w="2162" w:type="dxa"/>
            <w:noWrap w:val="0"/>
            <w:vAlign w:val="center"/>
          </w:tcPr>
          <w:p w14:paraId="76AFA765">
            <w:pPr>
              <w:spacing w:line="380" w:lineRule="exact"/>
              <w:jc w:val="center"/>
              <w:rPr>
                <w:rFonts w:hint="eastAsia" w:ascii="宋体" w:hAnsi="宋体"/>
                <w:bCs/>
                <w:color w:val="auto"/>
                <w:sz w:val="22"/>
                <w:szCs w:val="22"/>
                <w:highlight w:val="none"/>
              </w:rPr>
            </w:pPr>
          </w:p>
        </w:tc>
        <w:tc>
          <w:tcPr>
            <w:tcW w:w="1441" w:type="dxa"/>
            <w:noWrap w:val="0"/>
            <w:vAlign w:val="center"/>
          </w:tcPr>
          <w:p w14:paraId="3E51DE02">
            <w:pPr>
              <w:spacing w:line="380" w:lineRule="exact"/>
              <w:jc w:val="center"/>
              <w:rPr>
                <w:rFonts w:hint="eastAsia" w:ascii="宋体" w:hAnsi="宋体"/>
                <w:bCs/>
                <w:color w:val="auto"/>
                <w:sz w:val="22"/>
                <w:szCs w:val="22"/>
                <w:highlight w:val="none"/>
              </w:rPr>
            </w:pPr>
          </w:p>
        </w:tc>
        <w:tc>
          <w:tcPr>
            <w:tcW w:w="1261" w:type="dxa"/>
            <w:noWrap w:val="0"/>
            <w:vAlign w:val="center"/>
          </w:tcPr>
          <w:p w14:paraId="680A729E">
            <w:pPr>
              <w:spacing w:line="380" w:lineRule="exact"/>
              <w:jc w:val="center"/>
              <w:rPr>
                <w:rFonts w:hint="eastAsia" w:ascii="宋体" w:hAnsi="宋体"/>
                <w:bCs/>
                <w:color w:val="auto"/>
                <w:sz w:val="22"/>
                <w:szCs w:val="22"/>
                <w:highlight w:val="none"/>
              </w:rPr>
            </w:pPr>
          </w:p>
        </w:tc>
        <w:tc>
          <w:tcPr>
            <w:tcW w:w="1321" w:type="dxa"/>
            <w:noWrap w:val="0"/>
            <w:vAlign w:val="center"/>
          </w:tcPr>
          <w:p w14:paraId="399FCB94">
            <w:pPr>
              <w:spacing w:line="380" w:lineRule="exact"/>
              <w:jc w:val="center"/>
              <w:rPr>
                <w:rFonts w:hint="eastAsia" w:ascii="宋体" w:hAnsi="宋体"/>
                <w:bCs/>
                <w:color w:val="auto"/>
                <w:sz w:val="22"/>
                <w:szCs w:val="22"/>
                <w:highlight w:val="none"/>
              </w:rPr>
            </w:pPr>
          </w:p>
        </w:tc>
      </w:tr>
      <w:tr w14:paraId="6E92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6521A13">
            <w:pPr>
              <w:spacing w:line="380" w:lineRule="exact"/>
              <w:jc w:val="center"/>
              <w:rPr>
                <w:rFonts w:hint="eastAsia" w:ascii="宋体" w:hAnsi="宋体"/>
                <w:bCs/>
                <w:color w:val="auto"/>
                <w:sz w:val="22"/>
                <w:szCs w:val="22"/>
                <w:highlight w:val="none"/>
              </w:rPr>
            </w:pPr>
          </w:p>
        </w:tc>
        <w:tc>
          <w:tcPr>
            <w:tcW w:w="2432" w:type="dxa"/>
            <w:noWrap w:val="0"/>
            <w:vAlign w:val="center"/>
          </w:tcPr>
          <w:p w14:paraId="79BDB969">
            <w:pPr>
              <w:spacing w:line="380" w:lineRule="exact"/>
              <w:jc w:val="center"/>
              <w:rPr>
                <w:rFonts w:hint="eastAsia" w:ascii="宋体" w:hAnsi="宋体"/>
                <w:bCs/>
                <w:color w:val="auto"/>
                <w:sz w:val="22"/>
                <w:szCs w:val="22"/>
                <w:highlight w:val="none"/>
              </w:rPr>
            </w:pPr>
          </w:p>
        </w:tc>
        <w:tc>
          <w:tcPr>
            <w:tcW w:w="2162" w:type="dxa"/>
            <w:noWrap w:val="0"/>
            <w:vAlign w:val="center"/>
          </w:tcPr>
          <w:p w14:paraId="159C2592">
            <w:pPr>
              <w:spacing w:line="380" w:lineRule="exact"/>
              <w:jc w:val="center"/>
              <w:rPr>
                <w:rFonts w:hint="eastAsia" w:ascii="宋体" w:hAnsi="宋体"/>
                <w:bCs/>
                <w:color w:val="auto"/>
                <w:sz w:val="22"/>
                <w:szCs w:val="22"/>
                <w:highlight w:val="none"/>
              </w:rPr>
            </w:pPr>
          </w:p>
        </w:tc>
        <w:tc>
          <w:tcPr>
            <w:tcW w:w="1441" w:type="dxa"/>
            <w:noWrap w:val="0"/>
            <w:vAlign w:val="center"/>
          </w:tcPr>
          <w:p w14:paraId="4AB074F0">
            <w:pPr>
              <w:spacing w:line="380" w:lineRule="exact"/>
              <w:jc w:val="center"/>
              <w:rPr>
                <w:rFonts w:hint="eastAsia" w:ascii="宋体" w:hAnsi="宋体"/>
                <w:bCs/>
                <w:color w:val="auto"/>
                <w:sz w:val="22"/>
                <w:szCs w:val="22"/>
                <w:highlight w:val="none"/>
              </w:rPr>
            </w:pPr>
          </w:p>
        </w:tc>
        <w:tc>
          <w:tcPr>
            <w:tcW w:w="1261" w:type="dxa"/>
            <w:noWrap w:val="0"/>
            <w:vAlign w:val="center"/>
          </w:tcPr>
          <w:p w14:paraId="2DC1DB26">
            <w:pPr>
              <w:spacing w:line="380" w:lineRule="exact"/>
              <w:jc w:val="center"/>
              <w:rPr>
                <w:rFonts w:hint="eastAsia" w:ascii="宋体" w:hAnsi="宋体"/>
                <w:bCs/>
                <w:color w:val="auto"/>
                <w:sz w:val="22"/>
                <w:szCs w:val="22"/>
                <w:highlight w:val="none"/>
              </w:rPr>
            </w:pPr>
          </w:p>
        </w:tc>
        <w:tc>
          <w:tcPr>
            <w:tcW w:w="1321" w:type="dxa"/>
            <w:noWrap w:val="0"/>
            <w:vAlign w:val="center"/>
          </w:tcPr>
          <w:p w14:paraId="6FA8DAB8">
            <w:pPr>
              <w:spacing w:line="380" w:lineRule="exact"/>
              <w:jc w:val="center"/>
              <w:rPr>
                <w:rFonts w:hint="eastAsia" w:ascii="宋体" w:hAnsi="宋体"/>
                <w:bCs/>
                <w:color w:val="auto"/>
                <w:sz w:val="22"/>
                <w:szCs w:val="22"/>
                <w:highlight w:val="none"/>
              </w:rPr>
            </w:pPr>
          </w:p>
        </w:tc>
      </w:tr>
      <w:tr w14:paraId="27CB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9B77A2C">
            <w:pPr>
              <w:spacing w:line="380" w:lineRule="exact"/>
              <w:jc w:val="center"/>
              <w:rPr>
                <w:rFonts w:hint="eastAsia" w:ascii="宋体" w:hAnsi="宋体"/>
                <w:bCs/>
                <w:color w:val="auto"/>
                <w:sz w:val="22"/>
                <w:szCs w:val="22"/>
                <w:highlight w:val="none"/>
              </w:rPr>
            </w:pPr>
          </w:p>
        </w:tc>
        <w:tc>
          <w:tcPr>
            <w:tcW w:w="2432" w:type="dxa"/>
            <w:noWrap w:val="0"/>
            <w:vAlign w:val="center"/>
          </w:tcPr>
          <w:p w14:paraId="114EA9A4">
            <w:pPr>
              <w:spacing w:line="380" w:lineRule="exact"/>
              <w:jc w:val="center"/>
              <w:rPr>
                <w:rFonts w:hint="eastAsia" w:ascii="宋体" w:hAnsi="宋体"/>
                <w:bCs/>
                <w:color w:val="auto"/>
                <w:sz w:val="22"/>
                <w:szCs w:val="22"/>
                <w:highlight w:val="none"/>
              </w:rPr>
            </w:pPr>
          </w:p>
        </w:tc>
        <w:tc>
          <w:tcPr>
            <w:tcW w:w="2162" w:type="dxa"/>
            <w:noWrap w:val="0"/>
            <w:vAlign w:val="center"/>
          </w:tcPr>
          <w:p w14:paraId="5B6A48FB">
            <w:pPr>
              <w:spacing w:line="380" w:lineRule="exact"/>
              <w:jc w:val="center"/>
              <w:rPr>
                <w:rFonts w:hint="eastAsia" w:ascii="宋体" w:hAnsi="宋体"/>
                <w:bCs/>
                <w:color w:val="auto"/>
                <w:sz w:val="22"/>
                <w:szCs w:val="22"/>
                <w:highlight w:val="none"/>
              </w:rPr>
            </w:pPr>
          </w:p>
        </w:tc>
        <w:tc>
          <w:tcPr>
            <w:tcW w:w="1441" w:type="dxa"/>
            <w:noWrap w:val="0"/>
            <w:vAlign w:val="center"/>
          </w:tcPr>
          <w:p w14:paraId="1315C030">
            <w:pPr>
              <w:spacing w:line="380" w:lineRule="exact"/>
              <w:jc w:val="center"/>
              <w:rPr>
                <w:rFonts w:hint="eastAsia" w:ascii="宋体" w:hAnsi="宋体"/>
                <w:bCs/>
                <w:color w:val="auto"/>
                <w:sz w:val="22"/>
                <w:szCs w:val="22"/>
                <w:highlight w:val="none"/>
              </w:rPr>
            </w:pPr>
          </w:p>
        </w:tc>
        <w:tc>
          <w:tcPr>
            <w:tcW w:w="1261" w:type="dxa"/>
            <w:noWrap w:val="0"/>
            <w:vAlign w:val="center"/>
          </w:tcPr>
          <w:p w14:paraId="1B2BA4F5">
            <w:pPr>
              <w:spacing w:line="380" w:lineRule="exact"/>
              <w:jc w:val="center"/>
              <w:rPr>
                <w:rFonts w:hint="eastAsia" w:ascii="宋体" w:hAnsi="宋体"/>
                <w:bCs/>
                <w:color w:val="auto"/>
                <w:sz w:val="22"/>
                <w:szCs w:val="22"/>
                <w:highlight w:val="none"/>
              </w:rPr>
            </w:pPr>
          </w:p>
        </w:tc>
        <w:tc>
          <w:tcPr>
            <w:tcW w:w="1321" w:type="dxa"/>
            <w:noWrap w:val="0"/>
            <w:vAlign w:val="center"/>
          </w:tcPr>
          <w:p w14:paraId="71187465">
            <w:pPr>
              <w:spacing w:line="380" w:lineRule="exact"/>
              <w:jc w:val="center"/>
              <w:rPr>
                <w:rFonts w:hint="eastAsia" w:ascii="宋体" w:hAnsi="宋体"/>
                <w:bCs/>
                <w:color w:val="auto"/>
                <w:sz w:val="22"/>
                <w:szCs w:val="22"/>
                <w:highlight w:val="none"/>
              </w:rPr>
            </w:pPr>
          </w:p>
        </w:tc>
      </w:tr>
      <w:tr w14:paraId="0F53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5F3B4563">
            <w:pPr>
              <w:spacing w:line="380" w:lineRule="exact"/>
              <w:jc w:val="center"/>
              <w:rPr>
                <w:rFonts w:hint="eastAsia" w:ascii="宋体" w:hAnsi="宋体"/>
                <w:bCs/>
                <w:color w:val="auto"/>
                <w:sz w:val="22"/>
                <w:szCs w:val="22"/>
                <w:highlight w:val="none"/>
              </w:rPr>
            </w:pPr>
          </w:p>
        </w:tc>
        <w:tc>
          <w:tcPr>
            <w:tcW w:w="2432" w:type="dxa"/>
            <w:noWrap w:val="0"/>
            <w:vAlign w:val="center"/>
          </w:tcPr>
          <w:p w14:paraId="51BE4161">
            <w:pPr>
              <w:spacing w:line="380" w:lineRule="exact"/>
              <w:jc w:val="center"/>
              <w:rPr>
                <w:rFonts w:hint="eastAsia" w:ascii="宋体" w:hAnsi="宋体"/>
                <w:bCs/>
                <w:color w:val="auto"/>
                <w:sz w:val="22"/>
                <w:szCs w:val="22"/>
                <w:highlight w:val="none"/>
              </w:rPr>
            </w:pPr>
          </w:p>
        </w:tc>
        <w:tc>
          <w:tcPr>
            <w:tcW w:w="2162" w:type="dxa"/>
            <w:noWrap w:val="0"/>
            <w:vAlign w:val="center"/>
          </w:tcPr>
          <w:p w14:paraId="0149EEB0">
            <w:pPr>
              <w:spacing w:line="380" w:lineRule="exact"/>
              <w:jc w:val="center"/>
              <w:rPr>
                <w:rFonts w:hint="eastAsia" w:ascii="宋体" w:hAnsi="宋体"/>
                <w:bCs/>
                <w:color w:val="auto"/>
                <w:sz w:val="22"/>
                <w:szCs w:val="22"/>
                <w:highlight w:val="none"/>
              </w:rPr>
            </w:pPr>
          </w:p>
        </w:tc>
        <w:tc>
          <w:tcPr>
            <w:tcW w:w="1441" w:type="dxa"/>
            <w:noWrap w:val="0"/>
            <w:vAlign w:val="center"/>
          </w:tcPr>
          <w:p w14:paraId="5D1CE7C5">
            <w:pPr>
              <w:spacing w:line="380" w:lineRule="exact"/>
              <w:jc w:val="center"/>
              <w:rPr>
                <w:rFonts w:hint="eastAsia" w:ascii="宋体" w:hAnsi="宋体"/>
                <w:bCs/>
                <w:color w:val="auto"/>
                <w:sz w:val="22"/>
                <w:szCs w:val="22"/>
                <w:highlight w:val="none"/>
              </w:rPr>
            </w:pPr>
          </w:p>
        </w:tc>
        <w:tc>
          <w:tcPr>
            <w:tcW w:w="1261" w:type="dxa"/>
            <w:noWrap w:val="0"/>
            <w:vAlign w:val="center"/>
          </w:tcPr>
          <w:p w14:paraId="15747D3E">
            <w:pPr>
              <w:spacing w:line="380" w:lineRule="exact"/>
              <w:jc w:val="center"/>
              <w:rPr>
                <w:rFonts w:hint="eastAsia" w:ascii="宋体" w:hAnsi="宋体"/>
                <w:bCs/>
                <w:color w:val="auto"/>
                <w:sz w:val="22"/>
                <w:szCs w:val="22"/>
                <w:highlight w:val="none"/>
              </w:rPr>
            </w:pPr>
          </w:p>
        </w:tc>
        <w:tc>
          <w:tcPr>
            <w:tcW w:w="1321" w:type="dxa"/>
            <w:noWrap w:val="0"/>
            <w:vAlign w:val="center"/>
          </w:tcPr>
          <w:p w14:paraId="03DFC8BF">
            <w:pPr>
              <w:spacing w:line="380" w:lineRule="exact"/>
              <w:jc w:val="center"/>
              <w:rPr>
                <w:rFonts w:hint="eastAsia" w:ascii="宋体" w:hAnsi="宋体"/>
                <w:bCs/>
                <w:color w:val="auto"/>
                <w:sz w:val="22"/>
                <w:szCs w:val="22"/>
                <w:highlight w:val="none"/>
              </w:rPr>
            </w:pPr>
          </w:p>
        </w:tc>
      </w:tr>
      <w:tr w14:paraId="0533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2CED17AF">
            <w:pPr>
              <w:spacing w:line="380" w:lineRule="exact"/>
              <w:jc w:val="center"/>
              <w:rPr>
                <w:rFonts w:hint="eastAsia" w:ascii="宋体" w:hAnsi="宋体"/>
                <w:bCs/>
                <w:color w:val="auto"/>
                <w:sz w:val="22"/>
                <w:szCs w:val="22"/>
                <w:highlight w:val="none"/>
              </w:rPr>
            </w:pPr>
          </w:p>
        </w:tc>
        <w:tc>
          <w:tcPr>
            <w:tcW w:w="2432" w:type="dxa"/>
            <w:noWrap w:val="0"/>
            <w:vAlign w:val="center"/>
          </w:tcPr>
          <w:p w14:paraId="630DFFED">
            <w:pPr>
              <w:spacing w:line="380" w:lineRule="exact"/>
              <w:jc w:val="center"/>
              <w:rPr>
                <w:rFonts w:hint="eastAsia" w:ascii="宋体" w:hAnsi="宋体"/>
                <w:bCs/>
                <w:color w:val="auto"/>
                <w:sz w:val="22"/>
                <w:szCs w:val="22"/>
                <w:highlight w:val="none"/>
              </w:rPr>
            </w:pPr>
          </w:p>
        </w:tc>
        <w:tc>
          <w:tcPr>
            <w:tcW w:w="2162" w:type="dxa"/>
            <w:noWrap w:val="0"/>
            <w:vAlign w:val="center"/>
          </w:tcPr>
          <w:p w14:paraId="661DCBB9">
            <w:pPr>
              <w:spacing w:line="380" w:lineRule="exact"/>
              <w:jc w:val="center"/>
              <w:rPr>
                <w:rFonts w:hint="eastAsia" w:ascii="宋体" w:hAnsi="宋体"/>
                <w:bCs/>
                <w:color w:val="auto"/>
                <w:sz w:val="22"/>
                <w:szCs w:val="22"/>
                <w:highlight w:val="none"/>
              </w:rPr>
            </w:pPr>
          </w:p>
        </w:tc>
        <w:tc>
          <w:tcPr>
            <w:tcW w:w="1441" w:type="dxa"/>
            <w:noWrap w:val="0"/>
            <w:vAlign w:val="center"/>
          </w:tcPr>
          <w:p w14:paraId="03CA1E5D">
            <w:pPr>
              <w:spacing w:line="380" w:lineRule="exact"/>
              <w:jc w:val="center"/>
              <w:rPr>
                <w:rFonts w:hint="eastAsia" w:ascii="宋体" w:hAnsi="宋体"/>
                <w:bCs/>
                <w:color w:val="auto"/>
                <w:sz w:val="22"/>
                <w:szCs w:val="22"/>
                <w:highlight w:val="none"/>
              </w:rPr>
            </w:pPr>
          </w:p>
        </w:tc>
        <w:tc>
          <w:tcPr>
            <w:tcW w:w="1261" w:type="dxa"/>
            <w:noWrap w:val="0"/>
            <w:vAlign w:val="center"/>
          </w:tcPr>
          <w:p w14:paraId="3A8CB5B3">
            <w:pPr>
              <w:spacing w:line="380" w:lineRule="exact"/>
              <w:jc w:val="center"/>
              <w:rPr>
                <w:rFonts w:hint="eastAsia" w:ascii="宋体" w:hAnsi="宋体"/>
                <w:bCs/>
                <w:color w:val="auto"/>
                <w:sz w:val="22"/>
                <w:szCs w:val="22"/>
                <w:highlight w:val="none"/>
              </w:rPr>
            </w:pPr>
          </w:p>
        </w:tc>
        <w:tc>
          <w:tcPr>
            <w:tcW w:w="1321" w:type="dxa"/>
            <w:noWrap w:val="0"/>
            <w:vAlign w:val="center"/>
          </w:tcPr>
          <w:p w14:paraId="7147DDB9">
            <w:pPr>
              <w:spacing w:line="380" w:lineRule="exact"/>
              <w:jc w:val="center"/>
              <w:rPr>
                <w:rFonts w:hint="eastAsia" w:ascii="宋体" w:hAnsi="宋体"/>
                <w:bCs/>
                <w:color w:val="auto"/>
                <w:sz w:val="22"/>
                <w:szCs w:val="22"/>
                <w:highlight w:val="none"/>
              </w:rPr>
            </w:pPr>
          </w:p>
        </w:tc>
      </w:tr>
      <w:tr w14:paraId="29C2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5EF8BF50">
            <w:pPr>
              <w:spacing w:line="380" w:lineRule="exact"/>
              <w:jc w:val="center"/>
              <w:rPr>
                <w:rFonts w:hint="eastAsia" w:ascii="宋体" w:hAnsi="宋体"/>
                <w:bCs/>
                <w:color w:val="auto"/>
                <w:sz w:val="22"/>
                <w:szCs w:val="22"/>
                <w:highlight w:val="none"/>
              </w:rPr>
            </w:pPr>
          </w:p>
        </w:tc>
        <w:tc>
          <w:tcPr>
            <w:tcW w:w="2432" w:type="dxa"/>
            <w:noWrap w:val="0"/>
            <w:vAlign w:val="center"/>
          </w:tcPr>
          <w:p w14:paraId="4B8747B3">
            <w:pPr>
              <w:spacing w:line="380" w:lineRule="exact"/>
              <w:jc w:val="center"/>
              <w:rPr>
                <w:rFonts w:hint="eastAsia" w:ascii="宋体" w:hAnsi="宋体"/>
                <w:bCs/>
                <w:color w:val="auto"/>
                <w:sz w:val="22"/>
                <w:szCs w:val="22"/>
                <w:highlight w:val="none"/>
              </w:rPr>
            </w:pPr>
          </w:p>
        </w:tc>
        <w:tc>
          <w:tcPr>
            <w:tcW w:w="2162" w:type="dxa"/>
            <w:noWrap w:val="0"/>
            <w:vAlign w:val="center"/>
          </w:tcPr>
          <w:p w14:paraId="2519D336">
            <w:pPr>
              <w:spacing w:line="380" w:lineRule="exact"/>
              <w:jc w:val="center"/>
              <w:rPr>
                <w:rFonts w:hint="eastAsia" w:ascii="宋体" w:hAnsi="宋体"/>
                <w:bCs/>
                <w:color w:val="auto"/>
                <w:sz w:val="22"/>
                <w:szCs w:val="22"/>
                <w:highlight w:val="none"/>
              </w:rPr>
            </w:pPr>
          </w:p>
        </w:tc>
        <w:tc>
          <w:tcPr>
            <w:tcW w:w="1441" w:type="dxa"/>
            <w:noWrap w:val="0"/>
            <w:vAlign w:val="center"/>
          </w:tcPr>
          <w:p w14:paraId="4C974491">
            <w:pPr>
              <w:spacing w:line="380" w:lineRule="exact"/>
              <w:jc w:val="center"/>
              <w:rPr>
                <w:rFonts w:hint="eastAsia" w:ascii="宋体" w:hAnsi="宋体"/>
                <w:bCs/>
                <w:color w:val="auto"/>
                <w:sz w:val="22"/>
                <w:szCs w:val="22"/>
                <w:highlight w:val="none"/>
              </w:rPr>
            </w:pPr>
          </w:p>
        </w:tc>
        <w:tc>
          <w:tcPr>
            <w:tcW w:w="1261" w:type="dxa"/>
            <w:noWrap w:val="0"/>
            <w:vAlign w:val="center"/>
          </w:tcPr>
          <w:p w14:paraId="31E842B4">
            <w:pPr>
              <w:spacing w:line="380" w:lineRule="exact"/>
              <w:jc w:val="center"/>
              <w:rPr>
                <w:rFonts w:hint="eastAsia" w:ascii="宋体" w:hAnsi="宋体"/>
                <w:bCs/>
                <w:color w:val="auto"/>
                <w:sz w:val="22"/>
                <w:szCs w:val="22"/>
                <w:highlight w:val="none"/>
              </w:rPr>
            </w:pPr>
          </w:p>
        </w:tc>
        <w:tc>
          <w:tcPr>
            <w:tcW w:w="1321" w:type="dxa"/>
            <w:noWrap w:val="0"/>
            <w:vAlign w:val="center"/>
          </w:tcPr>
          <w:p w14:paraId="340383DA">
            <w:pPr>
              <w:spacing w:line="380" w:lineRule="exact"/>
              <w:jc w:val="center"/>
              <w:rPr>
                <w:rFonts w:hint="eastAsia" w:ascii="宋体" w:hAnsi="宋体"/>
                <w:bCs/>
                <w:color w:val="auto"/>
                <w:sz w:val="22"/>
                <w:szCs w:val="22"/>
                <w:highlight w:val="none"/>
              </w:rPr>
            </w:pPr>
          </w:p>
        </w:tc>
      </w:tr>
    </w:tbl>
    <w:p w14:paraId="535E76E2">
      <w:pPr>
        <w:spacing w:line="460" w:lineRule="exact"/>
        <w:ind w:left="755" w:hanging="754" w:hangingChars="343"/>
        <w:rPr>
          <w:rFonts w:hint="eastAsia" w:ascii="宋体" w:hAnsi="宋体"/>
          <w:color w:val="auto"/>
          <w:sz w:val="22"/>
          <w:szCs w:val="22"/>
          <w:highlight w:val="none"/>
        </w:rPr>
      </w:pPr>
      <w:r>
        <w:rPr>
          <w:rFonts w:hint="eastAsia" w:ascii="宋体" w:hAnsi="宋体"/>
          <w:bCs/>
          <w:color w:val="auto"/>
          <w:sz w:val="22"/>
          <w:szCs w:val="22"/>
          <w:highlight w:val="none"/>
        </w:rPr>
        <w:t>注：</w:t>
      </w:r>
      <w:r>
        <w:rPr>
          <w:rFonts w:hint="eastAsia" w:ascii="宋体" w:hAnsi="宋体"/>
          <w:color w:val="auto"/>
          <w:sz w:val="22"/>
          <w:szCs w:val="22"/>
          <w:highlight w:val="none"/>
        </w:rPr>
        <w:t>1、供应商2016年1月1日至今已完成的类似业绩，业绩证明应提供合同复印件（合同复印件加盖公章）</w:t>
      </w:r>
    </w:p>
    <w:p w14:paraId="5A54FA88">
      <w:pPr>
        <w:spacing w:line="38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2、投标供应商可按此表格式复制。</w:t>
      </w:r>
    </w:p>
    <w:p w14:paraId="13FBA03E">
      <w:pPr>
        <w:spacing w:line="380" w:lineRule="exact"/>
        <w:ind w:firstLine="4400" w:firstLineChars="2000"/>
        <w:rPr>
          <w:rFonts w:hint="eastAsia" w:ascii="宋体" w:hAnsi="宋体"/>
          <w:color w:val="auto"/>
          <w:sz w:val="22"/>
          <w:szCs w:val="22"/>
          <w:highlight w:val="none"/>
        </w:rPr>
      </w:pPr>
    </w:p>
    <w:p w14:paraId="641671C4">
      <w:pPr>
        <w:spacing w:line="380" w:lineRule="exact"/>
        <w:ind w:firstLine="4400" w:firstLineChars="2000"/>
        <w:rPr>
          <w:rFonts w:hint="eastAsia" w:ascii="宋体" w:hAnsi="宋体"/>
          <w:color w:val="auto"/>
          <w:sz w:val="22"/>
          <w:szCs w:val="22"/>
          <w:highlight w:val="none"/>
        </w:rPr>
      </w:pPr>
    </w:p>
    <w:p w14:paraId="76C300E5">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13EDE001">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2F31F1F2">
      <w:pPr>
        <w:spacing w:line="400" w:lineRule="exact"/>
        <w:ind w:left="147" w:leftChars="70" w:firstLine="4261" w:firstLineChars="1937"/>
        <w:rPr>
          <w:rFonts w:hint="eastAsia" w:ascii="宋体" w:hAnsi="宋体"/>
          <w:color w:val="auto"/>
          <w:sz w:val="22"/>
          <w:highlight w:val="none"/>
        </w:rPr>
      </w:pPr>
      <w:r>
        <w:rPr>
          <w:rFonts w:hint="eastAsia" w:ascii="宋体" w:hAnsi="宋体"/>
          <w:color w:val="auto"/>
          <w:sz w:val="22"/>
          <w:szCs w:val="22"/>
          <w:highlight w:val="none"/>
        </w:rPr>
        <w:t>日  期：     年    月    日</w:t>
      </w:r>
    </w:p>
    <w:p w14:paraId="75AA0584">
      <w:pPr>
        <w:spacing w:line="460" w:lineRule="exact"/>
        <w:jc w:val="left"/>
        <w:rPr>
          <w:rFonts w:hint="eastAsia" w:ascii="宋体" w:hAnsi="宋体"/>
          <w:b/>
          <w:bCs/>
          <w:color w:val="auto"/>
          <w:sz w:val="28"/>
          <w:szCs w:val="28"/>
          <w:highlight w:val="none"/>
        </w:rPr>
      </w:pPr>
      <w:r>
        <w:rPr>
          <w:rFonts w:ascii="宋体" w:hAnsi="宋体"/>
          <w:b/>
          <w:color w:val="auto"/>
          <w:highlight w:val="none"/>
          <w:lang w:val="zh-CN"/>
        </w:rPr>
        <w:br w:type="page"/>
      </w:r>
      <w:r>
        <w:rPr>
          <w:rFonts w:hint="eastAsia" w:ascii="宋体" w:hAnsi="宋体"/>
          <w:b/>
          <w:color w:val="auto"/>
          <w:highlight w:val="none"/>
          <w:lang w:val="zh-CN"/>
        </w:rPr>
        <w:t>附件五</w:t>
      </w:r>
    </w:p>
    <w:p w14:paraId="37885DD9">
      <w:pPr>
        <w:spacing w:after="312" w:afterLines="100" w:line="400" w:lineRule="exact"/>
        <w:jc w:val="center"/>
        <w:outlineLvl w:val="1"/>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   </w:t>
      </w:r>
      <w:r>
        <w:rPr>
          <w:rFonts w:hint="eastAsia" w:ascii="宋体" w:hAnsi="宋体"/>
          <w:b/>
          <w:bCs/>
          <w:color w:val="auto"/>
          <w:sz w:val="28"/>
          <w:szCs w:val="32"/>
          <w:highlight w:val="none"/>
        </w:rPr>
        <w:t>拟投入项目部运维工作车辆、设备情况表</w:t>
      </w:r>
    </w:p>
    <w:p w14:paraId="77D55F90">
      <w:pPr>
        <w:spacing w:line="360" w:lineRule="auto"/>
        <w:rPr>
          <w:rFonts w:hint="eastAsia" w:ascii="宋体" w:hAnsi="宋体"/>
          <w:b/>
          <w:bCs/>
          <w:color w:val="auto"/>
          <w:sz w:val="22"/>
          <w:szCs w:val="22"/>
          <w:highlight w:val="none"/>
        </w:rPr>
      </w:pPr>
      <w:r>
        <w:rPr>
          <w:rFonts w:hint="eastAsia" w:ascii="宋体" w:hAnsi="宋体"/>
          <w:b/>
          <w:color w:val="auto"/>
          <w:sz w:val="22"/>
          <w:szCs w:val="22"/>
          <w:highlight w:val="none"/>
        </w:rPr>
        <w:t>项目名称：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723"/>
        <w:gridCol w:w="875"/>
        <w:gridCol w:w="1022"/>
        <w:gridCol w:w="1033"/>
        <w:gridCol w:w="1313"/>
        <w:gridCol w:w="1603"/>
      </w:tblGrid>
      <w:tr w14:paraId="3126B6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45D4041D">
            <w:pPr>
              <w:jc w:val="center"/>
              <w:rPr>
                <w:rFonts w:hint="eastAsia" w:ascii="宋体" w:hAnsi="宋体"/>
                <w:b/>
                <w:color w:val="auto"/>
                <w:sz w:val="22"/>
                <w:szCs w:val="22"/>
                <w:highlight w:val="none"/>
              </w:rPr>
            </w:pPr>
            <w:r>
              <w:rPr>
                <w:rFonts w:hint="eastAsia" w:ascii="宋体" w:hAnsi="宋体"/>
                <w:b/>
                <w:color w:val="auto"/>
                <w:sz w:val="22"/>
                <w:szCs w:val="22"/>
                <w:highlight w:val="none"/>
              </w:rPr>
              <w:t>运维工作车辆、设备名称</w:t>
            </w:r>
          </w:p>
        </w:tc>
        <w:tc>
          <w:tcPr>
            <w:tcW w:w="1723" w:type="dxa"/>
            <w:noWrap w:val="0"/>
            <w:vAlign w:val="center"/>
          </w:tcPr>
          <w:p w14:paraId="26166184">
            <w:pPr>
              <w:jc w:val="center"/>
              <w:rPr>
                <w:rFonts w:hint="eastAsia" w:ascii="宋体" w:hAnsi="宋体"/>
                <w:b/>
                <w:color w:val="auto"/>
                <w:sz w:val="22"/>
                <w:szCs w:val="22"/>
                <w:highlight w:val="none"/>
              </w:rPr>
            </w:pPr>
            <w:r>
              <w:rPr>
                <w:rFonts w:hint="eastAsia" w:ascii="宋体" w:hAnsi="宋体"/>
                <w:b/>
                <w:color w:val="auto"/>
                <w:sz w:val="22"/>
                <w:szCs w:val="22"/>
                <w:highlight w:val="none"/>
              </w:rPr>
              <w:t>规格型号</w:t>
            </w:r>
          </w:p>
        </w:tc>
        <w:tc>
          <w:tcPr>
            <w:tcW w:w="875" w:type="dxa"/>
            <w:noWrap w:val="0"/>
            <w:vAlign w:val="center"/>
          </w:tcPr>
          <w:p w14:paraId="60739899">
            <w:pPr>
              <w:jc w:val="center"/>
              <w:rPr>
                <w:rFonts w:hint="eastAsia" w:ascii="宋体" w:hAnsi="宋体"/>
                <w:b/>
                <w:color w:val="auto"/>
                <w:sz w:val="22"/>
                <w:szCs w:val="22"/>
                <w:highlight w:val="none"/>
              </w:rPr>
            </w:pPr>
            <w:r>
              <w:rPr>
                <w:rFonts w:hint="eastAsia" w:ascii="宋体" w:hAnsi="宋体"/>
                <w:b/>
                <w:color w:val="auto"/>
                <w:sz w:val="22"/>
                <w:szCs w:val="22"/>
                <w:highlight w:val="none"/>
              </w:rPr>
              <w:t>数量</w:t>
            </w:r>
          </w:p>
        </w:tc>
        <w:tc>
          <w:tcPr>
            <w:tcW w:w="1022" w:type="dxa"/>
            <w:noWrap w:val="0"/>
            <w:vAlign w:val="center"/>
          </w:tcPr>
          <w:p w14:paraId="6E28527A">
            <w:pPr>
              <w:jc w:val="center"/>
              <w:rPr>
                <w:rFonts w:hint="eastAsia" w:ascii="宋体" w:hAnsi="宋体"/>
                <w:b/>
                <w:color w:val="auto"/>
                <w:sz w:val="22"/>
                <w:szCs w:val="22"/>
                <w:highlight w:val="none"/>
              </w:rPr>
            </w:pPr>
            <w:r>
              <w:rPr>
                <w:rFonts w:hint="eastAsia" w:ascii="宋体" w:hAnsi="宋体"/>
                <w:b/>
                <w:color w:val="auto"/>
                <w:sz w:val="22"/>
                <w:szCs w:val="22"/>
                <w:highlight w:val="none"/>
              </w:rPr>
              <w:t>产地</w:t>
            </w:r>
          </w:p>
        </w:tc>
        <w:tc>
          <w:tcPr>
            <w:tcW w:w="1033" w:type="dxa"/>
            <w:noWrap w:val="0"/>
            <w:vAlign w:val="center"/>
          </w:tcPr>
          <w:p w14:paraId="55AB8204">
            <w:pPr>
              <w:jc w:val="center"/>
              <w:rPr>
                <w:rFonts w:hint="eastAsia" w:ascii="宋体" w:hAnsi="宋体"/>
                <w:b/>
                <w:color w:val="auto"/>
                <w:sz w:val="22"/>
                <w:szCs w:val="22"/>
                <w:highlight w:val="none"/>
              </w:rPr>
            </w:pPr>
            <w:r>
              <w:rPr>
                <w:rFonts w:hint="eastAsia" w:ascii="宋体" w:hAnsi="宋体"/>
                <w:b/>
                <w:color w:val="auto"/>
                <w:sz w:val="22"/>
                <w:szCs w:val="22"/>
                <w:highlight w:val="none"/>
              </w:rPr>
              <w:t>价格（元）</w:t>
            </w:r>
          </w:p>
        </w:tc>
        <w:tc>
          <w:tcPr>
            <w:tcW w:w="1313" w:type="dxa"/>
            <w:noWrap w:val="0"/>
            <w:vAlign w:val="center"/>
          </w:tcPr>
          <w:p w14:paraId="26B3CC20">
            <w:pPr>
              <w:jc w:val="center"/>
              <w:rPr>
                <w:rFonts w:hint="eastAsia" w:ascii="宋体" w:hAnsi="宋体"/>
                <w:b/>
                <w:color w:val="auto"/>
                <w:sz w:val="22"/>
                <w:szCs w:val="22"/>
                <w:highlight w:val="none"/>
              </w:rPr>
            </w:pPr>
            <w:r>
              <w:rPr>
                <w:rFonts w:hint="eastAsia" w:ascii="宋体" w:hAnsi="宋体"/>
                <w:b/>
                <w:color w:val="auto"/>
                <w:sz w:val="22"/>
                <w:szCs w:val="22"/>
                <w:highlight w:val="none"/>
              </w:rPr>
              <w:t>购买时间</w:t>
            </w:r>
          </w:p>
        </w:tc>
        <w:tc>
          <w:tcPr>
            <w:tcW w:w="1603" w:type="dxa"/>
            <w:noWrap w:val="0"/>
            <w:vAlign w:val="center"/>
          </w:tcPr>
          <w:p w14:paraId="3B187938">
            <w:pPr>
              <w:jc w:val="center"/>
              <w:rPr>
                <w:rFonts w:hint="eastAsia" w:ascii="宋体" w:hAnsi="宋体"/>
                <w:b/>
                <w:color w:val="auto"/>
                <w:sz w:val="22"/>
                <w:szCs w:val="22"/>
                <w:highlight w:val="none"/>
              </w:rPr>
            </w:pPr>
            <w:r>
              <w:rPr>
                <w:rFonts w:hint="eastAsia" w:ascii="宋体" w:hAnsi="宋体"/>
                <w:b/>
                <w:color w:val="auto"/>
                <w:sz w:val="22"/>
                <w:szCs w:val="22"/>
                <w:highlight w:val="none"/>
              </w:rPr>
              <w:t>备注</w:t>
            </w:r>
          </w:p>
        </w:tc>
      </w:tr>
      <w:tr w14:paraId="53155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02F46E2A">
            <w:pPr>
              <w:spacing w:line="360" w:lineRule="auto"/>
              <w:rPr>
                <w:rFonts w:hint="eastAsia" w:ascii="宋体" w:hAnsi="宋体"/>
                <w:color w:val="auto"/>
                <w:sz w:val="22"/>
                <w:szCs w:val="22"/>
                <w:highlight w:val="none"/>
              </w:rPr>
            </w:pPr>
          </w:p>
        </w:tc>
        <w:tc>
          <w:tcPr>
            <w:tcW w:w="1723" w:type="dxa"/>
            <w:noWrap w:val="0"/>
            <w:vAlign w:val="center"/>
          </w:tcPr>
          <w:p w14:paraId="1466754D">
            <w:pPr>
              <w:spacing w:line="360" w:lineRule="auto"/>
              <w:rPr>
                <w:rFonts w:hint="eastAsia" w:ascii="宋体" w:hAnsi="宋体"/>
                <w:color w:val="auto"/>
                <w:sz w:val="22"/>
                <w:szCs w:val="22"/>
                <w:highlight w:val="none"/>
              </w:rPr>
            </w:pPr>
          </w:p>
        </w:tc>
        <w:tc>
          <w:tcPr>
            <w:tcW w:w="875" w:type="dxa"/>
            <w:noWrap w:val="0"/>
            <w:vAlign w:val="center"/>
          </w:tcPr>
          <w:p w14:paraId="5F26584F">
            <w:pPr>
              <w:spacing w:line="360" w:lineRule="auto"/>
              <w:rPr>
                <w:rFonts w:hint="eastAsia" w:ascii="宋体" w:hAnsi="宋体"/>
                <w:color w:val="auto"/>
                <w:sz w:val="22"/>
                <w:szCs w:val="22"/>
                <w:highlight w:val="none"/>
              </w:rPr>
            </w:pPr>
          </w:p>
        </w:tc>
        <w:tc>
          <w:tcPr>
            <w:tcW w:w="1022" w:type="dxa"/>
            <w:noWrap w:val="0"/>
            <w:vAlign w:val="center"/>
          </w:tcPr>
          <w:p w14:paraId="2B5021A4">
            <w:pPr>
              <w:spacing w:line="360" w:lineRule="auto"/>
              <w:rPr>
                <w:rFonts w:hint="eastAsia" w:ascii="宋体" w:hAnsi="宋体"/>
                <w:color w:val="auto"/>
                <w:sz w:val="22"/>
                <w:szCs w:val="22"/>
                <w:highlight w:val="none"/>
              </w:rPr>
            </w:pPr>
          </w:p>
        </w:tc>
        <w:tc>
          <w:tcPr>
            <w:tcW w:w="1033" w:type="dxa"/>
            <w:noWrap w:val="0"/>
            <w:vAlign w:val="center"/>
          </w:tcPr>
          <w:p w14:paraId="52048B89">
            <w:pPr>
              <w:spacing w:line="360" w:lineRule="auto"/>
              <w:rPr>
                <w:rFonts w:hint="eastAsia" w:ascii="宋体" w:hAnsi="宋体"/>
                <w:color w:val="auto"/>
                <w:sz w:val="22"/>
                <w:szCs w:val="22"/>
                <w:highlight w:val="none"/>
              </w:rPr>
            </w:pPr>
          </w:p>
        </w:tc>
        <w:tc>
          <w:tcPr>
            <w:tcW w:w="1313" w:type="dxa"/>
            <w:noWrap w:val="0"/>
            <w:vAlign w:val="center"/>
          </w:tcPr>
          <w:p w14:paraId="727AC362">
            <w:pPr>
              <w:spacing w:line="360" w:lineRule="auto"/>
              <w:rPr>
                <w:rFonts w:hint="eastAsia" w:ascii="宋体" w:hAnsi="宋体"/>
                <w:color w:val="auto"/>
                <w:sz w:val="22"/>
                <w:szCs w:val="22"/>
                <w:highlight w:val="none"/>
              </w:rPr>
            </w:pPr>
          </w:p>
        </w:tc>
        <w:tc>
          <w:tcPr>
            <w:tcW w:w="1603" w:type="dxa"/>
            <w:noWrap w:val="0"/>
            <w:vAlign w:val="center"/>
          </w:tcPr>
          <w:p w14:paraId="18413AF9">
            <w:pPr>
              <w:spacing w:line="360" w:lineRule="auto"/>
              <w:ind w:left="5250"/>
              <w:rPr>
                <w:rFonts w:hint="eastAsia" w:ascii="宋体" w:hAnsi="宋体"/>
                <w:color w:val="auto"/>
                <w:sz w:val="22"/>
                <w:szCs w:val="22"/>
                <w:highlight w:val="none"/>
              </w:rPr>
            </w:pPr>
          </w:p>
        </w:tc>
      </w:tr>
      <w:tr w14:paraId="35A787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28C2C9FD">
            <w:pPr>
              <w:spacing w:line="360" w:lineRule="auto"/>
              <w:rPr>
                <w:rFonts w:hint="eastAsia" w:ascii="宋体" w:hAnsi="宋体"/>
                <w:color w:val="auto"/>
                <w:sz w:val="22"/>
                <w:szCs w:val="22"/>
                <w:highlight w:val="none"/>
              </w:rPr>
            </w:pPr>
          </w:p>
        </w:tc>
        <w:tc>
          <w:tcPr>
            <w:tcW w:w="1723" w:type="dxa"/>
            <w:noWrap w:val="0"/>
            <w:vAlign w:val="center"/>
          </w:tcPr>
          <w:p w14:paraId="5DB8AABD">
            <w:pPr>
              <w:spacing w:line="360" w:lineRule="auto"/>
              <w:rPr>
                <w:rFonts w:hint="eastAsia" w:ascii="宋体" w:hAnsi="宋体"/>
                <w:color w:val="auto"/>
                <w:sz w:val="22"/>
                <w:szCs w:val="22"/>
                <w:highlight w:val="none"/>
              </w:rPr>
            </w:pPr>
          </w:p>
        </w:tc>
        <w:tc>
          <w:tcPr>
            <w:tcW w:w="875" w:type="dxa"/>
            <w:noWrap w:val="0"/>
            <w:vAlign w:val="center"/>
          </w:tcPr>
          <w:p w14:paraId="4B2FB53C">
            <w:pPr>
              <w:spacing w:line="360" w:lineRule="auto"/>
              <w:rPr>
                <w:rFonts w:hint="eastAsia" w:ascii="宋体" w:hAnsi="宋体"/>
                <w:color w:val="auto"/>
                <w:sz w:val="22"/>
                <w:szCs w:val="22"/>
                <w:highlight w:val="none"/>
              </w:rPr>
            </w:pPr>
          </w:p>
        </w:tc>
        <w:tc>
          <w:tcPr>
            <w:tcW w:w="1022" w:type="dxa"/>
            <w:noWrap w:val="0"/>
            <w:vAlign w:val="center"/>
          </w:tcPr>
          <w:p w14:paraId="4B1AF49D">
            <w:pPr>
              <w:spacing w:line="360" w:lineRule="auto"/>
              <w:rPr>
                <w:rFonts w:hint="eastAsia" w:ascii="宋体" w:hAnsi="宋体"/>
                <w:color w:val="auto"/>
                <w:sz w:val="22"/>
                <w:szCs w:val="22"/>
                <w:highlight w:val="none"/>
              </w:rPr>
            </w:pPr>
          </w:p>
        </w:tc>
        <w:tc>
          <w:tcPr>
            <w:tcW w:w="1033" w:type="dxa"/>
            <w:noWrap w:val="0"/>
            <w:vAlign w:val="center"/>
          </w:tcPr>
          <w:p w14:paraId="5F49210B">
            <w:pPr>
              <w:spacing w:line="360" w:lineRule="auto"/>
              <w:rPr>
                <w:rFonts w:hint="eastAsia" w:ascii="宋体" w:hAnsi="宋体"/>
                <w:color w:val="auto"/>
                <w:sz w:val="22"/>
                <w:szCs w:val="22"/>
                <w:highlight w:val="none"/>
              </w:rPr>
            </w:pPr>
          </w:p>
        </w:tc>
        <w:tc>
          <w:tcPr>
            <w:tcW w:w="1313" w:type="dxa"/>
            <w:noWrap w:val="0"/>
            <w:vAlign w:val="center"/>
          </w:tcPr>
          <w:p w14:paraId="60E50F79">
            <w:pPr>
              <w:spacing w:line="360" w:lineRule="auto"/>
              <w:rPr>
                <w:rFonts w:hint="eastAsia" w:ascii="宋体" w:hAnsi="宋体"/>
                <w:color w:val="auto"/>
                <w:sz w:val="22"/>
                <w:szCs w:val="22"/>
                <w:highlight w:val="none"/>
              </w:rPr>
            </w:pPr>
          </w:p>
        </w:tc>
        <w:tc>
          <w:tcPr>
            <w:tcW w:w="1603" w:type="dxa"/>
            <w:noWrap w:val="0"/>
            <w:vAlign w:val="center"/>
          </w:tcPr>
          <w:p w14:paraId="4257B976">
            <w:pPr>
              <w:spacing w:line="360" w:lineRule="auto"/>
              <w:rPr>
                <w:rFonts w:hint="eastAsia" w:ascii="宋体" w:hAnsi="宋体"/>
                <w:color w:val="auto"/>
                <w:sz w:val="22"/>
                <w:szCs w:val="22"/>
                <w:highlight w:val="none"/>
              </w:rPr>
            </w:pPr>
          </w:p>
        </w:tc>
      </w:tr>
      <w:tr w14:paraId="3E398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37EA4038">
            <w:pPr>
              <w:spacing w:line="360" w:lineRule="auto"/>
              <w:rPr>
                <w:rFonts w:hint="eastAsia" w:ascii="宋体" w:hAnsi="宋体"/>
                <w:color w:val="auto"/>
                <w:sz w:val="22"/>
                <w:szCs w:val="22"/>
                <w:highlight w:val="none"/>
              </w:rPr>
            </w:pPr>
          </w:p>
        </w:tc>
        <w:tc>
          <w:tcPr>
            <w:tcW w:w="1723" w:type="dxa"/>
            <w:noWrap w:val="0"/>
            <w:vAlign w:val="center"/>
          </w:tcPr>
          <w:p w14:paraId="69D7C5A4">
            <w:pPr>
              <w:spacing w:line="360" w:lineRule="auto"/>
              <w:rPr>
                <w:rFonts w:hint="eastAsia" w:ascii="宋体" w:hAnsi="宋体"/>
                <w:color w:val="auto"/>
                <w:sz w:val="22"/>
                <w:szCs w:val="22"/>
                <w:highlight w:val="none"/>
              </w:rPr>
            </w:pPr>
          </w:p>
        </w:tc>
        <w:tc>
          <w:tcPr>
            <w:tcW w:w="875" w:type="dxa"/>
            <w:noWrap w:val="0"/>
            <w:vAlign w:val="center"/>
          </w:tcPr>
          <w:p w14:paraId="2BCC74B9">
            <w:pPr>
              <w:spacing w:line="360" w:lineRule="auto"/>
              <w:rPr>
                <w:rFonts w:hint="eastAsia" w:ascii="宋体" w:hAnsi="宋体"/>
                <w:color w:val="auto"/>
                <w:sz w:val="22"/>
                <w:szCs w:val="22"/>
                <w:highlight w:val="none"/>
              </w:rPr>
            </w:pPr>
          </w:p>
        </w:tc>
        <w:tc>
          <w:tcPr>
            <w:tcW w:w="1022" w:type="dxa"/>
            <w:noWrap w:val="0"/>
            <w:vAlign w:val="center"/>
          </w:tcPr>
          <w:p w14:paraId="48D20E56">
            <w:pPr>
              <w:spacing w:line="360" w:lineRule="auto"/>
              <w:rPr>
                <w:rFonts w:hint="eastAsia" w:ascii="宋体" w:hAnsi="宋体"/>
                <w:color w:val="auto"/>
                <w:sz w:val="22"/>
                <w:szCs w:val="22"/>
                <w:highlight w:val="none"/>
              </w:rPr>
            </w:pPr>
          </w:p>
        </w:tc>
        <w:tc>
          <w:tcPr>
            <w:tcW w:w="1033" w:type="dxa"/>
            <w:noWrap w:val="0"/>
            <w:vAlign w:val="center"/>
          </w:tcPr>
          <w:p w14:paraId="44C55F23">
            <w:pPr>
              <w:spacing w:line="360" w:lineRule="auto"/>
              <w:rPr>
                <w:rFonts w:hint="eastAsia" w:ascii="宋体" w:hAnsi="宋体"/>
                <w:color w:val="auto"/>
                <w:sz w:val="22"/>
                <w:szCs w:val="22"/>
                <w:highlight w:val="none"/>
              </w:rPr>
            </w:pPr>
          </w:p>
        </w:tc>
        <w:tc>
          <w:tcPr>
            <w:tcW w:w="1313" w:type="dxa"/>
            <w:noWrap w:val="0"/>
            <w:vAlign w:val="center"/>
          </w:tcPr>
          <w:p w14:paraId="470A522B">
            <w:pPr>
              <w:spacing w:line="360" w:lineRule="auto"/>
              <w:rPr>
                <w:rFonts w:hint="eastAsia" w:ascii="宋体" w:hAnsi="宋体"/>
                <w:color w:val="auto"/>
                <w:sz w:val="22"/>
                <w:szCs w:val="22"/>
                <w:highlight w:val="none"/>
              </w:rPr>
            </w:pPr>
          </w:p>
        </w:tc>
        <w:tc>
          <w:tcPr>
            <w:tcW w:w="1603" w:type="dxa"/>
            <w:noWrap w:val="0"/>
            <w:vAlign w:val="center"/>
          </w:tcPr>
          <w:p w14:paraId="01FAAA22">
            <w:pPr>
              <w:spacing w:line="360" w:lineRule="auto"/>
              <w:rPr>
                <w:rFonts w:hint="eastAsia" w:ascii="宋体" w:hAnsi="宋体"/>
                <w:color w:val="auto"/>
                <w:sz w:val="22"/>
                <w:szCs w:val="22"/>
                <w:highlight w:val="none"/>
              </w:rPr>
            </w:pPr>
          </w:p>
        </w:tc>
      </w:tr>
      <w:tr w14:paraId="7C5AED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19CFC67E">
            <w:pPr>
              <w:spacing w:line="360" w:lineRule="auto"/>
              <w:rPr>
                <w:rFonts w:hint="eastAsia" w:ascii="宋体" w:hAnsi="宋体"/>
                <w:color w:val="auto"/>
                <w:sz w:val="22"/>
                <w:szCs w:val="22"/>
                <w:highlight w:val="none"/>
              </w:rPr>
            </w:pPr>
          </w:p>
        </w:tc>
        <w:tc>
          <w:tcPr>
            <w:tcW w:w="1723" w:type="dxa"/>
            <w:noWrap w:val="0"/>
            <w:vAlign w:val="center"/>
          </w:tcPr>
          <w:p w14:paraId="0DE48EA4">
            <w:pPr>
              <w:spacing w:line="360" w:lineRule="auto"/>
              <w:rPr>
                <w:rFonts w:hint="eastAsia" w:ascii="宋体" w:hAnsi="宋体"/>
                <w:color w:val="auto"/>
                <w:sz w:val="22"/>
                <w:szCs w:val="22"/>
                <w:highlight w:val="none"/>
              </w:rPr>
            </w:pPr>
          </w:p>
        </w:tc>
        <w:tc>
          <w:tcPr>
            <w:tcW w:w="875" w:type="dxa"/>
            <w:noWrap w:val="0"/>
            <w:vAlign w:val="center"/>
          </w:tcPr>
          <w:p w14:paraId="4203D462">
            <w:pPr>
              <w:spacing w:line="360" w:lineRule="auto"/>
              <w:rPr>
                <w:rFonts w:hint="eastAsia" w:ascii="宋体" w:hAnsi="宋体"/>
                <w:color w:val="auto"/>
                <w:sz w:val="22"/>
                <w:szCs w:val="22"/>
                <w:highlight w:val="none"/>
              </w:rPr>
            </w:pPr>
          </w:p>
        </w:tc>
        <w:tc>
          <w:tcPr>
            <w:tcW w:w="1022" w:type="dxa"/>
            <w:noWrap w:val="0"/>
            <w:vAlign w:val="center"/>
          </w:tcPr>
          <w:p w14:paraId="2C8E13AD">
            <w:pPr>
              <w:spacing w:line="360" w:lineRule="auto"/>
              <w:rPr>
                <w:rFonts w:hint="eastAsia" w:ascii="宋体" w:hAnsi="宋体"/>
                <w:color w:val="auto"/>
                <w:sz w:val="22"/>
                <w:szCs w:val="22"/>
                <w:highlight w:val="none"/>
              </w:rPr>
            </w:pPr>
          </w:p>
        </w:tc>
        <w:tc>
          <w:tcPr>
            <w:tcW w:w="1033" w:type="dxa"/>
            <w:noWrap w:val="0"/>
            <w:vAlign w:val="center"/>
          </w:tcPr>
          <w:p w14:paraId="7C1960C3">
            <w:pPr>
              <w:spacing w:line="360" w:lineRule="auto"/>
              <w:rPr>
                <w:rFonts w:hint="eastAsia" w:ascii="宋体" w:hAnsi="宋体"/>
                <w:color w:val="auto"/>
                <w:sz w:val="22"/>
                <w:szCs w:val="22"/>
                <w:highlight w:val="none"/>
              </w:rPr>
            </w:pPr>
          </w:p>
        </w:tc>
        <w:tc>
          <w:tcPr>
            <w:tcW w:w="1313" w:type="dxa"/>
            <w:noWrap w:val="0"/>
            <w:vAlign w:val="center"/>
          </w:tcPr>
          <w:p w14:paraId="03F7B901">
            <w:pPr>
              <w:spacing w:line="360" w:lineRule="auto"/>
              <w:rPr>
                <w:rFonts w:hint="eastAsia" w:ascii="宋体" w:hAnsi="宋体"/>
                <w:color w:val="auto"/>
                <w:sz w:val="22"/>
                <w:szCs w:val="22"/>
                <w:highlight w:val="none"/>
              </w:rPr>
            </w:pPr>
          </w:p>
        </w:tc>
        <w:tc>
          <w:tcPr>
            <w:tcW w:w="1603" w:type="dxa"/>
            <w:noWrap w:val="0"/>
            <w:vAlign w:val="center"/>
          </w:tcPr>
          <w:p w14:paraId="784455AE">
            <w:pPr>
              <w:spacing w:line="360" w:lineRule="auto"/>
              <w:rPr>
                <w:rFonts w:hint="eastAsia" w:ascii="宋体" w:hAnsi="宋体"/>
                <w:color w:val="auto"/>
                <w:sz w:val="22"/>
                <w:szCs w:val="22"/>
                <w:highlight w:val="none"/>
              </w:rPr>
            </w:pPr>
          </w:p>
        </w:tc>
      </w:tr>
      <w:tr w14:paraId="101D0D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74364E28">
            <w:pPr>
              <w:spacing w:line="360" w:lineRule="auto"/>
              <w:rPr>
                <w:rFonts w:hint="eastAsia" w:ascii="宋体" w:hAnsi="宋体"/>
                <w:color w:val="auto"/>
                <w:sz w:val="22"/>
                <w:szCs w:val="22"/>
                <w:highlight w:val="none"/>
              </w:rPr>
            </w:pPr>
          </w:p>
        </w:tc>
        <w:tc>
          <w:tcPr>
            <w:tcW w:w="1723" w:type="dxa"/>
            <w:noWrap w:val="0"/>
            <w:vAlign w:val="center"/>
          </w:tcPr>
          <w:p w14:paraId="4B584B07">
            <w:pPr>
              <w:spacing w:line="360" w:lineRule="auto"/>
              <w:rPr>
                <w:rFonts w:hint="eastAsia" w:ascii="宋体" w:hAnsi="宋体"/>
                <w:color w:val="auto"/>
                <w:sz w:val="22"/>
                <w:szCs w:val="22"/>
                <w:highlight w:val="none"/>
              </w:rPr>
            </w:pPr>
          </w:p>
        </w:tc>
        <w:tc>
          <w:tcPr>
            <w:tcW w:w="875" w:type="dxa"/>
            <w:noWrap w:val="0"/>
            <w:vAlign w:val="center"/>
          </w:tcPr>
          <w:p w14:paraId="3C0BA3B6">
            <w:pPr>
              <w:spacing w:line="360" w:lineRule="auto"/>
              <w:rPr>
                <w:rFonts w:hint="eastAsia" w:ascii="宋体" w:hAnsi="宋体"/>
                <w:color w:val="auto"/>
                <w:sz w:val="22"/>
                <w:szCs w:val="22"/>
                <w:highlight w:val="none"/>
              </w:rPr>
            </w:pPr>
          </w:p>
        </w:tc>
        <w:tc>
          <w:tcPr>
            <w:tcW w:w="1022" w:type="dxa"/>
            <w:noWrap w:val="0"/>
            <w:vAlign w:val="center"/>
          </w:tcPr>
          <w:p w14:paraId="78C50CD0">
            <w:pPr>
              <w:spacing w:line="360" w:lineRule="auto"/>
              <w:rPr>
                <w:rFonts w:hint="eastAsia" w:ascii="宋体" w:hAnsi="宋体"/>
                <w:color w:val="auto"/>
                <w:sz w:val="22"/>
                <w:szCs w:val="22"/>
                <w:highlight w:val="none"/>
              </w:rPr>
            </w:pPr>
          </w:p>
        </w:tc>
        <w:tc>
          <w:tcPr>
            <w:tcW w:w="1033" w:type="dxa"/>
            <w:noWrap w:val="0"/>
            <w:vAlign w:val="center"/>
          </w:tcPr>
          <w:p w14:paraId="069BCF86">
            <w:pPr>
              <w:spacing w:line="360" w:lineRule="auto"/>
              <w:rPr>
                <w:rFonts w:hint="eastAsia" w:ascii="宋体" w:hAnsi="宋体"/>
                <w:color w:val="auto"/>
                <w:sz w:val="22"/>
                <w:szCs w:val="22"/>
                <w:highlight w:val="none"/>
              </w:rPr>
            </w:pPr>
          </w:p>
        </w:tc>
        <w:tc>
          <w:tcPr>
            <w:tcW w:w="1313" w:type="dxa"/>
            <w:noWrap w:val="0"/>
            <w:vAlign w:val="center"/>
          </w:tcPr>
          <w:p w14:paraId="7741D8ED">
            <w:pPr>
              <w:spacing w:line="360" w:lineRule="auto"/>
              <w:rPr>
                <w:rFonts w:hint="eastAsia" w:ascii="宋体" w:hAnsi="宋体"/>
                <w:color w:val="auto"/>
                <w:sz w:val="22"/>
                <w:szCs w:val="22"/>
                <w:highlight w:val="none"/>
              </w:rPr>
            </w:pPr>
          </w:p>
        </w:tc>
        <w:tc>
          <w:tcPr>
            <w:tcW w:w="1603" w:type="dxa"/>
            <w:noWrap w:val="0"/>
            <w:vAlign w:val="center"/>
          </w:tcPr>
          <w:p w14:paraId="239DDFA4">
            <w:pPr>
              <w:spacing w:line="360" w:lineRule="auto"/>
              <w:rPr>
                <w:rFonts w:hint="eastAsia" w:ascii="宋体" w:hAnsi="宋体"/>
                <w:color w:val="auto"/>
                <w:sz w:val="22"/>
                <w:szCs w:val="22"/>
                <w:highlight w:val="none"/>
              </w:rPr>
            </w:pPr>
          </w:p>
        </w:tc>
      </w:tr>
      <w:tr w14:paraId="70091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237590A4">
            <w:pPr>
              <w:spacing w:line="360" w:lineRule="auto"/>
              <w:rPr>
                <w:rFonts w:hint="eastAsia" w:ascii="宋体" w:hAnsi="宋体"/>
                <w:color w:val="auto"/>
                <w:sz w:val="22"/>
                <w:szCs w:val="22"/>
                <w:highlight w:val="none"/>
              </w:rPr>
            </w:pPr>
          </w:p>
        </w:tc>
        <w:tc>
          <w:tcPr>
            <w:tcW w:w="1723" w:type="dxa"/>
            <w:noWrap w:val="0"/>
            <w:vAlign w:val="center"/>
          </w:tcPr>
          <w:p w14:paraId="0F74A5E1">
            <w:pPr>
              <w:spacing w:line="360" w:lineRule="auto"/>
              <w:rPr>
                <w:rFonts w:hint="eastAsia" w:ascii="宋体" w:hAnsi="宋体"/>
                <w:color w:val="auto"/>
                <w:sz w:val="22"/>
                <w:szCs w:val="22"/>
                <w:highlight w:val="none"/>
              </w:rPr>
            </w:pPr>
          </w:p>
        </w:tc>
        <w:tc>
          <w:tcPr>
            <w:tcW w:w="875" w:type="dxa"/>
            <w:noWrap w:val="0"/>
            <w:vAlign w:val="center"/>
          </w:tcPr>
          <w:p w14:paraId="2A56D7E4">
            <w:pPr>
              <w:spacing w:line="360" w:lineRule="auto"/>
              <w:rPr>
                <w:rFonts w:hint="eastAsia" w:ascii="宋体" w:hAnsi="宋体"/>
                <w:color w:val="auto"/>
                <w:sz w:val="22"/>
                <w:szCs w:val="22"/>
                <w:highlight w:val="none"/>
              </w:rPr>
            </w:pPr>
          </w:p>
        </w:tc>
        <w:tc>
          <w:tcPr>
            <w:tcW w:w="1022" w:type="dxa"/>
            <w:noWrap w:val="0"/>
            <w:vAlign w:val="center"/>
          </w:tcPr>
          <w:p w14:paraId="1614E83F">
            <w:pPr>
              <w:spacing w:line="360" w:lineRule="auto"/>
              <w:rPr>
                <w:rFonts w:hint="eastAsia" w:ascii="宋体" w:hAnsi="宋体"/>
                <w:color w:val="auto"/>
                <w:sz w:val="22"/>
                <w:szCs w:val="22"/>
                <w:highlight w:val="none"/>
              </w:rPr>
            </w:pPr>
          </w:p>
        </w:tc>
        <w:tc>
          <w:tcPr>
            <w:tcW w:w="1033" w:type="dxa"/>
            <w:noWrap w:val="0"/>
            <w:vAlign w:val="center"/>
          </w:tcPr>
          <w:p w14:paraId="698075E3">
            <w:pPr>
              <w:spacing w:line="360" w:lineRule="auto"/>
              <w:rPr>
                <w:rFonts w:hint="eastAsia" w:ascii="宋体" w:hAnsi="宋体"/>
                <w:color w:val="auto"/>
                <w:sz w:val="22"/>
                <w:szCs w:val="22"/>
                <w:highlight w:val="none"/>
              </w:rPr>
            </w:pPr>
          </w:p>
        </w:tc>
        <w:tc>
          <w:tcPr>
            <w:tcW w:w="1313" w:type="dxa"/>
            <w:noWrap w:val="0"/>
            <w:vAlign w:val="center"/>
          </w:tcPr>
          <w:p w14:paraId="715DE485">
            <w:pPr>
              <w:spacing w:line="360" w:lineRule="auto"/>
              <w:rPr>
                <w:rFonts w:hint="eastAsia" w:ascii="宋体" w:hAnsi="宋体"/>
                <w:color w:val="auto"/>
                <w:sz w:val="22"/>
                <w:szCs w:val="22"/>
                <w:highlight w:val="none"/>
              </w:rPr>
            </w:pPr>
          </w:p>
        </w:tc>
        <w:tc>
          <w:tcPr>
            <w:tcW w:w="1603" w:type="dxa"/>
            <w:noWrap w:val="0"/>
            <w:vAlign w:val="center"/>
          </w:tcPr>
          <w:p w14:paraId="51D62DC3">
            <w:pPr>
              <w:spacing w:line="360" w:lineRule="auto"/>
              <w:rPr>
                <w:rFonts w:hint="eastAsia" w:ascii="宋体" w:hAnsi="宋体"/>
                <w:color w:val="auto"/>
                <w:sz w:val="22"/>
                <w:szCs w:val="22"/>
                <w:highlight w:val="none"/>
              </w:rPr>
            </w:pPr>
          </w:p>
        </w:tc>
      </w:tr>
      <w:tr w14:paraId="47A83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61D77F76">
            <w:pPr>
              <w:spacing w:line="360" w:lineRule="auto"/>
              <w:rPr>
                <w:rFonts w:hint="eastAsia" w:ascii="宋体" w:hAnsi="宋体"/>
                <w:color w:val="auto"/>
                <w:sz w:val="22"/>
                <w:szCs w:val="22"/>
                <w:highlight w:val="none"/>
              </w:rPr>
            </w:pPr>
          </w:p>
        </w:tc>
        <w:tc>
          <w:tcPr>
            <w:tcW w:w="1723" w:type="dxa"/>
            <w:noWrap w:val="0"/>
            <w:vAlign w:val="center"/>
          </w:tcPr>
          <w:p w14:paraId="4F29D3F6">
            <w:pPr>
              <w:spacing w:line="360" w:lineRule="auto"/>
              <w:rPr>
                <w:rFonts w:hint="eastAsia" w:ascii="宋体" w:hAnsi="宋体"/>
                <w:color w:val="auto"/>
                <w:sz w:val="22"/>
                <w:szCs w:val="22"/>
                <w:highlight w:val="none"/>
              </w:rPr>
            </w:pPr>
          </w:p>
        </w:tc>
        <w:tc>
          <w:tcPr>
            <w:tcW w:w="875" w:type="dxa"/>
            <w:noWrap w:val="0"/>
            <w:vAlign w:val="center"/>
          </w:tcPr>
          <w:p w14:paraId="18E0508D">
            <w:pPr>
              <w:spacing w:line="360" w:lineRule="auto"/>
              <w:rPr>
                <w:rFonts w:hint="eastAsia" w:ascii="宋体" w:hAnsi="宋体"/>
                <w:color w:val="auto"/>
                <w:sz w:val="22"/>
                <w:szCs w:val="22"/>
                <w:highlight w:val="none"/>
              </w:rPr>
            </w:pPr>
          </w:p>
        </w:tc>
        <w:tc>
          <w:tcPr>
            <w:tcW w:w="1022" w:type="dxa"/>
            <w:noWrap w:val="0"/>
            <w:vAlign w:val="center"/>
          </w:tcPr>
          <w:p w14:paraId="5246BB7D">
            <w:pPr>
              <w:spacing w:line="360" w:lineRule="auto"/>
              <w:rPr>
                <w:rFonts w:hint="eastAsia" w:ascii="宋体" w:hAnsi="宋体"/>
                <w:color w:val="auto"/>
                <w:sz w:val="22"/>
                <w:szCs w:val="22"/>
                <w:highlight w:val="none"/>
              </w:rPr>
            </w:pPr>
          </w:p>
        </w:tc>
        <w:tc>
          <w:tcPr>
            <w:tcW w:w="1033" w:type="dxa"/>
            <w:noWrap w:val="0"/>
            <w:vAlign w:val="center"/>
          </w:tcPr>
          <w:p w14:paraId="55D36DFD">
            <w:pPr>
              <w:spacing w:line="360" w:lineRule="auto"/>
              <w:rPr>
                <w:rFonts w:hint="eastAsia" w:ascii="宋体" w:hAnsi="宋体"/>
                <w:color w:val="auto"/>
                <w:sz w:val="22"/>
                <w:szCs w:val="22"/>
                <w:highlight w:val="none"/>
              </w:rPr>
            </w:pPr>
          </w:p>
        </w:tc>
        <w:tc>
          <w:tcPr>
            <w:tcW w:w="1313" w:type="dxa"/>
            <w:noWrap w:val="0"/>
            <w:vAlign w:val="center"/>
          </w:tcPr>
          <w:p w14:paraId="156448E0">
            <w:pPr>
              <w:spacing w:line="360" w:lineRule="auto"/>
              <w:rPr>
                <w:rFonts w:hint="eastAsia" w:ascii="宋体" w:hAnsi="宋体"/>
                <w:color w:val="auto"/>
                <w:sz w:val="22"/>
                <w:szCs w:val="22"/>
                <w:highlight w:val="none"/>
              </w:rPr>
            </w:pPr>
          </w:p>
        </w:tc>
        <w:tc>
          <w:tcPr>
            <w:tcW w:w="1603" w:type="dxa"/>
            <w:noWrap w:val="0"/>
            <w:vAlign w:val="center"/>
          </w:tcPr>
          <w:p w14:paraId="6F1667ED">
            <w:pPr>
              <w:spacing w:line="360" w:lineRule="auto"/>
              <w:rPr>
                <w:rFonts w:hint="eastAsia" w:ascii="宋体" w:hAnsi="宋体"/>
                <w:color w:val="auto"/>
                <w:sz w:val="22"/>
                <w:szCs w:val="22"/>
                <w:highlight w:val="none"/>
              </w:rPr>
            </w:pPr>
          </w:p>
        </w:tc>
      </w:tr>
      <w:tr w14:paraId="04B70D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3989FD82">
            <w:pPr>
              <w:spacing w:line="360" w:lineRule="auto"/>
              <w:rPr>
                <w:rFonts w:hint="eastAsia" w:ascii="宋体" w:hAnsi="宋体"/>
                <w:color w:val="auto"/>
                <w:sz w:val="22"/>
                <w:szCs w:val="22"/>
                <w:highlight w:val="none"/>
              </w:rPr>
            </w:pPr>
          </w:p>
        </w:tc>
        <w:tc>
          <w:tcPr>
            <w:tcW w:w="1723" w:type="dxa"/>
            <w:noWrap w:val="0"/>
            <w:vAlign w:val="center"/>
          </w:tcPr>
          <w:p w14:paraId="15AACFB5">
            <w:pPr>
              <w:spacing w:line="360" w:lineRule="auto"/>
              <w:rPr>
                <w:rFonts w:hint="eastAsia" w:ascii="宋体" w:hAnsi="宋体"/>
                <w:color w:val="auto"/>
                <w:sz w:val="22"/>
                <w:szCs w:val="22"/>
                <w:highlight w:val="none"/>
              </w:rPr>
            </w:pPr>
          </w:p>
        </w:tc>
        <w:tc>
          <w:tcPr>
            <w:tcW w:w="875" w:type="dxa"/>
            <w:noWrap w:val="0"/>
            <w:vAlign w:val="center"/>
          </w:tcPr>
          <w:p w14:paraId="5720935B">
            <w:pPr>
              <w:spacing w:line="360" w:lineRule="auto"/>
              <w:rPr>
                <w:rFonts w:hint="eastAsia" w:ascii="宋体" w:hAnsi="宋体"/>
                <w:color w:val="auto"/>
                <w:sz w:val="22"/>
                <w:szCs w:val="22"/>
                <w:highlight w:val="none"/>
              </w:rPr>
            </w:pPr>
          </w:p>
        </w:tc>
        <w:tc>
          <w:tcPr>
            <w:tcW w:w="1022" w:type="dxa"/>
            <w:noWrap w:val="0"/>
            <w:vAlign w:val="center"/>
          </w:tcPr>
          <w:p w14:paraId="528AF785">
            <w:pPr>
              <w:spacing w:line="360" w:lineRule="auto"/>
              <w:rPr>
                <w:rFonts w:hint="eastAsia" w:ascii="宋体" w:hAnsi="宋体"/>
                <w:color w:val="auto"/>
                <w:sz w:val="22"/>
                <w:szCs w:val="22"/>
                <w:highlight w:val="none"/>
              </w:rPr>
            </w:pPr>
          </w:p>
        </w:tc>
        <w:tc>
          <w:tcPr>
            <w:tcW w:w="1033" w:type="dxa"/>
            <w:noWrap w:val="0"/>
            <w:vAlign w:val="center"/>
          </w:tcPr>
          <w:p w14:paraId="798E4ACD">
            <w:pPr>
              <w:spacing w:line="360" w:lineRule="auto"/>
              <w:rPr>
                <w:rFonts w:hint="eastAsia" w:ascii="宋体" w:hAnsi="宋体"/>
                <w:color w:val="auto"/>
                <w:sz w:val="22"/>
                <w:szCs w:val="22"/>
                <w:highlight w:val="none"/>
              </w:rPr>
            </w:pPr>
          </w:p>
        </w:tc>
        <w:tc>
          <w:tcPr>
            <w:tcW w:w="1313" w:type="dxa"/>
            <w:noWrap w:val="0"/>
            <w:vAlign w:val="center"/>
          </w:tcPr>
          <w:p w14:paraId="2B9C2E6E">
            <w:pPr>
              <w:spacing w:line="360" w:lineRule="auto"/>
              <w:rPr>
                <w:rFonts w:hint="eastAsia" w:ascii="宋体" w:hAnsi="宋体"/>
                <w:color w:val="auto"/>
                <w:sz w:val="22"/>
                <w:szCs w:val="22"/>
                <w:highlight w:val="none"/>
              </w:rPr>
            </w:pPr>
          </w:p>
        </w:tc>
        <w:tc>
          <w:tcPr>
            <w:tcW w:w="1603" w:type="dxa"/>
            <w:noWrap w:val="0"/>
            <w:vAlign w:val="center"/>
          </w:tcPr>
          <w:p w14:paraId="16D62F9C">
            <w:pPr>
              <w:spacing w:line="360" w:lineRule="auto"/>
              <w:rPr>
                <w:rFonts w:hint="eastAsia" w:ascii="宋体" w:hAnsi="宋体"/>
                <w:color w:val="auto"/>
                <w:sz w:val="22"/>
                <w:szCs w:val="22"/>
                <w:highlight w:val="none"/>
              </w:rPr>
            </w:pPr>
          </w:p>
        </w:tc>
      </w:tr>
      <w:tr w14:paraId="4FD47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49BD3D70">
            <w:pPr>
              <w:spacing w:line="360" w:lineRule="auto"/>
              <w:rPr>
                <w:rFonts w:hint="eastAsia" w:ascii="宋体" w:hAnsi="宋体"/>
                <w:color w:val="auto"/>
                <w:sz w:val="22"/>
                <w:szCs w:val="22"/>
                <w:highlight w:val="none"/>
              </w:rPr>
            </w:pPr>
          </w:p>
        </w:tc>
        <w:tc>
          <w:tcPr>
            <w:tcW w:w="1723" w:type="dxa"/>
            <w:noWrap w:val="0"/>
            <w:vAlign w:val="center"/>
          </w:tcPr>
          <w:p w14:paraId="4C19C77F">
            <w:pPr>
              <w:spacing w:line="360" w:lineRule="auto"/>
              <w:rPr>
                <w:rFonts w:hint="eastAsia" w:ascii="宋体" w:hAnsi="宋体"/>
                <w:color w:val="auto"/>
                <w:sz w:val="22"/>
                <w:szCs w:val="22"/>
                <w:highlight w:val="none"/>
              </w:rPr>
            </w:pPr>
          </w:p>
        </w:tc>
        <w:tc>
          <w:tcPr>
            <w:tcW w:w="875" w:type="dxa"/>
            <w:noWrap w:val="0"/>
            <w:vAlign w:val="center"/>
          </w:tcPr>
          <w:p w14:paraId="595F9BD7">
            <w:pPr>
              <w:spacing w:line="360" w:lineRule="auto"/>
              <w:rPr>
                <w:rFonts w:hint="eastAsia" w:ascii="宋体" w:hAnsi="宋体"/>
                <w:color w:val="auto"/>
                <w:sz w:val="22"/>
                <w:szCs w:val="22"/>
                <w:highlight w:val="none"/>
              </w:rPr>
            </w:pPr>
          </w:p>
        </w:tc>
        <w:tc>
          <w:tcPr>
            <w:tcW w:w="1022" w:type="dxa"/>
            <w:noWrap w:val="0"/>
            <w:vAlign w:val="center"/>
          </w:tcPr>
          <w:p w14:paraId="3D9207A2">
            <w:pPr>
              <w:spacing w:line="360" w:lineRule="auto"/>
              <w:rPr>
                <w:rFonts w:hint="eastAsia" w:ascii="宋体" w:hAnsi="宋体"/>
                <w:color w:val="auto"/>
                <w:sz w:val="22"/>
                <w:szCs w:val="22"/>
                <w:highlight w:val="none"/>
              </w:rPr>
            </w:pPr>
          </w:p>
        </w:tc>
        <w:tc>
          <w:tcPr>
            <w:tcW w:w="1033" w:type="dxa"/>
            <w:noWrap w:val="0"/>
            <w:vAlign w:val="center"/>
          </w:tcPr>
          <w:p w14:paraId="53DD969B">
            <w:pPr>
              <w:spacing w:line="360" w:lineRule="auto"/>
              <w:rPr>
                <w:rFonts w:hint="eastAsia" w:ascii="宋体" w:hAnsi="宋体"/>
                <w:color w:val="auto"/>
                <w:sz w:val="22"/>
                <w:szCs w:val="22"/>
                <w:highlight w:val="none"/>
              </w:rPr>
            </w:pPr>
          </w:p>
        </w:tc>
        <w:tc>
          <w:tcPr>
            <w:tcW w:w="1313" w:type="dxa"/>
            <w:noWrap w:val="0"/>
            <w:vAlign w:val="center"/>
          </w:tcPr>
          <w:p w14:paraId="3B0DC73A">
            <w:pPr>
              <w:spacing w:line="360" w:lineRule="auto"/>
              <w:rPr>
                <w:rFonts w:hint="eastAsia" w:ascii="宋体" w:hAnsi="宋体"/>
                <w:color w:val="auto"/>
                <w:sz w:val="22"/>
                <w:szCs w:val="22"/>
                <w:highlight w:val="none"/>
              </w:rPr>
            </w:pPr>
          </w:p>
        </w:tc>
        <w:tc>
          <w:tcPr>
            <w:tcW w:w="1603" w:type="dxa"/>
            <w:noWrap w:val="0"/>
            <w:vAlign w:val="center"/>
          </w:tcPr>
          <w:p w14:paraId="725EA709">
            <w:pPr>
              <w:spacing w:line="360" w:lineRule="auto"/>
              <w:rPr>
                <w:rFonts w:hint="eastAsia" w:ascii="宋体" w:hAnsi="宋体"/>
                <w:color w:val="auto"/>
                <w:sz w:val="22"/>
                <w:szCs w:val="22"/>
                <w:highlight w:val="none"/>
              </w:rPr>
            </w:pPr>
          </w:p>
        </w:tc>
      </w:tr>
    </w:tbl>
    <w:p w14:paraId="3560EE0F">
      <w:pPr>
        <w:spacing w:line="38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注：1、本表所列运维工作车辆应随表提交机动车行驶证（包括整车实物照片）、购置发票（扫描件加盖电子签章）。</w:t>
      </w:r>
    </w:p>
    <w:p w14:paraId="19E033A6">
      <w:pPr>
        <w:spacing w:line="38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2、本表所列设备应随表提交设备购置发票、设备照片（扫描件加盖电子签章）。</w:t>
      </w:r>
    </w:p>
    <w:p w14:paraId="1882A317">
      <w:pPr>
        <w:spacing w:line="380" w:lineRule="exact"/>
        <w:ind w:firstLine="431" w:firstLineChars="196"/>
        <w:rPr>
          <w:rFonts w:hint="eastAsia" w:ascii="宋体" w:hAnsi="宋体"/>
          <w:color w:val="auto"/>
          <w:sz w:val="22"/>
          <w:szCs w:val="22"/>
          <w:highlight w:val="none"/>
        </w:rPr>
      </w:pPr>
    </w:p>
    <w:p w14:paraId="2D6069D0">
      <w:pPr>
        <w:spacing w:line="380" w:lineRule="exact"/>
        <w:ind w:firstLine="431" w:firstLineChars="196"/>
        <w:rPr>
          <w:rFonts w:hint="eastAsia" w:ascii="宋体" w:hAnsi="宋体"/>
          <w:color w:val="auto"/>
          <w:sz w:val="22"/>
          <w:szCs w:val="22"/>
          <w:highlight w:val="none"/>
        </w:rPr>
      </w:pPr>
    </w:p>
    <w:p w14:paraId="465190DD">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2B2820AA">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74A85F9C">
      <w:pPr>
        <w:spacing w:line="400" w:lineRule="exact"/>
        <w:ind w:left="147" w:leftChars="70" w:firstLine="4261" w:firstLineChars="1937"/>
        <w:rPr>
          <w:rFonts w:hint="eastAsia" w:ascii="宋体" w:hAnsi="宋体"/>
          <w:color w:val="auto"/>
          <w:sz w:val="22"/>
          <w:highlight w:val="none"/>
        </w:rPr>
      </w:pPr>
      <w:r>
        <w:rPr>
          <w:rFonts w:hint="eastAsia" w:ascii="宋体" w:hAnsi="宋体"/>
          <w:color w:val="auto"/>
          <w:sz w:val="22"/>
          <w:szCs w:val="22"/>
          <w:highlight w:val="none"/>
        </w:rPr>
        <w:t>日  期：     年    月    日</w:t>
      </w:r>
    </w:p>
    <w:p w14:paraId="391303F8">
      <w:pPr>
        <w:pStyle w:val="8"/>
        <w:ind w:firstLine="321"/>
        <w:rPr>
          <w:rFonts w:hint="eastAsia" w:ascii="宋体" w:hAnsi="宋体"/>
          <w:color w:val="auto"/>
          <w:highlight w:val="none"/>
        </w:rPr>
      </w:pPr>
      <w:r>
        <w:rPr>
          <w:rFonts w:ascii="宋体" w:hAnsi="宋体"/>
          <w:color w:val="auto"/>
          <w:highlight w:val="none"/>
        </w:rPr>
        <w:br w:type="page"/>
      </w:r>
    </w:p>
    <w:p w14:paraId="56EFD45C">
      <w:pPr>
        <w:spacing w:after="312" w:afterLines="100" w:line="400" w:lineRule="exact"/>
        <w:jc w:val="center"/>
        <w:outlineLvl w:val="1"/>
        <w:rPr>
          <w:rFonts w:hint="eastAsia" w:ascii="宋体" w:hAnsi="宋体"/>
          <w:b/>
          <w:bCs/>
          <w:color w:val="auto"/>
          <w:sz w:val="28"/>
          <w:szCs w:val="32"/>
          <w:highlight w:val="none"/>
        </w:rPr>
      </w:pPr>
      <w:r>
        <w:rPr>
          <w:rFonts w:hint="eastAsia" w:ascii="宋体" w:hAnsi="宋体"/>
          <w:b/>
          <w:color w:val="auto"/>
          <w:highlight w:val="none"/>
          <w:lang w:val="zh-CN"/>
        </w:rPr>
        <w:t>附件六</w:t>
      </w:r>
      <w:r>
        <w:rPr>
          <w:rFonts w:hint="eastAsia" w:ascii="宋体" w:hAnsi="宋体" w:cs="宋体"/>
          <w:b/>
          <w:bCs/>
          <w:color w:val="auto"/>
          <w:sz w:val="28"/>
          <w:szCs w:val="36"/>
          <w:highlight w:val="none"/>
        </w:rPr>
        <w:t xml:space="preserve">   </w:t>
      </w:r>
      <w:r>
        <w:rPr>
          <w:rFonts w:hint="eastAsia" w:ascii="宋体" w:hAnsi="宋体"/>
          <w:b/>
          <w:bCs/>
          <w:color w:val="auto"/>
          <w:sz w:val="28"/>
          <w:szCs w:val="32"/>
          <w:highlight w:val="none"/>
        </w:rPr>
        <w:t>拟投入本项目的人员、车辆及设备承诺书</w:t>
      </w:r>
    </w:p>
    <w:p w14:paraId="4614E2C6">
      <w:pPr>
        <w:spacing w:before="78" w:beforeLines="25" w:after="312" w:afterLines="100" w:line="700" w:lineRule="exact"/>
        <w:rPr>
          <w:rFonts w:hint="eastAsia" w:ascii="宋体" w:hAnsi="宋体"/>
          <w:color w:val="auto"/>
          <w:sz w:val="22"/>
          <w:szCs w:val="22"/>
          <w:highlight w:val="none"/>
          <w:u w:val="single"/>
        </w:rPr>
      </w:pPr>
      <w:r>
        <w:rPr>
          <w:rFonts w:hint="eastAsia" w:ascii="宋体" w:hAnsi="宋体"/>
          <w:color w:val="auto"/>
          <w:sz w:val="22"/>
          <w:szCs w:val="22"/>
          <w:highlight w:val="none"/>
        </w:rPr>
        <w:t>致：</w:t>
      </w:r>
      <w:r>
        <w:rPr>
          <w:rFonts w:hint="eastAsia" w:ascii="宋体" w:hAnsi="宋体"/>
          <w:color w:val="auto"/>
          <w:sz w:val="22"/>
          <w:szCs w:val="22"/>
          <w:highlight w:val="none"/>
          <w:u w:val="single"/>
        </w:rPr>
        <w:t xml:space="preserve">  （采购人全称）  </w:t>
      </w:r>
    </w:p>
    <w:p w14:paraId="49E39A5A">
      <w:pPr>
        <w:spacing w:line="600" w:lineRule="exact"/>
        <w:ind w:firstLine="420"/>
        <w:rPr>
          <w:rFonts w:hint="eastAsia" w:ascii="宋体" w:hAnsi="宋体"/>
          <w:color w:val="auto"/>
          <w:sz w:val="22"/>
          <w:szCs w:val="22"/>
          <w:highlight w:val="none"/>
        </w:rPr>
      </w:pPr>
      <w:r>
        <w:rPr>
          <w:rFonts w:hint="eastAsia" w:ascii="宋体" w:hAnsi="宋体"/>
          <w:color w:val="auto"/>
          <w:sz w:val="22"/>
          <w:szCs w:val="22"/>
          <w:highlight w:val="none"/>
        </w:rPr>
        <w:t>若我单位成为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的中标人，将保证在发出中标通知书后30日内按招标文件第三部分投入本项目的人员、车辆及设备要求配备齐全，若在在规定时间内无法配备齐全的，我方愿意放弃中标资格，并承担因此引起的一切法律后果。</w:t>
      </w:r>
    </w:p>
    <w:p w14:paraId="72522C6A">
      <w:pPr>
        <w:spacing w:before="78" w:beforeLines="25" w:after="312" w:afterLines="100" w:line="700" w:lineRule="exact"/>
        <w:ind w:firstLine="420"/>
        <w:rPr>
          <w:rFonts w:hint="eastAsia" w:ascii="宋体" w:hAnsi="宋体"/>
          <w:color w:val="auto"/>
          <w:sz w:val="22"/>
          <w:szCs w:val="22"/>
          <w:highlight w:val="none"/>
        </w:rPr>
      </w:pPr>
      <w:r>
        <w:rPr>
          <w:rFonts w:hint="eastAsia" w:ascii="宋体" w:hAnsi="宋体"/>
          <w:color w:val="auto"/>
          <w:sz w:val="22"/>
          <w:szCs w:val="22"/>
          <w:highlight w:val="none"/>
        </w:rPr>
        <w:t>特此承诺。</w:t>
      </w:r>
    </w:p>
    <w:p w14:paraId="7D131391">
      <w:pPr>
        <w:spacing w:before="78" w:beforeLines="25" w:after="312" w:afterLines="100"/>
        <w:ind w:firstLine="420"/>
        <w:rPr>
          <w:rFonts w:hint="eastAsia" w:ascii="宋体" w:hAnsi="宋体"/>
          <w:color w:val="auto"/>
          <w:szCs w:val="21"/>
          <w:highlight w:val="none"/>
          <w:u w:val="single"/>
        </w:rPr>
      </w:pPr>
    </w:p>
    <w:p w14:paraId="1EB0F589">
      <w:pPr>
        <w:spacing w:before="78" w:beforeLines="25" w:after="312" w:afterLines="100"/>
        <w:ind w:firstLine="420"/>
        <w:rPr>
          <w:rFonts w:hint="eastAsia" w:ascii="宋体" w:hAnsi="宋体"/>
          <w:color w:val="auto"/>
          <w:szCs w:val="21"/>
          <w:highlight w:val="none"/>
          <w:u w:val="single"/>
        </w:rPr>
      </w:pPr>
    </w:p>
    <w:p w14:paraId="13571D53">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4AAAA74C">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1A825F82">
      <w:pPr>
        <w:spacing w:line="400" w:lineRule="exact"/>
        <w:ind w:left="147" w:leftChars="70" w:firstLine="4261" w:firstLineChars="1937"/>
        <w:rPr>
          <w:rFonts w:hint="eastAsia" w:ascii="宋体" w:hAnsi="宋体"/>
          <w:color w:val="auto"/>
          <w:sz w:val="22"/>
          <w:highlight w:val="none"/>
        </w:rPr>
      </w:pPr>
      <w:r>
        <w:rPr>
          <w:rFonts w:hint="eastAsia" w:ascii="宋体" w:hAnsi="宋体"/>
          <w:color w:val="auto"/>
          <w:sz w:val="22"/>
          <w:szCs w:val="22"/>
          <w:highlight w:val="none"/>
        </w:rPr>
        <w:t>日  期：     年    月    日</w:t>
      </w:r>
    </w:p>
    <w:p w14:paraId="43A19DDD">
      <w:pPr>
        <w:spacing w:line="460" w:lineRule="exact"/>
        <w:jc w:val="left"/>
        <w:rPr>
          <w:rFonts w:hint="eastAsia" w:ascii="宋体" w:hAnsi="宋体"/>
          <w:b/>
          <w:color w:val="auto"/>
          <w:highlight w:val="none"/>
          <w:lang w:val="zh-CN"/>
        </w:rPr>
      </w:pPr>
    </w:p>
    <w:p w14:paraId="3FCFC7CE">
      <w:pPr>
        <w:spacing w:line="460" w:lineRule="exact"/>
        <w:jc w:val="left"/>
        <w:rPr>
          <w:rFonts w:hint="eastAsia" w:ascii="宋体" w:hAnsi="宋体"/>
          <w:b/>
          <w:color w:val="auto"/>
          <w:highlight w:val="none"/>
          <w:lang w:val="zh-CN"/>
        </w:rPr>
      </w:pPr>
    </w:p>
    <w:p w14:paraId="02AFDBE2">
      <w:pPr>
        <w:spacing w:line="460" w:lineRule="exact"/>
        <w:jc w:val="left"/>
        <w:rPr>
          <w:rFonts w:hint="eastAsia" w:ascii="宋体" w:hAnsi="宋体"/>
          <w:b/>
          <w:color w:val="auto"/>
          <w:highlight w:val="none"/>
          <w:lang w:val="zh-CN"/>
        </w:rPr>
      </w:pPr>
    </w:p>
    <w:p w14:paraId="57162CDD">
      <w:pPr>
        <w:spacing w:line="460" w:lineRule="exact"/>
        <w:jc w:val="left"/>
        <w:rPr>
          <w:rFonts w:hint="eastAsia" w:ascii="宋体" w:hAnsi="宋体"/>
          <w:b/>
          <w:bCs/>
          <w:color w:val="auto"/>
          <w:sz w:val="28"/>
          <w:szCs w:val="28"/>
          <w:highlight w:val="none"/>
        </w:rPr>
      </w:pPr>
      <w:r>
        <w:rPr>
          <w:rFonts w:hint="eastAsia" w:ascii="宋体" w:hAnsi="宋体"/>
          <w:b/>
          <w:color w:val="auto"/>
          <w:highlight w:val="none"/>
          <w:lang w:val="zh-CN"/>
        </w:rPr>
        <w:t>附件七  其他格式投标人自行拟定。</w:t>
      </w:r>
    </w:p>
    <w:p w14:paraId="4D10251C">
      <w:pPr>
        <w:spacing w:line="460" w:lineRule="exact"/>
        <w:jc w:val="center"/>
        <w:rPr>
          <w:rFonts w:ascii="宋体" w:hAnsi="宋体" w:cs="新宋体"/>
          <w:color w:val="auto"/>
          <w:sz w:val="22"/>
          <w:szCs w:val="22"/>
          <w:highlight w:val="none"/>
        </w:rPr>
      </w:pPr>
      <w:r>
        <w:rPr>
          <w:rFonts w:ascii="宋体" w:hAnsi="宋体" w:cs="新宋体"/>
          <w:color w:val="auto"/>
          <w:sz w:val="22"/>
          <w:szCs w:val="22"/>
          <w:highlight w:val="none"/>
        </w:rPr>
        <w:br w:type="page"/>
      </w:r>
    </w:p>
    <w:p w14:paraId="19F62629">
      <w:pPr>
        <w:spacing w:before="156" w:beforeLines="50" w:after="156" w:afterLines="50"/>
        <w:rPr>
          <w:rFonts w:hint="eastAsia" w:ascii="宋体" w:hAnsi="宋体" w:cs="新宋体"/>
          <w:color w:val="auto"/>
          <w:sz w:val="22"/>
          <w:szCs w:val="22"/>
          <w:highlight w:val="none"/>
        </w:rPr>
      </w:pPr>
      <w:r>
        <w:rPr>
          <w:rFonts w:hint="eastAsia" w:ascii="宋体" w:hAnsi="宋体" w:cs="新宋体"/>
          <w:color w:val="auto"/>
          <w:sz w:val="22"/>
          <w:szCs w:val="22"/>
          <w:highlight w:val="none"/>
        </w:rPr>
        <w:t>（报价文件封面，供参考）</w:t>
      </w:r>
    </w:p>
    <w:p w14:paraId="20EEFC75">
      <w:pPr>
        <w:rPr>
          <w:rFonts w:hint="eastAsia" w:ascii="宋体" w:hAnsi="宋体" w:cs="新宋体"/>
          <w:color w:val="auto"/>
          <w:highlight w:val="none"/>
        </w:rPr>
      </w:pPr>
    </w:p>
    <w:p w14:paraId="7530DB68">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（项目名称）</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投标文件</w:t>
      </w:r>
    </w:p>
    <w:p w14:paraId="467954DF">
      <w:pPr>
        <w:rPr>
          <w:rFonts w:hint="eastAsia" w:ascii="宋体" w:hAnsi="宋体" w:cs="新宋体"/>
          <w:color w:val="auto"/>
          <w:sz w:val="28"/>
          <w:szCs w:val="28"/>
          <w:highlight w:val="none"/>
        </w:rPr>
      </w:pPr>
    </w:p>
    <w:p w14:paraId="79302726">
      <w:pPr>
        <w:rPr>
          <w:rFonts w:hint="eastAsia" w:ascii="宋体" w:hAnsi="宋体" w:cs="新宋体"/>
          <w:color w:val="auto"/>
          <w:sz w:val="28"/>
          <w:szCs w:val="28"/>
          <w:highlight w:val="none"/>
        </w:rPr>
      </w:pPr>
    </w:p>
    <w:p w14:paraId="0AD53E7B">
      <w:pPr>
        <w:pStyle w:val="8"/>
        <w:ind w:firstLine="281"/>
        <w:rPr>
          <w:rFonts w:hint="eastAsia" w:ascii="宋体" w:hAnsi="宋体" w:cs="新宋体"/>
          <w:color w:val="auto"/>
          <w:sz w:val="28"/>
          <w:szCs w:val="28"/>
          <w:highlight w:val="none"/>
        </w:rPr>
      </w:pPr>
    </w:p>
    <w:p w14:paraId="39E04A40">
      <w:pPr>
        <w:pStyle w:val="8"/>
        <w:ind w:firstLine="281"/>
        <w:rPr>
          <w:rFonts w:hint="eastAsia" w:ascii="宋体" w:hAnsi="宋体" w:cs="新宋体"/>
          <w:color w:val="auto"/>
          <w:sz w:val="28"/>
          <w:szCs w:val="28"/>
          <w:highlight w:val="none"/>
        </w:rPr>
      </w:pPr>
    </w:p>
    <w:p w14:paraId="645EE669">
      <w:pPr>
        <w:rPr>
          <w:rFonts w:hint="eastAsia" w:ascii="宋体" w:hAnsi="宋体" w:cs="新宋体"/>
          <w:color w:val="auto"/>
          <w:sz w:val="28"/>
          <w:szCs w:val="28"/>
          <w:highlight w:val="none"/>
        </w:rPr>
      </w:pPr>
    </w:p>
    <w:p w14:paraId="5C298D3E">
      <w:pPr>
        <w:rPr>
          <w:rFonts w:hint="eastAsia" w:ascii="宋体" w:hAnsi="宋体" w:cs="新宋体"/>
          <w:color w:val="auto"/>
          <w:sz w:val="28"/>
          <w:szCs w:val="28"/>
          <w:highlight w:val="none"/>
        </w:rPr>
      </w:pPr>
    </w:p>
    <w:p w14:paraId="566BE05D">
      <w:pPr>
        <w:jc w:val="center"/>
        <w:rPr>
          <w:rFonts w:hint="eastAsia" w:ascii="宋体" w:hAnsi="宋体" w:cs="新宋体"/>
          <w:color w:val="auto"/>
          <w:sz w:val="52"/>
          <w:szCs w:val="52"/>
          <w:highlight w:val="none"/>
        </w:rPr>
      </w:pPr>
      <w:r>
        <w:rPr>
          <w:rFonts w:hint="eastAsia" w:ascii="宋体" w:hAnsi="宋体" w:cs="新宋体"/>
          <w:color w:val="auto"/>
          <w:sz w:val="52"/>
          <w:szCs w:val="52"/>
          <w:highlight w:val="none"/>
        </w:rPr>
        <w:t>报 价 文 件</w:t>
      </w:r>
    </w:p>
    <w:p w14:paraId="5E47B77A">
      <w:pPr>
        <w:spacing w:line="360" w:lineRule="auto"/>
        <w:rPr>
          <w:rFonts w:hint="eastAsia" w:ascii="宋体" w:hAnsi="宋体" w:cs="新宋体"/>
          <w:color w:val="auto"/>
          <w:szCs w:val="21"/>
          <w:highlight w:val="none"/>
        </w:rPr>
      </w:pPr>
    </w:p>
    <w:p w14:paraId="08EFEDCF">
      <w:pPr>
        <w:spacing w:line="360" w:lineRule="auto"/>
        <w:rPr>
          <w:rFonts w:hint="eastAsia" w:ascii="宋体" w:hAnsi="宋体" w:cs="新宋体"/>
          <w:color w:val="auto"/>
          <w:szCs w:val="21"/>
          <w:highlight w:val="none"/>
        </w:rPr>
      </w:pPr>
    </w:p>
    <w:p w14:paraId="1982DEE3">
      <w:pPr>
        <w:spacing w:line="360" w:lineRule="auto"/>
        <w:rPr>
          <w:rFonts w:hint="eastAsia" w:ascii="宋体" w:hAnsi="宋体" w:cs="新宋体"/>
          <w:color w:val="auto"/>
          <w:szCs w:val="21"/>
          <w:highlight w:val="none"/>
        </w:rPr>
      </w:pPr>
    </w:p>
    <w:p w14:paraId="584F593B">
      <w:pPr>
        <w:spacing w:line="360" w:lineRule="auto"/>
        <w:rPr>
          <w:rFonts w:hint="eastAsia" w:ascii="宋体" w:hAnsi="宋体" w:cs="新宋体"/>
          <w:color w:val="auto"/>
          <w:szCs w:val="21"/>
          <w:highlight w:val="none"/>
        </w:rPr>
      </w:pPr>
    </w:p>
    <w:p w14:paraId="34835711">
      <w:pPr>
        <w:spacing w:line="360" w:lineRule="auto"/>
        <w:rPr>
          <w:rFonts w:hint="eastAsia" w:ascii="宋体" w:hAnsi="宋体" w:cs="新宋体"/>
          <w:color w:val="auto"/>
          <w:szCs w:val="21"/>
          <w:highlight w:val="none"/>
        </w:rPr>
      </w:pPr>
    </w:p>
    <w:p w14:paraId="45388965">
      <w:pPr>
        <w:pStyle w:val="10"/>
        <w:rPr>
          <w:rFonts w:hint="eastAsia"/>
          <w:color w:val="auto"/>
          <w:highlight w:val="none"/>
          <w:lang w:val="en-US" w:eastAsia="zh-CN"/>
        </w:rPr>
      </w:pPr>
    </w:p>
    <w:p w14:paraId="12C8B66A">
      <w:pPr>
        <w:pStyle w:val="10"/>
        <w:rPr>
          <w:rFonts w:hint="eastAsia"/>
          <w:color w:val="auto"/>
          <w:highlight w:val="none"/>
          <w:lang w:val="en-US" w:eastAsia="zh-CN"/>
        </w:rPr>
      </w:pPr>
    </w:p>
    <w:p w14:paraId="54D96E85">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供应商：</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（盖单位章）</w:t>
      </w:r>
    </w:p>
    <w:p w14:paraId="1BE948F5">
      <w:pPr>
        <w:rPr>
          <w:rFonts w:hint="eastAsia" w:ascii="宋体" w:hAnsi="宋体" w:cs="新宋体"/>
          <w:color w:val="auto"/>
          <w:sz w:val="28"/>
          <w:szCs w:val="28"/>
          <w:highlight w:val="none"/>
          <w:u w:val="single"/>
        </w:rPr>
      </w:pPr>
    </w:p>
    <w:p w14:paraId="664482A6">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法定代表人或其委托代理人：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（签字或盖章）</w:t>
      </w:r>
    </w:p>
    <w:p w14:paraId="633FF5AD">
      <w:pPr>
        <w:rPr>
          <w:rFonts w:hint="eastAsia" w:ascii="宋体" w:hAnsi="宋体" w:cs="新宋体"/>
          <w:color w:val="auto"/>
          <w:sz w:val="28"/>
          <w:szCs w:val="28"/>
          <w:highlight w:val="none"/>
        </w:rPr>
      </w:pPr>
    </w:p>
    <w:p w14:paraId="6A8D857B">
      <w:pPr>
        <w:overflowPunct w:val="0"/>
        <w:spacing w:line="380" w:lineRule="exact"/>
        <w:ind w:firstLine="2738" w:firstLineChars="978"/>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年</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月</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日</w:t>
      </w:r>
    </w:p>
    <w:p w14:paraId="469B3389">
      <w:pPr>
        <w:overflowPunct w:val="0"/>
        <w:spacing w:line="380" w:lineRule="exact"/>
        <w:rPr>
          <w:rFonts w:hint="eastAsia" w:ascii="宋体" w:hAnsi="宋体" w:cs="新宋体"/>
          <w:b/>
          <w:bCs/>
          <w:color w:val="auto"/>
          <w:sz w:val="22"/>
          <w:szCs w:val="22"/>
          <w:highlight w:val="none"/>
        </w:rPr>
      </w:pPr>
      <w:r>
        <w:rPr>
          <w:rFonts w:hint="eastAsia" w:ascii="宋体" w:hAnsi="宋体" w:cs="新宋体"/>
          <w:color w:val="auto"/>
          <w:sz w:val="22"/>
          <w:szCs w:val="22"/>
          <w:highlight w:val="none"/>
        </w:rPr>
        <w:br w:type="page"/>
      </w:r>
      <w:r>
        <w:rPr>
          <w:rFonts w:hint="eastAsia" w:ascii="宋体" w:hAnsi="宋体" w:cs="新宋体"/>
          <w:b/>
          <w:bCs/>
          <w:color w:val="auto"/>
          <w:sz w:val="22"/>
          <w:szCs w:val="22"/>
          <w:highlight w:val="none"/>
        </w:rPr>
        <w:t>附件一</w:t>
      </w:r>
    </w:p>
    <w:p w14:paraId="14DF7762">
      <w:pPr>
        <w:autoSpaceDE w:val="0"/>
        <w:autoSpaceDN w:val="0"/>
        <w:adjustRightInd w:val="0"/>
        <w:spacing w:line="460" w:lineRule="atLeast"/>
        <w:jc w:val="center"/>
        <w:rPr>
          <w:rFonts w:hint="eastAsia" w:ascii="宋体" w:hAnsi="宋体" w:cs="新宋体"/>
          <w:b/>
          <w:bCs/>
          <w:color w:val="auto"/>
          <w:kern w:val="0"/>
          <w:sz w:val="28"/>
          <w:szCs w:val="28"/>
          <w:highlight w:val="none"/>
          <w:lang w:val="zh-CN"/>
        </w:rPr>
      </w:pPr>
    </w:p>
    <w:p w14:paraId="1AFE976D">
      <w:pPr>
        <w:jc w:val="center"/>
        <w:rPr>
          <w:rFonts w:hint="eastAsia" w:ascii="宋体" w:hAnsi="宋体" w:cs="新宋体"/>
          <w:b/>
          <w:color w:val="auto"/>
          <w:sz w:val="28"/>
          <w:highlight w:val="none"/>
        </w:rPr>
      </w:pPr>
      <w:r>
        <w:rPr>
          <w:rFonts w:hint="eastAsia" w:ascii="宋体" w:hAnsi="宋体" w:cs="新宋体"/>
          <w:b/>
          <w:color w:val="auto"/>
          <w:sz w:val="28"/>
          <w:highlight w:val="none"/>
        </w:rPr>
        <w:t>开标一览表</w:t>
      </w:r>
    </w:p>
    <w:p w14:paraId="368D03C0">
      <w:pPr>
        <w:overflowPunct w:val="0"/>
        <w:spacing w:line="380" w:lineRule="exact"/>
        <w:jc w:val="center"/>
        <w:rPr>
          <w:rFonts w:hint="eastAsia" w:ascii="宋体" w:hAnsi="宋体" w:cs="新宋体"/>
          <w:b/>
          <w:bCs/>
          <w:color w:val="auto"/>
          <w:sz w:val="28"/>
          <w:highlight w:val="none"/>
        </w:rPr>
      </w:pPr>
    </w:p>
    <w:p w14:paraId="1E261B4B">
      <w:pPr>
        <w:overflowPunct w:val="0"/>
        <w:spacing w:line="380" w:lineRule="exact"/>
        <w:jc w:val="center"/>
        <w:rPr>
          <w:rFonts w:hint="eastAsia" w:ascii="宋体" w:hAnsi="宋体" w:cs="新宋体"/>
          <w:b/>
          <w:bCs/>
          <w:color w:val="auto"/>
          <w:sz w:val="28"/>
          <w:highlight w:val="none"/>
        </w:rPr>
      </w:pPr>
    </w:p>
    <w:p w14:paraId="5870AC18">
      <w:pPr>
        <w:overflowPunct w:val="0"/>
        <w:spacing w:line="380" w:lineRule="exact"/>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项目编号：</w:t>
      </w:r>
      <w:r>
        <w:rPr>
          <w:rFonts w:hint="eastAsia" w:ascii="宋体" w:hAnsi="宋体"/>
          <w:bCs/>
          <w:color w:val="auto"/>
          <w:sz w:val="22"/>
          <w:szCs w:val="22"/>
          <w:highlight w:val="none"/>
        </w:rPr>
        <w:t xml:space="preserve">         </w:t>
      </w:r>
    </w:p>
    <w:tbl>
      <w:tblPr>
        <w:tblStyle w:val="21"/>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3629"/>
        <w:gridCol w:w="1559"/>
        <w:gridCol w:w="1637"/>
      </w:tblGrid>
      <w:tr w14:paraId="5BF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971" w:type="dxa"/>
            <w:tcBorders>
              <w:left w:val="single" w:color="auto" w:sz="4" w:space="0"/>
              <w:right w:val="single" w:color="000000" w:sz="6" w:space="0"/>
            </w:tcBorders>
            <w:noWrap w:val="0"/>
            <w:vAlign w:val="center"/>
          </w:tcPr>
          <w:p w14:paraId="695B39D1">
            <w:pPr>
              <w:pStyle w:val="13"/>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项目名称</w:t>
            </w:r>
          </w:p>
        </w:tc>
        <w:tc>
          <w:tcPr>
            <w:tcW w:w="3629" w:type="dxa"/>
            <w:noWrap w:val="0"/>
            <w:vAlign w:val="center"/>
          </w:tcPr>
          <w:p w14:paraId="19E0DCF5">
            <w:pPr>
              <w:pStyle w:val="12"/>
              <w:spacing w:before="120" w:after="120" w:line="4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投标报价（元）</w:t>
            </w:r>
          </w:p>
        </w:tc>
        <w:tc>
          <w:tcPr>
            <w:tcW w:w="1559" w:type="dxa"/>
            <w:noWrap w:val="0"/>
            <w:vAlign w:val="center"/>
          </w:tcPr>
          <w:p w14:paraId="6E0CF4A6">
            <w:pPr>
              <w:pStyle w:val="13"/>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服务期限</w:t>
            </w:r>
          </w:p>
        </w:tc>
        <w:tc>
          <w:tcPr>
            <w:tcW w:w="1637" w:type="dxa"/>
            <w:noWrap w:val="0"/>
            <w:vAlign w:val="center"/>
          </w:tcPr>
          <w:p w14:paraId="3F8B2581">
            <w:pPr>
              <w:pStyle w:val="13"/>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备注</w:t>
            </w:r>
          </w:p>
        </w:tc>
      </w:tr>
      <w:tr w14:paraId="29B7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2971" w:type="dxa"/>
            <w:tcBorders>
              <w:left w:val="single" w:color="auto" w:sz="4" w:space="0"/>
              <w:right w:val="single" w:color="000000" w:sz="6" w:space="0"/>
            </w:tcBorders>
            <w:noWrap w:val="0"/>
            <w:vAlign w:val="center"/>
          </w:tcPr>
          <w:p w14:paraId="48C4D706">
            <w:pPr>
              <w:pStyle w:val="13"/>
              <w:snapToGrid w:val="0"/>
              <w:spacing w:line="460" w:lineRule="atLeast"/>
              <w:jc w:val="center"/>
              <w:rPr>
                <w:rFonts w:hint="eastAsia" w:hAnsi="宋体" w:eastAsia="宋体"/>
                <w:b/>
                <w:bCs/>
                <w:color w:val="auto"/>
                <w:sz w:val="22"/>
                <w:szCs w:val="22"/>
                <w:highlight w:val="none"/>
                <w:lang w:eastAsia="zh-CN"/>
              </w:rPr>
            </w:pPr>
            <w:r>
              <w:rPr>
                <w:rFonts w:hint="eastAsia" w:hAnsi="宋体"/>
                <w:b/>
                <w:color w:val="auto"/>
                <w:sz w:val="22"/>
                <w:szCs w:val="22"/>
                <w:highlight w:val="none"/>
                <w:lang w:eastAsia="zh-CN"/>
              </w:rPr>
              <w:t>2025年-2026年山福镇农村生活污水处理设备及管网运维服务采购项目</w:t>
            </w:r>
          </w:p>
        </w:tc>
        <w:tc>
          <w:tcPr>
            <w:tcW w:w="3629" w:type="dxa"/>
            <w:noWrap w:val="0"/>
            <w:vAlign w:val="center"/>
          </w:tcPr>
          <w:p w14:paraId="7510FD6A">
            <w:pPr>
              <w:pStyle w:val="12"/>
              <w:spacing w:before="120" w:after="120"/>
              <w:ind w:left="56" w:leftChars="27"/>
              <w:jc w:val="left"/>
              <w:rPr>
                <w:rFonts w:hint="eastAsia" w:ascii="宋体" w:hAnsi="宋体"/>
                <w:b/>
                <w:color w:val="auto"/>
                <w:sz w:val="22"/>
                <w:szCs w:val="22"/>
                <w:highlight w:val="none"/>
                <w:u w:val="single"/>
              </w:rPr>
            </w:pPr>
          </w:p>
        </w:tc>
        <w:tc>
          <w:tcPr>
            <w:tcW w:w="1559" w:type="dxa"/>
            <w:noWrap w:val="0"/>
            <w:vAlign w:val="center"/>
          </w:tcPr>
          <w:p w14:paraId="7A646A7A">
            <w:pPr>
              <w:pStyle w:val="13"/>
              <w:jc w:val="center"/>
              <w:rPr>
                <w:rFonts w:hAnsi="宋体"/>
                <w:b/>
                <w:color w:val="auto"/>
                <w:sz w:val="22"/>
                <w:szCs w:val="22"/>
                <w:highlight w:val="none"/>
              </w:rPr>
            </w:pPr>
            <w:r>
              <w:rPr>
                <w:rFonts w:hint="eastAsia" w:hAnsi="宋体"/>
                <w:b/>
                <w:color w:val="auto"/>
                <w:sz w:val="22"/>
                <w:szCs w:val="22"/>
                <w:highlight w:val="none"/>
              </w:rPr>
              <w:t>一年</w:t>
            </w:r>
          </w:p>
        </w:tc>
        <w:tc>
          <w:tcPr>
            <w:tcW w:w="1637" w:type="dxa"/>
            <w:noWrap w:val="0"/>
            <w:vAlign w:val="center"/>
          </w:tcPr>
          <w:p w14:paraId="58CDACED">
            <w:pPr>
              <w:pStyle w:val="13"/>
              <w:snapToGrid w:val="0"/>
              <w:jc w:val="center"/>
              <w:rPr>
                <w:rFonts w:hAnsi="宋体"/>
                <w:b/>
                <w:bCs/>
                <w:color w:val="auto"/>
                <w:sz w:val="22"/>
                <w:szCs w:val="22"/>
                <w:highlight w:val="none"/>
              </w:rPr>
            </w:pPr>
            <w:r>
              <w:rPr>
                <w:rFonts w:hint="eastAsia" w:hAnsi="宋体"/>
                <w:b/>
                <w:bCs/>
                <w:color w:val="auto"/>
                <w:sz w:val="22"/>
                <w:szCs w:val="22"/>
                <w:highlight w:val="none"/>
              </w:rPr>
              <w:t>最高限价不超过</w:t>
            </w:r>
            <w:r>
              <w:rPr>
                <w:rFonts w:hint="eastAsia" w:hAnsi="宋体"/>
                <w:b/>
                <w:bCs/>
                <w:color w:val="auto"/>
                <w:sz w:val="22"/>
                <w:szCs w:val="22"/>
                <w:highlight w:val="none"/>
                <w:lang w:val="en-US" w:eastAsia="zh-CN"/>
              </w:rPr>
              <w:t>64万元</w:t>
            </w:r>
          </w:p>
        </w:tc>
      </w:tr>
      <w:tr w14:paraId="17AF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971" w:type="dxa"/>
            <w:tcBorders>
              <w:left w:val="single" w:color="auto" w:sz="4" w:space="0"/>
              <w:right w:val="single" w:color="000000" w:sz="6" w:space="0"/>
            </w:tcBorders>
            <w:noWrap w:val="0"/>
            <w:vAlign w:val="center"/>
          </w:tcPr>
          <w:p w14:paraId="3A45A4DE">
            <w:pPr>
              <w:pStyle w:val="13"/>
              <w:snapToGrid w:val="0"/>
              <w:spacing w:line="460" w:lineRule="atLeast"/>
              <w:jc w:val="center"/>
              <w:rPr>
                <w:rFonts w:hint="eastAsia" w:hAnsi="宋体"/>
                <w:b/>
                <w:color w:val="auto"/>
                <w:sz w:val="22"/>
                <w:szCs w:val="22"/>
                <w:highlight w:val="none"/>
              </w:rPr>
            </w:pPr>
            <w:r>
              <w:rPr>
                <w:rFonts w:hint="eastAsia" w:hAnsi="宋体"/>
                <w:b/>
                <w:color w:val="auto"/>
                <w:sz w:val="22"/>
                <w:szCs w:val="22"/>
                <w:highlight w:val="none"/>
              </w:rPr>
              <w:t>合计</w:t>
            </w:r>
          </w:p>
        </w:tc>
        <w:tc>
          <w:tcPr>
            <w:tcW w:w="5188" w:type="dxa"/>
            <w:gridSpan w:val="2"/>
            <w:noWrap w:val="0"/>
            <w:vAlign w:val="center"/>
          </w:tcPr>
          <w:p w14:paraId="0203D9C8">
            <w:pPr>
              <w:pStyle w:val="13"/>
              <w:jc w:val="center"/>
              <w:rPr>
                <w:rFonts w:hint="eastAsia" w:hAnsi="宋体"/>
                <w:b/>
                <w:color w:val="auto"/>
                <w:sz w:val="22"/>
                <w:szCs w:val="22"/>
                <w:highlight w:val="none"/>
              </w:rPr>
            </w:pPr>
          </w:p>
        </w:tc>
        <w:tc>
          <w:tcPr>
            <w:tcW w:w="1637" w:type="dxa"/>
            <w:noWrap w:val="0"/>
            <w:vAlign w:val="center"/>
          </w:tcPr>
          <w:p w14:paraId="3C48A738">
            <w:pPr>
              <w:pStyle w:val="13"/>
              <w:snapToGrid w:val="0"/>
              <w:jc w:val="center"/>
              <w:rPr>
                <w:rFonts w:hAnsi="宋体"/>
                <w:b/>
                <w:bCs/>
                <w:color w:val="auto"/>
                <w:sz w:val="22"/>
                <w:szCs w:val="22"/>
                <w:highlight w:val="none"/>
              </w:rPr>
            </w:pPr>
          </w:p>
        </w:tc>
      </w:tr>
    </w:tbl>
    <w:p w14:paraId="28068B11">
      <w:pPr>
        <w:overflowPunct w:val="0"/>
        <w:spacing w:line="460" w:lineRule="exact"/>
        <w:rPr>
          <w:rFonts w:ascii="宋体" w:hAnsi="宋体" w:cs="新宋体"/>
          <w:color w:val="auto"/>
          <w:sz w:val="22"/>
          <w:szCs w:val="22"/>
          <w:highlight w:val="none"/>
        </w:rPr>
      </w:pPr>
    </w:p>
    <w:p w14:paraId="75023746">
      <w:pPr>
        <w:overflowPunct w:val="0"/>
        <w:spacing w:line="460" w:lineRule="exact"/>
        <w:rPr>
          <w:rFonts w:hint="eastAsia" w:ascii="宋体" w:hAnsi="宋体" w:cs="新宋体"/>
          <w:b/>
          <w:color w:val="auto"/>
          <w:sz w:val="22"/>
          <w:highlight w:val="none"/>
        </w:rPr>
      </w:pPr>
      <w:r>
        <w:rPr>
          <w:rFonts w:hint="eastAsia" w:ascii="宋体" w:hAnsi="宋体" w:cs="新宋体"/>
          <w:color w:val="auto"/>
          <w:sz w:val="22"/>
          <w:szCs w:val="22"/>
          <w:highlight w:val="none"/>
        </w:rPr>
        <w:t>说明</w:t>
      </w:r>
      <w:r>
        <w:rPr>
          <w:rFonts w:hint="eastAsia" w:ascii="宋体" w:hAnsi="宋体"/>
          <w:b/>
          <w:color w:val="auto"/>
          <w:sz w:val="22"/>
          <w:highlight w:val="none"/>
          <w:u w:val="single"/>
        </w:rPr>
        <w:t>：1、▲不提供此表的报价，视为没有实质性响应采购文件要求。</w:t>
      </w:r>
    </w:p>
    <w:p w14:paraId="11CF761B">
      <w:pPr>
        <w:widowControl/>
        <w:autoSpaceDE w:val="0"/>
        <w:autoSpaceDN w:val="0"/>
        <w:adjustRightInd w:val="0"/>
        <w:spacing w:line="460" w:lineRule="atLeast"/>
        <w:ind w:left="442"/>
        <w:textAlignment w:val="bottom"/>
        <w:rPr>
          <w:rFonts w:ascii="宋体" w:hAnsi="宋体"/>
          <w:b/>
          <w:bCs/>
          <w:color w:val="auto"/>
          <w:sz w:val="22"/>
          <w:highlight w:val="none"/>
          <w:u w:val="wave"/>
        </w:rPr>
      </w:pPr>
      <w:r>
        <w:rPr>
          <w:rFonts w:hint="eastAsia" w:ascii="宋体" w:hAnsi="宋体"/>
          <w:b/>
          <w:color w:val="auto"/>
          <w:sz w:val="22"/>
          <w:highlight w:val="none"/>
        </w:rPr>
        <w:t xml:space="preserve">  </w:t>
      </w:r>
      <w:r>
        <w:rPr>
          <w:rFonts w:hint="eastAsia" w:ascii="宋体" w:hAnsi="宋体"/>
          <w:b/>
          <w:color w:val="auto"/>
          <w:sz w:val="22"/>
          <w:highlight w:val="none"/>
          <w:u w:val="single"/>
        </w:rPr>
        <w:t>2、▲</w:t>
      </w:r>
      <w:r>
        <w:rPr>
          <w:rFonts w:hint="eastAsia" w:ascii="宋体" w:hAnsi="宋体"/>
          <w:b/>
          <w:bCs/>
          <w:color w:val="auto"/>
          <w:sz w:val="22"/>
          <w:highlight w:val="none"/>
          <w:u w:val="single"/>
        </w:rPr>
        <w:t>投标报价须与投标分项报价表中的合计价相一致。</w:t>
      </w:r>
    </w:p>
    <w:p w14:paraId="374DFFB5">
      <w:pPr>
        <w:widowControl/>
        <w:autoSpaceDE w:val="0"/>
        <w:autoSpaceDN w:val="0"/>
        <w:adjustRightInd w:val="0"/>
        <w:spacing w:line="460" w:lineRule="atLeast"/>
        <w:ind w:firstLine="440" w:firstLineChars="200"/>
        <w:textAlignment w:val="bottom"/>
        <w:rPr>
          <w:rFonts w:hint="eastAsia" w:ascii="宋体" w:hAnsi="宋体"/>
          <w:b/>
          <w:color w:val="auto"/>
          <w:sz w:val="22"/>
          <w:highlight w:val="none"/>
          <w:u w:val="single"/>
        </w:rPr>
      </w:pPr>
    </w:p>
    <w:p w14:paraId="49966239">
      <w:pPr>
        <w:pStyle w:val="10"/>
        <w:rPr>
          <w:rFonts w:cs="新宋体"/>
          <w:color w:val="auto"/>
          <w:sz w:val="22"/>
          <w:szCs w:val="22"/>
          <w:highlight w:val="none"/>
          <w:lang w:val="en-US"/>
        </w:rPr>
      </w:pPr>
    </w:p>
    <w:p w14:paraId="2EF537F5">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投标人全称（盖章）：</w:t>
      </w:r>
    </w:p>
    <w:p w14:paraId="7849E7B9">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法定代表人或其委托代理人（签字或盖章）：</w:t>
      </w:r>
    </w:p>
    <w:p w14:paraId="387F42AE">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日 期：  年  月  日</w:t>
      </w:r>
    </w:p>
    <w:p w14:paraId="70414DBF">
      <w:pPr>
        <w:autoSpaceDE w:val="0"/>
        <w:autoSpaceDN w:val="0"/>
        <w:adjustRightInd w:val="0"/>
        <w:snapToGrid w:val="0"/>
        <w:spacing w:line="360" w:lineRule="auto"/>
        <w:ind w:left="500"/>
        <w:textAlignment w:val="baseline"/>
        <w:rPr>
          <w:rFonts w:hint="eastAsia" w:ascii="宋体" w:hAnsi="宋体" w:cs="新宋体"/>
          <w:b/>
          <w:bCs/>
          <w:color w:val="auto"/>
          <w:kern w:val="0"/>
          <w:sz w:val="28"/>
          <w:szCs w:val="28"/>
          <w:highlight w:val="none"/>
          <w:lang w:val="zh-CN"/>
        </w:rPr>
      </w:pPr>
      <w:r>
        <w:rPr>
          <w:rFonts w:ascii="宋体" w:hAnsi="宋体" w:cs="新宋体"/>
          <w:color w:val="auto"/>
          <w:sz w:val="22"/>
          <w:szCs w:val="22"/>
          <w:highlight w:val="none"/>
        </w:rPr>
        <w:br w:type="page"/>
      </w:r>
      <w:r>
        <w:rPr>
          <w:rFonts w:hint="eastAsia" w:ascii="宋体" w:hAnsi="宋体" w:cs="新宋体"/>
          <w:b/>
          <w:bCs/>
          <w:color w:val="auto"/>
          <w:kern w:val="0"/>
          <w:sz w:val="22"/>
          <w:szCs w:val="22"/>
          <w:highlight w:val="none"/>
          <w:lang w:val="zh-CN"/>
        </w:rPr>
        <w:t xml:space="preserve">附件二  </w:t>
      </w:r>
    </w:p>
    <w:p w14:paraId="119ACF57">
      <w:pPr>
        <w:autoSpaceDE w:val="0"/>
        <w:autoSpaceDN w:val="0"/>
        <w:adjustRightInd w:val="0"/>
        <w:spacing w:line="380" w:lineRule="atLeast"/>
        <w:jc w:val="center"/>
        <w:rPr>
          <w:rFonts w:hint="eastAsia" w:ascii="宋体" w:hAnsi="宋体" w:cs="新宋体"/>
          <w:b/>
          <w:bCs/>
          <w:color w:val="auto"/>
          <w:kern w:val="0"/>
          <w:sz w:val="28"/>
          <w:szCs w:val="28"/>
          <w:highlight w:val="none"/>
          <w:lang w:val="zh-CN"/>
        </w:rPr>
      </w:pPr>
      <w:r>
        <w:rPr>
          <w:rFonts w:hint="eastAsia" w:ascii="宋体" w:hAnsi="宋体" w:cs="新宋体"/>
          <w:b/>
          <w:bCs/>
          <w:color w:val="auto"/>
          <w:kern w:val="0"/>
          <w:sz w:val="28"/>
          <w:szCs w:val="28"/>
          <w:highlight w:val="none"/>
          <w:lang w:val="zh-CN"/>
        </w:rPr>
        <w:t>投标分项报价表</w:t>
      </w:r>
    </w:p>
    <w:tbl>
      <w:tblPr>
        <w:tblStyle w:val="21"/>
        <w:tblW w:w="10013" w:type="dxa"/>
        <w:tblInd w:w="-739" w:type="dxa"/>
        <w:tblLayout w:type="autofit"/>
        <w:tblCellMar>
          <w:top w:w="0" w:type="dxa"/>
          <w:left w:w="108" w:type="dxa"/>
          <w:bottom w:w="0" w:type="dxa"/>
          <w:right w:w="108" w:type="dxa"/>
        </w:tblCellMar>
      </w:tblPr>
      <w:tblGrid>
        <w:gridCol w:w="870"/>
        <w:gridCol w:w="900"/>
        <w:gridCol w:w="3005"/>
        <w:gridCol w:w="1098"/>
        <w:gridCol w:w="1478"/>
        <w:gridCol w:w="1183"/>
        <w:gridCol w:w="1479"/>
      </w:tblGrid>
      <w:tr w14:paraId="26C48E9F">
        <w:tblPrEx>
          <w:tblCellMar>
            <w:top w:w="0" w:type="dxa"/>
            <w:left w:w="108" w:type="dxa"/>
            <w:bottom w:w="0" w:type="dxa"/>
            <w:right w:w="108" w:type="dxa"/>
          </w:tblCellMar>
        </w:tblPrEx>
        <w:trPr>
          <w:trHeight w:val="1094" w:hRule="atLeast"/>
        </w:trPr>
        <w:tc>
          <w:tcPr>
            <w:tcW w:w="870" w:type="dxa"/>
            <w:vMerge w:val="restart"/>
            <w:tcBorders>
              <w:top w:val="single" w:color="auto" w:sz="8" w:space="0"/>
              <w:left w:val="single" w:color="auto" w:sz="8" w:space="0"/>
              <w:bottom w:val="single" w:color="auto" w:sz="8" w:space="0"/>
              <w:right w:val="single" w:color="auto" w:sz="8" w:space="0"/>
            </w:tcBorders>
            <w:noWrap w:val="0"/>
            <w:vAlign w:val="center"/>
          </w:tcPr>
          <w:p w14:paraId="3A171AF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900" w:type="dxa"/>
            <w:vMerge w:val="restart"/>
            <w:tcBorders>
              <w:top w:val="single" w:color="auto" w:sz="8" w:space="0"/>
              <w:left w:val="nil"/>
              <w:bottom w:val="single" w:color="auto" w:sz="8" w:space="0"/>
              <w:right w:val="single" w:color="auto" w:sz="8" w:space="0"/>
            </w:tcBorders>
            <w:noWrap w:val="0"/>
            <w:vAlign w:val="center"/>
          </w:tcPr>
          <w:p w14:paraId="3580687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招标内容</w:t>
            </w:r>
          </w:p>
        </w:tc>
        <w:tc>
          <w:tcPr>
            <w:tcW w:w="3005" w:type="dxa"/>
            <w:vMerge w:val="restart"/>
            <w:tcBorders>
              <w:top w:val="single" w:color="auto" w:sz="8" w:space="0"/>
              <w:left w:val="nil"/>
              <w:bottom w:val="single" w:color="auto" w:sz="8" w:space="0"/>
              <w:right w:val="single" w:color="auto" w:sz="8" w:space="0"/>
            </w:tcBorders>
            <w:noWrap w:val="0"/>
            <w:vAlign w:val="center"/>
          </w:tcPr>
          <w:p w14:paraId="6A167142">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规 格</w:t>
            </w:r>
          </w:p>
        </w:tc>
        <w:tc>
          <w:tcPr>
            <w:tcW w:w="1098" w:type="dxa"/>
            <w:vMerge w:val="restart"/>
            <w:tcBorders>
              <w:top w:val="single" w:color="auto" w:sz="8" w:space="0"/>
              <w:left w:val="nil"/>
              <w:bottom w:val="single" w:color="auto" w:sz="8" w:space="0"/>
              <w:right w:val="single" w:color="auto" w:sz="8" w:space="0"/>
            </w:tcBorders>
            <w:noWrap w:val="0"/>
            <w:vAlign w:val="center"/>
          </w:tcPr>
          <w:p w14:paraId="4F5329D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478" w:type="dxa"/>
            <w:tcBorders>
              <w:top w:val="single" w:color="auto" w:sz="8" w:space="0"/>
              <w:left w:val="nil"/>
              <w:bottom w:val="nil"/>
              <w:right w:val="single" w:color="auto" w:sz="8" w:space="0"/>
            </w:tcBorders>
            <w:noWrap w:val="0"/>
            <w:vAlign w:val="center"/>
          </w:tcPr>
          <w:p w14:paraId="1BCFB61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数量</w:t>
            </w:r>
          </w:p>
        </w:tc>
        <w:tc>
          <w:tcPr>
            <w:tcW w:w="1183" w:type="dxa"/>
            <w:tcBorders>
              <w:top w:val="single" w:color="auto" w:sz="8" w:space="0"/>
              <w:left w:val="nil"/>
              <w:bottom w:val="nil"/>
              <w:right w:val="single" w:color="auto" w:sz="8" w:space="0"/>
            </w:tcBorders>
            <w:noWrap w:val="0"/>
            <w:vAlign w:val="center"/>
          </w:tcPr>
          <w:p w14:paraId="0E2575B6">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采购预算单价（限价）</w:t>
            </w:r>
          </w:p>
        </w:tc>
        <w:tc>
          <w:tcPr>
            <w:tcW w:w="1479" w:type="dxa"/>
            <w:vMerge w:val="restart"/>
            <w:tcBorders>
              <w:top w:val="single" w:color="auto" w:sz="8" w:space="0"/>
              <w:left w:val="nil"/>
              <w:bottom w:val="single" w:color="auto" w:sz="8" w:space="0"/>
              <w:right w:val="single" w:color="auto" w:sz="8" w:space="0"/>
            </w:tcBorders>
            <w:noWrap w:val="0"/>
            <w:vAlign w:val="center"/>
          </w:tcPr>
          <w:p w14:paraId="06F1B44A">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总价（限价）元/年</w:t>
            </w:r>
          </w:p>
        </w:tc>
      </w:tr>
      <w:tr w14:paraId="4638CB95">
        <w:tblPrEx>
          <w:tblCellMar>
            <w:top w:w="0" w:type="dxa"/>
            <w:left w:w="108" w:type="dxa"/>
            <w:bottom w:w="0" w:type="dxa"/>
            <w:right w:w="108" w:type="dxa"/>
          </w:tblCellMar>
        </w:tblPrEx>
        <w:trPr>
          <w:trHeight w:val="281" w:hRule="atLeast"/>
        </w:trPr>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14:paraId="2127B3DD">
            <w:pPr>
              <w:widowControl/>
              <w:jc w:val="left"/>
              <w:rPr>
                <w:rFonts w:ascii="宋体" w:hAnsi="宋体" w:cs="宋体"/>
                <w:b/>
                <w:bCs/>
                <w:color w:val="auto"/>
                <w:kern w:val="0"/>
                <w:sz w:val="22"/>
                <w:szCs w:val="22"/>
                <w:highlight w:val="none"/>
              </w:rPr>
            </w:pPr>
          </w:p>
        </w:tc>
        <w:tc>
          <w:tcPr>
            <w:tcW w:w="900" w:type="dxa"/>
            <w:vMerge w:val="continue"/>
            <w:tcBorders>
              <w:top w:val="single" w:color="auto" w:sz="8" w:space="0"/>
              <w:left w:val="nil"/>
              <w:bottom w:val="single" w:color="auto" w:sz="8" w:space="0"/>
              <w:right w:val="single" w:color="auto" w:sz="8" w:space="0"/>
            </w:tcBorders>
            <w:noWrap w:val="0"/>
            <w:vAlign w:val="center"/>
          </w:tcPr>
          <w:p w14:paraId="179C3BFE">
            <w:pPr>
              <w:widowControl/>
              <w:jc w:val="left"/>
              <w:rPr>
                <w:rFonts w:ascii="宋体" w:hAnsi="宋体" w:cs="宋体"/>
                <w:b/>
                <w:bCs/>
                <w:color w:val="auto"/>
                <w:kern w:val="0"/>
                <w:sz w:val="22"/>
                <w:szCs w:val="22"/>
                <w:highlight w:val="none"/>
              </w:rPr>
            </w:pPr>
          </w:p>
        </w:tc>
        <w:tc>
          <w:tcPr>
            <w:tcW w:w="3005" w:type="dxa"/>
            <w:vMerge w:val="continue"/>
            <w:tcBorders>
              <w:top w:val="single" w:color="auto" w:sz="8" w:space="0"/>
              <w:left w:val="nil"/>
              <w:bottom w:val="single" w:color="auto" w:sz="8" w:space="0"/>
              <w:right w:val="single" w:color="auto" w:sz="8" w:space="0"/>
            </w:tcBorders>
            <w:noWrap w:val="0"/>
            <w:vAlign w:val="center"/>
          </w:tcPr>
          <w:p w14:paraId="5BA20ABB">
            <w:pPr>
              <w:widowControl/>
              <w:jc w:val="left"/>
              <w:rPr>
                <w:rFonts w:ascii="宋体" w:hAnsi="宋体" w:cs="宋体"/>
                <w:b/>
                <w:bCs/>
                <w:color w:val="auto"/>
                <w:kern w:val="0"/>
                <w:sz w:val="22"/>
                <w:szCs w:val="22"/>
                <w:highlight w:val="none"/>
              </w:rPr>
            </w:pPr>
          </w:p>
        </w:tc>
        <w:tc>
          <w:tcPr>
            <w:tcW w:w="1098" w:type="dxa"/>
            <w:vMerge w:val="continue"/>
            <w:tcBorders>
              <w:top w:val="single" w:color="auto" w:sz="8" w:space="0"/>
              <w:left w:val="nil"/>
              <w:bottom w:val="single" w:color="auto" w:sz="8" w:space="0"/>
              <w:right w:val="single" w:color="auto" w:sz="8" w:space="0"/>
            </w:tcBorders>
            <w:noWrap w:val="0"/>
            <w:vAlign w:val="center"/>
          </w:tcPr>
          <w:p w14:paraId="14C9642A">
            <w:pPr>
              <w:widowControl/>
              <w:jc w:val="left"/>
              <w:rPr>
                <w:rFonts w:ascii="宋体" w:hAnsi="宋体" w:cs="宋体"/>
                <w:b/>
                <w:bCs/>
                <w:color w:val="auto"/>
                <w:kern w:val="0"/>
                <w:sz w:val="22"/>
                <w:szCs w:val="22"/>
                <w:highlight w:val="none"/>
              </w:rPr>
            </w:pPr>
          </w:p>
        </w:tc>
        <w:tc>
          <w:tcPr>
            <w:tcW w:w="1478" w:type="dxa"/>
            <w:tcBorders>
              <w:top w:val="nil"/>
              <w:left w:val="nil"/>
              <w:bottom w:val="single" w:color="auto" w:sz="8" w:space="0"/>
              <w:right w:val="single" w:color="auto" w:sz="8" w:space="0"/>
            </w:tcBorders>
            <w:noWrap w:val="0"/>
            <w:vAlign w:val="center"/>
          </w:tcPr>
          <w:p w14:paraId="4A6AE19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（暂定）</w:t>
            </w:r>
          </w:p>
        </w:tc>
        <w:tc>
          <w:tcPr>
            <w:tcW w:w="1183" w:type="dxa"/>
            <w:tcBorders>
              <w:top w:val="nil"/>
              <w:left w:val="nil"/>
              <w:bottom w:val="single" w:color="auto" w:sz="8" w:space="0"/>
              <w:right w:val="single" w:color="auto" w:sz="8" w:space="0"/>
            </w:tcBorders>
            <w:noWrap w:val="0"/>
            <w:vAlign w:val="center"/>
          </w:tcPr>
          <w:p w14:paraId="4B4375E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元/年</w:t>
            </w:r>
          </w:p>
        </w:tc>
        <w:tc>
          <w:tcPr>
            <w:tcW w:w="1479" w:type="dxa"/>
            <w:vMerge w:val="continue"/>
            <w:tcBorders>
              <w:top w:val="single" w:color="auto" w:sz="8" w:space="0"/>
              <w:left w:val="nil"/>
              <w:bottom w:val="single" w:color="auto" w:sz="8" w:space="0"/>
              <w:right w:val="single" w:color="auto" w:sz="8" w:space="0"/>
            </w:tcBorders>
            <w:noWrap w:val="0"/>
            <w:vAlign w:val="center"/>
          </w:tcPr>
          <w:p w14:paraId="3CB701CB">
            <w:pPr>
              <w:widowControl/>
              <w:jc w:val="left"/>
              <w:rPr>
                <w:rFonts w:ascii="宋体" w:hAnsi="宋体" w:cs="宋体"/>
                <w:b/>
                <w:bCs/>
                <w:color w:val="auto"/>
                <w:kern w:val="0"/>
                <w:sz w:val="22"/>
                <w:szCs w:val="22"/>
                <w:highlight w:val="none"/>
              </w:rPr>
            </w:pPr>
          </w:p>
        </w:tc>
      </w:tr>
      <w:tr w14:paraId="272D145F">
        <w:tblPrEx>
          <w:tblCellMar>
            <w:top w:w="0" w:type="dxa"/>
            <w:left w:w="108" w:type="dxa"/>
            <w:bottom w:w="0" w:type="dxa"/>
            <w:right w:w="108" w:type="dxa"/>
          </w:tblCellMar>
        </w:tblPrEx>
        <w:trPr>
          <w:trHeight w:val="90" w:hRule="atLeast"/>
        </w:trPr>
        <w:tc>
          <w:tcPr>
            <w:tcW w:w="870" w:type="dxa"/>
            <w:vMerge w:val="restart"/>
            <w:tcBorders>
              <w:top w:val="nil"/>
              <w:left w:val="single" w:color="auto" w:sz="8" w:space="0"/>
              <w:bottom w:val="single" w:color="auto" w:sz="8" w:space="0"/>
              <w:right w:val="single" w:color="auto" w:sz="8" w:space="0"/>
            </w:tcBorders>
            <w:noWrap w:val="0"/>
            <w:vAlign w:val="center"/>
          </w:tcPr>
          <w:p w14:paraId="2A48EC6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00" w:type="dxa"/>
            <w:vMerge w:val="restart"/>
            <w:tcBorders>
              <w:top w:val="nil"/>
              <w:left w:val="single" w:color="auto" w:sz="8" w:space="0"/>
              <w:bottom w:val="single" w:color="auto" w:sz="8" w:space="0"/>
              <w:right w:val="single" w:color="auto" w:sz="8" w:space="0"/>
            </w:tcBorders>
            <w:noWrap w:val="0"/>
            <w:vAlign w:val="center"/>
          </w:tcPr>
          <w:p w14:paraId="098752B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鹿城区农村生活污水治理设施终端及管网进行运行维护服务</w:t>
            </w:r>
          </w:p>
        </w:tc>
        <w:tc>
          <w:tcPr>
            <w:tcW w:w="3005" w:type="dxa"/>
            <w:tcBorders>
              <w:top w:val="nil"/>
              <w:left w:val="nil"/>
              <w:bottom w:val="single" w:color="auto" w:sz="8" w:space="0"/>
              <w:right w:val="single" w:color="auto" w:sz="8" w:space="0"/>
            </w:tcBorders>
            <w:noWrap w:val="0"/>
            <w:vAlign w:val="center"/>
          </w:tcPr>
          <w:p w14:paraId="2BFF2C6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终端设备日处理量30T以下</w:t>
            </w:r>
          </w:p>
        </w:tc>
        <w:tc>
          <w:tcPr>
            <w:tcW w:w="1098" w:type="dxa"/>
            <w:tcBorders>
              <w:top w:val="nil"/>
              <w:left w:val="nil"/>
              <w:bottom w:val="single" w:color="auto" w:sz="8" w:space="0"/>
              <w:right w:val="single" w:color="auto" w:sz="8" w:space="0"/>
            </w:tcBorders>
            <w:noWrap w:val="0"/>
            <w:vAlign w:val="center"/>
          </w:tcPr>
          <w:p w14:paraId="34B6B90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tcBorders>
              <w:top w:val="nil"/>
              <w:left w:val="nil"/>
              <w:bottom w:val="single" w:color="auto" w:sz="8" w:space="0"/>
              <w:right w:val="single" w:color="auto" w:sz="8" w:space="0"/>
            </w:tcBorders>
            <w:noWrap w:val="0"/>
            <w:vAlign w:val="center"/>
          </w:tcPr>
          <w:p w14:paraId="4CA62763">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4</w:t>
            </w:r>
          </w:p>
        </w:tc>
        <w:tc>
          <w:tcPr>
            <w:tcW w:w="1183" w:type="dxa"/>
            <w:tcBorders>
              <w:top w:val="nil"/>
              <w:left w:val="nil"/>
              <w:bottom w:val="single" w:color="auto" w:sz="8" w:space="0"/>
              <w:right w:val="single" w:color="auto" w:sz="8" w:space="0"/>
            </w:tcBorders>
            <w:noWrap w:val="0"/>
            <w:vAlign w:val="center"/>
          </w:tcPr>
          <w:p w14:paraId="7B7A66F6">
            <w:pPr>
              <w:widowControl/>
              <w:jc w:val="center"/>
              <w:rPr>
                <w:rFonts w:ascii="宋体" w:hAnsi="宋体" w:cs="宋体"/>
                <w:color w:val="auto"/>
                <w:kern w:val="0"/>
                <w:szCs w:val="21"/>
                <w:highlight w:val="none"/>
              </w:rPr>
            </w:pPr>
          </w:p>
        </w:tc>
        <w:tc>
          <w:tcPr>
            <w:tcW w:w="1479" w:type="dxa"/>
            <w:tcBorders>
              <w:top w:val="nil"/>
              <w:left w:val="nil"/>
              <w:bottom w:val="single" w:color="auto" w:sz="8" w:space="0"/>
              <w:right w:val="single" w:color="auto" w:sz="8" w:space="0"/>
            </w:tcBorders>
            <w:noWrap w:val="0"/>
            <w:vAlign w:val="center"/>
          </w:tcPr>
          <w:p w14:paraId="52DDD495">
            <w:pPr>
              <w:widowControl/>
              <w:jc w:val="center"/>
              <w:rPr>
                <w:rFonts w:ascii="宋体" w:hAnsi="宋体" w:cs="宋体"/>
                <w:color w:val="auto"/>
                <w:kern w:val="0"/>
                <w:sz w:val="22"/>
                <w:szCs w:val="22"/>
                <w:highlight w:val="none"/>
              </w:rPr>
            </w:pPr>
          </w:p>
        </w:tc>
      </w:tr>
      <w:tr w14:paraId="7B9B1391">
        <w:tblPrEx>
          <w:tblCellMar>
            <w:top w:w="0" w:type="dxa"/>
            <w:left w:w="108" w:type="dxa"/>
            <w:bottom w:w="0" w:type="dxa"/>
            <w:right w:w="108" w:type="dxa"/>
          </w:tblCellMar>
        </w:tblPrEx>
        <w:trPr>
          <w:trHeight w:val="1094"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70B35152">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B751C4A">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16E1C36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终端设备日处理量30-100T内（含30T）</w:t>
            </w:r>
          </w:p>
        </w:tc>
        <w:tc>
          <w:tcPr>
            <w:tcW w:w="1098" w:type="dxa"/>
            <w:vMerge w:val="restart"/>
            <w:tcBorders>
              <w:top w:val="nil"/>
              <w:left w:val="single" w:color="auto" w:sz="8" w:space="0"/>
              <w:bottom w:val="single" w:color="auto" w:sz="8" w:space="0"/>
              <w:right w:val="single" w:color="auto" w:sz="8" w:space="0"/>
            </w:tcBorders>
            <w:noWrap w:val="0"/>
            <w:vAlign w:val="center"/>
          </w:tcPr>
          <w:p w14:paraId="5ACEC55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45AA647E">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8</w:t>
            </w:r>
          </w:p>
        </w:tc>
        <w:tc>
          <w:tcPr>
            <w:tcW w:w="1183" w:type="dxa"/>
            <w:vMerge w:val="restart"/>
            <w:tcBorders>
              <w:top w:val="nil"/>
              <w:left w:val="single" w:color="auto" w:sz="8" w:space="0"/>
              <w:bottom w:val="single" w:color="auto" w:sz="8" w:space="0"/>
              <w:right w:val="single" w:color="auto" w:sz="8" w:space="0"/>
            </w:tcBorders>
            <w:noWrap w:val="0"/>
            <w:vAlign w:val="center"/>
          </w:tcPr>
          <w:p w14:paraId="3C60642B">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79CA15AB">
            <w:pPr>
              <w:widowControl/>
              <w:jc w:val="center"/>
              <w:rPr>
                <w:rFonts w:ascii="宋体" w:hAnsi="宋体" w:cs="宋体"/>
                <w:color w:val="auto"/>
                <w:kern w:val="0"/>
                <w:sz w:val="22"/>
                <w:szCs w:val="22"/>
                <w:highlight w:val="none"/>
              </w:rPr>
            </w:pPr>
          </w:p>
        </w:tc>
      </w:tr>
      <w:tr w14:paraId="2DA2B0BF">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5899DEC3">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04CC6740">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0104CF73">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263007FB">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7470BC14">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246B9286">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2E73F32B">
            <w:pPr>
              <w:widowControl/>
              <w:jc w:val="left"/>
              <w:rPr>
                <w:rFonts w:ascii="宋体" w:hAnsi="宋体" w:cs="宋体"/>
                <w:color w:val="auto"/>
                <w:kern w:val="0"/>
                <w:sz w:val="22"/>
                <w:szCs w:val="22"/>
                <w:highlight w:val="none"/>
              </w:rPr>
            </w:pPr>
          </w:p>
        </w:tc>
      </w:tr>
      <w:tr w14:paraId="39DCDA6E">
        <w:tblPrEx>
          <w:tblCellMar>
            <w:top w:w="0" w:type="dxa"/>
            <w:left w:w="108" w:type="dxa"/>
            <w:bottom w:w="0" w:type="dxa"/>
            <w:right w:w="108" w:type="dxa"/>
          </w:tblCellMar>
        </w:tblPrEx>
        <w:trPr>
          <w:trHeight w:val="828"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2182C686">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715BA822">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16246CC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终端设备日处理量100-200T（含100T）</w:t>
            </w:r>
          </w:p>
        </w:tc>
        <w:tc>
          <w:tcPr>
            <w:tcW w:w="1098" w:type="dxa"/>
            <w:vMerge w:val="restart"/>
            <w:tcBorders>
              <w:top w:val="nil"/>
              <w:left w:val="single" w:color="auto" w:sz="8" w:space="0"/>
              <w:bottom w:val="single" w:color="auto" w:sz="8" w:space="0"/>
              <w:right w:val="single" w:color="auto" w:sz="8" w:space="0"/>
            </w:tcBorders>
            <w:noWrap w:val="0"/>
            <w:vAlign w:val="center"/>
          </w:tcPr>
          <w:p w14:paraId="2A6ADC4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12BBEE77">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11</w:t>
            </w:r>
          </w:p>
        </w:tc>
        <w:tc>
          <w:tcPr>
            <w:tcW w:w="1183" w:type="dxa"/>
            <w:vMerge w:val="restart"/>
            <w:tcBorders>
              <w:top w:val="nil"/>
              <w:left w:val="single" w:color="auto" w:sz="8" w:space="0"/>
              <w:bottom w:val="single" w:color="auto" w:sz="8" w:space="0"/>
              <w:right w:val="single" w:color="auto" w:sz="8" w:space="0"/>
            </w:tcBorders>
            <w:noWrap w:val="0"/>
            <w:vAlign w:val="center"/>
          </w:tcPr>
          <w:p w14:paraId="547C8F2A">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667A00BF">
            <w:pPr>
              <w:widowControl/>
              <w:jc w:val="center"/>
              <w:rPr>
                <w:rFonts w:ascii="宋体" w:hAnsi="宋体" w:cs="宋体"/>
                <w:color w:val="auto"/>
                <w:kern w:val="0"/>
                <w:szCs w:val="21"/>
                <w:highlight w:val="none"/>
              </w:rPr>
            </w:pPr>
          </w:p>
        </w:tc>
      </w:tr>
      <w:tr w14:paraId="6022FDD2">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5E925F0B">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058350F3">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59673BC3">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2D11C775">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346F2FDD">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64B2BB4A">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7CEEA74B">
            <w:pPr>
              <w:widowControl/>
              <w:jc w:val="left"/>
              <w:rPr>
                <w:rFonts w:ascii="宋体" w:hAnsi="宋体" w:cs="宋体"/>
                <w:color w:val="auto"/>
                <w:kern w:val="0"/>
                <w:szCs w:val="21"/>
                <w:highlight w:val="none"/>
              </w:rPr>
            </w:pPr>
          </w:p>
        </w:tc>
      </w:tr>
      <w:tr w14:paraId="6ED1B987">
        <w:tblPrEx>
          <w:tblCellMar>
            <w:top w:w="0" w:type="dxa"/>
            <w:left w:w="108" w:type="dxa"/>
            <w:bottom w:w="0" w:type="dxa"/>
            <w:right w:w="108" w:type="dxa"/>
          </w:tblCellMar>
        </w:tblPrEx>
        <w:trPr>
          <w:trHeight w:val="118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6C2C5750">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7774538F">
            <w:pPr>
              <w:widowControl/>
              <w:jc w:val="center"/>
              <w:rPr>
                <w:rFonts w:ascii="宋体" w:hAnsi="宋体" w:eastAsia="宋体" w:cs="宋体"/>
                <w:b/>
                <w:bCs/>
                <w:color w:val="auto"/>
                <w:kern w:val="0"/>
                <w:sz w:val="22"/>
                <w:szCs w:val="22"/>
                <w:highlight w:val="none"/>
              </w:rPr>
            </w:pPr>
          </w:p>
        </w:tc>
        <w:tc>
          <w:tcPr>
            <w:tcW w:w="3005" w:type="dxa"/>
            <w:tcBorders>
              <w:top w:val="nil"/>
              <w:left w:val="nil"/>
              <w:bottom w:val="single" w:color="auto" w:sz="8" w:space="0"/>
              <w:right w:val="single" w:color="auto" w:sz="8" w:space="0"/>
            </w:tcBorders>
            <w:noWrap w:val="0"/>
            <w:vAlign w:val="center"/>
          </w:tcPr>
          <w:p w14:paraId="516364A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农村生活污水纳厂处理设施运行维护</w:t>
            </w:r>
          </w:p>
        </w:tc>
        <w:tc>
          <w:tcPr>
            <w:tcW w:w="1098" w:type="dxa"/>
            <w:tcBorders>
              <w:top w:val="nil"/>
              <w:left w:val="nil"/>
              <w:bottom w:val="single" w:color="auto" w:sz="8" w:space="0"/>
              <w:right w:val="single" w:color="auto" w:sz="8" w:space="0"/>
            </w:tcBorders>
            <w:noWrap w:val="0"/>
            <w:vAlign w:val="center"/>
          </w:tcPr>
          <w:p w14:paraId="73AEE8E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户</w:t>
            </w:r>
          </w:p>
        </w:tc>
        <w:tc>
          <w:tcPr>
            <w:tcW w:w="1478" w:type="dxa"/>
            <w:tcBorders>
              <w:top w:val="nil"/>
              <w:left w:val="nil"/>
              <w:bottom w:val="single" w:color="auto" w:sz="8" w:space="0"/>
              <w:right w:val="single" w:color="auto" w:sz="8" w:space="0"/>
            </w:tcBorders>
            <w:noWrap w:val="0"/>
            <w:vAlign w:val="center"/>
          </w:tcPr>
          <w:p w14:paraId="0192F937">
            <w:pPr>
              <w:widowControl/>
              <w:jc w:val="center"/>
              <w:rPr>
                <w:rFonts w:hint="default" w:ascii="宋体" w:hAnsi="宋体" w:eastAsia="宋体" w:cs="宋体"/>
                <w:b/>
                <w:bCs/>
                <w:color w:val="auto"/>
                <w:kern w:val="0"/>
                <w:sz w:val="22"/>
                <w:szCs w:val="22"/>
                <w:highlight w:val="none"/>
                <w:lang w:val="en-US"/>
              </w:rPr>
            </w:pPr>
            <w:r>
              <w:rPr>
                <w:rFonts w:hint="eastAsia" w:ascii="宋体" w:hAnsi="宋体" w:cs="宋体"/>
                <w:b/>
                <w:bCs/>
                <w:color w:val="auto"/>
                <w:kern w:val="0"/>
                <w:sz w:val="22"/>
                <w:szCs w:val="22"/>
                <w:highlight w:val="none"/>
                <w:lang w:val="en-US" w:eastAsia="zh-CN"/>
              </w:rPr>
              <w:t>450</w:t>
            </w:r>
          </w:p>
        </w:tc>
        <w:tc>
          <w:tcPr>
            <w:tcW w:w="1183" w:type="dxa"/>
            <w:tcBorders>
              <w:top w:val="nil"/>
              <w:left w:val="nil"/>
              <w:bottom w:val="single" w:color="auto" w:sz="8" w:space="0"/>
              <w:right w:val="single" w:color="auto" w:sz="8" w:space="0"/>
            </w:tcBorders>
            <w:noWrap w:val="0"/>
            <w:vAlign w:val="center"/>
          </w:tcPr>
          <w:p w14:paraId="4A579B6F">
            <w:pPr>
              <w:widowControl/>
              <w:jc w:val="center"/>
              <w:rPr>
                <w:rFonts w:ascii="宋体" w:hAnsi="宋体" w:cs="宋体"/>
                <w:color w:val="auto"/>
                <w:kern w:val="0"/>
                <w:sz w:val="22"/>
                <w:szCs w:val="22"/>
                <w:highlight w:val="none"/>
              </w:rPr>
            </w:pPr>
          </w:p>
        </w:tc>
        <w:tc>
          <w:tcPr>
            <w:tcW w:w="1479" w:type="dxa"/>
            <w:tcBorders>
              <w:top w:val="nil"/>
              <w:left w:val="nil"/>
              <w:bottom w:val="single" w:color="auto" w:sz="8" w:space="0"/>
              <w:right w:val="single" w:color="auto" w:sz="8" w:space="0"/>
            </w:tcBorders>
            <w:noWrap w:val="0"/>
            <w:vAlign w:val="center"/>
          </w:tcPr>
          <w:p w14:paraId="445A9FB5">
            <w:pPr>
              <w:widowControl/>
              <w:jc w:val="center"/>
              <w:rPr>
                <w:rFonts w:ascii="宋体" w:hAnsi="宋体" w:cs="宋体"/>
                <w:color w:val="auto"/>
                <w:kern w:val="0"/>
                <w:sz w:val="22"/>
                <w:szCs w:val="22"/>
                <w:highlight w:val="none"/>
              </w:rPr>
            </w:pPr>
          </w:p>
        </w:tc>
      </w:tr>
      <w:tr w14:paraId="6BF5B031">
        <w:tblPrEx>
          <w:tblCellMar>
            <w:top w:w="0" w:type="dxa"/>
            <w:left w:w="108" w:type="dxa"/>
            <w:bottom w:w="0" w:type="dxa"/>
            <w:right w:w="108" w:type="dxa"/>
          </w:tblCellMar>
        </w:tblPrEx>
        <w:trPr>
          <w:trHeight w:val="1171" w:hRule="atLeast"/>
        </w:trPr>
        <w:tc>
          <w:tcPr>
            <w:tcW w:w="870" w:type="dxa"/>
            <w:vMerge w:val="restart"/>
            <w:tcBorders>
              <w:top w:val="nil"/>
              <w:left w:val="single" w:color="auto" w:sz="8" w:space="0"/>
              <w:right w:val="single" w:color="auto" w:sz="8" w:space="0"/>
            </w:tcBorders>
            <w:noWrap w:val="0"/>
            <w:vAlign w:val="center"/>
          </w:tcPr>
          <w:p w14:paraId="7F3F16A4">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905" w:type="dxa"/>
            <w:gridSpan w:val="2"/>
            <w:tcBorders>
              <w:top w:val="single" w:color="auto" w:sz="8" w:space="0"/>
              <w:left w:val="nil"/>
              <w:bottom w:val="single" w:color="auto" w:sz="4" w:space="0"/>
              <w:right w:val="single" w:color="auto" w:sz="8" w:space="0"/>
            </w:tcBorders>
            <w:noWrap w:val="0"/>
            <w:vAlign w:val="center"/>
          </w:tcPr>
          <w:p w14:paraId="1AE4B2D4">
            <w:pPr>
              <w:widowControl/>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1）污泥处置费（200元/吨）</w:t>
            </w:r>
          </w:p>
        </w:tc>
        <w:tc>
          <w:tcPr>
            <w:tcW w:w="1098" w:type="dxa"/>
            <w:vMerge w:val="restart"/>
            <w:tcBorders>
              <w:top w:val="nil"/>
              <w:left w:val="single" w:color="auto" w:sz="8" w:space="0"/>
              <w:right w:val="single" w:color="auto" w:sz="8" w:space="0"/>
            </w:tcBorders>
            <w:noWrap w:val="0"/>
            <w:vAlign w:val="center"/>
          </w:tcPr>
          <w:p w14:paraId="0448BDFD">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项</w:t>
            </w:r>
          </w:p>
        </w:tc>
        <w:tc>
          <w:tcPr>
            <w:tcW w:w="1478" w:type="dxa"/>
            <w:vMerge w:val="restart"/>
            <w:tcBorders>
              <w:top w:val="nil"/>
              <w:left w:val="single" w:color="auto" w:sz="8" w:space="0"/>
              <w:right w:val="single" w:color="auto" w:sz="8" w:space="0"/>
            </w:tcBorders>
            <w:noWrap w:val="0"/>
            <w:vAlign w:val="center"/>
          </w:tcPr>
          <w:p w14:paraId="1D84BAC0">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w:t>
            </w:r>
          </w:p>
        </w:tc>
        <w:tc>
          <w:tcPr>
            <w:tcW w:w="1183" w:type="dxa"/>
            <w:vMerge w:val="restart"/>
            <w:tcBorders>
              <w:top w:val="nil"/>
              <w:left w:val="single" w:color="auto" w:sz="8" w:space="0"/>
              <w:right w:val="single" w:color="auto" w:sz="8" w:space="0"/>
            </w:tcBorders>
            <w:noWrap w:val="0"/>
            <w:vAlign w:val="center"/>
          </w:tcPr>
          <w:p w14:paraId="509F14E1">
            <w:pPr>
              <w:widowControl/>
              <w:jc w:val="center"/>
              <w:rPr>
                <w:rFonts w:ascii="宋体" w:hAnsi="宋体" w:cs="宋体"/>
                <w:color w:val="auto"/>
                <w:kern w:val="0"/>
                <w:sz w:val="22"/>
                <w:szCs w:val="22"/>
                <w:highlight w:val="none"/>
              </w:rPr>
            </w:pPr>
          </w:p>
        </w:tc>
        <w:tc>
          <w:tcPr>
            <w:tcW w:w="1479" w:type="dxa"/>
            <w:vMerge w:val="restart"/>
            <w:tcBorders>
              <w:top w:val="nil"/>
              <w:left w:val="single" w:color="auto" w:sz="8" w:space="0"/>
              <w:right w:val="single" w:color="auto" w:sz="8" w:space="0"/>
            </w:tcBorders>
            <w:noWrap w:val="0"/>
            <w:vAlign w:val="center"/>
          </w:tcPr>
          <w:p w14:paraId="16BA58D0">
            <w:pPr>
              <w:widowControl/>
              <w:jc w:val="center"/>
              <w:rPr>
                <w:rFonts w:ascii="宋体" w:hAnsi="宋体" w:cs="宋体"/>
                <w:color w:val="auto"/>
                <w:kern w:val="0"/>
                <w:sz w:val="22"/>
                <w:szCs w:val="22"/>
                <w:highlight w:val="none"/>
              </w:rPr>
            </w:pPr>
          </w:p>
        </w:tc>
      </w:tr>
      <w:tr w14:paraId="2DC13C2C">
        <w:tblPrEx>
          <w:tblCellMar>
            <w:top w:w="0" w:type="dxa"/>
            <w:left w:w="108" w:type="dxa"/>
            <w:bottom w:w="0" w:type="dxa"/>
            <w:right w:w="108" w:type="dxa"/>
          </w:tblCellMar>
        </w:tblPrEx>
        <w:trPr>
          <w:trHeight w:val="928" w:hRule="atLeast"/>
        </w:trPr>
        <w:tc>
          <w:tcPr>
            <w:tcW w:w="870" w:type="dxa"/>
            <w:vMerge w:val="continue"/>
            <w:tcBorders>
              <w:left w:val="single" w:color="auto" w:sz="8" w:space="0"/>
              <w:right w:val="single" w:color="auto" w:sz="8" w:space="0"/>
            </w:tcBorders>
            <w:noWrap w:val="0"/>
            <w:vAlign w:val="center"/>
          </w:tcPr>
          <w:p w14:paraId="3D42FFCB">
            <w:pPr>
              <w:widowControl/>
              <w:jc w:val="center"/>
              <w:rPr>
                <w:rFonts w:hint="eastAsia" w:ascii="宋体" w:hAnsi="宋体" w:cs="宋体"/>
                <w:color w:val="auto"/>
                <w:kern w:val="0"/>
                <w:sz w:val="22"/>
                <w:szCs w:val="22"/>
                <w:highlight w:val="none"/>
              </w:rPr>
            </w:pPr>
          </w:p>
        </w:tc>
        <w:tc>
          <w:tcPr>
            <w:tcW w:w="3905" w:type="dxa"/>
            <w:gridSpan w:val="2"/>
            <w:tcBorders>
              <w:top w:val="single" w:color="auto" w:sz="8" w:space="0"/>
              <w:left w:val="nil"/>
              <w:bottom w:val="single" w:color="auto" w:sz="4" w:space="0"/>
              <w:right w:val="single" w:color="auto" w:sz="8" w:space="0"/>
            </w:tcBorders>
            <w:noWrap w:val="0"/>
            <w:vAlign w:val="center"/>
          </w:tcPr>
          <w:p w14:paraId="68C2E8EC">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2）水电费</w:t>
            </w:r>
          </w:p>
        </w:tc>
        <w:tc>
          <w:tcPr>
            <w:tcW w:w="1098" w:type="dxa"/>
            <w:vMerge w:val="continue"/>
            <w:tcBorders>
              <w:left w:val="single" w:color="auto" w:sz="8" w:space="0"/>
              <w:right w:val="single" w:color="auto" w:sz="8" w:space="0"/>
            </w:tcBorders>
            <w:noWrap w:val="0"/>
            <w:vAlign w:val="center"/>
          </w:tcPr>
          <w:p w14:paraId="6D27686C">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2BACF365">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0DD47A7D">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39B01C00">
            <w:pPr>
              <w:widowControl/>
              <w:jc w:val="center"/>
              <w:rPr>
                <w:rFonts w:ascii="宋体" w:hAnsi="宋体" w:cs="宋体"/>
                <w:color w:val="auto"/>
                <w:kern w:val="0"/>
                <w:sz w:val="22"/>
                <w:szCs w:val="22"/>
                <w:highlight w:val="none"/>
              </w:rPr>
            </w:pPr>
          </w:p>
        </w:tc>
      </w:tr>
      <w:tr w14:paraId="7F00E75D">
        <w:tblPrEx>
          <w:tblCellMar>
            <w:top w:w="0" w:type="dxa"/>
            <w:left w:w="108" w:type="dxa"/>
            <w:bottom w:w="0" w:type="dxa"/>
            <w:right w:w="108" w:type="dxa"/>
          </w:tblCellMar>
        </w:tblPrEx>
        <w:trPr>
          <w:trHeight w:val="1014" w:hRule="atLeast"/>
        </w:trPr>
        <w:tc>
          <w:tcPr>
            <w:tcW w:w="870" w:type="dxa"/>
            <w:vMerge w:val="continue"/>
            <w:tcBorders>
              <w:left w:val="single" w:color="auto" w:sz="8" w:space="0"/>
              <w:right w:val="single" w:color="auto" w:sz="8" w:space="0"/>
            </w:tcBorders>
            <w:noWrap w:val="0"/>
            <w:vAlign w:val="center"/>
          </w:tcPr>
          <w:p w14:paraId="04E55AE6">
            <w:pPr>
              <w:widowControl/>
              <w:jc w:val="center"/>
              <w:rPr>
                <w:rFonts w:hint="eastAsia" w:ascii="宋体" w:hAnsi="宋体" w:cs="宋体"/>
                <w:color w:val="auto"/>
                <w:kern w:val="0"/>
                <w:sz w:val="22"/>
                <w:szCs w:val="22"/>
                <w:highlight w:val="none"/>
              </w:rPr>
            </w:pPr>
          </w:p>
        </w:tc>
        <w:tc>
          <w:tcPr>
            <w:tcW w:w="3905" w:type="dxa"/>
            <w:gridSpan w:val="2"/>
            <w:tcBorders>
              <w:top w:val="single" w:color="auto" w:sz="8" w:space="0"/>
              <w:left w:val="nil"/>
              <w:bottom w:val="single" w:color="auto" w:sz="4" w:space="0"/>
              <w:right w:val="single" w:color="auto" w:sz="8" w:space="0"/>
            </w:tcBorders>
            <w:noWrap w:val="0"/>
            <w:vAlign w:val="center"/>
          </w:tcPr>
          <w:p w14:paraId="396D127E">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3）其他费用</w:t>
            </w:r>
          </w:p>
        </w:tc>
        <w:tc>
          <w:tcPr>
            <w:tcW w:w="1098" w:type="dxa"/>
            <w:vMerge w:val="continue"/>
            <w:tcBorders>
              <w:left w:val="single" w:color="auto" w:sz="8" w:space="0"/>
              <w:right w:val="single" w:color="auto" w:sz="8" w:space="0"/>
            </w:tcBorders>
            <w:noWrap w:val="0"/>
            <w:vAlign w:val="center"/>
          </w:tcPr>
          <w:p w14:paraId="45E47536">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36D723D5">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5C0AE9B9">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270B7059">
            <w:pPr>
              <w:widowControl/>
              <w:jc w:val="center"/>
              <w:rPr>
                <w:rFonts w:ascii="宋体" w:hAnsi="宋体" w:cs="宋体"/>
                <w:color w:val="auto"/>
                <w:kern w:val="0"/>
                <w:sz w:val="22"/>
                <w:szCs w:val="22"/>
                <w:highlight w:val="none"/>
              </w:rPr>
            </w:pPr>
          </w:p>
        </w:tc>
      </w:tr>
      <w:tr w14:paraId="3C7FE9B3">
        <w:tblPrEx>
          <w:tblCellMar>
            <w:top w:w="0" w:type="dxa"/>
            <w:left w:w="108" w:type="dxa"/>
            <w:bottom w:w="0" w:type="dxa"/>
            <w:right w:w="108" w:type="dxa"/>
          </w:tblCellMar>
        </w:tblPrEx>
        <w:trPr>
          <w:trHeight w:val="597" w:hRule="atLeast"/>
        </w:trPr>
        <w:tc>
          <w:tcPr>
            <w:tcW w:w="4775" w:type="dxa"/>
            <w:gridSpan w:val="3"/>
            <w:tcBorders>
              <w:top w:val="single" w:color="auto" w:sz="4" w:space="0"/>
              <w:left w:val="single" w:color="auto" w:sz="4" w:space="0"/>
              <w:bottom w:val="single" w:color="auto" w:sz="4" w:space="0"/>
              <w:right w:val="single" w:color="auto" w:sz="4" w:space="0"/>
            </w:tcBorders>
            <w:noWrap w:val="0"/>
            <w:vAlign w:val="center"/>
          </w:tcPr>
          <w:p w14:paraId="3A4B3BAA">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总</w:t>
            </w:r>
            <w:r>
              <w:rPr>
                <w:rFonts w:hint="eastAsia" w:ascii="宋体" w:hAnsi="宋体" w:cs="宋体"/>
                <w:color w:val="auto"/>
                <w:kern w:val="0"/>
                <w:sz w:val="22"/>
                <w:szCs w:val="22"/>
                <w:highlight w:val="none"/>
              </w:rPr>
              <w:t>计</w:t>
            </w:r>
          </w:p>
        </w:tc>
        <w:tc>
          <w:tcPr>
            <w:tcW w:w="5238" w:type="dxa"/>
            <w:gridSpan w:val="4"/>
            <w:tcBorders>
              <w:top w:val="single" w:color="auto" w:sz="4" w:space="0"/>
              <w:left w:val="single" w:color="auto" w:sz="4" w:space="0"/>
              <w:bottom w:val="single" w:color="auto" w:sz="4" w:space="0"/>
              <w:right w:val="single" w:color="auto" w:sz="4" w:space="0"/>
            </w:tcBorders>
            <w:noWrap w:val="0"/>
            <w:vAlign w:val="center"/>
          </w:tcPr>
          <w:p w14:paraId="2AA5C52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小写：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元，大写：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tc>
      </w:tr>
    </w:tbl>
    <w:p w14:paraId="25B7F209">
      <w:pPr>
        <w:spacing w:line="45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说明：1、不提供详细分项报价将视为没有实质性响应采购文件。</w:t>
      </w:r>
    </w:p>
    <w:p w14:paraId="6DB4B2F0">
      <w:pPr>
        <w:spacing w:line="360" w:lineRule="exact"/>
        <w:jc w:val="center"/>
        <w:rPr>
          <w:rFonts w:hint="eastAsia" w:ascii="宋体" w:hAnsi="宋体" w:cs="新宋体"/>
          <w:color w:val="auto"/>
          <w:kern w:val="0"/>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新宋体"/>
          <w:color w:val="auto"/>
          <w:kern w:val="0"/>
          <w:sz w:val="22"/>
          <w:szCs w:val="22"/>
          <w:highlight w:val="none"/>
          <w:lang w:val="zh-CN"/>
        </w:rPr>
        <w:t xml:space="preserve">                            投标人全称（盖章）：</w:t>
      </w:r>
    </w:p>
    <w:p w14:paraId="0B8F266C">
      <w:pPr>
        <w:autoSpaceDE w:val="0"/>
        <w:autoSpaceDN w:val="0"/>
        <w:adjustRightInd w:val="0"/>
        <w:spacing w:line="38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 xml:space="preserve">                                              </w:t>
      </w:r>
      <w:r>
        <w:rPr>
          <w:rFonts w:hint="eastAsia" w:ascii="宋体" w:hAnsi="宋体"/>
          <w:color w:val="auto"/>
          <w:sz w:val="22"/>
          <w:szCs w:val="22"/>
          <w:highlight w:val="none"/>
        </w:rPr>
        <w:t>法定代表人或其授权代表（签字或盖章）</w:t>
      </w:r>
      <w:r>
        <w:rPr>
          <w:rFonts w:hint="eastAsia" w:ascii="宋体" w:hAnsi="宋体" w:cs="新宋体"/>
          <w:color w:val="auto"/>
          <w:kern w:val="0"/>
          <w:sz w:val="22"/>
          <w:szCs w:val="22"/>
          <w:highlight w:val="none"/>
          <w:lang w:val="zh-CN"/>
        </w:rPr>
        <w:t>：</w:t>
      </w:r>
    </w:p>
    <w:p w14:paraId="12A8F1CD">
      <w:pPr>
        <w:autoSpaceDE w:val="0"/>
        <w:autoSpaceDN w:val="0"/>
        <w:adjustRightInd w:val="0"/>
        <w:spacing w:line="38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 xml:space="preserve">                                                日 期：  年  月  日</w:t>
      </w:r>
    </w:p>
    <w:p w14:paraId="36C9BF3C">
      <w:pPr>
        <w:spacing w:line="380" w:lineRule="exact"/>
        <w:jc w:val="left"/>
        <w:rPr>
          <w:rFonts w:ascii="宋体" w:hAnsi="宋体"/>
          <w:color w:val="auto"/>
          <w:highlight w:val="none"/>
        </w:rPr>
      </w:pPr>
      <w:r>
        <w:rPr>
          <w:rFonts w:hint="eastAsia" w:ascii="宋体" w:hAnsi="宋体" w:cs="新宋体"/>
          <w:color w:val="auto"/>
          <w:sz w:val="22"/>
          <w:szCs w:val="22"/>
          <w:highlight w:val="none"/>
        </w:rPr>
        <w:br w:type="page"/>
      </w:r>
    </w:p>
    <w:p w14:paraId="72822A80">
      <w:pPr>
        <w:pStyle w:val="2"/>
        <w:rPr>
          <w:rFonts w:hint="eastAsia" w:ascii="宋体" w:hAnsi="宋体" w:eastAsia="宋体" w:cs="新宋体"/>
          <w:color w:val="auto"/>
          <w:sz w:val="36"/>
          <w:szCs w:val="36"/>
          <w:highlight w:val="none"/>
        </w:rPr>
      </w:pPr>
      <w:bookmarkStart w:id="395" w:name="_Toc34572039"/>
      <w:bookmarkStart w:id="396" w:name="_Toc15843"/>
      <w:r>
        <w:rPr>
          <w:rFonts w:hint="eastAsia" w:ascii="宋体" w:hAnsi="宋体" w:eastAsia="宋体" w:cs="新宋体"/>
          <w:color w:val="auto"/>
          <w:sz w:val="36"/>
          <w:szCs w:val="36"/>
          <w:highlight w:val="none"/>
        </w:rPr>
        <w:t>第五部分   采购内容及要求</w:t>
      </w:r>
      <w:bookmarkEnd w:id="395"/>
      <w:bookmarkEnd w:id="396"/>
    </w:p>
    <w:p w14:paraId="3F453BFE">
      <w:pPr>
        <w:widowControl/>
        <w:autoSpaceDE w:val="0"/>
        <w:autoSpaceDN w:val="0"/>
        <w:adjustRightInd w:val="0"/>
        <w:spacing w:line="460" w:lineRule="atLeast"/>
        <w:textAlignment w:val="bottom"/>
        <w:rPr>
          <w:rFonts w:hint="eastAsia" w:ascii="宋体" w:hAnsi="宋体"/>
          <w:color w:val="auto"/>
          <w:sz w:val="22"/>
          <w:szCs w:val="22"/>
          <w:highlight w:val="none"/>
        </w:rPr>
      </w:pPr>
      <w:bookmarkStart w:id="397" w:name="_Hlk49229039"/>
      <w:r>
        <w:rPr>
          <w:rFonts w:hint="eastAsia" w:ascii="宋体" w:hAnsi="宋体"/>
          <w:color w:val="auto"/>
          <w:sz w:val="22"/>
          <w:szCs w:val="22"/>
          <w:highlight w:val="none"/>
        </w:rPr>
        <w:t>一、招标范围</w:t>
      </w:r>
    </w:p>
    <w:bookmarkEnd w:id="397"/>
    <w:p w14:paraId="17D9C5BD">
      <w:pPr>
        <w:tabs>
          <w:tab w:val="left" w:pos="425"/>
        </w:tabs>
        <w:spacing w:line="440" w:lineRule="exact"/>
        <w:outlineLvl w:val="1"/>
        <w:rPr>
          <w:rFonts w:ascii="宋体" w:hAnsi="宋体" w:cs="宋体"/>
          <w:b/>
          <w:color w:val="auto"/>
          <w:sz w:val="22"/>
          <w:szCs w:val="22"/>
          <w:highlight w:val="none"/>
        </w:rPr>
      </w:pPr>
      <w:bookmarkStart w:id="398" w:name="_Toc35811959"/>
      <w:r>
        <w:rPr>
          <w:rFonts w:hint="eastAsia" w:ascii="宋体" w:hAnsi="宋体" w:cs="宋体"/>
          <w:b/>
          <w:color w:val="auto"/>
          <w:sz w:val="22"/>
          <w:szCs w:val="22"/>
          <w:highlight w:val="none"/>
        </w:rPr>
        <w:t>一、概述</w:t>
      </w:r>
      <w:bookmarkEnd w:id="398"/>
    </w:p>
    <w:p w14:paraId="73B95CEF">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此份招标内容及要求是招标文件的一部分，包括所有条款的具体说明及技术要求，投标供应商需在各自技术和商务占优势的基础上对本次采购的服务进行报价。</w:t>
      </w:r>
    </w:p>
    <w:p w14:paraId="61E825BD">
      <w:pPr>
        <w:widowControl/>
        <w:numPr>
          <w:ilvl w:val="1"/>
          <w:numId w:val="17"/>
        </w:numPr>
        <w:tabs>
          <w:tab w:val="left" w:pos="540"/>
          <w:tab w:val="clear" w:pos="851"/>
        </w:tabs>
        <w:snapToGrid w:val="0"/>
        <w:spacing w:line="400" w:lineRule="exact"/>
        <w:ind w:left="540" w:hanging="540"/>
        <w:rPr>
          <w:rFonts w:ascii="宋体" w:hAnsi="宋体" w:cs="宋体"/>
          <w:b/>
          <w:color w:val="auto"/>
          <w:sz w:val="22"/>
          <w:szCs w:val="22"/>
          <w:highlight w:val="none"/>
        </w:rPr>
      </w:pPr>
      <w:r>
        <w:rPr>
          <w:rFonts w:hint="eastAsia" w:ascii="宋体" w:hAnsi="宋体" w:cs="宋体"/>
          <w:b/>
          <w:color w:val="auto"/>
          <w:sz w:val="22"/>
          <w:szCs w:val="22"/>
          <w:highlight w:val="none"/>
        </w:rPr>
        <w:t>现场踏勘：各投标供应商于投标截止时间前自行到现场进行踏勘 ，以获取本次投标所需的现场资料及数据，投标供应商若未到现场踏勘，引起的一切后果均由其自行负责，由此造成投标价的偏差均不予调整。</w:t>
      </w:r>
    </w:p>
    <w:p w14:paraId="5480176B">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bCs/>
          <w:color w:val="auto"/>
          <w:sz w:val="22"/>
          <w:szCs w:val="22"/>
          <w:highlight w:val="none"/>
        </w:rPr>
        <w:t>本项目设</w:t>
      </w:r>
      <w:r>
        <w:rPr>
          <w:rFonts w:hint="eastAsia" w:ascii="宋体" w:hAnsi="宋体" w:cs="宋体"/>
          <w:color w:val="auto"/>
          <w:sz w:val="22"/>
          <w:szCs w:val="22"/>
          <w:highlight w:val="none"/>
        </w:rPr>
        <w:t>一个标段，投标供应商须对采购范围内的全部内容进行报价，而不允许只对其中部分内容进行报价，否则投标将被否决，谢绝联合投标</w:t>
      </w:r>
      <w:r>
        <w:rPr>
          <w:rFonts w:hint="eastAsia" w:ascii="宋体" w:hAnsi="宋体" w:cs="宋体"/>
          <w:b/>
          <w:color w:val="auto"/>
          <w:sz w:val="22"/>
          <w:szCs w:val="22"/>
          <w:highlight w:val="none"/>
        </w:rPr>
        <w:t>。</w:t>
      </w:r>
    </w:p>
    <w:p w14:paraId="2AE7CAC1">
      <w:pPr>
        <w:widowControl/>
        <w:numPr>
          <w:ilvl w:val="1"/>
          <w:numId w:val="17"/>
        </w:numPr>
        <w:tabs>
          <w:tab w:val="left" w:pos="540"/>
          <w:tab w:val="clear" w:pos="851"/>
        </w:tabs>
        <w:snapToGrid w:val="0"/>
        <w:spacing w:line="400" w:lineRule="exact"/>
        <w:ind w:left="927" w:hanging="927"/>
        <w:rPr>
          <w:rFonts w:ascii="宋体" w:hAnsi="宋体" w:cs="宋体"/>
          <w:color w:val="auto"/>
          <w:sz w:val="22"/>
          <w:szCs w:val="22"/>
          <w:highlight w:val="none"/>
        </w:rPr>
      </w:pPr>
      <w:r>
        <w:rPr>
          <w:rFonts w:hint="eastAsia" w:ascii="宋体" w:hAnsi="宋体" w:cs="宋体"/>
          <w:color w:val="auto"/>
          <w:sz w:val="22"/>
          <w:szCs w:val="22"/>
          <w:highlight w:val="none"/>
        </w:rPr>
        <w:t>本次项目服务的标准、规范，应符合国家有关条例及规范。</w:t>
      </w:r>
    </w:p>
    <w:p w14:paraId="73CDAAAA">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在投标之前，投标供应商须仔细阅读招标文件，如发现有任何疑问、冲突或问题，投标供应商须在答疑截止时间前以书面形式向采购机构提出。逾期采购机构不再作答复，有关风险及责任由投标供应商自行承担。</w:t>
      </w:r>
    </w:p>
    <w:p w14:paraId="7C54D4EF">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bCs/>
          <w:color w:val="auto"/>
          <w:sz w:val="22"/>
          <w:szCs w:val="22"/>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14:paraId="5D94448D">
      <w:pPr>
        <w:spacing w:line="440" w:lineRule="exact"/>
        <w:outlineLvl w:val="1"/>
        <w:rPr>
          <w:rFonts w:ascii="宋体" w:hAnsi="宋体" w:cs="宋体"/>
          <w:b/>
          <w:color w:val="auto"/>
          <w:sz w:val="22"/>
          <w:szCs w:val="22"/>
          <w:highlight w:val="none"/>
        </w:rPr>
      </w:pPr>
      <w:bookmarkStart w:id="399" w:name="_Toc35811960"/>
      <w:r>
        <w:rPr>
          <w:rFonts w:hint="eastAsia" w:ascii="宋体" w:hAnsi="宋体" w:cs="宋体"/>
          <w:b/>
          <w:color w:val="auto"/>
          <w:sz w:val="22"/>
          <w:szCs w:val="22"/>
          <w:highlight w:val="none"/>
        </w:rPr>
        <w:t>二、处理终端设施设备运维管理移交要求</w:t>
      </w:r>
      <w:bookmarkEnd w:id="399"/>
    </w:p>
    <w:p w14:paraId="53AB0E01">
      <w:pPr>
        <w:pStyle w:val="31"/>
        <w:spacing w:line="440" w:lineRule="exact"/>
        <w:ind w:firstLine="440" w:firstLineChars="200"/>
        <w:rPr>
          <w:rFonts w:ascii="宋体" w:hAnsi="宋体" w:cs="宋体"/>
          <w:b/>
          <w:bCs/>
          <w:color w:val="auto"/>
          <w:sz w:val="22"/>
          <w:highlight w:val="none"/>
        </w:rPr>
      </w:pPr>
      <w:r>
        <w:rPr>
          <w:rFonts w:hint="eastAsia" w:ascii="宋体" w:hAnsi="宋体" w:cs="宋体"/>
          <w:b/>
          <w:bCs/>
          <w:color w:val="auto"/>
          <w:sz w:val="22"/>
          <w:highlight w:val="none"/>
        </w:rPr>
        <w:t>（一）中标供应商与原运维单位交接的要求：</w:t>
      </w:r>
    </w:p>
    <w:p w14:paraId="595716C4">
      <w:pPr>
        <w:pStyle w:val="31"/>
        <w:spacing w:line="440" w:lineRule="exact"/>
        <w:ind w:firstLine="440" w:firstLineChars="200"/>
        <w:rPr>
          <w:rFonts w:hint="eastAsia" w:ascii="宋体" w:hAnsi="宋体" w:cs="宋体"/>
          <w:color w:val="auto"/>
          <w:sz w:val="22"/>
          <w:highlight w:val="none"/>
        </w:rPr>
      </w:pPr>
      <w:bookmarkStart w:id="400" w:name="_Toc28199"/>
      <w:r>
        <w:rPr>
          <w:rFonts w:hint="eastAsia" w:ascii="宋体" w:hAnsi="宋体" w:cs="宋体"/>
          <w:color w:val="auto"/>
          <w:sz w:val="22"/>
          <w:highlight w:val="none"/>
        </w:rPr>
        <w:t>中标供应商需在合同签订之日起</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个月内与原运维单位做好交接工作，在交接前，双方进行摸底调查（包括设备到位情况、存在问题等），生成反馈报告及清单。并对设备进行运行调试，直到合格。在之后的运营中如发现终端污水处理设施及管网存在的问题而影响日后的运维工作，未排查出的质量问题由中标供应商自行维修，若中标供应商拒不组织维修，采购人可自行组织力量进行维修，维修费用在履约保证金中扣除。如造成经济损失则损失由中标供应商承担，损失经费直接在运维服务费和履约保证金中扣除。运维合同计费起始日自交接完成日起计，不足一年的，年运维费用按实际天数/365天计算。</w:t>
      </w:r>
    </w:p>
    <w:p w14:paraId="75389496">
      <w:pPr>
        <w:pStyle w:val="31"/>
        <w:spacing w:line="440" w:lineRule="exact"/>
        <w:ind w:firstLine="440" w:firstLineChars="200"/>
        <w:rPr>
          <w:rFonts w:ascii="宋体" w:hAnsi="宋体" w:cs="宋体"/>
          <w:b/>
          <w:bCs/>
          <w:color w:val="auto"/>
          <w:sz w:val="22"/>
          <w:highlight w:val="none"/>
        </w:rPr>
      </w:pPr>
      <w:r>
        <w:rPr>
          <w:rFonts w:hint="eastAsia" w:ascii="宋体" w:hAnsi="宋体" w:cs="宋体"/>
          <w:b/>
          <w:bCs/>
          <w:color w:val="auto"/>
          <w:sz w:val="22"/>
          <w:highlight w:val="none"/>
        </w:rPr>
        <w:t>（二）中标供应商归还移交的要求：</w:t>
      </w:r>
    </w:p>
    <w:p w14:paraId="4E031AB9">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服务期满，中标供应商未能继续获取运维资格时，中标供应商要积极配合与下一运维单位在新的合同签订之日起</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个月内完成交接工作。如发现设备损坏，中标供应商须对设备进行维修或更换以达到使用规范要求。若中标供应商拒不组织维修，采购人可自行组织力量进行维修，维修费用在运维服务费和履约保证金中扣除。中标供应商不得以任何方式阻碍交接，影响采购人正常工作。</w:t>
      </w:r>
    </w:p>
    <w:p w14:paraId="5896E2D4">
      <w:pPr>
        <w:spacing w:line="440" w:lineRule="exact"/>
        <w:outlineLvl w:val="1"/>
        <w:rPr>
          <w:rFonts w:hint="eastAsia" w:ascii="宋体" w:hAnsi="宋体" w:cs="宋体"/>
          <w:b/>
          <w:color w:val="auto"/>
          <w:sz w:val="22"/>
          <w:szCs w:val="22"/>
          <w:highlight w:val="none"/>
        </w:rPr>
      </w:pPr>
      <w:bookmarkStart w:id="401" w:name="_Toc35811961"/>
      <w:r>
        <w:rPr>
          <w:rFonts w:hint="eastAsia" w:ascii="宋体" w:hAnsi="宋体" w:cs="宋体"/>
          <w:b/>
          <w:color w:val="auto"/>
          <w:sz w:val="22"/>
          <w:szCs w:val="22"/>
          <w:highlight w:val="none"/>
        </w:rPr>
        <w:t>三、</w:t>
      </w:r>
      <w:bookmarkEnd w:id="400"/>
      <w:r>
        <w:rPr>
          <w:rFonts w:hint="eastAsia" w:ascii="宋体" w:hAnsi="宋体" w:cs="宋体"/>
          <w:b/>
          <w:color w:val="auto"/>
          <w:sz w:val="22"/>
          <w:szCs w:val="22"/>
          <w:highlight w:val="none"/>
        </w:rPr>
        <w:t>采购内容及清单</w:t>
      </w:r>
      <w:bookmarkEnd w:id="401"/>
    </w:p>
    <w:tbl>
      <w:tblPr>
        <w:tblStyle w:val="21"/>
        <w:tblW w:w="10013" w:type="dxa"/>
        <w:tblInd w:w="-739" w:type="dxa"/>
        <w:tblLayout w:type="autofit"/>
        <w:tblCellMar>
          <w:top w:w="0" w:type="dxa"/>
          <w:left w:w="108" w:type="dxa"/>
          <w:bottom w:w="0" w:type="dxa"/>
          <w:right w:w="108" w:type="dxa"/>
        </w:tblCellMar>
      </w:tblPr>
      <w:tblGrid>
        <w:gridCol w:w="870"/>
        <w:gridCol w:w="900"/>
        <w:gridCol w:w="3005"/>
        <w:gridCol w:w="1098"/>
        <w:gridCol w:w="1478"/>
        <w:gridCol w:w="1183"/>
        <w:gridCol w:w="1479"/>
      </w:tblGrid>
      <w:tr w14:paraId="71EDCE93">
        <w:tblPrEx>
          <w:tblCellMar>
            <w:top w:w="0" w:type="dxa"/>
            <w:left w:w="108" w:type="dxa"/>
            <w:bottom w:w="0" w:type="dxa"/>
            <w:right w:w="108" w:type="dxa"/>
          </w:tblCellMar>
        </w:tblPrEx>
        <w:trPr>
          <w:trHeight w:val="1094" w:hRule="atLeast"/>
        </w:trPr>
        <w:tc>
          <w:tcPr>
            <w:tcW w:w="870" w:type="dxa"/>
            <w:vMerge w:val="restart"/>
            <w:tcBorders>
              <w:top w:val="single" w:color="auto" w:sz="8" w:space="0"/>
              <w:left w:val="single" w:color="auto" w:sz="8" w:space="0"/>
              <w:bottom w:val="single" w:color="auto" w:sz="8" w:space="0"/>
              <w:right w:val="single" w:color="auto" w:sz="8" w:space="0"/>
            </w:tcBorders>
            <w:noWrap w:val="0"/>
            <w:vAlign w:val="center"/>
          </w:tcPr>
          <w:p w14:paraId="11E2EB7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900" w:type="dxa"/>
            <w:vMerge w:val="restart"/>
            <w:tcBorders>
              <w:top w:val="single" w:color="auto" w:sz="8" w:space="0"/>
              <w:left w:val="nil"/>
              <w:bottom w:val="single" w:color="auto" w:sz="8" w:space="0"/>
              <w:right w:val="single" w:color="auto" w:sz="8" w:space="0"/>
            </w:tcBorders>
            <w:noWrap w:val="0"/>
            <w:vAlign w:val="center"/>
          </w:tcPr>
          <w:p w14:paraId="4589B598">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招标内容</w:t>
            </w:r>
          </w:p>
        </w:tc>
        <w:tc>
          <w:tcPr>
            <w:tcW w:w="3005" w:type="dxa"/>
            <w:vMerge w:val="restart"/>
            <w:tcBorders>
              <w:top w:val="single" w:color="auto" w:sz="8" w:space="0"/>
              <w:left w:val="nil"/>
              <w:bottom w:val="single" w:color="auto" w:sz="8" w:space="0"/>
              <w:right w:val="single" w:color="auto" w:sz="8" w:space="0"/>
            </w:tcBorders>
            <w:noWrap w:val="0"/>
            <w:vAlign w:val="center"/>
          </w:tcPr>
          <w:p w14:paraId="20FD82CA">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规 格</w:t>
            </w:r>
          </w:p>
        </w:tc>
        <w:tc>
          <w:tcPr>
            <w:tcW w:w="1098" w:type="dxa"/>
            <w:vMerge w:val="restart"/>
            <w:tcBorders>
              <w:top w:val="single" w:color="auto" w:sz="8" w:space="0"/>
              <w:left w:val="nil"/>
              <w:bottom w:val="single" w:color="auto" w:sz="8" w:space="0"/>
              <w:right w:val="single" w:color="auto" w:sz="8" w:space="0"/>
            </w:tcBorders>
            <w:noWrap w:val="0"/>
            <w:vAlign w:val="center"/>
          </w:tcPr>
          <w:p w14:paraId="08DE61C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478" w:type="dxa"/>
            <w:tcBorders>
              <w:top w:val="single" w:color="auto" w:sz="8" w:space="0"/>
              <w:left w:val="nil"/>
              <w:bottom w:val="nil"/>
              <w:right w:val="single" w:color="auto" w:sz="8" w:space="0"/>
            </w:tcBorders>
            <w:noWrap w:val="0"/>
            <w:vAlign w:val="center"/>
          </w:tcPr>
          <w:p w14:paraId="64492CE6">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数量</w:t>
            </w:r>
          </w:p>
        </w:tc>
        <w:tc>
          <w:tcPr>
            <w:tcW w:w="1183" w:type="dxa"/>
            <w:tcBorders>
              <w:top w:val="single" w:color="auto" w:sz="8" w:space="0"/>
              <w:left w:val="nil"/>
              <w:bottom w:val="nil"/>
              <w:right w:val="single" w:color="auto" w:sz="8" w:space="0"/>
            </w:tcBorders>
            <w:noWrap w:val="0"/>
            <w:vAlign w:val="center"/>
          </w:tcPr>
          <w:p w14:paraId="533ED81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采购预算单价（限价）</w:t>
            </w:r>
          </w:p>
        </w:tc>
        <w:tc>
          <w:tcPr>
            <w:tcW w:w="1479" w:type="dxa"/>
            <w:vMerge w:val="restart"/>
            <w:tcBorders>
              <w:top w:val="single" w:color="auto" w:sz="8" w:space="0"/>
              <w:left w:val="nil"/>
              <w:bottom w:val="single" w:color="auto" w:sz="8" w:space="0"/>
              <w:right w:val="single" w:color="auto" w:sz="8" w:space="0"/>
            </w:tcBorders>
            <w:noWrap w:val="0"/>
            <w:vAlign w:val="center"/>
          </w:tcPr>
          <w:p w14:paraId="5A51EC0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总价（限价）元/年</w:t>
            </w:r>
          </w:p>
        </w:tc>
      </w:tr>
      <w:tr w14:paraId="17649357">
        <w:tblPrEx>
          <w:tblCellMar>
            <w:top w:w="0" w:type="dxa"/>
            <w:left w:w="108" w:type="dxa"/>
            <w:bottom w:w="0" w:type="dxa"/>
            <w:right w:w="108" w:type="dxa"/>
          </w:tblCellMar>
        </w:tblPrEx>
        <w:trPr>
          <w:trHeight w:val="281" w:hRule="atLeast"/>
        </w:trPr>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14:paraId="545EC800">
            <w:pPr>
              <w:widowControl/>
              <w:jc w:val="left"/>
              <w:rPr>
                <w:rFonts w:ascii="宋体" w:hAnsi="宋体" w:cs="宋体"/>
                <w:b/>
                <w:bCs/>
                <w:color w:val="auto"/>
                <w:kern w:val="0"/>
                <w:sz w:val="22"/>
                <w:szCs w:val="22"/>
                <w:highlight w:val="none"/>
              </w:rPr>
            </w:pPr>
          </w:p>
        </w:tc>
        <w:tc>
          <w:tcPr>
            <w:tcW w:w="900" w:type="dxa"/>
            <w:vMerge w:val="continue"/>
            <w:tcBorders>
              <w:top w:val="single" w:color="auto" w:sz="8" w:space="0"/>
              <w:left w:val="nil"/>
              <w:bottom w:val="single" w:color="auto" w:sz="8" w:space="0"/>
              <w:right w:val="single" w:color="auto" w:sz="8" w:space="0"/>
            </w:tcBorders>
            <w:noWrap w:val="0"/>
            <w:vAlign w:val="center"/>
          </w:tcPr>
          <w:p w14:paraId="4D9D1E7C">
            <w:pPr>
              <w:widowControl/>
              <w:jc w:val="left"/>
              <w:rPr>
                <w:rFonts w:ascii="宋体" w:hAnsi="宋体" w:cs="宋体"/>
                <w:b/>
                <w:bCs/>
                <w:color w:val="auto"/>
                <w:kern w:val="0"/>
                <w:sz w:val="22"/>
                <w:szCs w:val="22"/>
                <w:highlight w:val="none"/>
              </w:rPr>
            </w:pPr>
          </w:p>
        </w:tc>
        <w:tc>
          <w:tcPr>
            <w:tcW w:w="3005" w:type="dxa"/>
            <w:vMerge w:val="continue"/>
            <w:tcBorders>
              <w:top w:val="single" w:color="auto" w:sz="8" w:space="0"/>
              <w:left w:val="nil"/>
              <w:bottom w:val="single" w:color="auto" w:sz="8" w:space="0"/>
              <w:right w:val="single" w:color="auto" w:sz="8" w:space="0"/>
            </w:tcBorders>
            <w:noWrap w:val="0"/>
            <w:vAlign w:val="center"/>
          </w:tcPr>
          <w:p w14:paraId="5A3276E5">
            <w:pPr>
              <w:widowControl/>
              <w:jc w:val="left"/>
              <w:rPr>
                <w:rFonts w:ascii="宋体" w:hAnsi="宋体" w:cs="宋体"/>
                <w:b/>
                <w:bCs/>
                <w:color w:val="auto"/>
                <w:kern w:val="0"/>
                <w:sz w:val="22"/>
                <w:szCs w:val="22"/>
                <w:highlight w:val="none"/>
              </w:rPr>
            </w:pPr>
          </w:p>
        </w:tc>
        <w:tc>
          <w:tcPr>
            <w:tcW w:w="1098" w:type="dxa"/>
            <w:vMerge w:val="continue"/>
            <w:tcBorders>
              <w:top w:val="single" w:color="auto" w:sz="8" w:space="0"/>
              <w:left w:val="nil"/>
              <w:bottom w:val="single" w:color="auto" w:sz="8" w:space="0"/>
              <w:right w:val="single" w:color="auto" w:sz="8" w:space="0"/>
            </w:tcBorders>
            <w:noWrap w:val="0"/>
            <w:vAlign w:val="center"/>
          </w:tcPr>
          <w:p w14:paraId="3E1DC082">
            <w:pPr>
              <w:widowControl/>
              <w:jc w:val="left"/>
              <w:rPr>
                <w:rFonts w:ascii="宋体" w:hAnsi="宋体" w:cs="宋体"/>
                <w:b/>
                <w:bCs/>
                <w:color w:val="auto"/>
                <w:kern w:val="0"/>
                <w:sz w:val="22"/>
                <w:szCs w:val="22"/>
                <w:highlight w:val="none"/>
              </w:rPr>
            </w:pPr>
          </w:p>
        </w:tc>
        <w:tc>
          <w:tcPr>
            <w:tcW w:w="1478" w:type="dxa"/>
            <w:tcBorders>
              <w:top w:val="nil"/>
              <w:left w:val="nil"/>
              <w:bottom w:val="single" w:color="auto" w:sz="8" w:space="0"/>
              <w:right w:val="single" w:color="auto" w:sz="8" w:space="0"/>
            </w:tcBorders>
            <w:noWrap w:val="0"/>
            <w:vAlign w:val="center"/>
          </w:tcPr>
          <w:p w14:paraId="4C09BA1A">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（暂定）</w:t>
            </w:r>
          </w:p>
        </w:tc>
        <w:tc>
          <w:tcPr>
            <w:tcW w:w="1183" w:type="dxa"/>
            <w:tcBorders>
              <w:top w:val="nil"/>
              <w:left w:val="nil"/>
              <w:bottom w:val="single" w:color="auto" w:sz="8" w:space="0"/>
              <w:right w:val="single" w:color="auto" w:sz="8" w:space="0"/>
            </w:tcBorders>
            <w:noWrap w:val="0"/>
            <w:vAlign w:val="center"/>
          </w:tcPr>
          <w:p w14:paraId="51A4149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元/年</w:t>
            </w:r>
          </w:p>
        </w:tc>
        <w:tc>
          <w:tcPr>
            <w:tcW w:w="1479" w:type="dxa"/>
            <w:vMerge w:val="continue"/>
            <w:tcBorders>
              <w:top w:val="single" w:color="auto" w:sz="8" w:space="0"/>
              <w:left w:val="nil"/>
              <w:bottom w:val="single" w:color="auto" w:sz="8" w:space="0"/>
              <w:right w:val="single" w:color="auto" w:sz="8" w:space="0"/>
            </w:tcBorders>
            <w:noWrap w:val="0"/>
            <w:vAlign w:val="center"/>
          </w:tcPr>
          <w:p w14:paraId="6D122B13">
            <w:pPr>
              <w:widowControl/>
              <w:jc w:val="left"/>
              <w:rPr>
                <w:rFonts w:ascii="宋体" w:hAnsi="宋体" w:cs="宋体"/>
                <w:b/>
                <w:bCs/>
                <w:color w:val="auto"/>
                <w:kern w:val="0"/>
                <w:sz w:val="22"/>
                <w:szCs w:val="22"/>
                <w:highlight w:val="none"/>
              </w:rPr>
            </w:pPr>
          </w:p>
        </w:tc>
      </w:tr>
      <w:tr w14:paraId="77477F8E">
        <w:tblPrEx>
          <w:tblCellMar>
            <w:top w:w="0" w:type="dxa"/>
            <w:left w:w="108" w:type="dxa"/>
            <w:bottom w:w="0" w:type="dxa"/>
            <w:right w:w="108" w:type="dxa"/>
          </w:tblCellMar>
        </w:tblPrEx>
        <w:trPr>
          <w:trHeight w:val="90" w:hRule="atLeast"/>
        </w:trPr>
        <w:tc>
          <w:tcPr>
            <w:tcW w:w="870" w:type="dxa"/>
            <w:vMerge w:val="restart"/>
            <w:tcBorders>
              <w:top w:val="nil"/>
              <w:left w:val="single" w:color="auto" w:sz="8" w:space="0"/>
              <w:bottom w:val="single" w:color="auto" w:sz="8" w:space="0"/>
              <w:right w:val="single" w:color="auto" w:sz="8" w:space="0"/>
            </w:tcBorders>
            <w:noWrap w:val="0"/>
            <w:vAlign w:val="center"/>
          </w:tcPr>
          <w:p w14:paraId="5D0C997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00" w:type="dxa"/>
            <w:vMerge w:val="restart"/>
            <w:tcBorders>
              <w:top w:val="nil"/>
              <w:left w:val="single" w:color="auto" w:sz="8" w:space="0"/>
              <w:bottom w:val="single" w:color="auto" w:sz="8" w:space="0"/>
              <w:right w:val="single" w:color="auto" w:sz="8" w:space="0"/>
            </w:tcBorders>
            <w:noWrap w:val="0"/>
            <w:vAlign w:val="center"/>
          </w:tcPr>
          <w:p w14:paraId="35EF57D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2025年-2026年山福镇农村生活污水处理设备及管网运维服务采购项目 </w:t>
            </w:r>
          </w:p>
        </w:tc>
        <w:tc>
          <w:tcPr>
            <w:tcW w:w="3005" w:type="dxa"/>
            <w:tcBorders>
              <w:top w:val="nil"/>
              <w:left w:val="nil"/>
              <w:bottom w:val="single" w:color="auto" w:sz="8" w:space="0"/>
              <w:right w:val="single" w:color="auto" w:sz="8" w:space="0"/>
            </w:tcBorders>
            <w:noWrap w:val="0"/>
            <w:vAlign w:val="center"/>
          </w:tcPr>
          <w:p w14:paraId="59192C1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终端设备日处理量30T以下</w:t>
            </w:r>
          </w:p>
        </w:tc>
        <w:tc>
          <w:tcPr>
            <w:tcW w:w="1098" w:type="dxa"/>
            <w:tcBorders>
              <w:top w:val="nil"/>
              <w:left w:val="nil"/>
              <w:bottom w:val="single" w:color="auto" w:sz="8" w:space="0"/>
              <w:right w:val="single" w:color="auto" w:sz="8" w:space="0"/>
            </w:tcBorders>
            <w:noWrap w:val="0"/>
            <w:vAlign w:val="center"/>
          </w:tcPr>
          <w:p w14:paraId="2B0E87A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tcBorders>
              <w:top w:val="nil"/>
              <w:left w:val="nil"/>
              <w:bottom w:val="single" w:color="auto" w:sz="8" w:space="0"/>
              <w:right w:val="single" w:color="auto" w:sz="8" w:space="0"/>
            </w:tcBorders>
            <w:noWrap w:val="0"/>
            <w:vAlign w:val="center"/>
          </w:tcPr>
          <w:p w14:paraId="3407406B">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4</w:t>
            </w:r>
          </w:p>
        </w:tc>
        <w:tc>
          <w:tcPr>
            <w:tcW w:w="1183" w:type="dxa"/>
            <w:tcBorders>
              <w:top w:val="nil"/>
              <w:left w:val="nil"/>
              <w:bottom w:val="single" w:color="auto" w:sz="8" w:space="0"/>
              <w:right w:val="single" w:color="auto" w:sz="8" w:space="0"/>
            </w:tcBorders>
            <w:noWrap w:val="0"/>
            <w:vAlign w:val="center"/>
          </w:tcPr>
          <w:p w14:paraId="041A003D">
            <w:pPr>
              <w:widowControl/>
              <w:jc w:val="center"/>
              <w:rPr>
                <w:rFonts w:ascii="宋体" w:hAnsi="宋体" w:cs="宋体"/>
                <w:color w:val="auto"/>
                <w:kern w:val="0"/>
                <w:szCs w:val="21"/>
                <w:highlight w:val="none"/>
              </w:rPr>
            </w:pPr>
          </w:p>
        </w:tc>
        <w:tc>
          <w:tcPr>
            <w:tcW w:w="1479" w:type="dxa"/>
            <w:tcBorders>
              <w:top w:val="nil"/>
              <w:left w:val="nil"/>
              <w:bottom w:val="single" w:color="auto" w:sz="8" w:space="0"/>
              <w:right w:val="single" w:color="auto" w:sz="8" w:space="0"/>
            </w:tcBorders>
            <w:noWrap w:val="0"/>
            <w:vAlign w:val="center"/>
          </w:tcPr>
          <w:p w14:paraId="3F603D9C">
            <w:pPr>
              <w:widowControl/>
              <w:jc w:val="center"/>
              <w:rPr>
                <w:rFonts w:ascii="宋体" w:hAnsi="宋体" w:cs="宋体"/>
                <w:color w:val="auto"/>
                <w:kern w:val="0"/>
                <w:sz w:val="22"/>
                <w:szCs w:val="22"/>
                <w:highlight w:val="none"/>
              </w:rPr>
            </w:pPr>
          </w:p>
        </w:tc>
      </w:tr>
      <w:tr w14:paraId="20227B93">
        <w:tblPrEx>
          <w:tblCellMar>
            <w:top w:w="0" w:type="dxa"/>
            <w:left w:w="108" w:type="dxa"/>
            <w:bottom w:w="0" w:type="dxa"/>
            <w:right w:w="108" w:type="dxa"/>
          </w:tblCellMar>
        </w:tblPrEx>
        <w:trPr>
          <w:trHeight w:val="1094"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661EE29D">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BB3CA40">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69D6B64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终端设备日处理量30-100T内（含30T）</w:t>
            </w:r>
          </w:p>
        </w:tc>
        <w:tc>
          <w:tcPr>
            <w:tcW w:w="1098" w:type="dxa"/>
            <w:vMerge w:val="restart"/>
            <w:tcBorders>
              <w:top w:val="nil"/>
              <w:left w:val="single" w:color="auto" w:sz="8" w:space="0"/>
              <w:bottom w:val="single" w:color="auto" w:sz="8" w:space="0"/>
              <w:right w:val="single" w:color="auto" w:sz="8" w:space="0"/>
            </w:tcBorders>
            <w:noWrap w:val="0"/>
            <w:vAlign w:val="center"/>
          </w:tcPr>
          <w:p w14:paraId="5A02AE1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55B22FA8">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8</w:t>
            </w:r>
          </w:p>
        </w:tc>
        <w:tc>
          <w:tcPr>
            <w:tcW w:w="1183" w:type="dxa"/>
            <w:vMerge w:val="restart"/>
            <w:tcBorders>
              <w:top w:val="nil"/>
              <w:left w:val="single" w:color="auto" w:sz="8" w:space="0"/>
              <w:bottom w:val="single" w:color="auto" w:sz="8" w:space="0"/>
              <w:right w:val="single" w:color="auto" w:sz="8" w:space="0"/>
            </w:tcBorders>
            <w:noWrap w:val="0"/>
            <w:vAlign w:val="center"/>
          </w:tcPr>
          <w:p w14:paraId="759D1C45">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7888D47D">
            <w:pPr>
              <w:widowControl/>
              <w:jc w:val="center"/>
              <w:rPr>
                <w:rFonts w:ascii="宋体" w:hAnsi="宋体" w:cs="宋体"/>
                <w:color w:val="auto"/>
                <w:kern w:val="0"/>
                <w:sz w:val="22"/>
                <w:szCs w:val="22"/>
                <w:highlight w:val="none"/>
              </w:rPr>
            </w:pPr>
          </w:p>
        </w:tc>
      </w:tr>
      <w:tr w14:paraId="1260F8C1">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3FB03F76">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2A05C3A2">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67A32C98">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1EB078F9">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2D636FB7">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3FE69279">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78F7CCE0">
            <w:pPr>
              <w:widowControl/>
              <w:jc w:val="left"/>
              <w:rPr>
                <w:rFonts w:ascii="宋体" w:hAnsi="宋体" w:cs="宋体"/>
                <w:color w:val="auto"/>
                <w:kern w:val="0"/>
                <w:sz w:val="22"/>
                <w:szCs w:val="22"/>
                <w:highlight w:val="none"/>
              </w:rPr>
            </w:pPr>
          </w:p>
        </w:tc>
      </w:tr>
      <w:tr w14:paraId="12A386A4">
        <w:tblPrEx>
          <w:tblCellMar>
            <w:top w:w="0" w:type="dxa"/>
            <w:left w:w="108" w:type="dxa"/>
            <w:bottom w:w="0" w:type="dxa"/>
            <w:right w:w="108" w:type="dxa"/>
          </w:tblCellMar>
        </w:tblPrEx>
        <w:trPr>
          <w:trHeight w:val="828"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58391419">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E038214">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2C1DC3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终端设备日处理量100-200T（含100T）</w:t>
            </w:r>
          </w:p>
        </w:tc>
        <w:tc>
          <w:tcPr>
            <w:tcW w:w="1098" w:type="dxa"/>
            <w:vMerge w:val="restart"/>
            <w:tcBorders>
              <w:top w:val="nil"/>
              <w:left w:val="single" w:color="auto" w:sz="8" w:space="0"/>
              <w:bottom w:val="single" w:color="auto" w:sz="8" w:space="0"/>
              <w:right w:val="single" w:color="auto" w:sz="8" w:space="0"/>
            </w:tcBorders>
            <w:noWrap w:val="0"/>
            <w:vAlign w:val="center"/>
          </w:tcPr>
          <w:p w14:paraId="5D60ACF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253FA0D3">
            <w:pPr>
              <w:widowControl/>
              <w:jc w:val="center"/>
              <w:rPr>
                <w:rFonts w:hint="default" w:ascii="宋体" w:hAnsi="宋体" w:eastAsia="宋体" w:cs="宋体"/>
                <w:b/>
                <w:bCs/>
                <w:color w:val="auto"/>
                <w:kern w:val="0"/>
                <w:sz w:val="22"/>
                <w:szCs w:val="22"/>
                <w:highlight w:val="none"/>
                <w:lang w:val="en-US"/>
              </w:rPr>
            </w:pPr>
            <w:r>
              <w:rPr>
                <w:rFonts w:hint="eastAsia" w:ascii="宋体" w:hAnsi="宋体" w:cs="宋体"/>
                <w:b/>
                <w:bCs/>
                <w:color w:val="auto"/>
                <w:kern w:val="0"/>
                <w:sz w:val="22"/>
                <w:szCs w:val="22"/>
                <w:highlight w:val="none"/>
                <w:lang w:val="en-US" w:eastAsia="zh-CN"/>
              </w:rPr>
              <w:t>11</w:t>
            </w:r>
          </w:p>
        </w:tc>
        <w:tc>
          <w:tcPr>
            <w:tcW w:w="1183" w:type="dxa"/>
            <w:vMerge w:val="restart"/>
            <w:tcBorders>
              <w:top w:val="nil"/>
              <w:left w:val="single" w:color="auto" w:sz="8" w:space="0"/>
              <w:bottom w:val="single" w:color="auto" w:sz="8" w:space="0"/>
              <w:right w:val="single" w:color="auto" w:sz="8" w:space="0"/>
            </w:tcBorders>
            <w:noWrap w:val="0"/>
            <w:vAlign w:val="center"/>
          </w:tcPr>
          <w:p w14:paraId="438A5CE3">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7F4B0268">
            <w:pPr>
              <w:widowControl/>
              <w:jc w:val="center"/>
              <w:rPr>
                <w:rFonts w:ascii="宋体" w:hAnsi="宋体" w:cs="宋体"/>
                <w:color w:val="auto"/>
                <w:kern w:val="0"/>
                <w:szCs w:val="21"/>
                <w:highlight w:val="none"/>
              </w:rPr>
            </w:pPr>
          </w:p>
        </w:tc>
      </w:tr>
      <w:tr w14:paraId="31E7A7B7">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18E2AA80">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49E0D666">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64AA2475">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6650FCC0">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4C29FD91">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6725EBE1">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5EE31072">
            <w:pPr>
              <w:widowControl/>
              <w:jc w:val="left"/>
              <w:rPr>
                <w:rFonts w:ascii="宋体" w:hAnsi="宋体" w:cs="宋体"/>
                <w:color w:val="auto"/>
                <w:kern w:val="0"/>
                <w:szCs w:val="21"/>
                <w:highlight w:val="none"/>
              </w:rPr>
            </w:pPr>
          </w:p>
        </w:tc>
      </w:tr>
      <w:tr w14:paraId="1F451FA9">
        <w:tblPrEx>
          <w:tblCellMar>
            <w:top w:w="0" w:type="dxa"/>
            <w:left w:w="108" w:type="dxa"/>
            <w:bottom w:w="0" w:type="dxa"/>
            <w:right w:w="108" w:type="dxa"/>
          </w:tblCellMar>
        </w:tblPrEx>
        <w:trPr>
          <w:trHeight w:val="118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3BE8B002">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D05BF23">
            <w:pPr>
              <w:widowControl/>
              <w:jc w:val="center"/>
              <w:rPr>
                <w:rFonts w:ascii="宋体" w:hAnsi="宋体" w:eastAsia="宋体" w:cs="宋体"/>
                <w:b/>
                <w:bCs/>
                <w:color w:val="auto"/>
                <w:kern w:val="0"/>
                <w:sz w:val="22"/>
                <w:szCs w:val="22"/>
                <w:highlight w:val="none"/>
              </w:rPr>
            </w:pPr>
          </w:p>
        </w:tc>
        <w:tc>
          <w:tcPr>
            <w:tcW w:w="3005" w:type="dxa"/>
            <w:tcBorders>
              <w:top w:val="nil"/>
              <w:left w:val="nil"/>
              <w:bottom w:val="single" w:color="auto" w:sz="8" w:space="0"/>
              <w:right w:val="single" w:color="auto" w:sz="8" w:space="0"/>
            </w:tcBorders>
            <w:noWrap w:val="0"/>
            <w:vAlign w:val="center"/>
          </w:tcPr>
          <w:p w14:paraId="5DA9BAB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农村生活污水纳厂处理设施企业运行维护</w:t>
            </w:r>
          </w:p>
        </w:tc>
        <w:tc>
          <w:tcPr>
            <w:tcW w:w="1098" w:type="dxa"/>
            <w:tcBorders>
              <w:top w:val="nil"/>
              <w:left w:val="nil"/>
              <w:bottom w:val="single" w:color="auto" w:sz="8" w:space="0"/>
              <w:right w:val="single" w:color="auto" w:sz="8" w:space="0"/>
            </w:tcBorders>
            <w:noWrap w:val="0"/>
            <w:vAlign w:val="center"/>
          </w:tcPr>
          <w:p w14:paraId="7938C6F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户</w:t>
            </w:r>
          </w:p>
        </w:tc>
        <w:tc>
          <w:tcPr>
            <w:tcW w:w="1478" w:type="dxa"/>
            <w:tcBorders>
              <w:top w:val="nil"/>
              <w:left w:val="nil"/>
              <w:bottom w:val="single" w:color="auto" w:sz="8" w:space="0"/>
              <w:right w:val="single" w:color="auto" w:sz="8" w:space="0"/>
            </w:tcBorders>
            <w:noWrap w:val="0"/>
            <w:vAlign w:val="center"/>
          </w:tcPr>
          <w:p w14:paraId="09EEB9A5">
            <w:pPr>
              <w:widowControl/>
              <w:jc w:val="center"/>
              <w:rPr>
                <w:rFonts w:hint="default" w:ascii="宋体" w:hAnsi="宋体" w:eastAsia="宋体" w:cs="宋体"/>
                <w:b/>
                <w:bCs/>
                <w:color w:val="auto"/>
                <w:kern w:val="0"/>
                <w:sz w:val="22"/>
                <w:szCs w:val="22"/>
                <w:highlight w:val="none"/>
                <w:lang w:val="en-US"/>
              </w:rPr>
            </w:pPr>
            <w:r>
              <w:rPr>
                <w:rFonts w:hint="eastAsia" w:ascii="宋体" w:hAnsi="宋体" w:cs="宋体"/>
                <w:b/>
                <w:bCs/>
                <w:color w:val="auto"/>
                <w:kern w:val="0"/>
                <w:sz w:val="22"/>
                <w:szCs w:val="22"/>
                <w:highlight w:val="none"/>
                <w:lang w:val="en-US" w:eastAsia="zh-CN"/>
              </w:rPr>
              <w:t>450</w:t>
            </w:r>
          </w:p>
        </w:tc>
        <w:tc>
          <w:tcPr>
            <w:tcW w:w="1183" w:type="dxa"/>
            <w:tcBorders>
              <w:top w:val="nil"/>
              <w:left w:val="nil"/>
              <w:bottom w:val="single" w:color="auto" w:sz="8" w:space="0"/>
              <w:right w:val="single" w:color="auto" w:sz="8" w:space="0"/>
            </w:tcBorders>
            <w:noWrap w:val="0"/>
            <w:vAlign w:val="center"/>
          </w:tcPr>
          <w:p w14:paraId="33F659A2">
            <w:pPr>
              <w:widowControl/>
              <w:jc w:val="center"/>
              <w:rPr>
                <w:rFonts w:ascii="宋体" w:hAnsi="宋体" w:cs="宋体"/>
                <w:color w:val="auto"/>
                <w:kern w:val="0"/>
                <w:sz w:val="22"/>
                <w:szCs w:val="22"/>
                <w:highlight w:val="none"/>
              </w:rPr>
            </w:pPr>
          </w:p>
        </w:tc>
        <w:tc>
          <w:tcPr>
            <w:tcW w:w="1479" w:type="dxa"/>
            <w:tcBorders>
              <w:top w:val="nil"/>
              <w:left w:val="nil"/>
              <w:bottom w:val="single" w:color="auto" w:sz="8" w:space="0"/>
              <w:right w:val="single" w:color="auto" w:sz="8" w:space="0"/>
            </w:tcBorders>
            <w:noWrap w:val="0"/>
            <w:vAlign w:val="center"/>
          </w:tcPr>
          <w:p w14:paraId="5B2C01E3">
            <w:pPr>
              <w:widowControl/>
              <w:jc w:val="center"/>
              <w:rPr>
                <w:rFonts w:ascii="宋体" w:hAnsi="宋体" w:cs="宋体"/>
                <w:color w:val="auto"/>
                <w:kern w:val="0"/>
                <w:sz w:val="22"/>
                <w:szCs w:val="22"/>
                <w:highlight w:val="none"/>
              </w:rPr>
            </w:pPr>
          </w:p>
        </w:tc>
      </w:tr>
      <w:tr w14:paraId="2D6461F0">
        <w:tblPrEx>
          <w:tblCellMar>
            <w:top w:w="0" w:type="dxa"/>
            <w:left w:w="108" w:type="dxa"/>
            <w:bottom w:w="0" w:type="dxa"/>
            <w:right w:w="108" w:type="dxa"/>
          </w:tblCellMar>
        </w:tblPrEx>
        <w:trPr>
          <w:trHeight w:val="973" w:hRule="atLeast"/>
        </w:trPr>
        <w:tc>
          <w:tcPr>
            <w:tcW w:w="870" w:type="dxa"/>
            <w:vMerge w:val="restart"/>
            <w:tcBorders>
              <w:top w:val="nil"/>
              <w:left w:val="single" w:color="auto" w:sz="8" w:space="0"/>
              <w:right w:val="single" w:color="auto" w:sz="8" w:space="0"/>
            </w:tcBorders>
            <w:noWrap w:val="0"/>
            <w:vAlign w:val="center"/>
          </w:tcPr>
          <w:p w14:paraId="091F3A9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905" w:type="dxa"/>
            <w:gridSpan w:val="2"/>
            <w:tcBorders>
              <w:top w:val="single" w:color="auto" w:sz="8" w:space="0"/>
              <w:left w:val="nil"/>
              <w:bottom w:val="single" w:color="auto" w:sz="4" w:space="0"/>
              <w:right w:val="single" w:color="auto" w:sz="8" w:space="0"/>
            </w:tcBorders>
            <w:noWrap w:val="0"/>
            <w:vAlign w:val="center"/>
          </w:tcPr>
          <w:p w14:paraId="60E15D7C">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1）污泥处置费（200元/吨）</w:t>
            </w:r>
          </w:p>
        </w:tc>
        <w:tc>
          <w:tcPr>
            <w:tcW w:w="1098" w:type="dxa"/>
            <w:vMerge w:val="restart"/>
            <w:tcBorders>
              <w:top w:val="nil"/>
              <w:left w:val="single" w:color="auto" w:sz="8" w:space="0"/>
              <w:right w:val="single" w:color="auto" w:sz="8" w:space="0"/>
            </w:tcBorders>
            <w:noWrap w:val="0"/>
            <w:vAlign w:val="center"/>
          </w:tcPr>
          <w:p w14:paraId="677AC30A">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项</w:t>
            </w:r>
          </w:p>
        </w:tc>
        <w:tc>
          <w:tcPr>
            <w:tcW w:w="1478" w:type="dxa"/>
            <w:vMerge w:val="restart"/>
            <w:tcBorders>
              <w:top w:val="nil"/>
              <w:left w:val="single" w:color="auto" w:sz="8" w:space="0"/>
              <w:right w:val="single" w:color="auto" w:sz="8" w:space="0"/>
            </w:tcBorders>
            <w:noWrap w:val="0"/>
            <w:vAlign w:val="center"/>
          </w:tcPr>
          <w:p w14:paraId="64FA61ED">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w:t>
            </w:r>
          </w:p>
        </w:tc>
        <w:tc>
          <w:tcPr>
            <w:tcW w:w="1183" w:type="dxa"/>
            <w:vMerge w:val="restart"/>
            <w:tcBorders>
              <w:top w:val="nil"/>
              <w:left w:val="single" w:color="auto" w:sz="8" w:space="0"/>
              <w:right w:val="single" w:color="auto" w:sz="8" w:space="0"/>
            </w:tcBorders>
            <w:noWrap w:val="0"/>
            <w:vAlign w:val="center"/>
          </w:tcPr>
          <w:p w14:paraId="5F2168F4">
            <w:pPr>
              <w:widowControl/>
              <w:jc w:val="center"/>
              <w:rPr>
                <w:rFonts w:ascii="宋体" w:hAnsi="宋体" w:cs="宋体"/>
                <w:color w:val="auto"/>
                <w:kern w:val="0"/>
                <w:sz w:val="22"/>
                <w:szCs w:val="22"/>
                <w:highlight w:val="none"/>
              </w:rPr>
            </w:pPr>
          </w:p>
        </w:tc>
        <w:tc>
          <w:tcPr>
            <w:tcW w:w="1479" w:type="dxa"/>
            <w:vMerge w:val="restart"/>
            <w:tcBorders>
              <w:top w:val="nil"/>
              <w:left w:val="single" w:color="auto" w:sz="8" w:space="0"/>
              <w:right w:val="single" w:color="auto" w:sz="8" w:space="0"/>
            </w:tcBorders>
            <w:noWrap w:val="0"/>
            <w:vAlign w:val="center"/>
          </w:tcPr>
          <w:p w14:paraId="12E38AE4">
            <w:pPr>
              <w:widowControl/>
              <w:jc w:val="center"/>
              <w:rPr>
                <w:rFonts w:ascii="宋体" w:hAnsi="宋体" w:cs="宋体"/>
                <w:color w:val="auto"/>
                <w:kern w:val="0"/>
                <w:sz w:val="22"/>
                <w:szCs w:val="22"/>
                <w:highlight w:val="none"/>
              </w:rPr>
            </w:pPr>
          </w:p>
        </w:tc>
      </w:tr>
      <w:tr w14:paraId="07EE97A6">
        <w:tblPrEx>
          <w:tblCellMar>
            <w:top w:w="0" w:type="dxa"/>
            <w:left w:w="108" w:type="dxa"/>
            <w:bottom w:w="0" w:type="dxa"/>
            <w:right w:w="108" w:type="dxa"/>
          </w:tblCellMar>
        </w:tblPrEx>
        <w:trPr>
          <w:trHeight w:val="1105" w:hRule="atLeast"/>
        </w:trPr>
        <w:tc>
          <w:tcPr>
            <w:tcW w:w="870" w:type="dxa"/>
            <w:vMerge w:val="continue"/>
            <w:tcBorders>
              <w:left w:val="single" w:color="auto" w:sz="8" w:space="0"/>
              <w:right w:val="single" w:color="auto" w:sz="8" w:space="0"/>
            </w:tcBorders>
            <w:noWrap w:val="0"/>
            <w:vAlign w:val="center"/>
          </w:tcPr>
          <w:p w14:paraId="73799F69">
            <w:pPr>
              <w:widowControl/>
              <w:jc w:val="center"/>
              <w:rPr>
                <w:rFonts w:hint="eastAsia" w:ascii="宋体" w:hAnsi="宋体" w:cs="宋体"/>
                <w:color w:val="auto"/>
                <w:kern w:val="0"/>
                <w:sz w:val="22"/>
                <w:szCs w:val="22"/>
                <w:highlight w:val="none"/>
              </w:rPr>
            </w:pPr>
          </w:p>
        </w:tc>
        <w:tc>
          <w:tcPr>
            <w:tcW w:w="3905" w:type="dxa"/>
            <w:gridSpan w:val="2"/>
            <w:tcBorders>
              <w:top w:val="single" w:color="auto" w:sz="4" w:space="0"/>
              <w:left w:val="nil"/>
              <w:bottom w:val="single" w:color="auto" w:sz="4" w:space="0"/>
              <w:right w:val="single" w:color="auto" w:sz="8" w:space="0"/>
            </w:tcBorders>
            <w:noWrap w:val="0"/>
            <w:vAlign w:val="center"/>
          </w:tcPr>
          <w:p w14:paraId="49C72BCA">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2）水电费</w:t>
            </w:r>
          </w:p>
        </w:tc>
        <w:tc>
          <w:tcPr>
            <w:tcW w:w="1098" w:type="dxa"/>
            <w:vMerge w:val="continue"/>
            <w:tcBorders>
              <w:left w:val="single" w:color="auto" w:sz="8" w:space="0"/>
              <w:right w:val="single" w:color="auto" w:sz="8" w:space="0"/>
            </w:tcBorders>
            <w:noWrap w:val="0"/>
            <w:vAlign w:val="center"/>
          </w:tcPr>
          <w:p w14:paraId="6A2380C1">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5850A694">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5FFD59C2">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3010646A">
            <w:pPr>
              <w:widowControl/>
              <w:jc w:val="center"/>
              <w:rPr>
                <w:rFonts w:ascii="宋体" w:hAnsi="宋体" w:cs="宋体"/>
                <w:color w:val="auto"/>
                <w:kern w:val="0"/>
                <w:sz w:val="22"/>
                <w:szCs w:val="22"/>
                <w:highlight w:val="none"/>
              </w:rPr>
            </w:pPr>
          </w:p>
        </w:tc>
      </w:tr>
      <w:tr w14:paraId="51FCB602">
        <w:tblPrEx>
          <w:tblCellMar>
            <w:top w:w="0" w:type="dxa"/>
            <w:left w:w="108" w:type="dxa"/>
            <w:bottom w:w="0" w:type="dxa"/>
            <w:right w:w="108" w:type="dxa"/>
          </w:tblCellMar>
        </w:tblPrEx>
        <w:trPr>
          <w:trHeight w:val="1038" w:hRule="atLeast"/>
        </w:trPr>
        <w:tc>
          <w:tcPr>
            <w:tcW w:w="870" w:type="dxa"/>
            <w:vMerge w:val="continue"/>
            <w:tcBorders>
              <w:left w:val="single" w:color="auto" w:sz="8" w:space="0"/>
              <w:right w:val="single" w:color="auto" w:sz="8" w:space="0"/>
            </w:tcBorders>
            <w:noWrap w:val="0"/>
            <w:vAlign w:val="center"/>
          </w:tcPr>
          <w:p w14:paraId="247E4C41">
            <w:pPr>
              <w:widowControl/>
              <w:jc w:val="center"/>
              <w:rPr>
                <w:rFonts w:hint="eastAsia" w:ascii="宋体" w:hAnsi="宋体" w:cs="宋体"/>
                <w:color w:val="auto"/>
                <w:kern w:val="0"/>
                <w:sz w:val="22"/>
                <w:szCs w:val="22"/>
                <w:highlight w:val="none"/>
              </w:rPr>
            </w:pPr>
          </w:p>
        </w:tc>
        <w:tc>
          <w:tcPr>
            <w:tcW w:w="3905" w:type="dxa"/>
            <w:gridSpan w:val="2"/>
            <w:tcBorders>
              <w:top w:val="single" w:color="auto" w:sz="4" w:space="0"/>
              <w:left w:val="nil"/>
              <w:bottom w:val="single" w:color="auto" w:sz="4" w:space="0"/>
              <w:right w:val="single" w:color="auto" w:sz="8" w:space="0"/>
            </w:tcBorders>
            <w:noWrap w:val="0"/>
            <w:vAlign w:val="center"/>
          </w:tcPr>
          <w:p w14:paraId="611CC2B5">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3）其他费用</w:t>
            </w:r>
          </w:p>
        </w:tc>
        <w:tc>
          <w:tcPr>
            <w:tcW w:w="1098" w:type="dxa"/>
            <w:vMerge w:val="continue"/>
            <w:tcBorders>
              <w:left w:val="single" w:color="auto" w:sz="8" w:space="0"/>
              <w:right w:val="single" w:color="auto" w:sz="8" w:space="0"/>
            </w:tcBorders>
            <w:noWrap w:val="0"/>
            <w:vAlign w:val="center"/>
          </w:tcPr>
          <w:p w14:paraId="6B6DD5CF">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2ABB624C">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63C61997">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050A894F">
            <w:pPr>
              <w:widowControl/>
              <w:jc w:val="center"/>
              <w:rPr>
                <w:rFonts w:ascii="宋体" w:hAnsi="宋体" w:cs="宋体"/>
                <w:color w:val="auto"/>
                <w:kern w:val="0"/>
                <w:sz w:val="22"/>
                <w:szCs w:val="22"/>
                <w:highlight w:val="none"/>
              </w:rPr>
            </w:pPr>
          </w:p>
        </w:tc>
      </w:tr>
      <w:tr w14:paraId="737D9CE3">
        <w:tblPrEx>
          <w:tblCellMar>
            <w:top w:w="0" w:type="dxa"/>
            <w:left w:w="108" w:type="dxa"/>
            <w:bottom w:w="0" w:type="dxa"/>
            <w:right w:w="108" w:type="dxa"/>
          </w:tblCellMar>
        </w:tblPrEx>
        <w:trPr>
          <w:trHeight w:val="597" w:hRule="atLeast"/>
        </w:trPr>
        <w:tc>
          <w:tcPr>
            <w:tcW w:w="4775" w:type="dxa"/>
            <w:gridSpan w:val="3"/>
            <w:tcBorders>
              <w:top w:val="single" w:color="auto" w:sz="4" w:space="0"/>
              <w:left w:val="single" w:color="auto" w:sz="4" w:space="0"/>
              <w:bottom w:val="single" w:color="auto" w:sz="4" w:space="0"/>
              <w:right w:val="single" w:color="auto" w:sz="4" w:space="0"/>
            </w:tcBorders>
            <w:noWrap w:val="0"/>
            <w:vAlign w:val="center"/>
          </w:tcPr>
          <w:p w14:paraId="10741A95">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总</w:t>
            </w:r>
            <w:r>
              <w:rPr>
                <w:rFonts w:hint="eastAsia" w:ascii="宋体" w:hAnsi="宋体" w:cs="宋体"/>
                <w:color w:val="auto"/>
                <w:kern w:val="0"/>
                <w:sz w:val="22"/>
                <w:szCs w:val="22"/>
                <w:highlight w:val="none"/>
              </w:rPr>
              <w:t>计</w:t>
            </w:r>
          </w:p>
        </w:tc>
        <w:tc>
          <w:tcPr>
            <w:tcW w:w="5238" w:type="dxa"/>
            <w:gridSpan w:val="4"/>
            <w:tcBorders>
              <w:top w:val="single" w:color="auto" w:sz="4" w:space="0"/>
              <w:left w:val="single" w:color="auto" w:sz="4" w:space="0"/>
              <w:bottom w:val="single" w:color="auto" w:sz="4" w:space="0"/>
              <w:right w:val="single" w:color="auto" w:sz="4" w:space="0"/>
            </w:tcBorders>
            <w:noWrap w:val="0"/>
            <w:vAlign w:val="center"/>
          </w:tcPr>
          <w:p w14:paraId="4528715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小写：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元，大写：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tc>
      </w:tr>
    </w:tbl>
    <w:p w14:paraId="73BDC814">
      <w:pPr>
        <w:pStyle w:val="10"/>
        <w:ind w:left="0" w:leftChars="0" w:firstLine="0" w:firstLineChars="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w:t>
      </w:r>
    </w:p>
    <w:p w14:paraId="5466BBB8">
      <w:pPr>
        <w:spacing w:line="360" w:lineRule="auto"/>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rPr>
        <w:t>1、终端数今后可能发生变化，最终终端数根据采购人实际提供为准，终端污水处理设施运行维护以实际吨位（以采购人委托的第三方机构测绘结果为准）进行结算；</w:t>
      </w:r>
    </w:p>
    <w:p w14:paraId="5B0CD3E3">
      <w:pPr>
        <w:spacing w:line="360" w:lineRule="auto"/>
        <w:rPr>
          <w:rFonts w:hint="eastAsia" w:ascii="宋体" w:hAnsi="宋体" w:cs="宋体"/>
          <w:b/>
          <w:bCs/>
          <w:color w:val="auto"/>
          <w:sz w:val="22"/>
          <w:szCs w:val="22"/>
          <w:highlight w:val="none"/>
        </w:rPr>
      </w:pPr>
      <w:r>
        <w:rPr>
          <w:rFonts w:hint="eastAsia" w:ascii="宋体" w:hAnsi="宋体" w:cs="宋体"/>
          <w:b/>
          <w:bCs/>
          <w:strike w:val="0"/>
          <w:dstrike w:val="0"/>
          <w:color w:val="auto"/>
          <w:sz w:val="22"/>
          <w:szCs w:val="22"/>
          <w:highlight w:val="none"/>
        </w:rPr>
        <w:t>2、具体运维明细详见招标文件附件《</w:t>
      </w:r>
      <w:r>
        <w:rPr>
          <w:rFonts w:hint="eastAsia" w:ascii="宋体" w:hAnsi="宋体" w:cs="宋体"/>
          <w:b/>
          <w:bCs/>
          <w:strike w:val="0"/>
          <w:dstrike w:val="0"/>
          <w:color w:val="auto"/>
          <w:sz w:val="22"/>
          <w:szCs w:val="22"/>
          <w:highlight w:val="none"/>
          <w:lang w:eastAsia="zh-CN"/>
        </w:rPr>
        <w:t>山福镇</w:t>
      </w:r>
      <w:r>
        <w:rPr>
          <w:rFonts w:hint="eastAsia" w:ascii="宋体" w:hAnsi="宋体" w:cs="宋体"/>
          <w:b/>
          <w:bCs/>
          <w:strike w:val="0"/>
          <w:dstrike w:val="0"/>
          <w:color w:val="auto"/>
          <w:sz w:val="22"/>
          <w:szCs w:val="22"/>
          <w:highlight w:val="none"/>
          <w:lang w:val="en-US" w:eastAsia="zh-CN"/>
        </w:rPr>
        <w:t>农村生活污水基础信息</w:t>
      </w:r>
      <w:r>
        <w:rPr>
          <w:rFonts w:hint="eastAsia" w:ascii="宋体" w:hAnsi="宋体" w:cs="宋体"/>
          <w:b/>
          <w:bCs/>
          <w:strike w:val="0"/>
          <w:dstrike w:val="0"/>
          <w:color w:val="auto"/>
          <w:sz w:val="22"/>
          <w:szCs w:val="22"/>
          <w:highlight w:val="none"/>
        </w:rPr>
        <w:t>》；</w:t>
      </w:r>
    </w:p>
    <w:p w14:paraId="5DAF54EC">
      <w:pPr>
        <w:spacing w:line="36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rPr>
        <w:t>3、纳厂、分散处理受益户数最终由中标供应商提交运维户数花名册报采购人审批确定。</w:t>
      </w:r>
    </w:p>
    <w:p w14:paraId="54C64D1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4、若今后</w:t>
      </w:r>
      <w:r>
        <w:rPr>
          <w:rFonts w:hint="eastAsia" w:ascii="宋体" w:hAnsi="宋体"/>
          <w:color w:val="auto"/>
          <w:sz w:val="22"/>
          <w:szCs w:val="22"/>
          <w:highlight w:val="none"/>
        </w:rPr>
        <w:t>终端污水处理设施</w:t>
      </w:r>
      <w:r>
        <w:rPr>
          <w:rFonts w:hint="eastAsia" w:ascii="宋体" w:hAnsi="宋体" w:cs="宋体"/>
          <w:color w:val="auto"/>
          <w:sz w:val="22"/>
          <w:szCs w:val="22"/>
          <w:highlight w:val="none"/>
        </w:rPr>
        <w:t>运行维护</w:t>
      </w:r>
      <w:r>
        <w:rPr>
          <w:rFonts w:hint="eastAsia" w:ascii="宋体" w:hAnsi="宋体"/>
          <w:color w:val="auto"/>
          <w:sz w:val="22"/>
          <w:szCs w:val="22"/>
          <w:highlight w:val="none"/>
        </w:rPr>
        <w:t>改为</w:t>
      </w:r>
      <w:r>
        <w:rPr>
          <w:rFonts w:hint="eastAsia" w:ascii="宋体" w:hAnsi="宋体" w:cs="宋体"/>
          <w:color w:val="auto"/>
          <w:sz w:val="22"/>
          <w:szCs w:val="22"/>
          <w:highlight w:val="none"/>
        </w:rPr>
        <w:t>纳厂运行维护，按纳厂、分散处理管网及简易设施（公共化粪池）运行维护进行结算，不足一年的，年运维费用按实际天数/365天计算。</w:t>
      </w:r>
    </w:p>
    <w:p w14:paraId="6D63F85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5、投标报价是履行合同的最终价格，应包括在承包区域内所需的一切人员工资、奖金、餐费、各种社会保险、食宿与交通、应包括公共处理设施（含接户井、污水管道、检查井、处理终端等）的运维费</w:t>
      </w:r>
      <w:r>
        <w:rPr>
          <w:rFonts w:hint="eastAsia" w:ascii="宋体" w:hAnsi="宋体" w:cs="宋体"/>
          <w:color w:val="auto"/>
          <w:sz w:val="22"/>
          <w:szCs w:val="22"/>
          <w:highlight w:val="none"/>
          <w:lang w:val="en-US" w:eastAsia="zh-CN"/>
        </w:rPr>
        <w:t>及运维产生的垃圾处置费用</w:t>
      </w:r>
      <w:r>
        <w:rPr>
          <w:rFonts w:hint="eastAsia" w:ascii="宋体" w:hAnsi="宋体" w:cs="宋体"/>
          <w:color w:val="auto"/>
          <w:sz w:val="22"/>
          <w:szCs w:val="22"/>
          <w:highlight w:val="none"/>
        </w:rPr>
        <w:t>（含归属主体为乡镇或村集体的隔油池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厨房清扫井</w:t>
      </w:r>
      <w:r>
        <w:rPr>
          <w:rFonts w:hint="eastAsia" w:ascii="宋体" w:hAnsi="宋体" w:cs="宋体"/>
          <w:color w:val="auto"/>
          <w:sz w:val="22"/>
          <w:szCs w:val="22"/>
          <w:highlight w:val="none"/>
        </w:rPr>
        <w:t>和化粪池的清掏、日常定期巡检、消毒杀虫、泵站的养护费（包括现有泵站、终端改泵站）、水质自检及应急运维所需的技术服务费、人工费、一般材料费和机械费等）、污泥清掏运输</w:t>
      </w:r>
      <w:r>
        <w:rPr>
          <w:rFonts w:hint="eastAsia" w:ascii="宋体" w:hAnsi="宋体" w:cs="宋体"/>
          <w:color w:val="auto"/>
          <w:sz w:val="22"/>
          <w:szCs w:val="22"/>
          <w:highlight w:val="none"/>
          <w:lang w:val="en-US" w:eastAsia="zh-CN"/>
        </w:rPr>
        <w:t>处置</w:t>
      </w:r>
      <w:r>
        <w:rPr>
          <w:rFonts w:hint="eastAsia" w:ascii="宋体" w:hAnsi="宋体" w:cs="宋体"/>
          <w:color w:val="auto"/>
          <w:sz w:val="22"/>
          <w:szCs w:val="22"/>
          <w:highlight w:val="none"/>
        </w:rPr>
        <w:t>费（运至</w:t>
      </w:r>
      <w:r>
        <w:rPr>
          <w:rFonts w:hint="eastAsia" w:ascii="宋体" w:hAnsi="宋体" w:cs="宋体"/>
          <w:color w:val="auto"/>
          <w:sz w:val="22"/>
          <w:szCs w:val="22"/>
          <w:highlight w:val="none"/>
          <w:lang w:val="en-US" w:eastAsia="zh-CN"/>
        </w:rPr>
        <w:t>合法消纳</w:t>
      </w:r>
      <w:r>
        <w:rPr>
          <w:rFonts w:hint="eastAsia" w:ascii="宋体" w:hAnsi="宋体" w:cs="宋体"/>
          <w:color w:val="auto"/>
          <w:sz w:val="22"/>
          <w:szCs w:val="22"/>
          <w:highlight w:val="none"/>
        </w:rPr>
        <w:t>地点）、收割后人工湿地植物处置费、设备日常维修更新、设施配套费、办公场所使用费、自备专用车辆仪器工具使用费（含折旧费、油料费、保险费、人工费等）、劳保和安全用品使用费、经营管理费、税费、利润、招标代理等完成合同所需的一切本身和不可或缺的所有工作开支、政策性文件规定及合同包含的所有风险、责任等各项全部费用并承担一切风险责任。供应商须负责对员工进行安全培训，确保安全生产。合同承包期内，供应商的工作人员、车辆、工具出现安全事故导致人员伤亡、器械损毁的情况，均由中标供应商自负责任。各供应商须在报价中考虑风险。供应商在投标报价中应充分考虑所有可能发生的费用，否则采购人将视投标报价中已包括所有费用。</w:t>
      </w:r>
    </w:p>
    <w:p w14:paraId="61EA912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6、运维过程中若发现各类井盖、防坠设施缺失及损坏应及时进行处理，更换各类井盖、防坠设施的费用由中标供应商承担。</w:t>
      </w:r>
    </w:p>
    <w:p w14:paraId="65939619">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7、公示牌、格栅、围栏、终端绿化、时控装置、设备房、管网接户终端各类井盖等未完善的设施由采购人或</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负责完善，已完善的设施后续维护更新由中标人维护，维护和更换费用包含在投标报价内。</w:t>
      </w:r>
    </w:p>
    <w:p w14:paraId="2D7858D4">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8、未到质保期的治理设施工程非人为损坏的硬件设施（管道、复合井盖、塑料检查井、电气设备和终端处理池等）的材料更换由施工队负责。</w:t>
      </w:r>
    </w:p>
    <w:p w14:paraId="6EE5E811">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9、农村生活污水治理系统工程电气设备所耗的电费不包含在投标报价内。</w:t>
      </w:r>
    </w:p>
    <w:p w14:paraId="62B82FFE">
      <w:pPr>
        <w:spacing w:line="440" w:lineRule="exact"/>
        <w:outlineLvl w:val="1"/>
        <w:rPr>
          <w:rFonts w:ascii="宋体" w:hAnsi="宋体" w:cs="宋体"/>
          <w:b/>
          <w:color w:val="auto"/>
          <w:sz w:val="22"/>
          <w:szCs w:val="22"/>
          <w:highlight w:val="none"/>
        </w:rPr>
      </w:pPr>
      <w:bookmarkStart w:id="402" w:name="_Toc35811962"/>
      <w:r>
        <w:rPr>
          <w:rFonts w:hint="eastAsia" w:ascii="宋体" w:hAnsi="宋体" w:cs="宋体"/>
          <w:b/>
          <w:color w:val="auto"/>
          <w:sz w:val="22"/>
          <w:szCs w:val="22"/>
          <w:highlight w:val="none"/>
        </w:rPr>
        <w:t>四、运维要求</w:t>
      </w:r>
      <w:bookmarkEnd w:id="402"/>
    </w:p>
    <w:p w14:paraId="03B34A6D">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运维管理总体目标要求：按照相关法律法规、规范及</w:t>
      </w:r>
      <w:r>
        <w:rPr>
          <w:rFonts w:hint="eastAsia" w:ascii="宋体" w:hAnsi="宋体" w:cs="宋体"/>
          <w:color w:val="auto"/>
          <w:sz w:val="22"/>
          <w:highlight w:val="none"/>
          <w:lang w:eastAsia="zh-CN"/>
        </w:rPr>
        <w:t>《浙江省住房和城乡建设厅 浙江省财政厅</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lang w:eastAsia="zh-CN"/>
        </w:rPr>
        <w:t>浙江省生态环境厅 浙江省农业农村厅</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lang w:eastAsia="zh-CN"/>
        </w:rPr>
        <w:t>关于印发浙江省农村生活污水治理工作考核办法的通知》（浙建村发〔2022〕88 号）、《浙江省住房和城乡建设厅关于发布《农村生活污水管控治理导则》的公告》（浙江省住房和城乡建设厅公告2021年 第34号）、</w:t>
      </w:r>
      <w:r>
        <w:rPr>
          <w:rFonts w:hint="eastAsia" w:ascii="宋体" w:hAnsi="宋体" w:cs="宋体"/>
          <w:color w:val="auto"/>
          <w:sz w:val="22"/>
          <w:highlight w:val="none"/>
        </w:rPr>
        <w:t>《温州市</w:t>
      </w:r>
      <w:r>
        <w:rPr>
          <w:rFonts w:hint="eastAsia" w:ascii="宋体" w:hAnsi="宋体" w:cs="宋体"/>
          <w:color w:val="auto"/>
          <w:sz w:val="22"/>
          <w:highlight w:val="none"/>
          <w:lang w:val="en-US" w:eastAsia="zh-CN"/>
        </w:rPr>
        <w:t>住房和城乡建设局 温州市综合行政执法局 温州市财政局 温州市生态环境局 温州市农村农业局</w:t>
      </w:r>
      <w:r>
        <w:rPr>
          <w:rFonts w:hint="eastAsia" w:ascii="宋体" w:hAnsi="宋体" w:cs="宋体"/>
          <w:color w:val="auto"/>
          <w:sz w:val="22"/>
          <w:highlight w:val="none"/>
        </w:rPr>
        <w:t xml:space="preserve"> 关于印发温州市农村生活污水</w:t>
      </w:r>
      <w:r>
        <w:rPr>
          <w:rFonts w:hint="eastAsia" w:ascii="宋体" w:hAnsi="宋体" w:cs="宋体"/>
          <w:color w:val="auto"/>
          <w:sz w:val="22"/>
          <w:highlight w:val="none"/>
          <w:lang w:val="en-US" w:eastAsia="zh-CN"/>
        </w:rPr>
        <w:t>治理</w:t>
      </w:r>
      <w:r>
        <w:rPr>
          <w:rFonts w:hint="eastAsia" w:ascii="宋体" w:hAnsi="宋体" w:cs="宋体"/>
          <w:color w:val="auto"/>
          <w:sz w:val="22"/>
          <w:highlight w:val="none"/>
        </w:rPr>
        <w:t>工作考核办法的通知》（温</w:t>
      </w:r>
      <w:r>
        <w:rPr>
          <w:rFonts w:hint="eastAsia" w:ascii="宋体" w:hAnsi="宋体" w:cs="宋体"/>
          <w:color w:val="auto"/>
          <w:sz w:val="22"/>
          <w:highlight w:val="none"/>
          <w:lang w:val="en-US" w:eastAsia="zh-CN"/>
        </w:rPr>
        <w:t>住建</w:t>
      </w:r>
      <w:r>
        <w:rPr>
          <w:rFonts w:hint="eastAsia" w:ascii="宋体" w:hAnsi="宋体" w:cs="宋体"/>
          <w:color w:val="auto"/>
          <w:sz w:val="22"/>
          <w:highlight w:val="none"/>
        </w:rPr>
        <w:t>发〔</w:t>
      </w:r>
      <w:r>
        <w:rPr>
          <w:rFonts w:hint="eastAsia" w:ascii="宋体" w:hAnsi="宋体" w:cs="宋体"/>
          <w:color w:val="auto"/>
          <w:sz w:val="22"/>
          <w:highlight w:val="none"/>
          <w:lang w:val="en-US" w:eastAsia="zh-CN"/>
        </w:rPr>
        <w:t>2022</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90</w:t>
      </w:r>
      <w:r>
        <w:rPr>
          <w:rFonts w:hint="eastAsia" w:ascii="宋体" w:hAnsi="宋体" w:cs="宋体"/>
          <w:color w:val="auto"/>
          <w:sz w:val="22"/>
          <w:highlight w:val="none"/>
        </w:rPr>
        <w:t>号）、浙江省农村生活污水处理设施管理条例》</w:t>
      </w:r>
      <w:r>
        <w:rPr>
          <w:rFonts w:hint="eastAsia" w:ascii="宋体" w:hAnsi="宋体" w:cs="宋体"/>
          <w:color w:val="auto"/>
          <w:sz w:val="22"/>
          <w:highlight w:val="none"/>
          <w:lang w:eastAsia="zh-CN"/>
        </w:rPr>
        <w:t>、</w:t>
      </w:r>
      <w:r>
        <w:rPr>
          <w:rFonts w:hint="eastAsia" w:ascii="宋体" w:hAnsi="宋体" w:cs="宋体"/>
          <w:color w:val="auto"/>
          <w:sz w:val="22"/>
          <w:highlight w:val="none"/>
        </w:rPr>
        <w:t>《浙江省农村生活污水治理“强基增效双提标”行动方案(2021-2025年)》</w:t>
      </w:r>
      <w:r>
        <w:rPr>
          <w:rFonts w:hint="eastAsia" w:ascii="宋体" w:hAnsi="宋体" w:cs="宋体"/>
          <w:color w:val="auto"/>
          <w:sz w:val="22"/>
          <w:highlight w:val="none"/>
          <w:lang w:eastAsia="zh-CN"/>
        </w:rPr>
        <w:t>、</w:t>
      </w:r>
      <w:r>
        <w:rPr>
          <w:rFonts w:hint="eastAsia" w:ascii="宋体" w:hAnsi="宋体" w:cs="宋体"/>
          <w:color w:val="auto"/>
          <w:sz w:val="22"/>
          <w:highlight w:val="none"/>
        </w:rPr>
        <w:t>《浙江省人民政府办公厅关于加强农村生活污水治理设施运行维护管理的意见》</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《农村生活污水集中处理罐应用技术规程》、《农村生活污水管控治理导则》、《省建设厅关于做好农村生活污水治理管理服务应用运行维护和迭代升级工作的通知》（浙建村函〔2023〕490 号）、《温州市鹿城区人民政府办公室关于印发鹿城区农村生活污水治理工作考核办法的通知》（温鹿政办〔2022〕68 号）、《浙江省农村生活污水处理设施全过程管理导则》、《浙江省农村生活污水绿色处理设施评价导则》</w:t>
      </w:r>
      <w:r>
        <w:rPr>
          <w:rFonts w:hint="eastAsia" w:ascii="宋体" w:hAnsi="宋体" w:cs="宋体"/>
          <w:color w:val="auto"/>
          <w:sz w:val="22"/>
          <w:highlight w:val="none"/>
        </w:rPr>
        <w:t>等要求执行（合同期内有新规按照新规执行），开展长效运维管理工作（制定完善内控管理制度，建立专业化运维队伍，设置区域内固定服务站及化验室，配置运维所需车辆、仪器检测设备及工具，做好运维管理台账资料等），确保农污处理管网终端运维管理范围内的污水收集管网通畅无堵塞破损，设施设备完好、安全正常运作、环境清洁美观及出水水质达标合格</w:t>
      </w:r>
      <w:r>
        <w:rPr>
          <w:rFonts w:ascii="宋体" w:hAnsi="宋体" w:cs="宋体"/>
          <w:color w:val="auto"/>
          <w:sz w:val="22"/>
          <w:highlight w:val="none"/>
        </w:rPr>
        <w:t>。</w:t>
      </w:r>
      <w:r>
        <w:rPr>
          <w:rFonts w:hint="eastAsia" w:ascii="宋体" w:hAnsi="宋体" w:cs="宋体"/>
          <w:color w:val="auto"/>
          <w:sz w:val="22"/>
          <w:highlight w:val="none"/>
        </w:rPr>
        <w:t>运维管理工作主要要求详见如下：</w:t>
      </w:r>
    </w:p>
    <w:p w14:paraId="098E0AE5">
      <w:pPr>
        <w:snapToGrid w:val="0"/>
        <w:spacing w:line="460" w:lineRule="atLeast"/>
        <w:ind w:firstLine="440" w:firstLineChars="200"/>
        <w:rPr>
          <w:rFonts w:hint="eastAsia" w:ascii="宋体" w:hAnsi="宋体"/>
          <w:color w:val="auto"/>
          <w:sz w:val="22"/>
          <w:szCs w:val="22"/>
          <w:highlight w:val="none"/>
        </w:rPr>
      </w:pPr>
      <w:r>
        <w:rPr>
          <w:rFonts w:hint="eastAsia" w:ascii="宋体" w:hAnsi="宋体"/>
          <w:bCs/>
          <w:color w:val="auto"/>
          <w:sz w:val="22"/>
          <w:szCs w:val="22"/>
          <w:highlight w:val="none"/>
        </w:rPr>
        <w:t>本项目运维期间，上级行业主管部门颁布的新标准、新要求，运维公司需要无条件接受，由此增加的费用包含在本次投标总价内，采购人不再予以调整。</w:t>
      </w:r>
    </w:p>
    <w:p w14:paraId="48D2609F">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（一）终端站点运行维护</w:t>
      </w:r>
    </w:p>
    <w:p w14:paraId="7EA3E69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1、出水处理效果主要污染物指标达到</w:t>
      </w:r>
      <w:r>
        <w:rPr>
          <w:rFonts w:hint="eastAsia" w:ascii="宋体" w:hAnsi="宋体"/>
          <w:color w:val="auto"/>
          <w:sz w:val="22"/>
          <w:szCs w:val="22"/>
          <w:highlight w:val="none"/>
          <w:lang w:eastAsia="zh-CN"/>
        </w:rPr>
        <w:t>《农村生活污水集中处理设施水污染物排放标准》（浙江省地方标准DB 33/973－2021）</w:t>
      </w:r>
      <w:r>
        <w:rPr>
          <w:rFonts w:hint="eastAsia" w:ascii="宋体" w:hAnsi="宋体"/>
          <w:color w:val="auto"/>
          <w:sz w:val="22"/>
          <w:szCs w:val="22"/>
          <w:highlight w:val="none"/>
        </w:rPr>
        <w:t>和终端设计标准。</w:t>
      </w:r>
    </w:p>
    <w:p w14:paraId="51DA79B9">
      <w:pPr>
        <w:spacing w:line="46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2、定期对进出水水质进行取样化验，各项水质指标数据详实，符合考核要求，并附带终端运行评价</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出具水质报告并上传平台。</w:t>
      </w:r>
    </w:p>
    <w:p w14:paraId="67DC9CBC">
      <w:pPr>
        <w:spacing w:line="46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3、每月对处理设施进行巡查，确保处理设施完整；</w:t>
      </w:r>
      <w:r>
        <w:rPr>
          <w:rFonts w:hint="eastAsia" w:ascii="宋体" w:hAnsi="宋体"/>
          <w:bCs/>
          <w:color w:val="auto"/>
          <w:sz w:val="22"/>
          <w:szCs w:val="22"/>
          <w:highlight w:val="none"/>
        </w:rPr>
        <w:t>在确保终端运行正常情况下</w:t>
      </w:r>
      <w:r>
        <w:rPr>
          <w:rFonts w:hint="eastAsia" w:ascii="宋体" w:hAnsi="宋体"/>
          <w:color w:val="auto"/>
          <w:sz w:val="22"/>
          <w:szCs w:val="22"/>
          <w:highlight w:val="none"/>
        </w:rPr>
        <w:t>，终端巡检次数必须满足考核要求和终端工艺实际需要，各站点每月巡检不少于4次，每周巡检至少一次，并做好巡检台帐记录。若有新的文件规定按最新文件规定执行。根据各终端实际情况制定专项运维方案，发现故障及时维修，确保处理设施运行正常。确保处理设施护栏无损坏、警示标志明显，各类门窗锁止到位，各类盖板盖封严实，各类池体无不均匀沉降。定期修剪处理设施配套绿化、清除杂草、杀虫消毒，保持内外环境整洁。定期检查终端植株和湿地植物是否生长良好，有无杂草、缺苗死苗、病虫害等情况，及时清理杂草、</w:t>
      </w:r>
      <w:r>
        <w:rPr>
          <w:rFonts w:ascii="宋体" w:hAnsi="宋体"/>
          <w:color w:val="auto"/>
          <w:sz w:val="22"/>
          <w:szCs w:val="22"/>
          <w:highlight w:val="none"/>
        </w:rPr>
        <w:t>清除枯枝落叶，补种缺苗、死苗，控制病虫害。</w:t>
      </w:r>
    </w:p>
    <w:p w14:paraId="6487C693">
      <w:pPr>
        <w:spacing w:line="460" w:lineRule="exact"/>
        <w:ind w:firstLine="424" w:firstLineChars="193"/>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4、主要设备定期保养规范到位，确保回流泵、提升泵、潜水泵、风机等运行正常，按照设备使用说明的要求进行日常维护，并记录水泵、风机的运行情况；光伏板保持清洁，每年应检测电机线圈的绝缘电阻。</w:t>
      </w:r>
    </w:p>
    <w:p w14:paraId="65DB7E36">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5、配电设备定期保养，配电设施到位，运转正常，无缺损、漏电、跳闸、读数异常等现象；在线传输设施传输正常，定期清理摄像头，确保监控设备正常运转传输。</w:t>
      </w:r>
    </w:p>
    <w:p w14:paraId="6896DC14">
      <w:pPr>
        <w:autoSpaceDE w:val="0"/>
        <w:autoSpaceDN w:val="0"/>
        <w:adjustRightInd w:val="0"/>
        <w:snapToGrid w:val="0"/>
        <w:spacing w:line="460" w:lineRule="exact"/>
        <w:ind w:firstLine="440" w:firstLineChars="200"/>
        <w:textAlignment w:val="bottom"/>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6、需编制各污水处理站的档案资料文件（内容包含：污水处理站的名称，所属区域，地址，联系人，联系电话，设计水量，工艺，排放标准，主要设备的型号，参数，运行状况及控制节点数值等；巡检及报修状况，水质监测及数字记录情况（含实际处理水量、进出水三项水质指标（COD、NH3-N、TP）等，日报、月报</w:t>
      </w:r>
      <w:r>
        <w:rPr>
          <w:rFonts w:hint="eastAsia" w:ascii="宋体" w:hAnsi="宋体"/>
          <w:color w:val="auto"/>
          <w:sz w:val="22"/>
          <w:szCs w:val="22"/>
          <w:highlight w:val="none"/>
          <w:lang w:eastAsia="zh-CN"/>
        </w:rPr>
        <w:t>、</w:t>
      </w:r>
      <w:r>
        <w:rPr>
          <w:rFonts w:hint="eastAsia" w:ascii="宋体" w:hAnsi="宋体"/>
          <w:color w:val="auto"/>
          <w:sz w:val="22"/>
          <w:szCs w:val="22"/>
          <w:highlight w:val="none"/>
        </w:rPr>
        <w:t>年报台账</w:t>
      </w:r>
      <w:r>
        <w:rPr>
          <w:rFonts w:hint="eastAsia" w:ascii="宋体" w:hAnsi="宋体"/>
          <w:color w:val="auto"/>
          <w:sz w:val="22"/>
          <w:szCs w:val="22"/>
          <w:highlight w:val="none"/>
          <w:lang w:val="en-US" w:eastAsia="zh-CN"/>
        </w:rPr>
        <w:t>和每季度体检报告</w:t>
      </w:r>
      <w:r>
        <w:rPr>
          <w:rFonts w:hint="eastAsia" w:ascii="宋体" w:hAnsi="宋体"/>
          <w:color w:val="auto"/>
          <w:sz w:val="22"/>
          <w:szCs w:val="22"/>
          <w:highlight w:val="none"/>
        </w:rPr>
        <w:t>，并及时报送相关监管部门。</w:t>
      </w:r>
    </w:p>
    <w:p w14:paraId="40807A34">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7、为了保证设备、设施长期稳定运行，运营单位应每年根据行业有关标准或设施维护要求准备一份设施运营与维护手册，包括进行定期和年度检验、日常维护、大修维护和年度维护的内容、标准、程序和计划。</w:t>
      </w:r>
    </w:p>
    <w:p w14:paraId="7236480B">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8、运营方应加强对事故风险影响（包括终端防涝措施等）的预防对策和管理措施，并建立相应的应急预案制度，防止事故的发生。</w:t>
      </w:r>
    </w:p>
    <w:p w14:paraId="764C0EB1">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9、建立污水站点运维常用设备和配件库，保障维修的及时开展。</w:t>
      </w:r>
    </w:p>
    <w:p w14:paraId="33D2F779">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rPr>
        <w:t>10、上级行业主管部门颁布的新标准、新要求，运维公司需要无条件接受。</w:t>
      </w:r>
    </w:p>
    <w:p w14:paraId="35D86210">
      <w:pPr>
        <w:spacing w:line="460" w:lineRule="exact"/>
        <w:ind w:firstLine="424" w:firstLineChars="193"/>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11、终端设备需保证一端一检测，并符合相应文件标准。</w:t>
      </w:r>
    </w:p>
    <w:p w14:paraId="5AA76463">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rPr>
        <w:t>（二）污水管网运维要求</w:t>
      </w:r>
    </w:p>
    <w:p w14:paraId="75D9AEF6">
      <w:pPr>
        <w:spacing w:line="460" w:lineRule="exact"/>
        <w:ind w:firstLine="424" w:firstLineChars="193"/>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rPr>
        <w:t>1、</w:t>
      </w:r>
      <w:r>
        <w:rPr>
          <w:rFonts w:hint="eastAsia" w:ascii="宋体" w:hAnsi="宋体"/>
          <w:bCs/>
          <w:color w:val="auto"/>
          <w:sz w:val="22"/>
          <w:szCs w:val="22"/>
          <w:highlight w:val="none"/>
          <w:lang w:val="en-US" w:eastAsia="zh-CN"/>
        </w:rPr>
        <w:t>每月制定管网巡查计划及巡查线路示意图，并在相应村民公示栏进行公示。</w:t>
      </w:r>
    </w:p>
    <w:p w14:paraId="23B944D7">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2、</w:t>
      </w:r>
      <w:r>
        <w:rPr>
          <w:rFonts w:hint="eastAsia" w:ascii="宋体" w:hAnsi="宋体"/>
          <w:bCs/>
          <w:color w:val="auto"/>
          <w:sz w:val="22"/>
          <w:szCs w:val="22"/>
          <w:highlight w:val="none"/>
        </w:rPr>
        <w:t>管道、检查井</w:t>
      </w:r>
      <w:r>
        <w:rPr>
          <w:rFonts w:ascii="宋体" w:hAnsi="宋体"/>
          <w:bCs/>
          <w:color w:val="auto"/>
          <w:sz w:val="22"/>
          <w:szCs w:val="22"/>
          <w:highlight w:val="none"/>
        </w:rPr>
        <w:t>(</w:t>
      </w:r>
      <w:r>
        <w:rPr>
          <w:rFonts w:hint="eastAsia" w:ascii="宋体" w:hAnsi="宋体"/>
          <w:bCs/>
          <w:color w:val="auto"/>
          <w:sz w:val="22"/>
          <w:szCs w:val="22"/>
          <w:highlight w:val="none"/>
        </w:rPr>
        <w:t>窨井</w:t>
      </w:r>
      <w:r>
        <w:rPr>
          <w:rFonts w:ascii="宋体" w:hAnsi="宋体"/>
          <w:bCs/>
          <w:color w:val="auto"/>
          <w:sz w:val="22"/>
          <w:szCs w:val="22"/>
          <w:highlight w:val="none"/>
        </w:rPr>
        <w:t>)</w:t>
      </w:r>
      <w:r>
        <w:rPr>
          <w:rFonts w:hint="eastAsia" w:ascii="宋体" w:hAnsi="宋体"/>
          <w:bCs/>
          <w:color w:val="auto"/>
          <w:sz w:val="22"/>
          <w:szCs w:val="22"/>
          <w:highlight w:val="none"/>
        </w:rPr>
        <w:t>、格栅井、化粪池每月至少巡查一次，确保设施完整，管道排水顺畅，管内积泥深度不超过管径的</w:t>
      </w:r>
      <w:r>
        <w:rPr>
          <w:rFonts w:ascii="宋体" w:hAnsi="宋体"/>
          <w:bCs/>
          <w:color w:val="auto"/>
          <w:sz w:val="22"/>
          <w:szCs w:val="22"/>
          <w:highlight w:val="none"/>
        </w:rPr>
        <w:t>1/5,</w:t>
      </w:r>
      <w:r>
        <w:rPr>
          <w:rFonts w:hint="eastAsia" w:ascii="宋体" w:hAnsi="宋体"/>
          <w:bCs/>
          <w:color w:val="auto"/>
          <w:sz w:val="22"/>
          <w:szCs w:val="22"/>
          <w:highlight w:val="none"/>
        </w:rPr>
        <w:t>如管道堵塞应及时处理。除台风、泥石流等不可抗力事件引发的管道堵塞外，</w:t>
      </w:r>
      <w:r>
        <w:rPr>
          <w:rFonts w:hint="eastAsia" w:ascii="宋体" w:hAnsi="宋体"/>
          <w:b/>
          <w:color w:val="auto"/>
          <w:sz w:val="22"/>
          <w:szCs w:val="22"/>
          <w:highlight w:val="none"/>
        </w:rPr>
        <w:t>不论何种原因引起的管道堵塞进行疏通所需费用包含在本次投标报价内，</w:t>
      </w:r>
      <w:r>
        <w:rPr>
          <w:rFonts w:hint="eastAsia" w:ascii="宋体" w:hAnsi="宋体"/>
          <w:bCs/>
          <w:color w:val="auto"/>
          <w:sz w:val="22"/>
          <w:szCs w:val="22"/>
          <w:highlight w:val="none"/>
        </w:rPr>
        <w:t>采购人不再予以调整。</w:t>
      </w:r>
    </w:p>
    <w:p w14:paraId="48F8AA5B">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3</w:t>
      </w:r>
      <w:r>
        <w:rPr>
          <w:rFonts w:hint="eastAsia" w:ascii="宋体" w:hAnsi="宋体"/>
          <w:bCs/>
          <w:color w:val="auto"/>
          <w:sz w:val="22"/>
          <w:szCs w:val="22"/>
          <w:highlight w:val="none"/>
        </w:rPr>
        <w:t>、若发现管道及附属设施严重渗漏、爆管、严重沉降、脱节等情况应及时上报维修。</w:t>
      </w:r>
    </w:p>
    <w:p w14:paraId="7473B0DE">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4</w:t>
      </w:r>
      <w:r>
        <w:rPr>
          <w:rFonts w:hint="eastAsia" w:ascii="宋体" w:hAnsi="宋体"/>
          <w:bCs/>
          <w:color w:val="auto"/>
          <w:sz w:val="22"/>
          <w:szCs w:val="22"/>
          <w:highlight w:val="none"/>
        </w:rPr>
        <w:t>、若发现各类井盖、防坠设施缺失及损坏应及时进行处理；若因各类井盖、防坠设施缺失造成人员坠井、交通意外等事件的，所有责任由中标供应商承担。巡查后，维修更换井盖的费用由中标供应商承担。</w:t>
      </w:r>
    </w:p>
    <w:p w14:paraId="6AEA51E8">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5</w:t>
      </w:r>
      <w:r>
        <w:rPr>
          <w:rFonts w:hint="eastAsia" w:ascii="宋体" w:hAnsi="宋体"/>
          <w:bCs/>
          <w:color w:val="auto"/>
          <w:sz w:val="22"/>
          <w:szCs w:val="22"/>
          <w:highlight w:val="none"/>
        </w:rPr>
        <w:t>、每月对格栅井进行清理，定期对检查井</w:t>
      </w:r>
      <w:r>
        <w:rPr>
          <w:rFonts w:ascii="宋体" w:hAnsi="宋体"/>
          <w:bCs/>
          <w:color w:val="auto"/>
          <w:sz w:val="22"/>
          <w:szCs w:val="22"/>
          <w:highlight w:val="none"/>
        </w:rPr>
        <w:t>(</w:t>
      </w:r>
      <w:r>
        <w:rPr>
          <w:rFonts w:hint="eastAsia" w:ascii="宋体" w:hAnsi="宋体"/>
          <w:bCs/>
          <w:color w:val="auto"/>
          <w:sz w:val="22"/>
          <w:szCs w:val="22"/>
          <w:highlight w:val="none"/>
        </w:rPr>
        <w:t>窨井</w:t>
      </w:r>
      <w:r>
        <w:rPr>
          <w:rFonts w:ascii="宋体" w:hAnsi="宋体"/>
          <w:bCs/>
          <w:color w:val="auto"/>
          <w:sz w:val="22"/>
          <w:szCs w:val="22"/>
          <w:highlight w:val="none"/>
        </w:rPr>
        <w:t>)</w:t>
      </w:r>
      <w:r>
        <w:rPr>
          <w:rFonts w:hint="eastAsia" w:ascii="宋体" w:hAnsi="宋体"/>
          <w:bCs/>
          <w:color w:val="auto"/>
          <w:sz w:val="22"/>
          <w:szCs w:val="22"/>
          <w:highlight w:val="none"/>
        </w:rPr>
        <w:t>、化粪池进行清理，并对清理污物按规定进行处理。</w:t>
      </w:r>
    </w:p>
    <w:p w14:paraId="14BC9F6A">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6</w:t>
      </w:r>
      <w:r>
        <w:rPr>
          <w:rFonts w:hint="eastAsia" w:ascii="宋体" w:hAnsi="宋体"/>
          <w:bCs/>
          <w:color w:val="auto"/>
          <w:sz w:val="22"/>
          <w:szCs w:val="22"/>
          <w:highlight w:val="none"/>
        </w:rPr>
        <w:t>、如发现农户或企业等私接污水管道进行排污、农户或外来因素破坏污水管道、企业或经营户对生活污水污水管道排入其他污水等现象应及时上报。</w:t>
      </w:r>
    </w:p>
    <w:p w14:paraId="744DB34D">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7</w:t>
      </w:r>
      <w:r>
        <w:rPr>
          <w:rFonts w:hint="eastAsia" w:ascii="宋体" w:hAnsi="宋体"/>
          <w:bCs/>
          <w:color w:val="auto"/>
          <w:sz w:val="22"/>
          <w:szCs w:val="22"/>
          <w:highlight w:val="none"/>
        </w:rPr>
        <w:t>、每半月对泵站进行巡查，确保泵站完整；发现故障及时维修，确保泵站运行正常，泵站护栏无损坏、警示标志明显、各类门窗锁止到位、各类盖板盖封严实、各类池体无不均匀沉降；定期修剪泵站配套绿化、清除杂草，确保整体外观整洁。</w:t>
      </w:r>
    </w:p>
    <w:p w14:paraId="3E77CBF8">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8</w:t>
      </w:r>
      <w:r>
        <w:rPr>
          <w:rFonts w:hint="eastAsia" w:ascii="宋体" w:hAnsi="宋体"/>
          <w:bCs/>
          <w:color w:val="auto"/>
          <w:sz w:val="22"/>
          <w:szCs w:val="22"/>
          <w:highlight w:val="none"/>
        </w:rPr>
        <w:t>、加强作业现场安全管理。现场安全保障措施到位，并安排安全管理人员。如有特种作业，中标供应商须办理审批手续；特种作业人员须持有相应资质证书。</w:t>
      </w:r>
    </w:p>
    <w:p w14:paraId="208094B9">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9</w:t>
      </w:r>
      <w:r>
        <w:rPr>
          <w:rFonts w:hint="eastAsia" w:ascii="宋体" w:hAnsi="宋体"/>
          <w:bCs/>
          <w:color w:val="auto"/>
          <w:sz w:val="22"/>
          <w:szCs w:val="22"/>
          <w:highlight w:val="none"/>
        </w:rPr>
        <w:t>、每半个月进行一次安全教育，月底开展一次安全例会，每年开展不少于一次安全演练。</w:t>
      </w:r>
    </w:p>
    <w:p w14:paraId="38706BE5">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10</w:t>
      </w:r>
      <w:r>
        <w:rPr>
          <w:rFonts w:hint="eastAsia" w:ascii="宋体" w:hAnsi="宋体"/>
          <w:bCs/>
          <w:color w:val="auto"/>
          <w:sz w:val="22"/>
          <w:szCs w:val="22"/>
          <w:highlight w:val="none"/>
        </w:rPr>
        <w:t>、及时建立各类制度、规程、台帐、工作计划、工作总结，并按时完成，及时报送的各类报表。</w:t>
      </w:r>
    </w:p>
    <w:p w14:paraId="5F6E743B">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rPr>
        <w:t>1</w:t>
      </w:r>
      <w:r>
        <w:rPr>
          <w:rFonts w:hint="eastAsia" w:ascii="宋体" w:hAnsi="宋体"/>
          <w:bCs/>
          <w:color w:val="auto"/>
          <w:sz w:val="22"/>
          <w:szCs w:val="22"/>
          <w:highlight w:val="none"/>
          <w:lang w:val="en-US" w:eastAsia="zh-CN"/>
        </w:rPr>
        <w:t>1</w:t>
      </w:r>
      <w:r>
        <w:rPr>
          <w:rFonts w:hint="eastAsia" w:ascii="宋体" w:hAnsi="宋体"/>
          <w:bCs/>
          <w:color w:val="auto"/>
          <w:sz w:val="22"/>
          <w:szCs w:val="22"/>
          <w:highlight w:val="none"/>
        </w:rPr>
        <w:t>、上级行业主管部门颁布的新标准、新要求，运维公司需要无条件接受。</w:t>
      </w:r>
    </w:p>
    <w:p w14:paraId="351BBAF3">
      <w:pPr>
        <w:spacing w:line="460" w:lineRule="exact"/>
        <w:ind w:firstLine="200"/>
        <w:rPr>
          <w:rFonts w:ascii="宋体" w:hAnsi="宋体"/>
          <w:bCs/>
          <w:color w:val="auto"/>
          <w:sz w:val="22"/>
          <w:szCs w:val="22"/>
          <w:highlight w:val="none"/>
        </w:rPr>
      </w:pPr>
      <w:r>
        <w:rPr>
          <w:rFonts w:hint="eastAsia" w:ascii="宋体" w:hAnsi="宋体"/>
          <w:bCs/>
          <w:color w:val="auto"/>
          <w:sz w:val="22"/>
          <w:szCs w:val="22"/>
          <w:highlight w:val="none"/>
        </w:rPr>
        <w:t xml:space="preserve">   （三）办公场所及人员、设备要求</w:t>
      </w:r>
    </w:p>
    <w:p w14:paraId="701405D5">
      <w:pPr>
        <w:spacing w:line="460" w:lineRule="exact"/>
        <w:ind w:firstLine="424" w:firstLineChars="193"/>
        <w:rPr>
          <w:rFonts w:hint="eastAsia" w:ascii="宋体" w:hAnsi="宋体"/>
          <w:bCs/>
          <w:color w:val="auto"/>
          <w:sz w:val="22"/>
          <w:szCs w:val="22"/>
          <w:highlight w:val="none"/>
        </w:rPr>
      </w:pPr>
      <w:r>
        <w:rPr>
          <w:rFonts w:hint="eastAsia" w:ascii="宋体" w:hAnsi="宋体"/>
          <w:b/>
          <w:bCs/>
          <w:color w:val="auto"/>
          <w:sz w:val="22"/>
          <w:szCs w:val="22"/>
          <w:highlight w:val="yellow"/>
        </w:rPr>
        <w:t>1、中标供应商须在合同签订后30天内在鹿城区</w:t>
      </w:r>
      <w:r>
        <w:rPr>
          <w:rFonts w:hint="eastAsia" w:ascii="宋体" w:hAnsi="宋体"/>
          <w:b/>
          <w:bCs/>
          <w:color w:val="auto"/>
          <w:sz w:val="22"/>
          <w:szCs w:val="22"/>
          <w:highlight w:val="yellow"/>
          <w:lang w:eastAsia="zh-CN"/>
        </w:rPr>
        <w:t>山福镇</w:t>
      </w:r>
      <w:r>
        <w:rPr>
          <w:rFonts w:hint="eastAsia" w:ascii="宋体" w:hAnsi="宋体"/>
          <w:b/>
          <w:bCs/>
          <w:color w:val="auto"/>
          <w:sz w:val="22"/>
          <w:szCs w:val="22"/>
          <w:highlight w:val="yellow"/>
        </w:rPr>
        <w:t>设立1个本地化运维中心须有固定的办公场所</w:t>
      </w:r>
      <w:r>
        <w:rPr>
          <w:rFonts w:hint="eastAsia" w:ascii="宋体" w:hAnsi="宋体"/>
          <w:b/>
          <w:bCs/>
          <w:color w:val="auto"/>
          <w:sz w:val="22"/>
          <w:szCs w:val="22"/>
          <w:highlight w:val="yellow"/>
          <w:lang w:val="en-US" w:eastAsia="zh-CN"/>
        </w:rPr>
        <w:t>40平米及以上</w:t>
      </w:r>
      <w:r>
        <w:rPr>
          <w:rFonts w:hint="eastAsia" w:ascii="宋体" w:hAnsi="宋体"/>
          <w:b/>
          <w:bCs/>
          <w:color w:val="auto"/>
          <w:sz w:val="22"/>
          <w:szCs w:val="22"/>
          <w:highlight w:val="yellow"/>
        </w:rPr>
        <w:t>；人员配备情况：总项目负责人1人，</w:t>
      </w:r>
      <w:r>
        <w:rPr>
          <w:rFonts w:hint="eastAsia" w:ascii="宋体" w:hAnsi="宋体"/>
          <w:b/>
          <w:bCs/>
          <w:color w:val="auto"/>
          <w:sz w:val="22"/>
          <w:szCs w:val="22"/>
          <w:highlight w:val="yellow"/>
          <w:lang w:val="en-US" w:eastAsia="zh-CN"/>
        </w:rPr>
        <w:t>运维技术</w:t>
      </w:r>
      <w:r>
        <w:rPr>
          <w:rFonts w:hint="eastAsia" w:ascii="宋体" w:hAnsi="宋体"/>
          <w:b/>
          <w:bCs/>
          <w:color w:val="auto"/>
          <w:sz w:val="22"/>
          <w:szCs w:val="22"/>
          <w:highlight w:val="yellow"/>
        </w:rPr>
        <w:t>负责人1个，</w:t>
      </w:r>
      <w:r>
        <w:rPr>
          <w:rFonts w:hint="eastAsia" w:ascii="宋体" w:hAnsi="宋体"/>
          <w:b/>
          <w:bCs/>
          <w:color w:val="auto"/>
          <w:sz w:val="22"/>
          <w:szCs w:val="22"/>
          <w:highlight w:val="yellow"/>
          <w:lang w:val="en-US" w:eastAsia="zh-CN"/>
        </w:rPr>
        <w:t>专业技术管理人员1人，</w:t>
      </w:r>
      <w:r>
        <w:rPr>
          <w:rFonts w:hint="eastAsia" w:ascii="宋体" w:hAnsi="宋体"/>
          <w:b/>
          <w:bCs/>
          <w:color w:val="auto"/>
          <w:sz w:val="22"/>
          <w:szCs w:val="22"/>
          <w:highlight w:val="yellow"/>
        </w:rPr>
        <w:t>其他人员至少</w:t>
      </w:r>
      <w:r>
        <w:rPr>
          <w:rFonts w:hint="eastAsia" w:ascii="宋体" w:hAnsi="宋体"/>
          <w:b/>
          <w:bCs/>
          <w:color w:val="auto"/>
          <w:sz w:val="22"/>
          <w:szCs w:val="22"/>
          <w:highlight w:val="yellow"/>
          <w:lang w:val="en-US" w:eastAsia="zh-CN"/>
        </w:rPr>
        <w:t>1</w:t>
      </w:r>
      <w:r>
        <w:rPr>
          <w:rFonts w:hint="eastAsia" w:ascii="宋体" w:hAnsi="宋体"/>
          <w:b/>
          <w:bCs/>
          <w:color w:val="auto"/>
          <w:sz w:val="22"/>
          <w:szCs w:val="22"/>
          <w:highlight w:val="yellow"/>
        </w:rPr>
        <w:t>人</w:t>
      </w:r>
      <w:r>
        <w:rPr>
          <w:rFonts w:hint="eastAsia" w:ascii="宋体" w:hAnsi="宋体"/>
          <w:b/>
          <w:bCs/>
          <w:color w:val="auto"/>
          <w:sz w:val="22"/>
          <w:szCs w:val="22"/>
          <w:highlight w:val="yellow"/>
          <w:lang w:eastAsia="zh-CN"/>
        </w:rPr>
        <w:t>，</w:t>
      </w:r>
      <w:r>
        <w:rPr>
          <w:rFonts w:hint="eastAsia" w:ascii="宋体" w:hAnsi="宋体"/>
          <w:b/>
          <w:bCs/>
          <w:color w:val="auto"/>
          <w:sz w:val="22"/>
          <w:szCs w:val="22"/>
          <w:highlight w:val="yellow"/>
          <w:lang w:val="en-US" w:eastAsia="zh-CN"/>
        </w:rPr>
        <w:t>各职位不可兼任；</w:t>
      </w:r>
      <w:r>
        <w:rPr>
          <w:rFonts w:hint="eastAsia" w:ascii="宋体" w:hAnsi="宋体"/>
          <w:bCs/>
          <w:color w:val="auto"/>
          <w:sz w:val="22"/>
          <w:szCs w:val="22"/>
          <w:highlight w:val="yellow"/>
        </w:rPr>
        <w:t>保</w:t>
      </w:r>
      <w:r>
        <w:rPr>
          <w:rFonts w:hint="eastAsia" w:ascii="宋体" w:hAnsi="宋体"/>
          <w:bCs/>
          <w:color w:val="auto"/>
          <w:sz w:val="22"/>
          <w:szCs w:val="22"/>
          <w:highlight w:val="none"/>
        </w:rPr>
        <w:t>证“半小时服务圈”的工作要求。按照相关规范配备专业检测设备</w:t>
      </w:r>
      <w:r>
        <w:rPr>
          <w:rFonts w:hint="eastAsia" w:ascii="宋体" w:hAnsi="宋体"/>
          <w:bCs/>
          <w:color w:val="auto"/>
          <w:sz w:val="22"/>
          <w:szCs w:val="22"/>
          <w:highlight w:val="none"/>
          <w:lang w:val="en-US" w:eastAsia="zh-CN"/>
        </w:rPr>
        <w:t>或委托第三方</w:t>
      </w:r>
      <w:r>
        <w:rPr>
          <w:rFonts w:hint="eastAsia" w:ascii="宋体" w:hAnsi="宋体"/>
          <w:bCs/>
          <w:color w:val="auto"/>
          <w:sz w:val="22"/>
          <w:szCs w:val="22"/>
          <w:highlight w:val="none"/>
        </w:rPr>
        <w:t>，能满足八项水质指标（PH、SS、COD、NH3-N、TP、TN、动植物油和粪大肠菌）检测需求。</w:t>
      </w:r>
    </w:p>
    <w:p w14:paraId="0F1D36D1">
      <w:pPr>
        <w:spacing w:line="460" w:lineRule="exact"/>
        <w:ind w:firstLine="424" w:firstLineChars="193"/>
        <w:rPr>
          <w:rFonts w:ascii="宋体" w:hAnsi="宋体"/>
          <w:b/>
          <w:bCs w:val="0"/>
          <w:color w:val="auto"/>
          <w:sz w:val="22"/>
          <w:szCs w:val="22"/>
          <w:highlight w:val="yellow"/>
        </w:rPr>
      </w:pPr>
      <w:r>
        <w:rPr>
          <w:rFonts w:hint="eastAsia" w:ascii="宋体" w:hAnsi="宋体"/>
          <w:b/>
          <w:bCs w:val="0"/>
          <w:color w:val="auto"/>
          <w:sz w:val="22"/>
          <w:szCs w:val="22"/>
          <w:highlight w:val="yellow"/>
        </w:rPr>
        <w:t>2、各类设备、车辆配置齐全，</w:t>
      </w:r>
      <w:r>
        <w:rPr>
          <w:rFonts w:hint="eastAsia" w:ascii="宋体" w:hAnsi="宋体"/>
          <w:b/>
          <w:bCs w:val="0"/>
          <w:color w:val="auto"/>
          <w:sz w:val="22"/>
          <w:szCs w:val="22"/>
          <w:highlight w:val="yellow"/>
          <w:lang w:val="en-US" w:eastAsia="zh-CN"/>
        </w:rPr>
        <w:t>至少配置汽车2辆，吸污车1辆，运维车1辆，</w:t>
      </w:r>
      <w:r>
        <w:rPr>
          <w:rFonts w:hint="eastAsia" w:ascii="宋体" w:hAnsi="宋体"/>
          <w:b/>
          <w:bCs w:val="0"/>
          <w:color w:val="auto"/>
          <w:sz w:val="22"/>
          <w:szCs w:val="22"/>
          <w:highlight w:val="yellow"/>
        </w:rPr>
        <w:t>外观整洁、停放有序</w:t>
      </w:r>
      <w:r>
        <w:rPr>
          <w:rFonts w:hint="eastAsia" w:ascii="宋体" w:hAnsi="宋体"/>
          <w:b/>
          <w:bCs w:val="0"/>
          <w:color w:val="auto"/>
          <w:sz w:val="22"/>
          <w:szCs w:val="22"/>
          <w:highlight w:val="yellow"/>
          <w:lang w:eastAsia="zh-CN"/>
        </w:rPr>
        <w:t>（</w:t>
      </w:r>
      <w:r>
        <w:rPr>
          <w:rFonts w:hint="eastAsia" w:ascii="宋体" w:hAnsi="宋体"/>
          <w:b/>
          <w:bCs w:val="0"/>
          <w:color w:val="auto"/>
          <w:sz w:val="22"/>
          <w:szCs w:val="22"/>
          <w:highlight w:val="yellow"/>
          <w:lang w:val="en-US" w:eastAsia="zh-CN"/>
        </w:rPr>
        <w:t>汽车需确保1辆自有车辆，其余车辆自有或租赁均可</w:t>
      </w:r>
      <w:r>
        <w:rPr>
          <w:rFonts w:hint="eastAsia" w:ascii="宋体" w:hAnsi="宋体"/>
          <w:b/>
          <w:bCs w:val="0"/>
          <w:color w:val="auto"/>
          <w:sz w:val="22"/>
          <w:szCs w:val="22"/>
          <w:highlight w:val="yellow"/>
          <w:lang w:eastAsia="zh-CN"/>
        </w:rPr>
        <w:t>）</w:t>
      </w:r>
      <w:r>
        <w:rPr>
          <w:rFonts w:hint="eastAsia" w:ascii="宋体" w:hAnsi="宋体"/>
          <w:b/>
          <w:bCs w:val="0"/>
          <w:color w:val="auto"/>
          <w:sz w:val="22"/>
          <w:szCs w:val="22"/>
          <w:highlight w:val="yellow"/>
        </w:rPr>
        <w:t>。</w:t>
      </w:r>
    </w:p>
    <w:p w14:paraId="4FB58930">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3、人员业务素质良好，熟悉管辖范围内的管网、设施基本情况，机电维修、管道养护人员技能扎实。</w:t>
      </w:r>
    </w:p>
    <w:p w14:paraId="700DD202">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4、人员着装统一、车辆标识喷涂统一。</w:t>
      </w:r>
    </w:p>
    <w:p w14:paraId="0D9D502C">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5、车辆行驶遵守交通法规，作业时不乱停乱放，无超速等现象发生。</w:t>
      </w:r>
    </w:p>
    <w:p w14:paraId="5641300A">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6、工作中文明用语、礼貌待人，最大限度方便行人、车辆，与周边居民关系合谐。</w:t>
      </w:r>
    </w:p>
    <w:p w14:paraId="4FF89AC4">
      <w:pPr>
        <w:snapToGrid w:val="0"/>
        <w:spacing w:line="460" w:lineRule="atLeast"/>
        <w:ind w:firstLine="440" w:firstLineChars="200"/>
        <w:rPr>
          <w:rFonts w:ascii="宋体" w:hAnsi="宋体" w:cs="宋体"/>
          <w:b/>
          <w:bCs/>
          <w:color w:val="auto"/>
          <w:sz w:val="22"/>
          <w:szCs w:val="22"/>
          <w:highlight w:val="none"/>
        </w:rPr>
      </w:pPr>
      <w:r>
        <w:rPr>
          <w:rFonts w:hint="eastAsia" w:ascii="宋体" w:hAnsi="宋体"/>
          <w:bCs/>
          <w:color w:val="auto"/>
          <w:sz w:val="22"/>
          <w:szCs w:val="22"/>
          <w:highlight w:val="none"/>
        </w:rPr>
        <w:t>7、按应急联动要求完成各类应急事件处置，服务热线、主要人员电话</w:t>
      </w:r>
      <w:r>
        <w:rPr>
          <w:rFonts w:ascii="宋体" w:hAnsi="宋体"/>
          <w:bCs/>
          <w:color w:val="auto"/>
          <w:sz w:val="22"/>
          <w:szCs w:val="22"/>
          <w:highlight w:val="none"/>
        </w:rPr>
        <w:t>24</w:t>
      </w:r>
      <w:r>
        <w:rPr>
          <w:rFonts w:hint="eastAsia" w:ascii="宋体" w:hAnsi="宋体"/>
          <w:bCs/>
          <w:color w:val="auto"/>
          <w:sz w:val="22"/>
          <w:szCs w:val="22"/>
          <w:highlight w:val="none"/>
        </w:rPr>
        <w:t>小时开机，并保持随时接通或立即回电状态，同时达到“半小时服务圈”的工作要求。</w:t>
      </w:r>
    </w:p>
    <w:p w14:paraId="1F64DAA9">
      <w:pPr>
        <w:pStyle w:val="31"/>
        <w:spacing w:line="440" w:lineRule="exact"/>
        <w:ind w:firstLine="440" w:firstLineChars="200"/>
        <w:rPr>
          <w:rFonts w:hint="eastAsia" w:ascii="宋体" w:hAnsi="宋体" w:cs="宋体"/>
          <w:b/>
          <w:color w:val="auto"/>
          <w:kern w:val="0"/>
          <w:sz w:val="22"/>
          <w:highlight w:val="none"/>
        </w:rPr>
      </w:pPr>
      <w:r>
        <w:rPr>
          <w:rFonts w:hint="eastAsia" w:ascii="宋体" w:hAnsi="宋体" w:cs="宋体"/>
          <w:b/>
          <w:color w:val="auto"/>
          <w:kern w:val="0"/>
          <w:sz w:val="22"/>
          <w:highlight w:val="none"/>
        </w:rPr>
        <w:t>（五）其他要求</w:t>
      </w:r>
    </w:p>
    <w:p w14:paraId="2C55E2B6">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1、维修与更换</w:t>
      </w:r>
    </w:p>
    <w:p w14:paraId="6F54CB20">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设施设备的维修更换（设施维修范围包括：1、暴雨、洪水、台风、海啸、地震、雷电、火灾等不可预见原因造成的处理设施损坏的修复；2、沉降引起处理设施损坏的修复；3、违法排污、人为破坏等造成的处理设施损坏的修复；4、池体（罐体）倾斜、开裂、上浮等问题的修复；5、水泵、风机、控制柜、消毒设备的更换修复；6、人工湿地填料的更换，池体填料（包括球类填料、弹性填料等）及曝气设施的更换；7、摄像头、流量计、在线监测设备等仪表设备的修复；8、终端范围内绿化的整体更换；9、管道开裂、脱节问题的开挖修复；10、管道变形产生堵塞的开挖修复；11、检查井（井盖除外）损坏的重建；12、采购人要求的接户设施完善；等方面。）</w:t>
      </w:r>
    </w:p>
    <w:p w14:paraId="6C4D92C7">
      <w:pPr>
        <w:pStyle w:val="31"/>
        <w:spacing w:line="440" w:lineRule="exact"/>
        <w:ind w:firstLine="420"/>
        <w:rPr>
          <w:rFonts w:ascii="宋体" w:hAnsi="宋体" w:cs="宋体"/>
          <w:color w:val="auto"/>
          <w:sz w:val="22"/>
          <w:highlight w:val="none"/>
        </w:rPr>
      </w:pPr>
      <w:r>
        <w:rPr>
          <w:rFonts w:hint="eastAsia" w:ascii="宋体" w:hAnsi="宋体" w:cs="宋体"/>
          <w:color w:val="auto"/>
          <w:sz w:val="22"/>
          <w:highlight w:val="none"/>
        </w:rPr>
        <w:t>①小修：管道及设施设备（水泵、风机更换除外，不论金额纳入大中修管理）以村为单位根据上述设施维修范围十二项情形，每个村在其中一项情形下发生修理费用在5000元以内的（含），由中标供应商在5日内完成维修更换工作，产生的维修费用由中标供应商承担；</w:t>
      </w:r>
      <w:r>
        <w:rPr>
          <w:rFonts w:ascii="宋体" w:hAnsi="宋体" w:cs="宋体"/>
          <w:color w:val="auto"/>
          <w:sz w:val="22"/>
          <w:highlight w:val="none"/>
        </w:rPr>
        <w:t xml:space="preserve"> </w:t>
      </w:r>
    </w:p>
    <w:p w14:paraId="50FC3BE5">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②大中修：管道及设施设备以村为单位根据上述设施维修范围十二项情形，每个村在其中一项情形下发生修理费用在5000元以上的，由中标供应商在24小时内向乡镇和采购人书面报修，经相关部门同意后由中标供应商进行维修更换工作，产生的维修费用由采购人承担，每年度大中修费用最高不超过每年度运维费的20%（户内化粪池清掏作业产生的费用列入该项费用中，报采购人确认后，在该项费用中支出），每年度大中修上报费用超出限额的，超出部分由中标供应商自行承担；</w:t>
      </w:r>
    </w:p>
    <w:p w14:paraId="42C42070">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无论大中修，另外，由于中标供应商在运维过程中没有按相关规定操作、运维不到位及其他人为原因造成的设施损坏，所产生的损失（包括维修、更换费用）不管金额多少全部由中标供应商自行承担，并及时组织维修、更换，若中标供应商拒不组织维修、更换，采购人可自行组织力量进行维修、更换，维修、更换经费直接在履约保证金中扣除。中标供应商在发现设备实施等受损或须更换的情况，应在第一时间上报采购人，并组织维修且须在24小时内完成，其维修资金额度的判定以采购人委托第三方审核为准，按以上要求执行；审定后的维修费若由采购人支付，则纳入当</w:t>
      </w:r>
      <w:r>
        <w:rPr>
          <w:rFonts w:hint="eastAsia" w:ascii="宋体" w:hAnsi="宋体" w:cs="宋体"/>
          <w:color w:val="auto"/>
          <w:sz w:val="22"/>
          <w:highlight w:val="none"/>
          <w:lang w:val="en-US" w:eastAsia="zh-CN"/>
        </w:rPr>
        <w:t>前支付周期</w:t>
      </w:r>
      <w:r>
        <w:rPr>
          <w:rFonts w:hint="eastAsia" w:ascii="宋体" w:hAnsi="宋体" w:cs="宋体"/>
          <w:color w:val="auto"/>
          <w:sz w:val="22"/>
          <w:highlight w:val="none"/>
        </w:rPr>
        <w:t>运维服务费中支付。</w:t>
      </w:r>
    </w:p>
    <w:p w14:paraId="64937139">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审核依据：根据委托具有造价咨询资质的第三方按浙江省2018计价依据和建设工程工程量清单计价规范（GB50500-2013）及修理期间最新一期的《温州工程造价信息》，《温州工程造价信息》没有的，参考同期的《浙江省造价信息》，无以上价格信息的，由第三方询价并经甲方确认）完成组价后按下浮10%执行，设施维修需更换优于或相当于档次的设备品牌，具体选型由甲方确定，中标供应商不得以品牌价差为由提出维修规模异议。</w:t>
      </w:r>
    </w:p>
    <w:p w14:paraId="3A6D8D54">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以上设施设备的修理应按每次每项修理情况核实费用，区分大中小修，不能合并同类项。且中标供应商要根据日常运维状况，及时向</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和</w:t>
      </w:r>
      <w:r>
        <w:rPr>
          <w:rFonts w:hint="eastAsia" w:ascii="宋体" w:hAnsi="宋体" w:cs="宋体"/>
          <w:color w:val="auto"/>
          <w:sz w:val="22"/>
          <w:highlight w:val="none"/>
          <w:lang w:eastAsia="zh-CN"/>
        </w:rPr>
        <w:t>区</w:t>
      </w:r>
      <w:r>
        <w:rPr>
          <w:rFonts w:hint="eastAsia" w:ascii="宋体" w:hAnsi="宋体" w:cs="宋体"/>
          <w:color w:val="auto"/>
          <w:sz w:val="22"/>
          <w:highlight w:val="none"/>
        </w:rPr>
        <w:t>主管部门反馈并提出设施维修方案计划、受损工程修复时间计划和资金预算，</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审核后上报</w:t>
      </w:r>
      <w:r>
        <w:rPr>
          <w:rFonts w:hint="eastAsia" w:ascii="宋体" w:hAnsi="宋体" w:cs="宋体"/>
          <w:color w:val="auto"/>
          <w:sz w:val="22"/>
          <w:highlight w:val="none"/>
          <w:lang w:eastAsia="zh-CN"/>
        </w:rPr>
        <w:t>区</w:t>
      </w:r>
      <w:r>
        <w:rPr>
          <w:rFonts w:hint="eastAsia" w:ascii="宋体" w:hAnsi="宋体" w:cs="宋体"/>
          <w:color w:val="auto"/>
          <w:sz w:val="22"/>
          <w:highlight w:val="none"/>
        </w:rPr>
        <w:t>主管部门，按</w:t>
      </w:r>
      <w:r>
        <w:rPr>
          <w:rFonts w:hint="eastAsia" w:ascii="宋体" w:hAnsi="宋体" w:cs="宋体"/>
          <w:color w:val="auto"/>
          <w:sz w:val="22"/>
          <w:highlight w:val="none"/>
          <w:lang w:eastAsia="zh-CN"/>
        </w:rPr>
        <w:t>区</w:t>
      </w:r>
      <w:r>
        <w:rPr>
          <w:rFonts w:hint="eastAsia" w:ascii="宋体" w:hAnsi="宋体" w:cs="宋体"/>
          <w:color w:val="auto"/>
          <w:sz w:val="22"/>
          <w:highlight w:val="none"/>
        </w:rPr>
        <w:t>级要求规定给予实施。</w:t>
      </w:r>
    </w:p>
    <w:p w14:paraId="59A030C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本项目在运维管理期间，污水处理设备、管网等需要维修或更换的，如其尚在免费质保期内的，由中标供应商协调联系厂家予以免费维修。</w:t>
      </w:r>
    </w:p>
    <w:p w14:paraId="7703979D">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2、水质检测</w:t>
      </w:r>
    </w:p>
    <w:p w14:paraId="49C59AE5">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处理终端</w:t>
      </w:r>
      <w:r>
        <w:rPr>
          <w:rFonts w:ascii="宋体" w:hAnsi="宋体" w:cs="宋体"/>
          <w:color w:val="auto"/>
          <w:sz w:val="22"/>
          <w:highlight w:val="none"/>
        </w:rPr>
        <w:t>一体式成套</w:t>
      </w:r>
      <w:r>
        <w:rPr>
          <w:rFonts w:hint="eastAsia" w:ascii="宋体" w:hAnsi="宋体" w:cs="宋体"/>
          <w:color w:val="auto"/>
          <w:sz w:val="22"/>
          <w:highlight w:val="none"/>
        </w:rPr>
        <w:t>设施设备</w:t>
      </w:r>
      <w:r>
        <w:rPr>
          <w:rFonts w:ascii="宋体" w:hAnsi="宋体" w:cs="宋体"/>
          <w:color w:val="auto"/>
          <w:sz w:val="22"/>
          <w:highlight w:val="none"/>
        </w:rPr>
        <w:t>出水水质</w:t>
      </w:r>
      <w:r>
        <w:rPr>
          <w:rFonts w:hint="eastAsia" w:ascii="宋体" w:hAnsi="宋体" w:cs="宋体"/>
          <w:color w:val="auto"/>
          <w:sz w:val="22"/>
          <w:highlight w:val="none"/>
        </w:rPr>
        <w:t>须</w:t>
      </w:r>
      <w:r>
        <w:rPr>
          <w:rFonts w:ascii="宋体" w:hAnsi="宋体" w:cs="宋体"/>
          <w:color w:val="auto"/>
          <w:sz w:val="22"/>
          <w:highlight w:val="none"/>
        </w:rPr>
        <w:t>达到</w:t>
      </w:r>
      <w:r>
        <w:rPr>
          <w:rFonts w:hint="eastAsia" w:ascii="宋体" w:hAnsi="宋体" w:cs="宋体"/>
          <w:color w:val="auto"/>
          <w:sz w:val="22"/>
          <w:highlight w:val="none"/>
          <w:lang w:eastAsia="zh-CN"/>
        </w:rPr>
        <w:t>《农村生活污水集中处理设施水污染物排放标准》（浙江省地方标准DB 33/973－2021）</w:t>
      </w:r>
      <w:r>
        <w:rPr>
          <w:rFonts w:hint="eastAsia" w:ascii="宋体" w:hAnsi="宋体" w:cs="宋体"/>
          <w:color w:val="auto"/>
          <w:sz w:val="22"/>
          <w:highlight w:val="none"/>
        </w:rPr>
        <w:t>中的相关规定，在合同服务期限内，国家、省、市若有新调整的出水水质标准，由业主单位发函告知之日起满一个月后，须按新调整的出水水质标准执行。</w:t>
      </w:r>
    </w:p>
    <w:p w14:paraId="7662328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中标单位应自行组织开展水质日常检测工作，并严格按相关要求执行：检测取样位置为处理终端中一体化设备进、出水口，自行检测频次应满足如下要求：</w:t>
      </w:r>
    </w:p>
    <w:p w14:paraId="5C5A366B">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每个终端</w:t>
      </w:r>
      <w:r>
        <w:rPr>
          <w:rFonts w:hint="eastAsia" w:ascii="宋体" w:hAnsi="宋体" w:cs="宋体"/>
          <w:color w:val="auto"/>
          <w:sz w:val="22"/>
          <w:highlight w:val="none"/>
        </w:rPr>
        <w:t>的，每月自行检测不少于一次；</w:t>
      </w:r>
    </w:p>
    <w:p w14:paraId="6819476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备注：在运营期间，若发生以下几种情况，将按照下述方法进行处理：</w:t>
      </w:r>
    </w:p>
    <w:p w14:paraId="58E72C9F">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进水水质短期超标</w:t>
      </w:r>
    </w:p>
    <w:p w14:paraId="480A6A6D">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如连续3日接收点的污水水质一项或数项指标超出</w:t>
      </w:r>
      <w:r>
        <w:rPr>
          <w:rFonts w:hint="eastAsia" w:ascii="宋体" w:hAnsi="宋体" w:cs="宋体"/>
          <w:color w:val="auto"/>
          <w:sz w:val="22"/>
          <w:highlight w:val="none"/>
          <w:lang w:eastAsia="zh-CN"/>
        </w:rPr>
        <w:t>《农村生活污水集中处理设施水污染物排放标准》（浙江省地方标准DB 33/973－2021）</w:t>
      </w:r>
      <w:r>
        <w:rPr>
          <w:rFonts w:ascii="宋体" w:hAnsi="宋体" w:cs="宋体"/>
          <w:color w:val="auto"/>
          <w:sz w:val="22"/>
          <w:highlight w:val="none"/>
        </w:rPr>
        <w:t>规定的标准，致使出水对应项考核指标无法达标时，中标单位免除相关责任。中标单位可向业主单位及相关部门申请协调解决。</w:t>
      </w:r>
    </w:p>
    <w:p w14:paraId="19226EA1">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进水水质较长期间超标</w:t>
      </w:r>
    </w:p>
    <w:p w14:paraId="26415B37">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如果进水水质一季度累计30天超过</w:t>
      </w:r>
      <w:r>
        <w:rPr>
          <w:rFonts w:hint="eastAsia" w:ascii="宋体" w:hAnsi="宋体" w:cs="宋体"/>
          <w:color w:val="auto"/>
          <w:sz w:val="22"/>
          <w:highlight w:val="none"/>
          <w:lang w:eastAsia="zh-CN"/>
        </w:rPr>
        <w:t>《农村生活污水集中处理设施水污染物排放标准》（浙江省地方标准DB 33/973－2021）</w:t>
      </w:r>
      <w:r>
        <w:rPr>
          <w:rFonts w:ascii="宋体" w:hAnsi="宋体" w:cs="宋体"/>
          <w:color w:val="auto"/>
          <w:sz w:val="22"/>
          <w:highlight w:val="none"/>
        </w:rPr>
        <w:t>规定的标准，或因进水水质每个月内累计10天超标，或污水处理排放标准提高，致使出水一项或数项考核指标无法达标时，中标单位免除对应项不达标的责任。中标单位可向业主单位提出申请，通过改变或增加污水处理设施、工艺或设备等方式，尽力与业主单位共同寻求解决方案。</w:t>
      </w:r>
    </w:p>
    <w:p w14:paraId="4B4B2C4B">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在解决方案未能确定和实施之前或者在技术改造实施过程当中，且项目设施已按设计处理最大能力运行的情况下，中标单位可向业主单位及相关部门申请协调解决。</w:t>
      </w:r>
    </w:p>
    <w:p w14:paraId="10D07BC5">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冲击赔偿</w:t>
      </w:r>
    </w:p>
    <w:p w14:paraId="470AA1E6">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如果进水水质长期超标</w:t>
      </w:r>
      <w:r>
        <w:rPr>
          <w:rFonts w:hint="eastAsia" w:ascii="宋体" w:hAnsi="宋体" w:cs="宋体"/>
          <w:color w:val="auto"/>
          <w:sz w:val="22"/>
          <w:highlight w:val="none"/>
        </w:rPr>
        <w:t>或水量超负荷冲击</w:t>
      </w:r>
      <w:r>
        <w:rPr>
          <w:rFonts w:ascii="宋体" w:hAnsi="宋体" w:cs="宋体"/>
          <w:color w:val="auto"/>
          <w:sz w:val="22"/>
          <w:highlight w:val="none"/>
        </w:rPr>
        <w:t>，造成微生物死亡</w:t>
      </w:r>
      <w:r>
        <w:rPr>
          <w:rFonts w:hint="eastAsia" w:ascii="宋体" w:hAnsi="宋体" w:cs="宋体"/>
          <w:color w:val="auto"/>
          <w:sz w:val="22"/>
          <w:highlight w:val="none"/>
        </w:rPr>
        <w:t>或</w:t>
      </w:r>
      <w:r>
        <w:rPr>
          <w:rFonts w:ascii="宋体" w:hAnsi="宋体" w:cs="宋体"/>
          <w:color w:val="auto"/>
          <w:sz w:val="22"/>
          <w:highlight w:val="none"/>
        </w:rPr>
        <w:t>设备严重损坏，污泥重新驯化培养</w:t>
      </w:r>
      <w:r>
        <w:rPr>
          <w:rFonts w:hint="eastAsia" w:ascii="宋体" w:hAnsi="宋体" w:cs="宋体"/>
          <w:color w:val="auto"/>
          <w:sz w:val="22"/>
          <w:highlight w:val="none"/>
        </w:rPr>
        <w:t>或</w:t>
      </w:r>
      <w:r>
        <w:rPr>
          <w:rFonts w:ascii="宋体" w:hAnsi="宋体" w:cs="宋体"/>
          <w:color w:val="auto"/>
          <w:sz w:val="22"/>
          <w:highlight w:val="none"/>
        </w:rPr>
        <w:t>设备的费用，由业主单位协调补偿</w:t>
      </w:r>
      <w:r>
        <w:rPr>
          <w:rFonts w:hint="eastAsia" w:ascii="宋体" w:hAnsi="宋体" w:cs="宋体"/>
          <w:color w:val="auto"/>
          <w:sz w:val="22"/>
          <w:highlight w:val="none"/>
        </w:rPr>
        <w:t>，但运维单位须限期出具</w:t>
      </w:r>
      <w:r>
        <w:rPr>
          <w:rFonts w:ascii="宋体" w:hAnsi="宋体" w:cs="宋体"/>
          <w:color w:val="auto"/>
          <w:sz w:val="22"/>
          <w:highlight w:val="none"/>
        </w:rPr>
        <w:t>进水水质长期超标</w:t>
      </w:r>
      <w:r>
        <w:rPr>
          <w:rFonts w:hint="eastAsia" w:ascii="宋体" w:hAnsi="宋体" w:cs="宋体"/>
          <w:color w:val="auto"/>
          <w:sz w:val="22"/>
          <w:highlight w:val="none"/>
        </w:rPr>
        <w:t>、水量超负荷调查结果及整改方案</w:t>
      </w:r>
      <w:r>
        <w:rPr>
          <w:rFonts w:ascii="宋体" w:hAnsi="宋体" w:cs="宋体"/>
          <w:color w:val="auto"/>
          <w:sz w:val="22"/>
          <w:highlight w:val="none"/>
        </w:rPr>
        <w:t>。</w:t>
      </w:r>
    </w:p>
    <w:p w14:paraId="2BCBBC68">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本条款所称进水超标、出水不达标均系各项指标一一对应关系。例如进水总磷超标，出水总磷不达标，其他出水指标达标，那么中标单位免除责任；如果其他出水指标也不达标的，中标单位不能免责。</w:t>
      </w:r>
    </w:p>
    <w:p w14:paraId="54F22DD0">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3、安全管理</w:t>
      </w:r>
    </w:p>
    <w:p w14:paraId="4EE848F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各技术岗位工作人员应经过技术培训合格后方可上岗，特种作业人员需持证上岗。同时，严格按照《城镇污水处理厂运行、维护及安全技术规程》（CJJ60-2011）、《城镇排水管渠与泵站维护技术规程》(CJJ68-2007)、《有限空间作业安全技术规程》（DB33/707-2008）</w:t>
      </w:r>
      <w:r>
        <w:rPr>
          <w:rFonts w:hint="eastAsia" w:ascii="宋体" w:hAnsi="宋体" w:cs="宋体"/>
          <w:color w:val="auto"/>
          <w:sz w:val="22"/>
          <w:highlight w:val="none"/>
          <w:lang w:eastAsia="zh-CN"/>
        </w:rPr>
        <w:t>《农村生活污水集中处理罐应用技术规程》</w:t>
      </w:r>
      <w:r>
        <w:rPr>
          <w:rFonts w:hint="eastAsia" w:ascii="宋体" w:hAnsi="宋体" w:cs="宋体"/>
          <w:color w:val="auto"/>
          <w:sz w:val="22"/>
          <w:highlight w:val="none"/>
        </w:rPr>
        <w:t xml:space="preserve">及安全操作手册等相关规定执行，做好安全防护保障措施及相应运维作业工作。定期对运维管理人员进行培训及开展安全教育与安全预演。 </w:t>
      </w:r>
    </w:p>
    <w:p w14:paraId="4EC0625D">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4、台账资料</w:t>
      </w:r>
    </w:p>
    <w:p w14:paraId="13937A55">
      <w:pPr>
        <w:pStyle w:val="31"/>
        <w:spacing w:line="440" w:lineRule="exact"/>
        <w:ind w:firstLine="440" w:firstLineChars="200"/>
        <w:rPr>
          <w:rFonts w:hint="eastAsia" w:ascii="宋体" w:hAnsi="宋体" w:cs="宋体"/>
          <w:color w:val="auto"/>
          <w:sz w:val="22"/>
          <w:highlight w:val="none"/>
        </w:rPr>
      </w:pPr>
      <w:bookmarkStart w:id="403" w:name="_Toc9422"/>
      <w:r>
        <w:rPr>
          <w:rFonts w:hint="eastAsia" w:ascii="宋体" w:hAnsi="宋体" w:cs="宋体"/>
          <w:color w:val="auto"/>
          <w:sz w:val="22"/>
          <w:highlight w:val="none"/>
        </w:rPr>
        <w:t>严格按照浙江省《农村生活污水治理设施运行维护技术导则（试行）》、《农村生活污水处理设施标准化运维评价标准》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浙江省农村生活污水处理设施全过程管理导则</w:t>
      </w:r>
      <w:r>
        <w:rPr>
          <w:rFonts w:hint="eastAsia" w:ascii="宋体" w:hAnsi="宋体" w:cs="宋体"/>
          <w:color w:val="auto"/>
          <w:sz w:val="22"/>
          <w:highlight w:val="none"/>
          <w:lang w:eastAsia="zh-CN"/>
        </w:rPr>
        <w:t>》</w:t>
      </w:r>
      <w:r>
        <w:rPr>
          <w:rFonts w:hint="eastAsia" w:ascii="宋体" w:hAnsi="宋体" w:cs="宋体"/>
          <w:color w:val="auto"/>
          <w:sz w:val="22"/>
          <w:highlight w:val="none"/>
        </w:rPr>
        <w:t>等相关文件规定，做好上述运维管理体系与运维管理作业及安全（主要内容应包括日常巡查、运行操作、养护作业、维修作业及安全管理等）台账资料和设施基础信息核实台账（包括但不限于设施所在村基础信息、设施设备基础信息、设施所在村接户基础信息等），做到实时完成、内容完整与内容真实，并整理成册定期报送业主单位。</w:t>
      </w:r>
    </w:p>
    <w:p w14:paraId="686E6C8C">
      <w:pPr>
        <w:pStyle w:val="31"/>
        <w:spacing w:line="440" w:lineRule="exact"/>
        <w:ind w:firstLine="440" w:firstLineChars="200"/>
        <w:rPr>
          <w:rFonts w:hint="eastAsia" w:ascii="宋体" w:hAnsi="宋体" w:cs="宋体"/>
          <w:b/>
          <w:color w:val="auto"/>
          <w:kern w:val="0"/>
          <w:sz w:val="22"/>
          <w:highlight w:val="none"/>
        </w:rPr>
      </w:pPr>
      <w:r>
        <w:rPr>
          <w:rFonts w:hint="eastAsia" w:ascii="宋体" w:hAnsi="宋体" w:cs="宋体"/>
          <w:b/>
          <w:color w:val="auto"/>
          <w:kern w:val="0"/>
          <w:sz w:val="22"/>
          <w:highlight w:val="none"/>
        </w:rPr>
        <w:t>5、制定手册</w:t>
      </w:r>
    </w:p>
    <w:p w14:paraId="3BCFDA62">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5.1订设施维护手册，包括长效运行管理制度、管理人员设备配备、维护内容与要求、岗位操作规程和事故应急预案等。</w:t>
      </w:r>
    </w:p>
    <w:p w14:paraId="554D7CC0">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5.2制订农户使用手册，包括污水排放守则、简单故障排除方法和维护人员电话等，派发至受益农户并进行宣传教育。</w:t>
      </w:r>
    </w:p>
    <w:p w14:paraId="461EE761">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终上，上述其他未尽事宜须按照省市区相关文件及相关技术规程规范要求执行。同时，必须遵守国家和地方有关安全生产的法律、法规、规章及政策性文件，中标单位承诺严格按照国家、行业和地方相关标准提供设施运行维护服务，并承担与此有关的一切安全生产责任。按规定应持证上岗的作业人员必须持有相应岗位或资格证书，并做好安全防护措施。为确保运维作业安全，除应做好职工的安全生产教育外，还应为员工提供必要的劳动保护条件（包括购买保险等），一切安全责任事故均由中标单位负责承担，费用已包含在本次投标价内。</w:t>
      </w:r>
    </w:p>
    <w:p w14:paraId="55B77935">
      <w:pPr>
        <w:spacing w:line="460" w:lineRule="exact"/>
        <w:ind w:firstLine="440" w:firstLineChars="200"/>
        <w:rPr>
          <w:rFonts w:hint="eastAsia" w:ascii="宋体" w:hAnsi="宋体"/>
          <w:b/>
          <w:color w:val="auto"/>
          <w:sz w:val="22"/>
          <w:szCs w:val="22"/>
          <w:highlight w:val="none"/>
        </w:rPr>
      </w:pPr>
      <w:r>
        <w:rPr>
          <w:rFonts w:hint="eastAsia" w:ascii="宋体" w:hAnsi="宋体"/>
          <w:b/>
          <w:color w:val="auto"/>
          <w:sz w:val="22"/>
          <w:szCs w:val="22"/>
          <w:highlight w:val="none"/>
        </w:rPr>
        <w:t>6、投诉处理</w:t>
      </w:r>
    </w:p>
    <w:p w14:paraId="6BACCCE8">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要求接到投诉处理件后，应及时赶赴现场进行处置。</w:t>
      </w:r>
    </w:p>
    <w:p w14:paraId="73382990">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7、其他要求</w:t>
      </w:r>
    </w:p>
    <w:p w14:paraId="6AF838E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（1）要求制定运维人员通讯录，须将通讯号码贴置处理终端设施项目位置向全社会公布。</w:t>
      </w:r>
    </w:p>
    <w:p w14:paraId="0051A5E1">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本项目要求供应商现场投入人员不少于投标人承诺和采购人的最低要求（投标人承诺人员高于采购人的最低要求的，以投标人承诺的人员为准），人员要求各个专业配置合理。项目负责人、运维技术负责人及专业技术管理人员每月到位不得低于22天，且月份之间的到位天数不得借用，不得连续</w:t>
      </w:r>
      <w:r>
        <w:rPr>
          <w:rFonts w:ascii="宋体" w:hAnsi="宋体" w:cs="宋体"/>
          <w:color w:val="auto"/>
          <w:sz w:val="22"/>
          <w:highlight w:val="none"/>
        </w:rPr>
        <w:t>1</w:t>
      </w:r>
      <w:r>
        <w:rPr>
          <w:rFonts w:hint="eastAsia" w:ascii="宋体" w:hAnsi="宋体" w:cs="宋体"/>
          <w:color w:val="auto"/>
          <w:sz w:val="22"/>
          <w:highlight w:val="none"/>
        </w:rPr>
        <w:t>周不到位），离开县域范围需向采购人请假报备。人员工资福利、社保、食宿、办公等费用均需自行承担，包含在投标总价中。如在服务期内遇台风、洪水、上级部门检查等特殊情形的，中标供应商必须按采购人要求增加临时人员投入的，中标供应商必须增加人员，同时临增人员的费用由中标供应商承担，中标供应商自行注意报价风险。</w:t>
      </w:r>
    </w:p>
    <w:p w14:paraId="6D2F0227">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（3）运维监控中心水电费包含在投标总价中（终端泵站设备设施正常运行所需电费除外）。</w:t>
      </w:r>
    </w:p>
    <w:p w14:paraId="13D53063">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（4）中标供应商须在签订合同前配齐投标文件承诺的车辆、设备、运维人员，否则取消其中标资格。</w:t>
      </w:r>
    </w:p>
    <w:p w14:paraId="1F53F3AD">
      <w:pPr>
        <w:spacing w:line="440" w:lineRule="exact"/>
        <w:outlineLvl w:val="1"/>
        <w:rPr>
          <w:rFonts w:ascii="宋体" w:hAnsi="宋体" w:cs="宋体"/>
          <w:b/>
          <w:color w:val="auto"/>
          <w:sz w:val="22"/>
          <w:szCs w:val="22"/>
          <w:highlight w:val="none"/>
        </w:rPr>
      </w:pPr>
      <w:bookmarkStart w:id="404" w:name="_Toc35811963"/>
      <w:r>
        <w:rPr>
          <w:rFonts w:hint="eastAsia" w:ascii="宋体" w:hAnsi="宋体" w:cs="宋体"/>
          <w:b/>
          <w:color w:val="auto"/>
          <w:sz w:val="22"/>
          <w:szCs w:val="22"/>
          <w:highlight w:val="none"/>
        </w:rPr>
        <w:t>五、运维监管要求</w:t>
      </w:r>
      <w:bookmarkEnd w:id="403"/>
      <w:bookmarkEnd w:id="404"/>
    </w:p>
    <w:p w14:paraId="492BF326">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1、考核及处罚标准</w:t>
      </w:r>
    </w:p>
    <w:p w14:paraId="6404A000">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1.1运维考核由平台考核、现场检查、水质考核、社会综合评价组成，总分共计100分（详见附表2《</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农村生活污水处理设施第三方运维考核表》），由农污运维管理相关职能部门每季考核一次，作为对第三方运维单位运维费的支付依据。</w:t>
      </w:r>
    </w:p>
    <w:p w14:paraId="6A51CF22">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1.2运维考核分区级考核和</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考核，最终考核以</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计，当期运维考核最终结果=区级考核分值×25%+</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考核分值×75%。</w:t>
      </w:r>
    </w:p>
    <w:p w14:paraId="475B7DCC">
      <w:pPr>
        <w:tabs>
          <w:tab w:val="left" w:pos="4018"/>
        </w:tabs>
        <w:snapToGrid w:val="0"/>
        <w:spacing w:line="40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1.3</w:t>
      </w:r>
    </w:p>
    <w:p w14:paraId="65B436FA">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各</w:t>
      </w:r>
      <w:r>
        <w:rPr>
          <w:rFonts w:hint="eastAsia" w:ascii="宋体" w:hAnsi="宋体"/>
          <w:color w:val="auto"/>
          <w:sz w:val="22"/>
          <w:szCs w:val="22"/>
          <w:highlight w:val="none"/>
          <w:lang w:eastAsia="zh-CN"/>
        </w:rPr>
        <w:t>采购人</w:t>
      </w:r>
      <w:r>
        <w:rPr>
          <w:rFonts w:ascii="宋体" w:hAnsi="宋体"/>
          <w:color w:val="auto"/>
          <w:sz w:val="22"/>
          <w:szCs w:val="22"/>
          <w:highlight w:val="none"/>
        </w:rPr>
        <w:t>（街道）</w:t>
      </w:r>
      <w:r>
        <w:rPr>
          <w:rFonts w:hint="eastAsia" w:ascii="宋体" w:hAnsi="宋体"/>
          <w:color w:val="auto"/>
          <w:sz w:val="22"/>
          <w:szCs w:val="22"/>
          <w:highlight w:val="none"/>
        </w:rPr>
        <w:t>应于每季度首月15日前组织对上季度运维开展</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考核，并按照《</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农村生活污水处理设施第三方运维考核表》（附表2）评分，并汇总当期考核最终结果，最终考核等次：</w:t>
      </w:r>
    </w:p>
    <w:p w14:paraId="338D2680">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（1）90分以上（含90分）为优秀，运行维护管理费用按中标单价乘以各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运维数量支付；</w:t>
      </w:r>
    </w:p>
    <w:p w14:paraId="7BE72C41">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（2）80-90分（含80分，不含90分）为良好，有权扣除各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当季运行维护管理费用的10%；</w:t>
      </w:r>
    </w:p>
    <w:p w14:paraId="2249DE97">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（3）75-80分（含75分，不含80分）为合格，有权扣除各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当季运行维护管理费用的20%；</w:t>
      </w:r>
    </w:p>
    <w:p w14:paraId="01B8E389">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（4）75分以下（不含75分）为不合格，有权要求中标供应商限期整改到位，并扣除各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当季运行维护管理费用；否则，拒付所有剩余资金，连续二次或累计三次考核成绩不合格的可以解除合同，并由中标供应商承担违约责任。</w:t>
      </w:r>
    </w:p>
    <w:p w14:paraId="1324068D">
      <w:pPr>
        <w:tabs>
          <w:tab w:val="left" w:pos="4018"/>
        </w:tabs>
        <w:snapToGrid w:val="0"/>
        <w:spacing w:line="40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1.4上级主管部门在日常检查或抽查或巡查中，如发现中标供应商在运维考核方面有不合格的地方，则有权扣除各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当季运行维护管理费用的25%，所扣款项在当季支付合同费用时扣除。</w:t>
      </w:r>
    </w:p>
    <w:p w14:paraId="7B51ED3C">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1.5各级主管部门在日常检查或抽查中，发现中标供应商存在下列情形或解释说明未被采购人接受的对其进行扣款，所扣款项在当季支付合同费用时扣除，具体如下（以下扣款不包含在考核扣款中）：</w:t>
      </w:r>
    </w:p>
    <w:p w14:paraId="3CC35042">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（1）井盖破损或丢失未及时更换修复的，按1000元/处进行扣款；</w:t>
      </w:r>
    </w:p>
    <w:p w14:paraId="1283FBC9">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（2）污水倒溢的，按1000元/处进行扣款；</w:t>
      </w:r>
    </w:p>
    <w:p w14:paraId="0184F0F1">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（3）投诉件未及时处理的，按2000元/件进行扣款；</w:t>
      </w:r>
    </w:p>
    <w:p w14:paraId="7E46E788">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（4）处理终端未正常运行的，按2000元/处进行扣款；</w:t>
      </w:r>
    </w:p>
    <w:p w14:paraId="3F876729">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（5）水泵未正常运行的，按1000元/处进行扣款；</w:t>
      </w:r>
    </w:p>
    <w:p w14:paraId="3F20C995">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（6）终端绿化严重未正常养护的，按1000元/处进行扣款；</w:t>
      </w:r>
    </w:p>
    <w:p w14:paraId="67387106">
      <w:pPr>
        <w:spacing w:line="46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（7）</w:t>
      </w:r>
      <w:r>
        <w:rPr>
          <w:rFonts w:hint="eastAsia" w:ascii="宋体" w:hAnsi="宋体" w:cs="宋体"/>
          <w:color w:val="auto"/>
          <w:sz w:val="22"/>
          <w:szCs w:val="22"/>
          <w:highlight w:val="none"/>
        </w:rPr>
        <w:t>项目负责人、运维技术负责人及专业技术管理人员每月到位不得低于22天，且月份之间的到位天数不得借用，不得连续</w:t>
      </w:r>
      <w:r>
        <w:rPr>
          <w:rFonts w:ascii="宋体" w:hAnsi="宋体" w:cs="宋体"/>
          <w:color w:val="auto"/>
          <w:sz w:val="22"/>
          <w:szCs w:val="22"/>
          <w:highlight w:val="none"/>
        </w:rPr>
        <w:t>1</w:t>
      </w:r>
      <w:r>
        <w:rPr>
          <w:rFonts w:hint="eastAsia" w:ascii="宋体" w:hAnsi="宋体" w:cs="宋体"/>
          <w:color w:val="auto"/>
          <w:sz w:val="22"/>
          <w:szCs w:val="22"/>
          <w:highlight w:val="none"/>
        </w:rPr>
        <w:t>周不到位），</w:t>
      </w:r>
      <w:bookmarkStart w:id="405" w:name="_Toc19002657"/>
      <w:r>
        <w:rPr>
          <w:rFonts w:hint="eastAsia" w:ascii="宋体" w:hAnsi="宋体" w:cs="宋体"/>
          <w:color w:val="auto"/>
          <w:sz w:val="22"/>
          <w:szCs w:val="22"/>
          <w:highlight w:val="none"/>
        </w:rPr>
        <w:t>项目负责人、运维技术负责人未经批准，擅自离开运维中心（温州市域）的违约责任：每天支付违约金1000元</w:t>
      </w:r>
      <w:bookmarkEnd w:id="405"/>
      <w:r>
        <w:rPr>
          <w:rFonts w:hint="eastAsia" w:ascii="宋体" w:hAnsi="宋体" w:cs="宋体"/>
          <w:color w:val="auto"/>
          <w:sz w:val="22"/>
          <w:szCs w:val="22"/>
          <w:highlight w:val="none"/>
        </w:rPr>
        <w:t>；专业技术管理人员未经批准，擅自离开运维中心的违约责任：每天支付违约金500元。</w:t>
      </w:r>
    </w:p>
    <w:p w14:paraId="5CA9D632">
      <w:pPr>
        <w:pStyle w:val="8"/>
        <w:spacing w:line="460" w:lineRule="exact"/>
        <w:ind w:firstLine="221"/>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 xml:space="preserve">  （8）终端电费消耗异常，且未及时上报的，每发现一次扣款200元。</w:t>
      </w:r>
    </w:p>
    <w:p w14:paraId="7AF9F584">
      <w:pPr>
        <w:pStyle w:val="8"/>
        <w:spacing w:line="460" w:lineRule="exact"/>
        <w:ind w:firstLine="440" w:firstLineChars="20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9）中标供应商因损坏等原因需更换运维车辆或重要运维工具的，应及时上报并征得采购人同意后，于15个工作日内进行更换，超过期限未完成更换导致未能满足原投标承诺车辆所具有的规格、年限及数量条件，每超过七天扣款1000元。以中标供应商报告时间或采购人发现缺少车辆和重要运维工具并告知之日起计时。</w:t>
      </w:r>
    </w:p>
    <w:p w14:paraId="051102B9">
      <w:pPr>
        <w:pStyle w:val="8"/>
        <w:spacing w:line="460" w:lineRule="exact"/>
        <w:ind w:firstLine="440" w:firstLineChars="20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10）中标供应商不可擅自更换本项目运维负责人及技术负责人，确需更换的，应征得采购人同意后方可更换，同时如运维负责人及技术负责人工作不称职，采购人有权要求更换，且中标供应商应按原投标承诺人员所具有的资格和业绩条件更换相应人员；如擅自更换的，扣款10万元/人，情节严重的，采购人有权解除合同。</w:t>
      </w:r>
    </w:p>
    <w:p w14:paraId="465E1EBF">
      <w:pPr>
        <w:pStyle w:val="8"/>
        <w:spacing w:line="460" w:lineRule="exact"/>
        <w:ind w:firstLine="440" w:firstLineChars="200"/>
        <w:rPr>
          <w:rFonts w:ascii="宋体" w:hAnsi="宋体" w:cs="宋体"/>
          <w:color w:val="auto"/>
          <w:kern w:val="2"/>
          <w:sz w:val="22"/>
          <w:szCs w:val="22"/>
          <w:highlight w:val="none"/>
        </w:rPr>
      </w:pPr>
      <w:r>
        <w:rPr>
          <w:rFonts w:hint="eastAsia" w:ascii="宋体" w:hAnsi="宋体" w:cs="宋体"/>
          <w:color w:val="auto"/>
          <w:kern w:val="2"/>
          <w:sz w:val="22"/>
          <w:szCs w:val="22"/>
          <w:highlight w:val="none"/>
        </w:rPr>
        <w:t>（11）中标供应商因人员工作流动需更换运维人员的，应及时上报并征得采购人同意后，于15个工作日内进行更换，每月更换人员不得超过5人，且更换后人员需满足原投标承诺人员所具有的资格和业绩条件或于60日内通过培训取得上岗证件，因超过期限未完成更换导致未能满足原投标承诺人员所具有的资格、业绩及数量条件，每缺一人每超过15天扣款500元。</w:t>
      </w:r>
    </w:p>
    <w:p w14:paraId="35E38D94">
      <w:pPr>
        <w:pStyle w:val="8"/>
        <w:spacing w:line="4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1.</w:t>
      </w:r>
      <w:r>
        <w:rPr>
          <w:rFonts w:hint="eastAsia" w:ascii="宋体" w:hAnsi="宋体" w:cs="宋体"/>
          <w:b w:val="0"/>
          <w:color w:val="auto"/>
          <w:kern w:val="2"/>
          <w:sz w:val="22"/>
          <w:szCs w:val="22"/>
          <w:highlight w:val="none"/>
          <w:lang w:eastAsia="zh-CN"/>
        </w:rPr>
        <w:t>6</w:t>
      </w:r>
      <w:r>
        <w:rPr>
          <w:rFonts w:hint="eastAsia" w:ascii="宋体" w:hAnsi="宋体" w:cs="宋体"/>
          <w:b w:val="0"/>
          <w:color w:val="auto"/>
          <w:kern w:val="2"/>
          <w:sz w:val="22"/>
          <w:szCs w:val="22"/>
          <w:highlight w:val="none"/>
        </w:rPr>
        <w:t>经省级年度考核后，我市荣获省级年度农村生活污水处理设施运行维护管理工作考核优秀县（市、区）称号的，</w:t>
      </w:r>
      <w:r>
        <w:rPr>
          <w:rFonts w:hint="eastAsia" w:ascii="宋体" w:hAnsi="宋体" w:cs="宋体"/>
          <w:b w:val="0"/>
          <w:color w:val="auto"/>
          <w:kern w:val="2"/>
          <w:sz w:val="22"/>
          <w:szCs w:val="22"/>
          <w:highlight w:val="none"/>
          <w:lang w:eastAsia="zh-CN"/>
        </w:rPr>
        <w:t>根据实际情况有权</w:t>
      </w:r>
      <w:r>
        <w:rPr>
          <w:rFonts w:hint="eastAsia" w:ascii="宋体" w:hAnsi="宋体" w:cs="宋体"/>
          <w:b w:val="0"/>
          <w:color w:val="auto"/>
          <w:kern w:val="2"/>
          <w:sz w:val="22"/>
          <w:szCs w:val="22"/>
          <w:highlight w:val="none"/>
        </w:rPr>
        <w:t>每年给予</w:t>
      </w:r>
      <w:r>
        <w:rPr>
          <w:rFonts w:hint="eastAsia" w:ascii="宋体" w:hAnsi="宋体" w:cs="宋体"/>
          <w:b w:val="0"/>
          <w:color w:val="auto"/>
          <w:kern w:val="2"/>
          <w:sz w:val="22"/>
          <w:szCs w:val="22"/>
          <w:highlight w:val="none"/>
          <w:lang w:eastAsia="zh-CN"/>
        </w:rPr>
        <w:t>一定</w:t>
      </w:r>
      <w:r>
        <w:rPr>
          <w:rFonts w:hint="eastAsia" w:ascii="宋体" w:hAnsi="宋体" w:cs="宋体"/>
          <w:b w:val="0"/>
          <w:color w:val="auto"/>
          <w:kern w:val="2"/>
          <w:sz w:val="22"/>
          <w:szCs w:val="22"/>
          <w:highlight w:val="none"/>
        </w:rPr>
        <w:t>奖励金，具体考核结果以省级文件为准。</w:t>
      </w:r>
    </w:p>
    <w:p w14:paraId="5A743A8F">
      <w:pPr>
        <w:tabs>
          <w:tab w:val="left" w:pos="4018"/>
        </w:tabs>
        <w:snapToGri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1.7终端处理系统出现人工湿地植物大面积缺株，机电设施维修不及时，以及造成3次以上群众有效投诉或被媒体曝光造成重大不良社会影响等问题，</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w:t>
      </w:r>
      <w:r>
        <w:rPr>
          <w:rFonts w:hint="eastAsia" w:ascii="宋体" w:hAnsi="宋体"/>
          <w:color w:val="auto"/>
          <w:sz w:val="22"/>
          <w:szCs w:val="22"/>
          <w:highlight w:val="none"/>
          <w:lang w:eastAsia="zh-CN"/>
        </w:rPr>
        <w:t>区</w:t>
      </w:r>
      <w:r>
        <w:rPr>
          <w:rFonts w:hint="eastAsia" w:ascii="宋体" w:hAnsi="宋体"/>
          <w:color w:val="auto"/>
          <w:sz w:val="22"/>
          <w:szCs w:val="22"/>
          <w:highlight w:val="none"/>
        </w:rPr>
        <w:t>主管部门出具书面通知，仍不能按时完成整改的，停拨中标供应商该年余下全部运行维护资金，并终止合同。</w:t>
      </w:r>
    </w:p>
    <w:p w14:paraId="4F82E2C0">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2、定期例会</w:t>
      </w:r>
    </w:p>
    <w:p w14:paraId="0CA627C0">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每月25日召开运维工作例会，定期向县市主管部门和相关</w:t>
      </w:r>
      <w:r>
        <w:rPr>
          <w:rFonts w:hint="eastAsia" w:ascii="宋体" w:hAnsi="宋体" w:cs="宋体"/>
          <w:color w:val="auto"/>
          <w:kern w:val="0"/>
          <w:sz w:val="22"/>
          <w:highlight w:val="none"/>
          <w:lang w:eastAsia="zh-CN"/>
        </w:rPr>
        <w:t>采购人</w:t>
      </w:r>
      <w:r>
        <w:rPr>
          <w:rFonts w:hint="eastAsia" w:ascii="宋体" w:hAnsi="宋体" w:cs="宋体"/>
          <w:color w:val="auto"/>
          <w:kern w:val="0"/>
          <w:sz w:val="22"/>
          <w:highlight w:val="none"/>
        </w:rPr>
        <w:t>汇报、上交本月运营情况及相关资料，并汇报、提交下月的运维计划。</w:t>
      </w:r>
    </w:p>
    <w:p w14:paraId="07556DF5">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3、第三方水质检测</w:t>
      </w:r>
    </w:p>
    <w:p w14:paraId="77078A5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业主单位委托第三方具备水质检测资质的单位对处理终端进出水水质定期或不定期进行取样检测，第三方水质检测单位现场取样时，运维单位应无条件配合，不得弄虚作假或干扰影响。第三方水质检测单位水质检测工作按浙江省《农村生活污水治理设施出水水质检测与结果评价导则》相关要求执行，检测频率与检测项目由业主单位自行安排决定。</w:t>
      </w:r>
    </w:p>
    <w:p w14:paraId="573A9427">
      <w:pPr>
        <w:spacing w:line="440" w:lineRule="exact"/>
        <w:outlineLvl w:val="1"/>
        <w:rPr>
          <w:rFonts w:ascii="宋体" w:hAnsi="宋体" w:cs="宋体"/>
          <w:b/>
          <w:color w:val="auto"/>
          <w:sz w:val="22"/>
          <w:szCs w:val="22"/>
          <w:highlight w:val="none"/>
        </w:rPr>
      </w:pPr>
      <w:bookmarkStart w:id="406" w:name="_Toc35811964"/>
      <w:bookmarkStart w:id="407" w:name="_Toc287534986"/>
      <w:r>
        <w:rPr>
          <w:rFonts w:hint="eastAsia" w:ascii="宋体" w:hAnsi="宋体" w:cs="宋体"/>
          <w:b/>
          <w:color w:val="auto"/>
          <w:sz w:val="22"/>
          <w:szCs w:val="22"/>
          <w:highlight w:val="none"/>
        </w:rPr>
        <w:t>六、风险承担</w:t>
      </w:r>
      <w:bookmarkEnd w:id="406"/>
      <w:bookmarkEnd w:id="407"/>
    </w:p>
    <w:p w14:paraId="792A2FEE">
      <w:pPr>
        <w:pStyle w:val="31"/>
        <w:spacing w:line="440" w:lineRule="exact"/>
        <w:ind w:left="178" w:leftChars="85" w:firstLine="455" w:firstLineChars="207"/>
        <w:rPr>
          <w:rFonts w:ascii="宋体" w:hAnsi="宋体" w:cs="宋体"/>
          <w:color w:val="auto"/>
          <w:kern w:val="0"/>
          <w:sz w:val="22"/>
          <w:highlight w:val="none"/>
        </w:rPr>
      </w:pPr>
      <w:r>
        <w:rPr>
          <w:rFonts w:hint="eastAsia" w:ascii="宋体" w:hAnsi="宋体" w:cs="宋体"/>
          <w:color w:val="auto"/>
          <w:kern w:val="0"/>
          <w:sz w:val="22"/>
          <w:highlight w:val="none"/>
        </w:rPr>
        <w:t>须为所管辖区域内的所有本项目相关运维管理服务内容购买保险，业主单位移交给运维单位的全部设施设备，因可能发生的包括但不限于以下风险而须索赔的均由运维单位负责赔偿且处理相关事宜，相应的风险均由运维单位承担：</w:t>
      </w:r>
    </w:p>
    <w:p w14:paraId="407AF8A5">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1、因井盖、盖板等设施损坏、缺失导致的人身、财产损失索赔；</w:t>
      </w:r>
    </w:p>
    <w:p w14:paraId="741EB71E">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2、因设施设备损坏、缺失、操作不当及运维单位自身原因导致的人身、财产损失索赔；</w:t>
      </w:r>
    </w:p>
    <w:p w14:paraId="4B645C4F">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3、因运维单位对处理终端的养护维修不及时或运行管理不善导致污水溢流出排水系统造成的人身、财产损失索赔和行政处罚等；</w:t>
      </w:r>
    </w:p>
    <w:p w14:paraId="133E5421">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4、运维单位员工或者其聘请的工作人员在运维作业过程中以及完成合同约定的其他工作内容时造成的人身、财产损害。</w:t>
      </w:r>
    </w:p>
    <w:p w14:paraId="4FBFDAE6">
      <w:pPr>
        <w:pStyle w:val="31"/>
        <w:spacing w:line="440" w:lineRule="exact"/>
        <w:ind w:left="178" w:leftChars="85" w:firstLine="455" w:firstLineChars="207"/>
        <w:rPr>
          <w:rFonts w:ascii="宋体" w:hAnsi="宋体" w:cs="宋体"/>
          <w:color w:val="auto"/>
          <w:kern w:val="0"/>
          <w:sz w:val="22"/>
          <w:highlight w:val="none"/>
        </w:rPr>
      </w:pPr>
      <w:r>
        <w:rPr>
          <w:rFonts w:hint="eastAsia" w:ascii="宋体" w:hAnsi="宋体" w:cs="宋体"/>
          <w:b/>
          <w:bCs/>
          <w:color w:val="auto"/>
          <w:kern w:val="0"/>
          <w:sz w:val="22"/>
          <w:highlight w:val="none"/>
        </w:rPr>
        <w:t>注：（1）在运营期间发生的一切事故、责任全部由运维单位负责；（2）如运维单位未购买或少购买保险而导致赔偿纠纷的，均由运维单位自行负责和处理。</w:t>
      </w:r>
      <w:r>
        <w:rPr>
          <w:rFonts w:hint="eastAsia" w:ascii="宋体" w:hAnsi="宋体" w:cs="宋体"/>
          <w:color w:val="auto"/>
          <w:kern w:val="0"/>
          <w:sz w:val="22"/>
          <w:highlight w:val="none"/>
        </w:rPr>
        <w:t xml:space="preserve"> </w:t>
      </w:r>
    </w:p>
    <w:p w14:paraId="68C37FEB">
      <w:pPr>
        <w:spacing w:line="440" w:lineRule="exact"/>
        <w:outlineLvl w:val="1"/>
        <w:rPr>
          <w:rFonts w:ascii="宋体" w:hAnsi="宋体" w:cs="宋体"/>
          <w:b/>
          <w:color w:val="auto"/>
          <w:sz w:val="22"/>
          <w:szCs w:val="22"/>
          <w:highlight w:val="none"/>
        </w:rPr>
      </w:pPr>
      <w:bookmarkStart w:id="408" w:name="_Toc35811965"/>
      <w:r>
        <w:rPr>
          <w:rFonts w:hint="eastAsia" w:ascii="宋体" w:hAnsi="宋体" w:cs="宋体"/>
          <w:b/>
          <w:color w:val="auto"/>
          <w:sz w:val="22"/>
          <w:szCs w:val="22"/>
          <w:highlight w:val="none"/>
        </w:rPr>
        <w:t>七、商务条款</w:t>
      </w:r>
      <w:bookmarkEnd w:id="408"/>
      <w:r>
        <w:rPr>
          <w:rFonts w:hint="eastAsia" w:ascii="宋体" w:hAnsi="宋体" w:cs="宋体"/>
          <w:b/>
          <w:color w:val="auto"/>
          <w:sz w:val="22"/>
          <w:szCs w:val="22"/>
          <w:highlight w:val="none"/>
        </w:rPr>
        <w:t xml:space="preserve">  </w:t>
      </w:r>
    </w:p>
    <w:p w14:paraId="40132A11">
      <w:pPr>
        <w:spacing w:line="440" w:lineRule="exact"/>
        <w:ind w:firstLine="440" w:firstLineChars="200"/>
        <w:outlineLvl w:val="1"/>
        <w:rPr>
          <w:rFonts w:ascii="宋体" w:hAnsi="宋体"/>
          <w:b/>
          <w:color w:val="auto"/>
          <w:sz w:val="22"/>
          <w:szCs w:val="22"/>
          <w:highlight w:val="none"/>
        </w:rPr>
      </w:pPr>
      <w:bookmarkStart w:id="409" w:name="_Toc35811966"/>
      <w:r>
        <w:rPr>
          <w:rFonts w:hint="eastAsia" w:ascii="宋体" w:hAnsi="宋体"/>
          <w:b/>
          <w:color w:val="auto"/>
          <w:sz w:val="22"/>
          <w:szCs w:val="22"/>
          <w:highlight w:val="none"/>
        </w:rPr>
        <w:t>1、本项目运行维护期为1年</w:t>
      </w:r>
      <w:bookmarkEnd w:id="409"/>
      <w:r>
        <w:rPr>
          <w:rFonts w:hint="eastAsia" w:ascii="宋体" w:hAnsi="宋体"/>
          <w:b/>
          <w:color w:val="auto"/>
          <w:sz w:val="22"/>
          <w:szCs w:val="22"/>
          <w:highlight w:val="none"/>
        </w:rPr>
        <w:t>。一年内出现2次季度考核分低于75分的，采购人可提前终止合同。因农村生活污水治理设施运维工作不利被上级部门年度考核评价为不合格的，采购人可提前终止合同。</w:t>
      </w:r>
    </w:p>
    <w:p w14:paraId="37304037">
      <w:pPr>
        <w:snapToGrid w:val="0"/>
        <w:spacing w:line="440" w:lineRule="exact"/>
        <w:ind w:firstLine="440" w:firstLineChars="200"/>
        <w:rPr>
          <w:rFonts w:ascii="宋体" w:hAnsi="宋体"/>
          <w:color w:val="auto"/>
          <w:sz w:val="22"/>
          <w:szCs w:val="22"/>
          <w:highlight w:val="none"/>
          <w:lang w:val="zh-CN"/>
        </w:rPr>
      </w:pPr>
      <w:r>
        <w:rPr>
          <w:rFonts w:hint="eastAsia" w:ascii="宋体" w:hAnsi="宋体"/>
          <w:color w:val="auto"/>
          <w:sz w:val="22"/>
          <w:szCs w:val="22"/>
          <w:highlight w:val="none"/>
          <w:lang w:val="zh-CN"/>
        </w:rPr>
        <w:t>2、运维管理费用每</w:t>
      </w:r>
      <w:r>
        <w:rPr>
          <w:rFonts w:hint="eastAsia" w:ascii="宋体" w:hAnsi="宋体"/>
          <w:color w:val="auto"/>
          <w:sz w:val="22"/>
          <w:szCs w:val="22"/>
          <w:highlight w:val="none"/>
          <w:lang w:val="en-US" w:eastAsia="zh-CN"/>
        </w:rPr>
        <w:t>半年</w:t>
      </w:r>
      <w:r>
        <w:rPr>
          <w:rFonts w:hint="eastAsia" w:ascii="宋体" w:hAnsi="宋体"/>
          <w:color w:val="auto"/>
          <w:sz w:val="22"/>
          <w:szCs w:val="22"/>
          <w:highlight w:val="none"/>
          <w:lang w:val="zh-CN"/>
        </w:rPr>
        <w:t>支付一次。</w:t>
      </w:r>
      <w:r>
        <w:rPr>
          <w:rFonts w:hint="eastAsia" w:ascii="宋体" w:hAnsi="宋体"/>
          <w:color w:val="auto"/>
          <w:sz w:val="22"/>
          <w:szCs w:val="22"/>
          <w:highlight w:val="none"/>
        </w:rPr>
        <w:t>中标供应商</w:t>
      </w:r>
      <w:r>
        <w:rPr>
          <w:rFonts w:ascii="宋体" w:hAnsi="宋体"/>
          <w:color w:val="auto"/>
          <w:sz w:val="22"/>
          <w:szCs w:val="22"/>
          <w:highlight w:val="none"/>
        </w:rPr>
        <w:t>在费用结算周期到期后的次月</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25</w:t>
      </w:r>
      <w:r>
        <w:rPr>
          <w:rFonts w:ascii="宋体" w:hAnsi="宋体"/>
          <w:color w:val="auto"/>
          <w:sz w:val="22"/>
          <w:szCs w:val="22"/>
          <w:highlight w:val="none"/>
          <w:u w:val="single"/>
        </w:rPr>
        <w:t xml:space="preserve"> </w:t>
      </w:r>
      <w:r>
        <w:rPr>
          <w:rFonts w:ascii="宋体" w:hAnsi="宋体"/>
          <w:color w:val="auto"/>
          <w:sz w:val="22"/>
          <w:szCs w:val="22"/>
          <w:highlight w:val="none"/>
        </w:rPr>
        <w:t>日前向</w:t>
      </w:r>
      <w:r>
        <w:rPr>
          <w:rFonts w:hint="eastAsia" w:ascii="宋体" w:hAnsi="宋体"/>
          <w:color w:val="auto"/>
          <w:sz w:val="22"/>
          <w:szCs w:val="22"/>
          <w:highlight w:val="none"/>
        </w:rPr>
        <w:t>采购人</w:t>
      </w:r>
      <w:r>
        <w:rPr>
          <w:rFonts w:ascii="宋体" w:hAnsi="宋体"/>
          <w:color w:val="auto"/>
          <w:sz w:val="22"/>
          <w:szCs w:val="22"/>
          <w:highlight w:val="none"/>
        </w:rPr>
        <w:t>提交请款申请报告，</w:t>
      </w:r>
      <w:r>
        <w:rPr>
          <w:rFonts w:hint="eastAsia" w:ascii="宋体" w:hAnsi="宋体"/>
          <w:color w:val="auto"/>
          <w:sz w:val="22"/>
          <w:szCs w:val="22"/>
          <w:highlight w:val="none"/>
        </w:rPr>
        <w:t>采购人</w:t>
      </w:r>
      <w:r>
        <w:rPr>
          <w:rFonts w:ascii="宋体" w:hAnsi="宋体"/>
          <w:color w:val="auto"/>
          <w:sz w:val="22"/>
          <w:szCs w:val="22"/>
          <w:highlight w:val="none"/>
        </w:rPr>
        <w:t>在收到报告后</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7</w:t>
      </w:r>
      <w:r>
        <w:rPr>
          <w:rFonts w:ascii="宋体" w:hAnsi="宋体"/>
          <w:color w:val="auto"/>
          <w:sz w:val="22"/>
          <w:szCs w:val="22"/>
          <w:highlight w:val="none"/>
          <w:u w:val="single"/>
        </w:rPr>
        <w:t xml:space="preserve"> </w:t>
      </w:r>
      <w:r>
        <w:rPr>
          <w:rFonts w:ascii="宋体" w:hAnsi="宋体"/>
          <w:color w:val="auto"/>
          <w:sz w:val="22"/>
          <w:szCs w:val="22"/>
          <w:highlight w:val="none"/>
        </w:rPr>
        <w:t>天内完成审（考）核并确定当期运维服务费。</w:t>
      </w:r>
      <w:r>
        <w:rPr>
          <w:rFonts w:hint="eastAsia" w:ascii="宋体" w:hAnsi="宋体"/>
          <w:color w:val="auto"/>
          <w:sz w:val="22"/>
          <w:szCs w:val="22"/>
          <w:highlight w:val="none"/>
          <w:lang w:val="zh-CN"/>
        </w:rPr>
        <w:t>（由中标供应商提供税务机关正式票据和台账资料）</w:t>
      </w:r>
      <w:r>
        <w:rPr>
          <w:rFonts w:hint="eastAsia" w:ascii="宋体" w:hAnsi="宋体"/>
          <w:color w:val="auto"/>
          <w:sz w:val="22"/>
          <w:szCs w:val="22"/>
          <w:highlight w:val="none"/>
        </w:rPr>
        <w:t>。</w:t>
      </w:r>
    </w:p>
    <w:p w14:paraId="4A3479C7">
      <w:pPr>
        <w:spacing w:line="440" w:lineRule="exact"/>
        <w:outlineLvl w:val="1"/>
        <w:rPr>
          <w:rFonts w:ascii="宋体" w:hAnsi="宋体" w:cs="宋体"/>
          <w:b/>
          <w:color w:val="auto"/>
          <w:sz w:val="22"/>
          <w:szCs w:val="22"/>
          <w:highlight w:val="none"/>
        </w:rPr>
      </w:pPr>
      <w:bookmarkStart w:id="410" w:name="_Toc35811967"/>
      <w:r>
        <w:rPr>
          <w:rFonts w:hint="eastAsia" w:ascii="宋体" w:hAnsi="宋体" w:cs="宋体"/>
          <w:b/>
          <w:color w:val="auto"/>
          <w:sz w:val="22"/>
          <w:szCs w:val="22"/>
          <w:highlight w:val="none"/>
        </w:rPr>
        <w:t>八、其他要求</w:t>
      </w:r>
      <w:bookmarkEnd w:id="410"/>
    </w:p>
    <w:p w14:paraId="07432F18">
      <w:pPr>
        <w:tabs>
          <w:tab w:val="left" w:pos="4018"/>
        </w:tabs>
        <w:snapToGrid w:val="0"/>
        <w:spacing w:line="400" w:lineRule="exact"/>
        <w:ind w:firstLine="440" w:firstLineChars="200"/>
        <w:rPr>
          <w:rFonts w:ascii="宋体" w:hAnsi="宋体"/>
          <w:color w:val="auto"/>
          <w:sz w:val="22"/>
          <w:szCs w:val="22"/>
          <w:highlight w:val="none"/>
        </w:rPr>
      </w:pPr>
      <w:r>
        <w:rPr>
          <w:rFonts w:hint="eastAsia" w:ascii="宋体" w:hAnsi="宋体" w:cs="宋体"/>
          <w:color w:val="auto"/>
          <w:sz w:val="22"/>
          <w:szCs w:val="22"/>
          <w:highlight w:val="none"/>
        </w:rPr>
        <w:t>1、</w:t>
      </w:r>
      <w:r>
        <w:rPr>
          <w:rFonts w:hint="eastAsia" w:ascii="宋体" w:hAnsi="宋体"/>
          <w:color w:val="auto"/>
          <w:sz w:val="22"/>
          <w:szCs w:val="22"/>
          <w:highlight w:val="none"/>
        </w:rPr>
        <w:t>中标供应商发现各个</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 xml:space="preserve">开挖道路等施工破坏终端污水处理设施及管网时，应在3日内通知村镇及采购人，开挖道路等施工破坏终端污水处理设施及管网由采购人负责，中标供应商没有及时发现破坏终端污水处理设施及管网或发现未通知采购人，造成的损失均由中标供应商自行负责。 </w:t>
      </w:r>
    </w:p>
    <w:p w14:paraId="3B31F62B">
      <w:pPr>
        <w:pStyle w:val="31"/>
        <w:spacing w:line="440" w:lineRule="exact"/>
        <w:ind w:firstLine="440" w:firstLineChars="200"/>
        <w:rPr>
          <w:rFonts w:ascii="宋体" w:hAnsi="宋体" w:cs="宋体"/>
          <w:color w:val="auto"/>
          <w:kern w:val="0"/>
          <w:sz w:val="22"/>
          <w:highlight w:val="none"/>
        </w:rPr>
      </w:pPr>
      <w:bookmarkStart w:id="411" w:name="OLE_LINK15"/>
      <w:r>
        <w:rPr>
          <w:rFonts w:hint="eastAsia" w:ascii="宋体" w:hAnsi="宋体"/>
          <w:color w:val="auto"/>
          <w:sz w:val="22"/>
          <w:highlight w:val="none"/>
        </w:rPr>
        <w:t>2、终端污水处理设施及管网</w:t>
      </w:r>
      <w:bookmarkEnd w:id="411"/>
      <w:r>
        <w:rPr>
          <w:rFonts w:hint="eastAsia" w:ascii="宋体" w:hAnsi="宋体"/>
          <w:color w:val="auto"/>
          <w:sz w:val="22"/>
          <w:highlight w:val="none"/>
        </w:rPr>
        <w:t>正常损耗由中标供应商负责，“不可抗力”洪水、台风、地震等导致污水处理设施损坏须在当日上报预损失清单，并于3日内核实情况报告</w:t>
      </w:r>
      <w:r>
        <w:rPr>
          <w:rFonts w:hint="eastAsia" w:ascii="宋体" w:hAnsi="宋体"/>
          <w:color w:val="auto"/>
          <w:sz w:val="22"/>
          <w:highlight w:val="none"/>
          <w:lang w:eastAsia="zh-CN"/>
        </w:rPr>
        <w:t>采购人</w:t>
      </w:r>
      <w:r>
        <w:rPr>
          <w:rFonts w:hint="eastAsia" w:ascii="宋体" w:hAnsi="宋体"/>
          <w:color w:val="auto"/>
          <w:sz w:val="22"/>
          <w:highlight w:val="none"/>
        </w:rPr>
        <w:t>和采购人，否则损失由中标供应商自行负责。</w:t>
      </w:r>
    </w:p>
    <w:p w14:paraId="14740E1D">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3、运维服务期内，所有运维作业内容产生的垃圾（含淤泥）及多余污泥均应按政府有关规定作无害化处理，垃圾（含淤泥）及多余污泥的收集、压缩、转运、处置等费用及手续办理由运维单位自行承担，均应含在投标报价中。</w:t>
      </w:r>
    </w:p>
    <w:p w14:paraId="5903FA47">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4、若运维单位在合同服务期间，发生下列情形之一的，将被解除服务合同，且全额履约保证金作为违约金不予返还，因此造成的全部责任和损失由运维单位承担。</w:t>
      </w:r>
    </w:p>
    <w:p w14:paraId="6075A141">
      <w:pPr>
        <w:tabs>
          <w:tab w:val="left" w:pos="643"/>
        </w:tabs>
        <w:spacing w:line="440" w:lineRule="exact"/>
        <w:ind w:left="117" w:leftChars="56" w:firstLine="314" w:firstLineChars="143"/>
        <w:rPr>
          <w:rFonts w:ascii="宋体" w:hAnsi="宋体" w:cs="宋体"/>
          <w:color w:val="auto"/>
          <w:sz w:val="22"/>
          <w:szCs w:val="22"/>
          <w:highlight w:val="none"/>
        </w:rPr>
      </w:pPr>
      <w:r>
        <w:rPr>
          <w:rFonts w:hint="eastAsia" w:ascii="宋体" w:hAnsi="宋体" w:cs="宋体"/>
          <w:color w:val="auto"/>
          <w:sz w:val="22"/>
          <w:szCs w:val="22"/>
          <w:highlight w:val="none"/>
        </w:rPr>
        <w:t>（1）转包或未经业主单位同意，分包给与合同无关的第三方；</w:t>
      </w:r>
    </w:p>
    <w:p w14:paraId="338281BE">
      <w:pPr>
        <w:tabs>
          <w:tab w:val="left" w:pos="643"/>
        </w:tabs>
        <w:spacing w:line="440" w:lineRule="exact"/>
        <w:ind w:left="117" w:leftChars="56" w:firstLine="314" w:firstLineChars="143"/>
        <w:rPr>
          <w:rFonts w:ascii="宋体" w:hAnsi="宋体" w:cs="宋体"/>
          <w:color w:val="auto"/>
          <w:sz w:val="22"/>
          <w:szCs w:val="22"/>
          <w:highlight w:val="none"/>
        </w:rPr>
      </w:pPr>
      <w:r>
        <w:rPr>
          <w:rFonts w:hint="eastAsia" w:ascii="宋体" w:hAnsi="宋体" w:cs="宋体"/>
          <w:color w:val="auto"/>
          <w:sz w:val="22"/>
          <w:szCs w:val="22"/>
          <w:highlight w:val="none"/>
        </w:rPr>
        <w:t>（2）连续二次或累计三次考核成绩不合格；</w:t>
      </w:r>
    </w:p>
    <w:p w14:paraId="565F922E">
      <w:pPr>
        <w:tabs>
          <w:tab w:val="left" w:pos="643"/>
        </w:tabs>
        <w:spacing w:line="440" w:lineRule="exact"/>
        <w:ind w:left="117" w:leftChars="56" w:firstLine="314" w:firstLineChars="143"/>
        <w:rPr>
          <w:rFonts w:hint="eastAsia" w:ascii="宋体" w:hAnsi="宋体" w:cs="宋体"/>
          <w:color w:val="auto"/>
          <w:sz w:val="22"/>
          <w:szCs w:val="22"/>
          <w:highlight w:val="none"/>
        </w:rPr>
      </w:pPr>
      <w:r>
        <w:rPr>
          <w:rFonts w:hint="eastAsia" w:ascii="宋体" w:hAnsi="宋体" w:cs="宋体"/>
          <w:color w:val="auto"/>
          <w:sz w:val="22"/>
          <w:szCs w:val="22"/>
          <w:highlight w:val="none"/>
        </w:rPr>
        <w:t>（3）出现重大问题或重大事故造成严重影响的</w:t>
      </w:r>
    </w:p>
    <w:p w14:paraId="5C7D3D54">
      <w:pPr>
        <w:pStyle w:val="31"/>
        <w:spacing w:line="440" w:lineRule="exact"/>
        <w:ind w:firstLine="440" w:firstLineChars="200"/>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5、本项目运维服务要求具体以《</w:t>
      </w:r>
      <w:r>
        <w:rPr>
          <w:rFonts w:hint="eastAsia" w:ascii="宋体" w:hAnsi="宋体" w:cs="宋体"/>
          <w:b/>
          <w:bCs/>
          <w:color w:val="auto"/>
          <w:kern w:val="0"/>
          <w:sz w:val="22"/>
          <w:highlight w:val="none"/>
          <w:lang w:eastAsia="zh-CN"/>
        </w:rPr>
        <w:t>山福镇</w:t>
      </w:r>
      <w:r>
        <w:rPr>
          <w:rFonts w:hint="eastAsia" w:ascii="宋体" w:hAnsi="宋体" w:cs="宋体"/>
          <w:b/>
          <w:bCs/>
          <w:color w:val="auto"/>
          <w:kern w:val="0"/>
          <w:sz w:val="22"/>
          <w:highlight w:val="none"/>
        </w:rPr>
        <w:t>农村生活污水处理设施管理办法》为准。</w:t>
      </w:r>
    </w:p>
    <w:p w14:paraId="31485E43">
      <w:pPr>
        <w:pStyle w:val="31"/>
        <w:spacing w:line="440" w:lineRule="exact"/>
        <w:ind w:firstLine="440" w:firstLineChars="200"/>
        <w:rPr>
          <w:rFonts w:hint="eastAsia" w:ascii="宋体" w:hAnsi="宋体" w:cs="宋体"/>
          <w:b/>
          <w:bCs/>
          <w:color w:val="auto"/>
          <w:sz w:val="22"/>
          <w:highlight w:val="none"/>
        </w:rPr>
      </w:pPr>
      <w:r>
        <w:rPr>
          <w:rFonts w:hint="eastAsia" w:ascii="宋体" w:hAnsi="宋体" w:cs="宋体"/>
          <w:b/>
          <w:bCs/>
          <w:color w:val="auto"/>
          <w:sz w:val="22"/>
          <w:highlight w:val="none"/>
        </w:rPr>
        <w:t>6、本项目的考核办法解释权归采购人所有；如有必要，采购人有权对考核标准和实施细则进行合理的修改并通知中标供应商，中标供应商必须无条件服从。</w:t>
      </w:r>
    </w:p>
    <w:p w14:paraId="6FF79EBD">
      <w:pPr>
        <w:pStyle w:val="31"/>
        <w:spacing w:line="440" w:lineRule="exact"/>
        <w:ind w:firstLine="560" w:firstLineChars="200"/>
        <w:rPr>
          <w:rFonts w:hint="eastAsia" w:ascii="宋体" w:hAnsi="宋体" w:cs="宋体"/>
          <w:color w:val="auto"/>
          <w:sz w:val="28"/>
          <w:szCs w:val="36"/>
          <w:highlight w:val="none"/>
        </w:rPr>
        <w:sectPr>
          <w:footerReference r:id="rId9" w:type="default"/>
          <w:pgSz w:w="11906" w:h="16838"/>
          <w:pgMar w:top="1588" w:right="1406" w:bottom="1134" w:left="1588" w:header="680" w:footer="992" w:gutter="0"/>
          <w:cols w:space="720" w:num="1"/>
          <w:docGrid w:type="linesAndChars" w:linePitch="312" w:charSpace="0"/>
        </w:sectPr>
      </w:pPr>
    </w:p>
    <w:tbl>
      <w:tblPr>
        <w:tblStyle w:val="21"/>
        <w:tblW w:w="14264" w:type="dxa"/>
        <w:tblInd w:w="93" w:type="dxa"/>
        <w:tblLayout w:type="fixed"/>
        <w:tblCellMar>
          <w:top w:w="0" w:type="dxa"/>
          <w:left w:w="108" w:type="dxa"/>
          <w:bottom w:w="0" w:type="dxa"/>
          <w:right w:w="108" w:type="dxa"/>
        </w:tblCellMar>
      </w:tblPr>
      <w:tblGrid>
        <w:gridCol w:w="647"/>
        <w:gridCol w:w="788"/>
        <w:gridCol w:w="2537"/>
        <w:gridCol w:w="7356"/>
        <w:gridCol w:w="786"/>
        <w:gridCol w:w="786"/>
        <w:gridCol w:w="1364"/>
      </w:tblGrid>
      <w:tr w14:paraId="3FFC2259">
        <w:tblPrEx>
          <w:tblCellMar>
            <w:top w:w="0" w:type="dxa"/>
            <w:left w:w="108" w:type="dxa"/>
            <w:bottom w:w="0" w:type="dxa"/>
            <w:right w:w="108" w:type="dxa"/>
          </w:tblCellMar>
        </w:tblPrEx>
        <w:trPr>
          <w:trHeight w:val="539" w:hRule="atLeast"/>
        </w:trPr>
        <w:tc>
          <w:tcPr>
            <w:tcW w:w="14264" w:type="dxa"/>
            <w:gridSpan w:val="7"/>
            <w:tcBorders>
              <w:top w:val="single" w:color="auto" w:sz="8" w:space="0"/>
              <w:left w:val="single" w:color="auto" w:sz="8" w:space="0"/>
              <w:bottom w:val="single" w:color="auto" w:sz="4" w:space="0"/>
              <w:right w:val="single" w:color="auto" w:sz="8" w:space="0"/>
            </w:tcBorders>
            <w:noWrap/>
            <w:vAlign w:val="center"/>
          </w:tcPr>
          <w:p w14:paraId="4BF9D3A9">
            <w:pPr>
              <w:rPr>
                <w:rFonts w:ascii="宋体" w:hAnsi="宋体" w:cs="宋体"/>
                <w:color w:val="auto"/>
                <w:sz w:val="24"/>
                <w:highlight w:val="none"/>
              </w:rPr>
            </w:pPr>
            <w:r>
              <w:rPr>
                <w:rFonts w:hint="eastAsia" w:ascii="宋体" w:hAnsi="宋体"/>
                <w:color w:val="auto"/>
                <w:sz w:val="24"/>
                <w:highlight w:val="none"/>
              </w:rPr>
              <w:t xml:space="preserve">附表2 ：                          </w:t>
            </w:r>
            <w:r>
              <w:rPr>
                <w:rFonts w:hint="eastAsia" w:ascii="宋体" w:hAnsi="宋体"/>
                <w:color w:val="auto"/>
                <w:sz w:val="24"/>
                <w:highlight w:val="none"/>
                <w:u w:val="single"/>
              </w:rPr>
              <w:t xml:space="preserve">      </w:t>
            </w:r>
            <w:r>
              <w:rPr>
                <w:rFonts w:hint="eastAsia" w:ascii="宋体" w:hAnsi="宋体"/>
                <w:color w:val="auto"/>
                <w:sz w:val="24"/>
                <w:highlight w:val="none"/>
              </w:rPr>
              <w:t>年第</w:t>
            </w:r>
            <w:r>
              <w:rPr>
                <w:rFonts w:hint="eastAsia" w:ascii="宋体" w:hAnsi="宋体"/>
                <w:color w:val="auto"/>
                <w:sz w:val="24"/>
                <w:highlight w:val="none"/>
                <w:u w:val="single"/>
              </w:rPr>
              <w:t xml:space="preserve">    </w:t>
            </w:r>
            <w:r>
              <w:rPr>
                <w:rFonts w:hint="eastAsia" w:ascii="宋体" w:hAnsi="宋体"/>
                <w:color w:val="auto"/>
                <w:sz w:val="24"/>
                <w:highlight w:val="none"/>
              </w:rPr>
              <w:t>季度</w:t>
            </w:r>
            <w:r>
              <w:rPr>
                <w:rFonts w:hint="eastAsia" w:ascii="宋体" w:hAnsi="宋体"/>
                <w:color w:val="auto"/>
                <w:sz w:val="24"/>
                <w:highlight w:val="none"/>
                <w:u w:val="single"/>
                <w:lang w:val="en-US" w:eastAsia="zh-CN"/>
              </w:rPr>
              <w:t>山福</w:t>
            </w:r>
            <w:r>
              <w:rPr>
                <w:rFonts w:hint="eastAsia" w:ascii="宋体" w:hAnsi="宋体"/>
                <w:color w:val="auto"/>
                <w:sz w:val="24"/>
                <w:highlight w:val="none"/>
                <w:u w:val="single"/>
              </w:rPr>
              <w:t>镇农村生活污水处理</w:t>
            </w:r>
            <w:r>
              <w:rPr>
                <w:rFonts w:hint="eastAsia" w:ascii="宋体" w:hAnsi="宋体"/>
                <w:color w:val="auto"/>
                <w:sz w:val="24"/>
                <w:highlight w:val="none"/>
              </w:rPr>
              <w:t>设施第三方运维考核评分表</w:t>
            </w:r>
          </w:p>
        </w:tc>
      </w:tr>
      <w:tr w14:paraId="360AFB34">
        <w:tblPrEx>
          <w:tblCellMar>
            <w:top w:w="0" w:type="dxa"/>
            <w:left w:w="108" w:type="dxa"/>
            <w:bottom w:w="0" w:type="dxa"/>
            <w:right w:w="108" w:type="dxa"/>
          </w:tblCellMar>
        </w:tblPrEx>
        <w:trPr>
          <w:trHeight w:val="587" w:hRule="atLeast"/>
        </w:trPr>
        <w:tc>
          <w:tcPr>
            <w:tcW w:w="647" w:type="dxa"/>
            <w:tcBorders>
              <w:top w:val="single" w:color="auto" w:sz="8" w:space="0"/>
              <w:left w:val="single" w:color="auto" w:sz="8" w:space="0"/>
              <w:bottom w:val="single" w:color="auto" w:sz="4" w:space="0"/>
              <w:right w:val="single" w:color="auto" w:sz="4" w:space="0"/>
            </w:tcBorders>
            <w:noWrap/>
            <w:vAlign w:val="center"/>
          </w:tcPr>
          <w:p w14:paraId="27E82EE0">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8" w:type="dxa"/>
            <w:tcBorders>
              <w:top w:val="single" w:color="auto" w:sz="8" w:space="0"/>
              <w:left w:val="nil"/>
              <w:bottom w:val="single" w:color="auto" w:sz="4" w:space="0"/>
              <w:right w:val="single" w:color="auto" w:sz="4" w:space="0"/>
            </w:tcBorders>
            <w:noWrap/>
            <w:vAlign w:val="center"/>
          </w:tcPr>
          <w:p w14:paraId="47D7C673">
            <w:pP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2537" w:type="dxa"/>
            <w:tcBorders>
              <w:top w:val="single" w:color="auto" w:sz="8" w:space="0"/>
              <w:left w:val="nil"/>
              <w:bottom w:val="single" w:color="auto" w:sz="4" w:space="0"/>
              <w:right w:val="single" w:color="auto" w:sz="4" w:space="0"/>
            </w:tcBorders>
            <w:noWrap/>
            <w:vAlign w:val="center"/>
          </w:tcPr>
          <w:p w14:paraId="48D63CDC">
            <w:pPr>
              <w:jc w:val="center"/>
              <w:rPr>
                <w:rFonts w:hint="eastAsia" w:ascii="宋体" w:hAnsi="宋体" w:cs="宋体"/>
                <w:color w:val="auto"/>
                <w:sz w:val="24"/>
                <w:highlight w:val="none"/>
              </w:rPr>
            </w:pPr>
            <w:r>
              <w:rPr>
                <w:rFonts w:hint="eastAsia" w:ascii="宋体" w:hAnsi="宋体" w:cs="宋体"/>
                <w:color w:val="auto"/>
                <w:sz w:val="24"/>
                <w:highlight w:val="none"/>
              </w:rPr>
              <w:t>运行维护要求</w:t>
            </w:r>
          </w:p>
        </w:tc>
        <w:tc>
          <w:tcPr>
            <w:tcW w:w="7356" w:type="dxa"/>
            <w:tcBorders>
              <w:top w:val="single" w:color="auto" w:sz="8" w:space="0"/>
              <w:left w:val="nil"/>
              <w:bottom w:val="single" w:color="auto" w:sz="4" w:space="0"/>
              <w:right w:val="single" w:color="auto" w:sz="4" w:space="0"/>
            </w:tcBorders>
            <w:noWrap/>
            <w:vAlign w:val="center"/>
          </w:tcPr>
          <w:p w14:paraId="33BB5EB6">
            <w:pPr>
              <w:jc w:val="center"/>
              <w:rPr>
                <w:rFonts w:hint="eastAsia" w:ascii="宋体" w:hAnsi="宋体" w:cs="宋体"/>
                <w:color w:val="auto"/>
                <w:sz w:val="24"/>
                <w:highlight w:val="none"/>
              </w:rPr>
            </w:pPr>
            <w:r>
              <w:rPr>
                <w:rFonts w:hint="eastAsia" w:ascii="宋体" w:hAnsi="宋体" w:cs="宋体"/>
                <w:color w:val="auto"/>
                <w:sz w:val="24"/>
                <w:highlight w:val="none"/>
              </w:rPr>
              <w:t>评分标准</w:t>
            </w:r>
          </w:p>
        </w:tc>
        <w:tc>
          <w:tcPr>
            <w:tcW w:w="786" w:type="dxa"/>
            <w:tcBorders>
              <w:top w:val="single" w:color="auto" w:sz="8" w:space="0"/>
              <w:left w:val="nil"/>
              <w:bottom w:val="single" w:color="auto" w:sz="4" w:space="0"/>
              <w:right w:val="single" w:color="auto" w:sz="4" w:space="0"/>
            </w:tcBorders>
            <w:noWrap/>
            <w:vAlign w:val="center"/>
          </w:tcPr>
          <w:p w14:paraId="1405782E">
            <w:pPr>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786" w:type="dxa"/>
            <w:tcBorders>
              <w:top w:val="single" w:color="auto" w:sz="8" w:space="0"/>
              <w:left w:val="nil"/>
              <w:bottom w:val="single" w:color="auto" w:sz="4" w:space="0"/>
              <w:right w:val="single" w:color="auto" w:sz="4" w:space="0"/>
            </w:tcBorders>
            <w:noWrap/>
            <w:vAlign w:val="center"/>
          </w:tcPr>
          <w:p w14:paraId="4AE5F27C">
            <w:pPr>
              <w:jc w:val="center"/>
              <w:rPr>
                <w:rFonts w:hint="eastAsia" w:ascii="宋体" w:hAnsi="宋体" w:cs="宋体"/>
                <w:color w:val="auto"/>
                <w:sz w:val="24"/>
                <w:highlight w:val="none"/>
              </w:rPr>
            </w:pPr>
            <w:r>
              <w:rPr>
                <w:rFonts w:hint="eastAsia" w:ascii="宋体" w:hAnsi="宋体" w:cs="宋体"/>
                <w:color w:val="auto"/>
                <w:sz w:val="24"/>
                <w:highlight w:val="none"/>
              </w:rPr>
              <w:t>得分</w:t>
            </w:r>
          </w:p>
        </w:tc>
        <w:tc>
          <w:tcPr>
            <w:tcW w:w="1364" w:type="dxa"/>
            <w:tcBorders>
              <w:top w:val="single" w:color="auto" w:sz="8" w:space="0"/>
              <w:left w:val="nil"/>
              <w:bottom w:val="single" w:color="auto" w:sz="4" w:space="0"/>
              <w:right w:val="single" w:color="auto" w:sz="8" w:space="0"/>
            </w:tcBorders>
            <w:noWrap/>
            <w:vAlign w:val="center"/>
          </w:tcPr>
          <w:p w14:paraId="10F3F963">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224C6AE">
        <w:tblPrEx>
          <w:tblCellMar>
            <w:top w:w="0" w:type="dxa"/>
            <w:left w:w="108" w:type="dxa"/>
            <w:bottom w:w="0" w:type="dxa"/>
            <w:right w:w="108" w:type="dxa"/>
          </w:tblCellMar>
        </w:tblPrEx>
        <w:trPr>
          <w:trHeight w:val="1138"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4160A1E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4507A04">
            <w:pPr>
              <w:jc w:val="center"/>
              <w:rPr>
                <w:rFonts w:hint="eastAsia" w:ascii="宋体" w:hAnsi="宋体" w:cs="宋体"/>
                <w:color w:val="auto"/>
                <w:szCs w:val="21"/>
                <w:highlight w:val="none"/>
              </w:rPr>
            </w:pPr>
            <w:r>
              <w:rPr>
                <w:rFonts w:hint="eastAsia" w:ascii="宋体" w:hAnsi="宋体" w:cs="宋体"/>
                <w:color w:val="auto"/>
                <w:szCs w:val="21"/>
                <w:highlight w:val="none"/>
              </w:rPr>
              <w:t>平台运行</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FD1DA71">
            <w:pPr>
              <w:rPr>
                <w:rFonts w:hint="eastAsia" w:ascii="宋体" w:hAnsi="宋体" w:cs="宋体"/>
                <w:color w:val="auto"/>
                <w:szCs w:val="21"/>
                <w:highlight w:val="none"/>
              </w:rPr>
            </w:pPr>
            <w:r>
              <w:rPr>
                <w:rFonts w:hint="eastAsia" w:ascii="宋体" w:hAnsi="宋体" w:cs="宋体"/>
                <w:color w:val="auto"/>
                <w:szCs w:val="21"/>
                <w:highlight w:val="none"/>
              </w:rPr>
              <w:t>平台运行情况良好，数据维护及时、完整，终端运行情况在平台上能直观反映。</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2A787CB0">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根据招标文件和省市农污运维管理平台相关导则、规范要求，缺少一项内容模块扣2分；有联网设施，终端运行情况不能正常反映，发现一处扣1分；扣完为止。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9106139">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67E6506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855BCF3">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9FD7D33">
        <w:tblPrEx>
          <w:tblCellMar>
            <w:top w:w="0" w:type="dxa"/>
            <w:left w:w="108" w:type="dxa"/>
            <w:bottom w:w="0" w:type="dxa"/>
            <w:right w:w="108" w:type="dxa"/>
          </w:tblCellMar>
        </w:tblPrEx>
        <w:trPr>
          <w:trHeight w:val="1816"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0895591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CBBB957">
            <w:pPr>
              <w:jc w:val="center"/>
              <w:rPr>
                <w:rFonts w:hint="eastAsia" w:ascii="宋体" w:hAnsi="宋体" w:cs="宋体"/>
                <w:color w:val="auto"/>
                <w:szCs w:val="21"/>
                <w:highlight w:val="none"/>
              </w:rPr>
            </w:pPr>
            <w:r>
              <w:rPr>
                <w:rFonts w:hint="eastAsia" w:ascii="宋体" w:hAnsi="宋体" w:cs="宋体"/>
                <w:color w:val="auto"/>
                <w:szCs w:val="21"/>
                <w:highlight w:val="none"/>
              </w:rPr>
              <w:t>运行维护人员</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2C181F23">
            <w:pPr>
              <w:rPr>
                <w:rFonts w:hint="eastAsia" w:ascii="宋体" w:hAnsi="宋体" w:cs="宋体"/>
                <w:color w:val="auto"/>
                <w:szCs w:val="21"/>
                <w:highlight w:val="none"/>
              </w:rPr>
            </w:pPr>
            <w:r>
              <w:rPr>
                <w:rFonts w:hint="eastAsia" w:ascii="宋体" w:hAnsi="宋体" w:cs="宋体"/>
                <w:color w:val="auto"/>
                <w:szCs w:val="21"/>
                <w:highlight w:val="none"/>
              </w:rPr>
              <w:t>每个终端落实专业运行维护人员，并在终端告示牌上公示人员及联系方式，考勤系统正常考勤，足额配备运维车辆及工具。</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03A3E64">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根据招标文件和省市农污运维管理平台相关导则、规范要求，没有落实专人负责不得分，有落实但未公示扣2分，考勤系统未正常使用扣3分；运维设备配备不足扣2分。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956DD46">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77E3A63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591A49F">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6066A793">
        <w:tblPrEx>
          <w:tblCellMar>
            <w:top w:w="0" w:type="dxa"/>
            <w:left w:w="108" w:type="dxa"/>
            <w:bottom w:w="0" w:type="dxa"/>
            <w:right w:w="108" w:type="dxa"/>
          </w:tblCellMar>
        </w:tblPrEx>
        <w:trPr>
          <w:trHeight w:val="9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6D6E92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9AFF5F1">
            <w:pPr>
              <w:jc w:val="center"/>
              <w:rPr>
                <w:rFonts w:hint="eastAsia" w:ascii="宋体" w:hAnsi="宋体" w:cs="宋体"/>
                <w:color w:val="auto"/>
                <w:szCs w:val="21"/>
                <w:highlight w:val="none"/>
              </w:rPr>
            </w:pPr>
            <w:r>
              <w:rPr>
                <w:rFonts w:hint="eastAsia" w:ascii="宋体" w:hAnsi="宋体" w:cs="宋体"/>
                <w:color w:val="auto"/>
                <w:szCs w:val="21"/>
                <w:highlight w:val="none"/>
              </w:rPr>
              <w:t>终端设施主体</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D07953F">
            <w:pPr>
              <w:rPr>
                <w:rFonts w:hint="eastAsia" w:ascii="宋体" w:hAnsi="宋体" w:cs="宋体"/>
                <w:color w:val="auto"/>
                <w:szCs w:val="21"/>
                <w:highlight w:val="none"/>
              </w:rPr>
            </w:pPr>
            <w:r>
              <w:rPr>
                <w:rFonts w:hint="eastAsia" w:ascii="宋体" w:hAnsi="宋体" w:cs="宋体"/>
                <w:color w:val="auto"/>
                <w:szCs w:val="21"/>
                <w:highlight w:val="none"/>
              </w:rPr>
              <w:t>确保终端正常运行，定期检查水泵及风机运行维护和配电房、流量计的检查管理；及时对格栅清理，对集水井清淤以防止泥沙淤积造成水泵堵塞；终端场地内无垃圾、无积水，周边环境整洁。</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F36F86F">
            <w:pPr>
              <w:rPr>
                <w:rFonts w:hint="eastAsia" w:ascii="宋体" w:hAnsi="宋体" w:cs="宋体"/>
                <w:color w:val="auto"/>
                <w:szCs w:val="21"/>
                <w:highlight w:val="none"/>
              </w:rPr>
            </w:pPr>
            <w:r>
              <w:rPr>
                <w:rFonts w:hint="eastAsia" w:ascii="宋体" w:hAnsi="宋体" w:cs="宋体"/>
                <w:color w:val="auto"/>
                <w:szCs w:val="21"/>
                <w:highlight w:val="none"/>
              </w:rPr>
              <w:t>①随机抽取</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处终端，检查终端有设备不正常运行或缺失，而又未及时更换、修复的，每处扣1分；</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未对格栅或集水井进行定期清理，每处扣0.5分；</w:t>
            </w: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现场发现水泵堵塞、烧泵现象的，每处扣0.5分；</w:t>
            </w: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人工湿地堵塞或植物生长差的，扣2分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人工湿地杂草丛生、未及时收割修剪扣0.5分，湿地有垃圾扣0.5分，湿地硬件损坏等影响湿地作用发挥未及时修复，扣1分；扣完为止。</w:t>
            </w:r>
          </w:p>
          <w:p w14:paraId="0732B4A7">
            <w:pPr>
              <w:rPr>
                <w:rFonts w:hint="eastAsia"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运行情况（有无占用，进出水量，人工湿地运行情况，流量计、监控监测、水泵、风机、电表等设备）（3分）。终端用于非处理设施功能的，扣2分；进出水量异常，原因不明的，扣2分；；其他设备不能正常运转使用的，发现1处扣1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C11C79D">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02CD0C50">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E798E2D">
            <w:pPr>
              <w:jc w:val="center"/>
              <w:rPr>
                <w:rFonts w:hint="eastAsia" w:ascii="宋体" w:hAnsi="宋体" w:cs="宋体"/>
                <w:color w:val="auto"/>
                <w:szCs w:val="21"/>
                <w:highlight w:val="none"/>
              </w:rPr>
            </w:pPr>
          </w:p>
        </w:tc>
      </w:tr>
      <w:tr w14:paraId="6137ADBC">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051269AF">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2B2115E">
            <w:pPr>
              <w:jc w:val="center"/>
              <w:rPr>
                <w:rFonts w:ascii="宋体" w:hAnsi="宋体" w:cs="宋体"/>
                <w:color w:val="auto"/>
                <w:szCs w:val="21"/>
                <w:highlight w:val="none"/>
              </w:rPr>
            </w:pPr>
            <w:r>
              <w:rPr>
                <w:rFonts w:hint="eastAsia" w:ascii="宋体" w:hAnsi="宋体" w:cs="宋体"/>
                <w:color w:val="auto"/>
                <w:szCs w:val="21"/>
                <w:highlight w:val="none"/>
              </w:rPr>
              <w:t>管网运行维护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6C0D0CB">
            <w:pPr>
              <w:rPr>
                <w:rFonts w:ascii="宋体" w:hAnsi="宋体" w:cs="宋体"/>
                <w:color w:val="auto"/>
                <w:szCs w:val="21"/>
                <w:highlight w:val="none"/>
              </w:rPr>
            </w:pPr>
            <w:r>
              <w:rPr>
                <w:rFonts w:hint="eastAsia" w:ascii="宋体" w:hAnsi="宋体" w:cs="宋体"/>
                <w:color w:val="auto"/>
                <w:szCs w:val="21"/>
                <w:highlight w:val="none"/>
              </w:rPr>
              <w:t>定期检查污水管道和清扫口，检查井等有关设施，及时清理淤积物，保持管道畅通</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66B463E4">
            <w:pPr>
              <w:rPr>
                <w:rFonts w:hint="eastAsia" w:ascii="宋体" w:hAnsi="宋体" w:cs="宋体"/>
                <w:color w:val="auto"/>
                <w:szCs w:val="21"/>
                <w:highlight w:val="none"/>
              </w:rPr>
            </w:pPr>
            <w:r>
              <w:rPr>
                <w:rFonts w:hint="eastAsia" w:ascii="宋体" w:hAnsi="宋体" w:cs="宋体"/>
                <w:color w:val="auto"/>
                <w:szCs w:val="21"/>
                <w:highlight w:val="none"/>
              </w:rPr>
              <w:t>①及时清理、疏通清扫口、检查井，每发现严重淤积扣0.1分，堵塞扣0.3分；②管网破损且未及时报告修复，检查发现，主干管一次扣0.5分，支管一次扣0.3分；③管网堵塞未及时疏通，发现一次扣0.3分，严重淤积扣0.1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D01CBA3">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55FEF02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4552A25">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CDF6D0D">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23EAD4D">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5246AAF">
            <w:pPr>
              <w:jc w:val="center"/>
              <w:rPr>
                <w:rFonts w:hint="eastAsia" w:ascii="宋体" w:hAnsi="宋体" w:cs="宋体"/>
                <w:color w:val="auto"/>
                <w:szCs w:val="21"/>
                <w:highlight w:val="none"/>
              </w:rPr>
            </w:pPr>
            <w:r>
              <w:rPr>
                <w:rFonts w:hint="eastAsia" w:ascii="宋体" w:hAnsi="宋体" w:cs="宋体"/>
                <w:color w:val="auto"/>
                <w:szCs w:val="21"/>
                <w:highlight w:val="none"/>
              </w:rPr>
              <w:t>终端进出水量、水质</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CA0E285">
            <w:pPr>
              <w:rPr>
                <w:rFonts w:hint="eastAsia" w:ascii="宋体" w:hAnsi="宋体" w:cs="宋体"/>
                <w:color w:val="auto"/>
                <w:szCs w:val="21"/>
                <w:highlight w:val="none"/>
              </w:rPr>
            </w:pPr>
            <w:r>
              <w:rPr>
                <w:rFonts w:hint="eastAsia" w:ascii="宋体" w:hAnsi="宋体" w:cs="宋体"/>
                <w:color w:val="auto"/>
                <w:szCs w:val="21"/>
                <w:highlight w:val="none"/>
              </w:rPr>
              <w:t>观察、检测进出水水量、水质是否正常，发现异常及时查找原因并进行维护；对出水按规范开展自检。</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52E1C696">
            <w:pPr>
              <w:rPr>
                <w:rFonts w:hint="eastAsia" w:ascii="宋体" w:hAnsi="宋体" w:cs="宋体"/>
                <w:color w:val="auto"/>
                <w:szCs w:val="21"/>
                <w:highlight w:val="none"/>
              </w:rPr>
            </w:pPr>
            <w:r>
              <w:rPr>
                <w:rFonts w:hint="eastAsia" w:ascii="宋体" w:hAnsi="宋体" w:cs="宋体"/>
                <w:color w:val="auto"/>
                <w:szCs w:val="21"/>
                <w:highlight w:val="none"/>
              </w:rPr>
              <w:t>①定期将水质检测结果报送至业主单位，发现一次未及时提交业主单位扣5分；②水量异常或无进水，且未及时报告修复，发现一次扣5分；③考核期内，抽检</w:t>
            </w:r>
            <w:r>
              <w:rPr>
                <w:rFonts w:hint="eastAsia" w:ascii="宋体" w:hAnsi="宋体" w:cs="宋体"/>
                <w:color w:val="auto"/>
                <w:szCs w:val="21"/>
                <w:highlight w:val="none"/>
                <w:lang w:val="en-US" w:eastAsia="zh-CN"/>
              </w:rPr>
              <w:t>承诺出水设施</w:t>
            </w:r>
            <w:r>
              <w:rPr>
                <w:rFonts w:hint="eastAsia" w:ascii="宋体" w:hAnsi="宋体" w:cs="宋体"/>
                <w:color w:val="auto"/>
                <w:szCs w:val="21"/>
                <w:highlight w:val="none"/>
              </w:rPr>
              <w:t>水质达标率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不达标扣1分</w:t>
            </w:r>
            <w:r>
              <w:rPr>
                <w:rFonts w:hint="eastAsia" w:ascii="宋体" w:hAnsi="宋体" w:cs="宋体"/>
                <w:color w:val="auto"/>
                <w:szCs w:val="21"/>
                <w:highlight w:val="none"/>
              </w:rPr>
              <w:t>；扣完为止。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57890B3">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74D3BF33">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D6BD15F">
            <w:pPr>
              <w:jc w:val="center"/>
              <w:rPr>
                <w:rFonts w:hint="eastAsia" w:ascii="宋体" w:hAnsi="宋体" w:cs="宋体"/>
                <w:color w:val="auto"/>
                <w:szCs w:val="21"/>
                <w:highlight w:val="none"/>
              </w:rPr>
            </w:pPr>
          </w:p>
        </w:tc>
      </w:tr>
      <w:tr w14:paraId="203C665E">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41AD5AF9">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B7F1405">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规章</w:t>
            </w:r>
            <w:r>
              <w:rPr>
                <w:rFonts w:hint="eastAsia" w:ascii="宋体" w:hAnsi="宋体" w:cs="宋体"/>
                <w:color w:val="auto"/>
                <w:szCs w:val="21"/>
                <w:highlight w:val="none"/>
              </w:rPr>
              <w:t>制度落实及台账资料情况</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F994274">
            <w:pPr>
              <w:rPr>
                <w:rFonts w:hint="eastAsia" w:ascii="宋体" w:hAnsi="宋体" w:cs="宋体"/>
                <w:color w:val="auto"/>
                <w:szCs w:val="21"/>
                <w:highlight w:val="none"/>
              </w:rPr>
            </w:pPr>
            <w:r>
              <w:rPr>
                <w:rFonts w:hint="eastAsia" w:ascii="宋体" w:hAnsi="宋体" w:cs="宋体"/>
                <w:color w:val="auto"/>
                <w:szCs w:val="21"/>
                <w:highlight w:val="none"/>
              </w:rPr>
              <w:t>建立完整规范的各种规章制度、维护管理记录，重大事故报告及处理记录，年度检修维护记录和水质监测记录报告。</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2D0ECD05">
            <w:pPr>
              <w:rPr>
                <w:rFonts w:hint="eastAsia" w:ascii="宋体" w:hAnsi="宋体" w:cs="宋体"/>
                <w:color w:val="auto"/>
                <w:szCs w:val="21"/>
                <w:highlight w:val="none"/>
              </w:rPr>
            </w:pPr>
            <w:r>
              <w:rPr>
                <w:rFonts w:hint="eastAsia" w:ascii="宋体" w:hAnsi="宋体" w:cs="宋体"/>
                <w:color w:val="auto"/>
                <w:szCs w:val="21"/>
                <w:highlight w:val="none"/>
              </w:rPr>
              <w:t>①未建立日常维护制度的扣5分，制度缺一项扣1分，未明确日常人员管理范围、管理职责，扣2分；②未按要求落实相关管理职责及时上报相关数据报表,扣3分；③终端及管网的检查、维护、维修记录等资料齐全，水质自检相关记录真实完整，无记录扣5分，不规范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1E53F6C">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86" w:type="dxa"/>
            <w:tcBorders>
              <w:top w:val="single" w:color="auto" w:sz="4" w:space="0"/>
              <w:left w:val="single" w:color="auto" w:sz="4" w:space="0"/>
              <w:bottom w:val="single" w:color="auto" w:sz="4" w:space="0"/>
              <w:right w:val="nil"/>
            </w:tcBorders>
            <w:noWrap w:val="0"/>
            <w:vAlign w:val="center"/>
          </w:tcPr>
          <w:p w14:paraId="64B028A5">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2DD3087">
            <w:pPr>
              <w:jc w:val="center"/>
              <w:rPr>
                <w:rFonts w:hint="eastAsia" w:ascii="宋体" w:hAnsi="宋体" w:cs="宋体"/>
                <w:color w:val="auto"/>
                <w:szCs w:val="21"/>
                <w:highlight w:val="none"/>
              </w:rPr>
            </w:pPr>
          </w:p>
        </w:tc>
      </w:tr>
      <w:tr w14:paraId="1753D26B">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751639D">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C1B77B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lang w:eastAsia="zh-CN"/>
              </w:rPr>
              <w:t>及</w:t>
            </w:r>
            <w:r>
              <w:rPr>
                <w:rFonts w:hint="eastAsia" w:ascii="宋体" w:hAnsi="宋体" w:cs="宋体"/>
                <w:color w:val="auto"/>
                <w:szCs w:val="21"/>
                <w:highlight w:val="none"/>
              </w:rPr>
              <w:t>主要运维设施、设备</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693666F">
            <w:pPr>
              <w:rPr>
                <w:rFonts w:hint="eastAsia" w:ascii="宋体" w:hAnsi="宋体" w:cs="宋体"/>
                <w:color w:val="auto"/>
                <w:szCs w:val="21"/>
                <w:highlight w:val="none"/>
              </w:rPr>
            </w:pPr>
            <w:r>
              <w:rPr>
                <w:rFonts w:hint="eastAsia" w:ascii="宋体" w:hAnsi="宋体" w:cs="宋体"/>
                <w:color w:val="auto"/>
                <w:szCs w:val="21"/>
                <w:highlight w:val="none"/>
              </w:rPr>
              <w:t>配备</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和运维设施设备</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A930382">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①未配备化验人员、化验仪器试剂药品或未对水质进行检测并提交化验报告与分析的酌情扣分。</w:t>
            </w:r>
          </w:p>
          <w:p w14:paraId="7BA9390A">
            <w:pPr>
              <w:rPr>
                <w:rFonts w:hint="eastAsia" w:ascii="宋体" w:hAnsi="宋体" w:cs="宋体"/>
                <w:color w:val="auto"/>
                <w:szCs w:val="21"/>
                <w:highlight w:val="none"/>
              </w:rPr>
            </w:pPr>
            <w:r>
              <w:rPr>
                <w:rFonts w:hint="eastAsia" w:ascii="宋体" w:hAnsi="宋体" w:cs="宋体"/>
                <w:color w:val="auto"/>
                <w:szCs w:val="21"/>
                <w:highlight w:val="none"/>
              </w:rPr>
              <w:t>②主要运维设施、设备。未配备运维车辆、吸粪车、高压冲洗车、CCTV管道机器人等设备或配置运维设备不足的酌情扣分。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B5C3711">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017916DC">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33C644BA">
            <w:pPr>
              <w:jc w:val="center"/>
              <w:rPr>
                <w:rFonts w:hint="eastAsia" w:ascii="宋体" w:hAnsi="宋体" w:cs="宋体"/>
                <w:color w:val="auto"/>
                <w:szCs w:val="21"/>
                <w:highlight w:val="none"/>
              </w:rPr>
            </w:pPr>
          </w:p>
        </w:tc>
      </w:tr>
      <w:tr w14:paraId="054E1B65">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34DEF96">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8DE0A63">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接户井</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24BCD8A">
            <w:pPr>
              <w:rPr>
                <w:rFonts w:hint="eastAsia" w:ascii="宋体" w:hAnsi="宋体" w:cs="宋体"/>
                <w:color w:val="auto"/>
                <w:szCs w:val="21"/>
                <w:highlight w:val="none"/>
              </w:rPr>
            </w:pPr>
            <w:r>
              <w:rPr>
                <w:rFonts w:hint="eastAsia" w:ascii="宋体" w:hAnsi="宋体" w:cs="宋体"/>
                <w:color w:val="auto"/>
                <w:szCs w:val="21"/>
                <w:highlight w:val="none"/>
                <w:lang w:eastAsia="zh-CN"/>
              </w:rPr>
              <w:t>定期检查接户井，</w:t>
            </w:r>
            <w:r>
              <w:rPr>
                <w:rFonts w:hint="eastAsia" w:ascii="宋体" w:hAnsi="宋体" w:cs="宋体"/>
                <w:color w:val="auto"/>
                <w:szCs w:val="21"/>
                <w:highlight w:val="none"/>
              </w:rPr>
              <w:t>及时清理淤积物</w:t>
            </w:r>
            <w:r>
              <w:rPr>
                <w:rFonts w:hint="eastAsia" w:ascii="宋体" w:hAnsi="宋体" w:cs="宋体"/>
                <w:color w:val="auto"/>
                <w:szCs w:val="21"/>
                <w:highlight w:val="none"/>
                <w:lang w:eastAsia="zh-CN"/>
              </w:rPr>
              <w:t>。</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6D85B780">
            <w:pPr>
              <w:rPr>
                <w:rFonts w:hint="eastAsia" w:ascii="宋体" w:hAnsi="宋体" w:cs="宋体"/>
                <w:color w:val="auto"/>
                <w:szCs w:val="21"/>
                <w:highlight w:val="none"/>
              </w:rPr>
            </w:pPr>
            <w:r>
              <w:rPr>
                <w:rFonts w:hint="eastAsia" w:ascii="宋体" w:hAnsi="宋体" w:cs="宋体"/>
                <w:color w:val="auto"/>
                <w:szCs w:val="21"/>
                <w:highlight w:val="none"/>
              </w:rPr>
              <w:t>接户井（无接户井的，检查离农户最近的检查井）不少于3个。1处接户井开裂、无格栅或栅渣不及时清除的，扣0.5分；1处生活污水排放口未接入接户井的或有雨水管接入的，扣1分。</w:t>
            </w:r>
          </w:p>
          <w:p w14:paraId="3A500EA6">
            <w:pPr>
              <w:rPr>
                <w:rFonts w:hint="eastAsia" w:ascii="宋体" w:hAnsi="宋体" w:cs="宋体"/>
                <w:color w:val="auto"/>
                <w:szCs w:val="21"/>
                <w:highlight w:val="none"/>
              </w:rPr>
            </w:pPr>
            <w:r>
              <w:rPr>
                <w:rFonts w:hint="eastAsia" w:ascii="宋体" w:hAnsi="宋体" w:cs="宋体"/>
                <w:color w:val="auto"/>
                <w:szCs w:val="21"/>
                <w:highlight w:val="none"/>
              </w:rPr>
              <w:t>其他检查井不少于3个。1处检查井井盖、井体开裂损坏的，扣1分；井内有污泥淤积、垃圾留存的，扣0.5分；未按规定设置防坠网的，扣0.5分；有雨水管接入的，扣0.5分。发现其他异常情况酌情扣分。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487E467">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5</w:t>
            </w:r>
          </w:p>
        </w:tc>
        <w:tc>
          <w:tcPr>
            <w:tcW w:w="786" w:type="dxa"/>
            <w:tcBorders>
              <w:top w:val="single" w:color="auto" w:sz="4" w:space="0"/>
              <w:left w:val="single" w:color="auto" w:sz="4" w:space="0"/>
              <w:bottom w:val="single" w:color="auto" w:sz="4" w:space="0"/>
              <w:right w:val="nil"/>
            </w:tcBorders>
            <w:noWrap w:val="0"/>
            <w:vAlign w:val="center"/>
          </w:tcPr>
          <w:p w14:paraId="71B020EA">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15F009B3">
            <w:pPr>
              <w:jc w:val="center"/>
              <w:rPr>
                <w:rFonts w:hint="eastAsia" w:ascii="宋体" w:hAnsi="宋体" w:cs="宋体"/>
                <w:color w:val="auto"/>
                <w:szCs w:val="21"/>
                <w:highlight w:val="none"/>
              </w:rPr>
            </w:pPr>
          </w:p>
        </w:tc>
      </w:tr>
      <w:tr w14:paraId="58347C96">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247C703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6C53447">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标准化运维</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86B6265">
            <w:pPr>
              <w:rPr>
                <w:rFonts w:hint="eastAsia" w:ascii="宋体" w:hAnsi="宋体" w:cs="宋体"/>
                <w:color w:val="auto"/>
                <w:szCs w:val="21"/>
                <w:highlight w:val="none"/>
              </w:rPr>
            </w:pPr>
            <w:r>
              <w:rPr>
                <w:rFonts w:hint="eastAsia" w:ascii="仿宋_GB2312" w:hAnsi="仿宋_GB2312" w:cs="仿宋_GB2312"/>
                <w:color w:val="auto"/>
                <w:kern w:val="0"/>
                <w:szCs w:val="32"/>
                <w:highlight w:val="none"/>
                <w:lang w:eastAsia="zh-CN" w:bidi="ar"/>
              </w:rPr>
              <w:t>完成</w:t>
            </w:r>
            <w:r>
              <w:rPr>
                <w:rFonts w:hint="eastAsia" w:ascii="仿宋_GB2312" w:hAnsi="仿宋_GB2312" w:cs="仿宋_GB2312"/>
                <w:color w:val="auto"/>
                <w:kern w:val="0"/>
                <w:szCs w:val="32"/>
                <w:highlight w:val="none"/>
                <w:lang w:val="en-US" w:eastAsia="zh-CN" w:bidi="ar"/>
              </w:rPr>
              <w:t>2025</w:t>
            </w:r>
            <w:r>
              <w:rPr>
                <w:rFonts w:hint="eastAsia" w:ascii="仿宋_GB2312" w:hAnsi="仿宋_GB2312" w:cs="仿宋_GB2312"/>
                <w:color w:val="auto"/>
                <w:kern w:val="0"/>
                <w:szCs w:val="32"/>
                <w:highlight w:val="none"/>
                <w:lang w:bidi="ar"/>
              </w:rPr>
              <w:t>年的任务数</w:t>
            </w:r>
            <w:r>
              <w:rPr>
                <w:rFonts w:hint="eastAsia" w:ascii="仿宋_GB2312" w:hAnsi="仿宋_GB2312" w:cs="仿宋_GB2312"/>
                <w:color w:val="auto"/>
                <w:kern w:val="0"/>
                <w:szCs w:val="32"/>
                <w:highlight w:val="none"/>
                <w:lang w:eastAsia="zh-CN" w:bidi="ar"/>
              </w:rPr>
              <w:t>且质量合格</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48736A9E">
            <w:pPr>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下达的任务数，完成任务得5分；工作质量（15分）；实施方案、工作计划（2分）；标准化运维公示牌（1分）；处理设施问题与整改（5分）；标准化运维评价过程，评价资料（包括运维单位的自评表1分、自评报告1分，水质自检和分析报告1分、复核评价表1.5分、复核报告1.5分和标准化运维完成后照片1分）上报并上传平台（7分）。</w:t>
            </w:r>
          </w:p>
          <w:p w14:paraId="4B362CE3">
            <w:pPr>
              <w:rPr>
                <w:rFonts w:hint="eastAsia" w:ascii="宋体" w:hAnsi="宋体" w:cs="宋体"/>
                <w:color w:val="auto"/>
                <w:szCs w:val="21"/>
                <w:highlight w:val="none"/>
              </w:rPr>
            </w:pPr>
            <w:r>
              <w:rPr>
                <w:rFonts w:hint="eastAsia" w:ascii="宋体" w:hAnsi="宋体" w:cs="宋体"/>
                <w:color w:val="auto"/>
                <w:szCs w:val="21"/>
                <w:highlight w:val="none"/>
              </w:rPr>
              <w:t>未完成任务扣20分。</w:t>
            </w:r>
          </w:p>
          <w:p w14:paraId="190533FB">
            <w:pPr>
              <w:rPr>
                <w:rFonts w:hint="eastAsia" w:ascii="宋体" w:hAnsi="宋体" w:cs="宋体"/>
                <w:color w:val="auto"/>
                <w:szCs w:val="21"/>
                <w:highlight w:val="none"/>
              </w:rPr>
            </w:pPr>
            <w:r>
              <w:rPr>
                <w:rFonts w:hint="eastAsia" w:ascii="宋体" w:hAnsi="宋体" w:cs="宋体"/>
                <w:color w:val="auto"/>
                <w:szCs w:val="21"/>
                <w:highlight w:val="none"/>
              </w:rPr>
              <w:t>完成任务的得5分。工作质量评分：无实施方案、工作计划扣2分，未按方案、计划实施的，酌情扣分；1个处理设施未进行自评或复核的扣2分，自评、复核质量差的酌情扣分；无公示牌或未按要求设置公示牌的，1处扣1分；问题处理程序不规范的扣1分，未整改的扣5分，未及时整改或整改不到位的酌情扣分。上传平台不及时、信息质量差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AC11F13">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20</w:t>
            </w:r>
          </w:p>
        </w:tc>
        <w:tc>
          <w:tcPr>
            <w:tcW w:w="786" w:type="dxa"/>
            <w:tcBorders>
              <w:top w:val="single" w:color="auto" w:sz="4" w:space="0"/>
              <w:left w:val="single" w:color="auto" w:sz="4" w:space="0"/>
              <w:bottom w:val="single" w:color="auto" w:sz="4" w:space="0"/>
              <w:right w:val="nil"/>
            </w:tcBorders>
            <w:noWrap w:val="0"/>
            <w:vAlign w:val="center"/>
          </w:tcPr>
          <w:p w14:paraId="523EB833">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2B0A4E5">
            <w:pPr>
              <w:jc w:val="center"/>
              <w:rPr>
                <w:rFonts w:hint="eastAsia" w:ascii="宋体" w:hAnsi="宋体" w:cs="宋体"/>
                <w:color w:val="auto"/>
                <w:szCs w:val="21"/>
                <w:highlight w:val="none"/>
              </w:rPr>
            </w:pPr>
          </w:p>
        </w:tc>
      </w:tr>
      <w:tr w14:paraId="324841B4">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DB685E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E2C9E9">
            <w:pPr>
              <w:jc w:val="center"/>
              <w:rPr>
                <w:rFonts w:hint="eastAsia" w:ascii="宋体" w:hAnsi="宋体" w:cs="宋体"/>
                <w:color w:val="auto"/>
                <w:szCs w:val="21"/>
                <w:highlight w:val="none"/>
              </w:rPr>
            </w:pPr>
            <w:r>
              <w:rPr>
                <w:rFonts w:hint="eastAsia" w:ascii="宋体" w:hAnsi="宋体" w:cs="宋体"/>
                <w:color w:val="auto"/>
                <w:szCs w:val="21"/>
                <w:highlight w:val="none"/>
              </w:rPr>
              <w:t>社会综合评价</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BD6DCE5">
            <w:pPr>
              <w:rPr>
                <w:rFonts w:hint="eastAsia" w:ascii="宋体" w:hAnsi="宋体" w:cs="宋体"/>
                <w:color w:val="auto"/>
                <w:szCs w:val="21"/>
                <w:highlight w:val="none"/>
              </w:rPr>
            </w:pPr>
            <w:r>
              <w:rPr>
                <w:rFonts w:hint="eastAsia" w:ascii="宋体" w:hAnsi="宋体" w:cs="宋体"/>
                <w:color w:val="auto"/>
                <w:szCs w:val="21"/>
                <w:highlight w:val="none"/>
              </w:rPr>
              <w:t>运行维护总体社会评价良好，运行维护成效明显。</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3EBCB50F">
            <w:pPr>
              <w:rPr>
                <w:rFonts w:hint="eastAsia" w:ascii="宋体" w:hAnsi="宋体" w:cs="宋体"/>
                <w:color w:val="auto"/>
                <w:szCs w:val="21"/>
                <w:highlight w:val="none"/>
              </w:rPr>
            </w:pPr>
            <w:r>
              <w:rPr>
                <w:rFonts w:hint="eastAsia" w:ascii="宋体" w:hAnsi="宋体" w:cs="宋体"/>
                <w:color w:val="auto"/>
                <w:szCs w:val="21"/>
                <w:highlight w:val="none"/>
              </w:rPr>
              <w:t>①被媒体曝光或被人举报查实的，每次扣2分；②被省市县各级领导或主管部门批评或通报，每次分别扣5分、3分、2分；③未及时有效地按照主管部门要求开展运行维护工作，由主管部门酌情扣分。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3650F2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786" w:type="dxa"/>
            <w:tcBorders>
              <w:top w:val="single" w:color="auto" w:sz="4" w:space="0"/>
              <w:left w:val="single" w:color="auto" w:sz="4" w:space="0"/>
              <w:bottom w:val="single" w:color="auto" w:sz="4" w:space="0"/>
              <w:right w:val="nil"/>
            </w:tcBorders>
            <w:noWrap w:val="0"/>
            <w:vAlign w:val="center"/>
          </w:tcPr>
          <w:p w14:paraId="425FF9BF">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64FEDC6">
            <w:pPr>
              <w:jc w:val="center"/>
              <w:rPr>
                <w:rFonts w:hint="eastAsia" w:ascii="宋体" w:hAnsi="宋体" w:cs="宋体"/>
                <w:color w:val="auto"/>
                <w:szCs w:val="21"/>
                <w:highlight w:val="none"/>
              </w:rPr>
            </w:pPr>
          </w:p>
        </w:tc>
      </w:tr>
    </w:tbl>
    <w:p w14:paraId="431BBE49">
      <w:pPr>
        <w:pStyle w:val="33"/>
        <w:ind w:firstLine="440"/>
        <w:rPr>
          <w:rFonts w:hint="eastAsia" w:ascii="宋体"/>
          <w:color w:val="auto"/>
          <w:sz w:val="22"/>
          <w:szCs w:val="22"/>
          <w:highlight w:val="none"/>
        </w:rPr>
        <w:sectPr>
          <w:pgSz w:w="16838" w:h="11906" w:orient="landscape"/>
          <w:pgMar w:top="1588" w:right="1588" w:bottom="709" w:left="1134" w:header="680" w:footer="992" w:gutter="0"/>
          <w:cols w:space="720" w:num="1"/>
          <w:docGrid w:type="linesAndChars" w:linePitch="312" w:charSpace="0"/>
        </w:sectPr>
      </w:pPr>
      <w:r>
        <w:rPr>
          <w:rFonts w:hint="eastAsia" w:ascii="宋体"/>
          <w:color w:val="auto"/>
          <w:sz w:val="22"/>
          <w:szCs w:val="22"/>
          <w:highlight w:val="none"/>
        </w:rPr>
        <w:t>考核组成员：</w:t>
      </w:r>
    </w:p>
    <w:p w14:paraId="5AC41942">
      <w:pPr>
        <w:tabs>
          <w:tab w:val="left" w:pos="3319"/>
        </w:tabs>
        <w:rPr>
          <w:rFonts w:ascii="宋体" w:hAnsi="宋体"/>
          <w:color w:val="auto"/>
          <w:highlight w:val="none"/>
        </w:rPr>
      </w:pPr>
      <w:r>
        <w:rPr>
          <w:rFonts w:ascii="宋体" w:hAnsi="宋体"/>
          <w:color w:val="auto"/>
          <w:szCs w:val="21"/>
          <w:highlight w:val="none"/>
        </w:rPr>
        <w:tab/>
      </w:r>
    </w:p>
    <w:p w14:paraId="5697E1D9">
      <w:pPr>
        <w:pStyle w:val="2"/>
        <w:rPr>
          <w:rFonts w:hint="eastAsia" w:ascii="宋体" w:hAnsi="宋体" w:eastAsia="宋体" w:cs="新宋体"/>
          <w:color w:val="auto"/>
          <w:sz w:val="36"/>
          <w:szCs w:val="36"/>
          <w:highlight w:val="none"/>
        </w:rPr>
      </w:pPr>
      <w:bookmarkStart w:id="412" w:name="_Toc249758721"/>
      <w:bookmarkStart w:id="413" w:name="_Toc249758871"/>
      <w:bookmarkStart w:id="414" w:name="_Toc262049425"/>
      <w:bookmarkStart w:id="415" w:name="_Toc422225262"/>
      <w:bookmarkStart w:id="416" w:name="_Toc262105510"/>
      <w:bookmarkStart w:id="417" w:name="_Toc7368"/>
      <w:bookmarkStart w:id="418" w:name="_Toc34572094"/>
      <w:r>
        <w:rPr>
          <w:rFonts w:hint="eastAsia" w:ascii="宋体" w:hAnsi="宋体" w:eastAsia="宋体" w:cs="新宋体"/>
          <w:color w:val="auto"/>
          <w:sz w:val="36"/>
          <w:szCs w:val="36"/>
          <w:highlight w:val="none"/>
        </w:rPr>
        <w:t>第六部分</w:t>
      </w:r>
      <w:bookmarkEnd w:id="412"/>
      <w:bookmarkEnd w:id="413"/>
      <w:bookmarkEnd w:id="414"/>
      <w:bookmarkEnd w:id="415"/>
      <w:bookmarkEnd w:id="416"/>
      <w:r>
        <w:rPr>
          <w:rFonts w:hint="eastAsia" w:ascii="宋体" w:hAnsi="宋体" w:eastAsia="宋体" w:cs="新宋体"/>
          <w:color w:val="auto"/>
          <w:sz w:val="36"/>
          <w:szCs w:val="36"/>
          <w:highlight w:val="none"/>
        </w:rPr>
        <w:t xml:space="preserve">   评标原则及方法</w:t>
      </w:r>
      <w:bookmarkEnd w:id="417"/>
      <w:bookmarkEnd w:id="418"/>
    </w:p>
    <w:bookmarkEnd w:id="2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6A5D65D1">
      <w:pPr>
        <w:pStyle w:val="7"/>
        <w:overflowPunct w:val="0"/>
        <w:spacing w:after="0" w:line="440" w:lineRule="exact"/>
        <w:rPr>
          <w:rFonts w:ascii="宋体" w:hAnsi="宋体" w:cs="新宋体"/>
          <w:b/>
          <w:color w:val="auto"/>
          <w:highlight w:val="none"/>
        </w:rPr>
      </w:pPr>
      <w:bookmarkStart w:id="419" w:name="_Toc221356898"/>
      <w:bookmarkStart w:id="420" w:name="_Toc221356961"/>
      <w:r>
        <w:rPr>
          <w:rFonts w:hint="eastAsia" w:ascii="宋体" w:hAnsi="宋体" w:cs="新宋体"/>
          <w:b/>
          <w:color w:val="auto"/>
          <w:highlight w:val="none"/>
        </w:rPr>
        <w:t>一. 总  则</w:t>
      </w:r>
      <w:bookmarkEnd w:id="419"/>
      <w:bookmarkEnd w:id="420"/>
    </w:p>
    <w:p w14:paraId="397774ED">
      <w:pPr>
        <w:overflowPunct w:val="0"/>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9302E8A">
      <w:pPr>
        <w:pStyle w:val="7"/>
        <w:overflowPunct w:val="0"/>
        <w:spacing w:after="0" w:line="440" w:lineRule="exact"/>
        <w:rPr>
          <w:rFonts w:ascii="宋体" w:hAnsi="宋体" w:cs="新宋体"/>
          <w:b/>
          <w:color w:val="auto"/>
          <w:highlight w:val="none"/>
        </w:rPr>
      </w:pPr>
      <w:bookmarkStart w:id="421" w:name="_Toc221356899"/>
      <w:bookmarkStart w:id="422" w:name="_Toc221356962"/>
      <w:r>
        <w:rPr>
          <w:rFonts w:hint="eastAsia" w:ascii="宋体" w:hAnsi="宋体" w:cs="新宋体"/>
          <w:b/>
          <w:color w:val="auto"/>
          <w:highlight w:val="none"/>
        </w:rPr>
        <w:t>二、评标组织</w:t>
      </w:r>
      <w:bookmarkEnd w:id="421"/>
      <w:bookmarkEnd w:id="422"/>
    </w:p>
    <w:p w14:paraId="43DF62C6">
      <w:pPr>
        <w:overflowPunct w:val="0"/>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评标工作由采购人依法组建的评标委员会负责，评标全过程由有关部门指导监督。</w:t>
      </w:r>
    </w:p>
    <w:p w14:paraId="28677D79">
      <w:pPr>
        <w:autoSpaceDE w:val="0"/>
        <w:autoSpaceDN w:val="0"/>
        <w:adjustRightInd w:val="0"/>
        <w:spacing w:line="440" w:lineRule="exact"/>
        <w:rPr>
          <w:rFonts w:ascii="宋体" w:hAnsi="宋体" w:cs="新宋体"/>
          <w:b/>
          <w:bCs/>
          <w:color w:val="auto"/>
          <w:kern w:val="0"/>
          <w:sz w:val="22"/>
          <w:szCs w:val="22"/>
          <w:highlight w:val="none"/>
          <w:lang w:val="zh-CN"/>
        </w:rPr>
      </w:pPr>
      <w:r>
        <w:rPr>
          <w:rFonts w:hint="eastAsia" w:ascii="宋体" w:hAnsi="宋体" w:cs="新宋体"/>
          <w:b/>
          <w:bCs/>
          <w:color w:val="auto"/>
          <w:kern w:val="0"/>
          <w:sz w:val="22"/>
          <w:szCs w:val="22"/>
          <w:highlight w:val="none"/>
          <w:lang w:val="zh-CN"/>
        </w:rPr>
        <w:t>三、评标程序</w:t>
      </w:r>
    </w:p>
    <w:p w14:paraId="366688B0">
      <w:pPr>
        <w:overflowPunct w:val="0"/>
        <w:spacing w:line="44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15097247">
      <w:pPr>
        <w:pStyle w:val="7"/>
        <w:adjustRightInd w:val="0"/>
        <w:snapToGrid w:val="0"/>
        <w:spacing w:after="0" w:line="440" w:lineRule="exact"/>
        <w:rPr>
          <w:rFonts w:ascii="宋体" w:hAnsi="宋体"/>
          <w:b/>
          <w:color w:val="auto"/>
          <w:sz w:val="22"/>
          <w:szCs w:val="22"/>
          <w:highlight w:val="none"/>
        </w:rPr>
      </w:pPr>
      <w:r>
        <w:rPr>
          <w:rFonts w:hint="eastAsia" w:ascii="宋体" w:hAnsi="宋体"/>
          <w:b/>
          <w:color w:val="auto"/>
          <w:sz w:val="22"/>
          <w:szCs w:val="22"/>
          <w:highlight w:val="none"/>
        </w:rPr>
        <w:t>四、 评标办法</w:t>
      </w:r>
    </w:p>
    <w:p w14:paraId="0BC01E64">
      <w:pPr>
        <w:pStyle w:val="10"/>
        <w:numPr>
          <w:ilvl w:val="0"/>
          <w:numId w:val="18"/>
        </w:numPr>
        <w:adjustRightInd/>
        <w:spacing w:line="440" w:lineRule="exact"/>
        <w:jc w:val="both"/>
        <w:rPr>
          <w:b/>
          <w:color w:val="auto"/>
          <w:sz w:val="22"/>
          <w:szCs w:val="22"/>
          <w:highlight w:val="none"/>
          <w:u w:val="single"/>
        </w:rPr>
      </w:pPr>
      <w:r>
        <w:rPr>
          <w:rFonts w:hint="eastAsia"/>
          <w:b/>
          <w:color w:val="auto"/>
          <w:sz w:val="22"/>
          <w:highlight w:val="none"/>
        </w:rPr>
        <w:t>本项目评标办法采取百分制综合评分法</w:t>
      </w:r>
      <w:r>
        <w:rPr>
          <w:rFonts w:hint="eastAsia"/>
          <w:color w:val="auto"/>
          <w:sz w:val="22"/>
          <w:highlight w:val="none"/>
        </w:rPr>
        <w:t>，</w:t>
      </w:r>
      <w:r>
        <w:rPr>
          <w:rFonts w:hint="eastAsia"/>
          <w:b/>
          <w:color w:val="auto"/>
          <w:sz w:val="22"/>
          <w:highlight w:val="none"/>
        </w:rPr>
        <w:t>其中</w:t>
      </w:r>
      <w:r>
        <w:rPr>
          <w:rFonts w:hint="eastAsia"/>
          <w:b/>
          <w:bCs/>
          <w:color w:val="auto"/>
          <w:sz w:val="22"/>
          <w:highlight w:val="none"/>
        </w:rPr>
        <w:t>技术资信</w:t>
      </w:r>
      <w:r>
        <w:rPr>
          <w:rFonts w:hint="eastAsia"/>
          <w:b/>
          <w:color w:val="auto"/>
          <w:sz w:val="22"/>
          <w:highlight w:val="none"/>
          <w:lang w:eastAsia="zh-CN"/>
        </w:rPr>
        <w:t>8</w:t>
      </w:r>
      <w:r>
        <w:rPr>
          <w:rFonts w:hint="eastAsia"/>
          <w:b/>
          <w:color w:val="auto"/>
          <w:sz w:val="22"/>
          <w:highlight w:val="none"/>
        </w:rPr>
        <w:t>0分（技术权值为</w:t>
      </w:r>
      <w:r>
        <w:rPr>
          <w:rFonts w:hint="eastAsia"/>
          <w:b/>
          <w:color w:val="auto"/>
          <w:sz w:val="22"/>
          <w:highlight w:val="none"/>
          <w:lang w:eastAsia="zh-CN"/>
        </w:rPr>
        <w:t>8</w:t>
      </w:r>
      <w:r>
        <w:rPr>
          <w:rFonts w:hint="eastAsia"/>
          <w:b/>
          <w:color w:val="auto"/>
          <w:sz w:val="22"/>
          <w:highlight w:val="none"/>
        </w:rPr>
        <w:t>0%），投标报价</w:t>
      </w:r>
      <w:r>
        <w:rPr>
          <w:rFonts w:hint="eastAsia"/>
          <w:b/>
          <w:color w:val="auto"/>
          <w:sz w:val="22"/>
          <w:highlight w:val="none"/>
          <w:lang w:eastAsia="zh-CN"/>
        </w:rPr>
        <w:t>2</w:t>
      </w:r>
      <w:r>
        <w:rPr>
          <w:rFonts w:hint="eastAsia"/>
          <w:b/>
          <w:color w:val="auto"/>
          <w:sz w:val="22"/>
          <w:highlight w:val="none"/>
        </w:rPr>
        <w:t>0分（价格权值为</w:t>
      </w:r>
      <w:r>
        <w:rPr>
          <w:rFonts w:hint="eastAsia"/>
          <w:b/>
          <w:color w:val="auto"/>
          <w:sz w:val="22"/>
          <w:highlight w:val="none"/>
          <w:lang w:eastAsia="zh-CN"/>
        </w:rPr>
        <w:t>2</w:t>
      </w:r>
      <w:r>
        <w:rPr>
          <w:rFonts w:hint="eastAsia"/>
          <w:b/>
          <w:color w:val="auto"/>
          <w:sz w:val="22"/>
          <w:highlight w:val="none"/>
        </w:rPr>
        <w:t>0%）。</w:t>
      </w:r>
      <w:r>
        <w:rPr>
          <w:rFonts w:hint="eastAsia"/>
          <w:color w:val="auto"/>
          <w:sz w:val="22"/>
          <w:szCs w:val="22"/>
          <w:highlight w:val="none"/>
        </w:rPr>
        <w:t>即最大限度地满足招标文件实质性要求前提下，按照招标文件中规定的各项评分内容进行综合评审。以最终得分（即技术资信得分与投标报价得分之和）高低进行排序，得分第一名的投标人确定为第一中标候选人（得分相同投标报价低的排序前位；得分且投标报价相同的，抽签决定名次）。</w:t>
      </w:r>
    </w:p>
    <w:p w14:paraId="2827A214">
      <w:pPr>
        <w:spacing w:line="440" w:lineRule="exact"/>
        <w:ind w:firstLine="440" w:firstLineChars="200"/>
        <w:rPr>
          <w:rFonts w:ascii="宋体" w:hAnsi="宋体" w:cs="新宋体"/>
          <w:color w:val="auto"/>
          <w:sz w:val="22"/>
          <w:szCs w:val="22"/>
          <w:highlight w:val="none"/>
        </w:rPr>
      </w:pPr>
      <w:r>
        <w:rPr>
          <w:rFonts w:hint="eastAsia" w:ascii="宋体" w:hAnsi="宋体"/>
          <w:color w:val="auto"/>
          <w:sz w:val="22"/>
          <w:highlight w:val="none"/>
        </w:rPr>
        <w:t>评标过程中遇到特殊情况，由评标委员会遵循公平、公正原则，采取记名投票方式按照少数服从多数原则决定。</w:t>
      </w:r>
    </w:p>
    <w:p w14:paraId="217E6C8F">
      <w:pPr>
        <w:pStyle w:val="7"/>
        <w:spacing w:after="0" w:line="440" w:lineRule="exact"/>
        <w:rPr>
          <w:rFonts w:ascii="宋体" w:hAnsi="宋体" w:cs="新宋体"/>
          <w:b/>
          <w:color w:val="auto"/>
          <w:sz w:val="22"/>
          <w:szCs w:val="22"/>
          <w:highlight w:val="none"/>
        </w:rPr>
      </w:pPr>
      <w:r>
        <w:rPr>
          <w:rFonts w:hint="eastAsia" w:ascii="宋体" w:hAnsi="宋体" w:cs="新宋体"/>
          <w:b/>
          <w:color w:val="auto"/>
          <w:sz w:val="22"/>
          <w:szCs w:val="22"/>
          <w:highlight w:val="none"/>
        </w:rPr>
        <w:t>五、</w:t>
      </w:r>
      <w:bookmarkStart w:id="423" w:name="_Hlk37257790"/>
      <w:r>
        <w:rPr>
          <w:rFonts w:hint="eastAsia" w:ascii="宋体" w:hAnsi="宋体" w:cs="新宋体"/>
          <w:b/>
          <w:color w:val="auto"/>
          <w:sz w:val="22"/>
          <w:szCs w:val="22"/>
          <w:highlight w:val="none"/>
        </w:rPr>
        <w:t>评分细则</w:t>
      </w:r>
    </w:p>
    <w:p w14:paraId="4ED5DE40">
      <w:pPr>
        <w:numPr>
          <w:ilvl w:val="0"/>
          <w:numId w:val="19"/>
        </w:numPr>
        <w:spacing w:line="44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技术资信文件的评定（80分）</w:t>
      </w:r>
    </w:p>
    <w:p w14:paraId="2D2F1FEE">
      <w:pPr>
        <w:spacing w:line="440" w:lineRule="exact"/>
        <w:ind w:firstLine="330" w:firstLineChars="150"/>
        <w:rPr>
          <w:rFonts w:hint="eastAsia" w:ascii="宋体" w:hAnsi="宋体" w:eastAsia="宋体" w:cs="新宋体"/>
          <w:color w:val="auto"/>
          <w:sz w:val="22"/>
          <w:szCs w:val="22"/>
          <w:highlight w:val="none"/>
          <w:lang w:eastAsia="zh-CN"/>
        </w:rPr>
      </w:pPr>
      <w:r>
        <w:rPr>
          <w:rFonts w:hint="eastAsia" w:ascii="宋体" w:hAnsi="宋体" w:cs="新宋体"/>
          <w:color w:val="auto"/>
          <w:sz w:val="22"/>
          <w:szCs w:val="22"/>
          <w:highlight w:val="none"/>
        </w:rPr>
        <w:t>各评委成员按下列评分项目进行评定，每人一张评分计算表，由评标委员会成员各自评定打分并记实名。</w:t>
      </w:r>
      <w:r>
        <w:rPr>
          <w:rFonts w:hint="eastAsia" w:ascii="宋体" w:hAnsi="宋体" w:cs="新宋体"/>
          <w:b/>
          <w:color w:val="auto"/>
          <w:sz w:val="22"/>
          <w:szCs w:val="22"/>
          <w:highlight w:val="none"/>
        </w:rPr>
        <w:t>如任何一张表的一项评分内容分值超过规定的范围，则该张表无效。</w:t>
      </w:r>
      <w:r>
        <w:rPr>
          <w:rFonts w:hint="eastAsia" w:ascii="宋体" w:hAnsi="宋体" w:cs="新宋体"/>
          <w:color w:val="auto"/>
          <w:sz w:val="22"/>
          <w:szCs w:val="22"/>
          <w:highlight w:val="none"/>
        </w:rPr>
        <w:t>评标委员会成员对各投标人的各项评分内容评分合计值的算术平均值为该投标人技术资信文件的最终得分（四舍五入，保留小数点后二位）。</w:t>
      </w:r>
    </w:p>
    <w:p w14:paraId="2FB046C3">
      <w:pPr>
        <w:spacing w:line="440" w:lineRule="exact"/>
        <w:ind w:firstLine="330" w:firstLineChars="150"/>
        <w:rPr>
          <w:rFonts w:hint="eastAsia" w:ascii="宋体" w:hAnsi="宋体" w:eastAsia="宋体" w:cs="新宋体"/>
          <w:color w:val="auto"/>
          <w:sz w:val="22"/>
          <w:szCs w:val="22"/>
          <w:highlight w:val="none"/>
          <w:lang w:eastAsia="zh-CN"/>
        </w:rPr>
      </w:pPr>
    </w:p>
    <w:tbl>
      <w:tblPr>
        <w:tblStyle w:val="21"/>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18"/>
        <w:gridCol w:w="1219"/>
        <w:gridCol w:w="4848"/>
        <w:gridCol w:w="1319"/>
      </w:tblGrid>
      <w:tr w14:paraId="626D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763" w:type="dxa"/>
            <w:vMerge w:val="restart"/>
            <w:tcBorders>
              <w:top w:val="single" w:color="auto" w:sz="4" w:space="0"/>
              <w:left w:val="single" w:color="auto" w:sz="4" w:space="0"/>
              <w:right w:val="single" w:color="auto" w:sz="4" w:space="0"/>
            </w:tcBorders>
            <w:noWrap w:val="0"/>
            <w:vAlign w:val="center"/>
          </w:tcPr>
          <w:p w14:paraId="51D0F4A6">
            <w:pPr>
              <w:keepNext w:val="0"/>
              <w:keepLines w:val="0"/>
              <w:pageBreakBefore w:val="0"/>
              <w:widowControl w:val="0"/>
              <w:kinsoku/>
              <w:wordWrap/>
              <w:overflowPunct/>
              <w:topLinePunct w:val="0"/>
              <w:bidi w:val="0"/>
              <w:snapToGrid/>
              <w:spacing w:line="400" w:lineRule="exact"/>
              <w:ind w:right="3"/>
              <w:jc w:val="center"/>
              <w:rPr>
                <w:rFonts w:ascii="宋体" w:hAnsi="宋体" w:cs="宋体"/>
                <w:b/>
                <w:sz w:val="22"/>
                <w:szCs w:val="22"/>
                <w:highlight w:val="none"/>
              </w:rPr>
            </w:pPr>
            <w:r>
              <w:rPr>
                <w:rFonts w:hint="eastAsia" w:ascii="宋体" w:hAnsi="宋体" w:cs="宋体"/>
                <w:b/>
                <w:sz w:val="22"/>
                <w:szCs w:val="22"/>
                <w:highlight w:val="none"/>
              </w:rPr>
              <w:t>序号</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5CABECB6">
            <w:pPr>
              <w:keepNext w:val="0"/>
              <w:keepLines w:val="0"/>
              <w:pageBreakBefore w:val="0"/>
              <w:widowControl w:val="0"/>
              <w:kinsoku/>
              <w:wordWrap/>
              <w:overflowPunct/>
              <w:topLinePunct w:val="0"/>
              <w:bidi w:val="0"/>
              <w:snapToGrid/>
              <w:spacing w:line="400" w:lineRule="exact"/>
              <w:ind w:right="3"/>
              <w:jc w:val="center"/>
              <w:rPr>
                <w:rFonts w:ascii="宋体" w:hAnsi="宋体" w:cs="宋体"/>
                <w:b/>
                <w:sz w:val="22"/>
                <w:szCs w:val="22"/>
                <w:highlight w:val="none"/>
              </w:rPr>
            </w:pPr>
            <w:r>
              <w:rPr>
                <w:rFonts w:hint="eastAsia" w:ascii="宋体" w:hAnsi="宋体" w:cs="宋体"/>
                <w:b/>
                <w:sz w:val="22"/>
                <w:szCs w:val="22"/>
                <w:highlight w:val="none"/>
              </w:rPr>
              <w:t>商务技术评分</w:t>
            </w:r>
          </w:p>
        </w:tc>
        <w:tc>
          <w:tcPr>
            <w:tcW w:w="6067" w:type="dxa"/>
            <w:gridSpan w:val="2"/>
            <w:tcBorders>
              <w:top w:val="single" w:color="auto" w:sz="4" w:space="0"/>
              <w:left w:val="single" w:color="auto" w:sz="4" w:space="0"/>
              <w:bottom w:val="single" w:color="auto" w:sz="4" w:space="0"/>
              <w:right w:val="single" w:color="auto" w:sz="4" w:space="0"/>
            </w:tcBorders>
            <w:noWrap w:val="0"/>
            <w:vAlign w:val="center"/>
          </w:tcPr>
          <w:p w14:paraId="2107F4C4">
            <w:pPr>
              <w:keepNext w:val="0"/>
              <w:keepLines w:val="0"/>
              <w:pageBreakBefore w:val="0"/>
              <w:widowControl w:val="0"/>
              <w:tabs>
                <w:tab w:val="left" w:pos="993"/>
                <w:tab w:val="left" w:pos="1276"/>
              </w:tabs>
              <w:kinsoku/>
              <w:wordWrap/>
              <w:overflowPunct/>
              <w:topLinePunct w:val="0"/>
              <w:bidi w:val="0"/>
              <w:snapToGrid/>
              <w:spacing w:line="400" w:lineRule="exact"/>
              <w:jc w:val="center"/>
              <w:rPr>
                <w:rFonts w:ascii="宋体" w:hAnsi="宋体" w:cs="宋体"/>
                <w:b/>
                <w:sz w:val="22"/>
                <w:szCs w:val="22"/>
                <w:highlight w:val="none"/>
              </w:rPr>
            </w:pPr>
            <w:r>
              <w:rPr>
                <w:rFonts w:hint="eastAsia" w:ascii="宋体" w:hAnsi="宋体" w:cs="宋体"/>
                <w:b/>
                <w:sz w:val="22"/>
                <w:szCs w:val="22"/>
                <w:highlight w:val="none"/>
              </w:rPr>
              <w:t>合计80分</w:t>
            </w:r>
          </w:p>
        </w:tc>
        <w:tc>
          <w:tcPr>
            <w:tcW w:w="1319" w:type="dxa"/>
            <w:vMerge w:val="restart"/>
            <w:tcBorders>
              <w:top w:val="single" w:color="auto" w:sz="4" w:space="0"/>
              <w:left w:val="single" w:color="auto" w:sz="4" w:space="0"/>
              <w:right w:val="single" w:color="auto" w:sz="4" w:space="0"/>
            </w:tcBorders>
            <w:noWrap w:val="0"/>
            <w:vAlign w:val="center"/>
          </w:tcPr>
          <w:p w14:paraId="308058A0">
            <w:pPr>
              <w:keepNext w:val="0"/>
              <w:keepLines w:val="0"/>
              <w:pageBreakBefore w:val="0"/>
              <w:widowControl w:val="0"/>
              <w:tabs>
                <w:tab w:val="left" w:pos="993"/>
                <w:tab w:val="left" w:pos="1276"/>
              </w:tabs>
              <w:kinsoku/>
              <w:wordWrap/>
              <w:overflowPunct/>
              <w:topLinePunct w:val="0"/>
              <w:bidi w:val="0"/>
              <w:snapToGrid/>
              <w:spacing w:line="400" w:lineRule="exact"/>
              <w:jc w:val="center"/>
              <w:rPr>
                <w:rFonts w:hint="eastAsia" w:ascii="宋体" w:hAnsi="宋体" w:eastAsia="宋体" w:cs="宋体"/>
                <w:b/>
                <w:sz w:val="22"/>
                <w:szCs w:val="22"/>
                <w:highlight w:val="none"/>
                <w:lang w:val="en-US" w:eastAsia="zh-CN"/>
              </w:rPr>
            </w:pPr>
            <w:r>
              <w:rPr>
                <w:rFonts w:hint="eastAsia" w:ascii="宋体" w:hAnsi="宋体" w:cs="宋体"/>
                <w:b/>
                <w:sz w:val="22"/>
                <w:szCs w:val="22"/>
                <w:highlight w:val="none"/>
                <w:lang w:val="en-US" w:eastAsia="zh-CN"/>
              </w:rPr>
              <w:t>备注</w:t>
            </w:r>
          </w:p>
        </w:tc>
      </w:tr>
      <w:tr w14:paraId="01EF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63" w:type="dxa"/>
            <w:vMerge w:val="continue"/>
            <w:tcBorders>
              <w:left w:val="single" w:color="auto" w:sz="4" w:space="0"/>
              <w:right w:val="single" w:color="auto" w:sz="4" w:space="0"/>
            </w:tcBorders>
            <w:noWrap w:val="0"/>
            <w:vAlign w:val="center"/>
          </w:tcPr>
          <w:p w14:paraId="1E069382">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p>
        </w:tc>
        <w:tc>
          <w:tcPr>
            <w:tcW w:w="1618" w:type="dxa"/>
            <w:noWrap w:val="0"/>
            <w:vAlign w:val="center"/>
          </w:tcPr>
          <w:p w14:paraId="6D8B1858">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bCs/>
                <w:snapToGrid w:val="0"/>
                <w:sz w:val="22"/>
                <w:szCs w:val="22"/>
                <w:highlight w:val="none"/>
              </w:rPr>
            </w:pPr>
            <w:r>
              <w:rPr>
                <w:rFonts w:hint="eastAsia" w:ascii="宋体" w:hAnsi="宋体" w:cs="宋体"/>
                <w:b/>
                <w:bCs/>
                <w:sz w:val="22"/>
                <w:szCs w:val="22"/>
                <w:highlight w:val="none"/>
              </w:rPr>
              <w:t>评分项目</w:t>
            </w:r>
          </w:p>
        </w:tc>
        <w:tc>
          <w:tcPr>
            <w:tcW w:w="1219" w:type="dxa"/>
            <w:noWrap w:val="0"/>
            <w:vAlign w:val="center"/>
          </w:tcPr>
          <w:p w14:paraId="206A4879">
            <w:pPr>
              <w:keepNext w:val="0"/>
              <w:keepLines w:val="0"/>
              <w:pageBreakBefore w:val="0"/>
              <w:widowControl w:val="0"/>
              <w:kinsoku/>
              <w:wordWrap/>
              <w:overflowPunct/>
              <w:topLinePunct w:val="0"/>
              <w:bidi w:val="0"/>
              <w:snapToGrid/>
              <w:spacing w:line="400" w:lineRule="exact"/>
              <w:jc w:val="center"/>
              <w:rPr>
                <w:rFonts w:hint="eastAsia" w:ascii="宋体" w:hAnsi="宋体" w:cs="宋体"/>
                <w:b/>
                <w:bCs/>
                <w:snapToGrid w:val="0"/>
                <w:sz w:val="22"/>
                <w:szCs w:val="22"/>
                <w:highlight w:val="none"/>
              </w:rPr>
            </w:pPr>
            <w:r>
              <w:rPr>
                <w:rFonts w:hint="eastAsia" w:ascii="宋体" w:hAnsi="宋体" w:cs="宋体"/>
                <w:b/>
                <w:bCs/>
                <w:sz w:val="22"/>
                <w:szCs w:val="22"/>
                <w:highlight w:val="none"/>
              </w:rPr>
              <w:t>分值</w:t>
            </w:r>
          </w:p>
        </w:tc>
        <w:tc>
          <w:tcPr>
            <w:tcW w:w="4848" w:type="dxa"/>
            <w:noWrap w:val="0"/>
            <w:vAlign w:val="center"/>
          </w:tcPr>
          <w:p w14:paraId="5EC27B02">
            <w:pPr>
              <w:keepNext w:val="0"/>
              <w:keepLines w:val="0"/>
              <w:pageBreakBefore w:val="0"/>
              <w:widowControl w:val="0"/>
              <w:kinsoku/>
              <w:wordWrap/>
              <w:overflowPunct/>
              <w:topLinePunct w:val="0"/>
              <w:bidi w:val="0"/>
              <w:snapToGrid/>
              <w:spacing w:line="400" w:lineRule="exact"/>
              <w:jc w:val="center"/>
              <w:rPr>
                <w:rFonts w:hint="eastAsia" w:ascii="宋体" w:hAnsi="宋体" w:cs="宋体"/>
                <w:b/>
                <w:bCs/>
                <w:snapToGrid w:val="0"/>
                <w:sz w:val="22"/>
                <w:szCs w:val="22"/>
                <w:highlight w:val="none"/>
              </w:rPr>
            </w:pPr>
            <w:r>
              <w:rPr>
                <w:rFonts w:hint="eastAsia" w:ascii="宋体" w:hAnsi="宋体" w:cs="宋体"/>
                <w:b/>
                <w:bCs/>
                <w:sz w:val="22"/>
                <w:szCs w:val="22"/>
                <w:highlight w:val="none"/>
              </w:rPr>
              <w:t>评审标准</w:t>
            </w:r>
          </w:p>
        </w:tc>
        <w:tc>
          <w:tcPr>
            <w:tcW w:w="1319" w:type="dxa"/>
            <w:vMerge w:val="continue"/>
            <w:tcBorders>
              <w:left w:val="single" w:color="auto" w:sz="4" w:space="0"/>
              <w:right w:val="single" w:color="auto" w:sz="4" w:space="0"/>
            </w:tcBorders>
            <w:noWrap w:val="0"/>
            <w:vAlign w:val="center"/>
          </w:tcPr>
          <w:p w14:paraId="32E54C30">
            <w:pPr>
              <w:keepNext w:val="0"/>
              <w:keepLines w:val="0"/>
              <w:pageBreakBefore w:val="0"/>
              <w:widowControl w:val="0"/>
              <w:kinsoku/>
              <w:wordWrap/>
              <w:overflowPunct/>
              <w:topLinePunct w:val="0"/>
              <w:bidi w:val="0"/>
              <w:snapToGrid/>
              <w:spacing w:line="400" w:lineRule="exact"/>
              <w:jc w:val="center"/>
              <w:rPr>
                <w:rFonts w:hint="eastAsia" w:ascii="宋体" w:hAnsi="宋体" w:cs="宋体"/>
                <w:b/>
                <w:bCs/>
                <w:sz w:val="22"/>
                <w:szCs w:val="22"/>
                <w:highlight w:val="none"/>
              </w:rPr>
            </w:pPr>
          </w:p>
        </w:tc>
      </w:tr>
      <w:tr w14:paraId="23A4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3" w:type="dxa"/>
            <w:noWrap w:val="0"/>
            <w:vAlign w:val="center"/>
          </w:tcPr>
          <w:p w14:paraId="5850BA4D">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1</w:t>
            </w:r>
          </w:p>
        </w:tc>
        <w:tc>
          <w:tcPr>
            <w:tcW w:w="1618" w:type="dxa"/>
            <w:noWrap w:val="0"/>
            <w:vAlign w:val="center"/>
          </w:tcPr>
          <w:p w14:paraId="3CCE79F1">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供应商类似业绩</w:t>
            </w:r>
          </w:p>
        </w:tc>
        <w:tc>
          <w:tcPr>
            <w:tcW w:w="1219" w:type="dxa"/>
            <w:noWrap w:val="0"/>
            <w:vAlign w:val="center"/>
          </w:tcPr>
          <w:p w14:paraId="630BD05C">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分</w:t>
            </w:r>
          </w:p>
        </w:tc>
        <w:tc>
          <w:tcPr>
            <w:tcW w:w="4848" w:type="dxa"/>
            <w:noWrap w:val="0"/>
            <w:vAlign w:val="center"/>
          </w:tcPr>
          <w:p w14:paraId="62DCB515">
            <w:pPr>
              <w:keepNext w:val="0"/>
              <w:keepLines w:val="0"/>
              <w:pageBreakBefore w:val="0"/>
              <w:widowControl w:val="0"/>
              <w:kinsoku/>
              <w:wordWrap/>
              <w:overflowPunct/>
              <w:topLinePunct w:val="0"/>
              <w:bidi w:val="0"/>
              <w:snapToGrid/>
              <w:spacing w:line="400" w:lineRule="exact"/>
              <w:ind w:left="220" w:hanging="220" w:hangingChars="100"/>
              <w:rPr>
                <w:rFonts w:hint="eastAsia" w:ascii="宋体" w:hAnsi="宋体" w:cs="宋体"/>
                <w:sz w:val="22"/>
                <w:szCs w:val="22"/>
                <w:highlight w:val="none"/>
              </w:rPr>
            </w:pPr>
            <w:r>
              <w:rPr>
                <w:rFonts w:hint="eastAsia" w:ascii="宋体" w:hAnsi="宋体" w:cs="宋体"/>
                <w:sz w:val="22"/>
                <w:szCs w:val="22"/>
                <w:highlight w:val="none"/>
              </w:rPr>
              <w:t>投标供应商20</w:t>
            </w:r>
            <w:r>
              <w:rPr>
                <w:rFonts w:hint="eastAsia" w:ascii="宋体" w:hAnsi="宋体" w:cs="宋体"/>
                <w:sz w:val="22"/>
                <w:szCs w:val="22"/>
                <w:highlight w:val="none"/>
                <w:lang w:val="en-US" w:eastAsia="zh-CN"/>
              </w:rPr>
              <w:t>20</w:t>
            </w:r>
            <w:r>
              <w:rPr>
                <w:rFonts w:hint="eastAsia" w:ascii="宋体" w:hAnsi="宋体" w:cs="宋体"/>
                <w:sz w:val="22"/>
                <w:szCs w:val="22"/>
                <w:highlight w:val="none"/>
              </w:rPr>
              <w:t>年1月1日以来（以合同签订时间为准），承担过1个县（市、区）级农村生活污水处理设施运维项目且运维满一年的得1分，每增加一个业绩得1分，最高得</w:t>
            </w:r>
            <w:r>
              <w:rPr>
                <w:rFonts w:hint="eastAsia" w:ascii="宋体" w:hAnsi="宋体" w:cs="宋体"/>
                <w:sz w:val="22"/>
                <w:szCs w:val="22"/>
                <w:highlight w:val="none"/>
                <w:lang w:val="en-US" w:eastAsia="zh-CN"/>
              </w:rPr>
              <w:t>2</w:t>
            </w:r>
            <w:r>
              <w:rPr>
                <w:rFonts w:hint="eastAsia" w:ascii="宋体" w:hAnsi="宋体" w:cs="宋体"/>
                <w:sz w:val="22"/>
                <w:szCs w:val="22"/>
                <w:highlight w:val="none"/>
              </w:rPr>
              <w:t>分。</w:t>
            </w:r>
          </w:p>
          <w:p w14:paraId="5A5A6A8B">
            <w:pPr>
              <w:keepNext w:val="0"/>
              <w:keepLines w:val="0"/>
              <w:pageBreakBefore w:val="0"/>
              <w:widowControl w:val="0"/>
              <w:kinsoku/>
              <w:wordWrap/>
              <w:overflowPunct/>
              <w:topLinePunct w:val="0"/>
              <w:bidi w:val="0"/>
              <w:snapToGrid/>
              <w:spacing w:line="400" w:lineRule="exact"/>
              <w:rPr>
                <w:rFonts w:ascii="宋体" w:hAnsi="宋体" w:cs="宋体"/>
                <w:sz w:val="22"/>
                <w:szCs w:val="22"/>
                <w:highlight w:val="none"/>
              </w:rPr>
            </w:pPr>
            <w:r>
              <w:rPr>
                <w:rFonts w:hint="eastAsia" w:ascii="宋体" w:hAnsi="宋体"/>
                <w:b/>
                <w:bCs/>
                <w:sz w:val="22"/>
                <w:szCs w:val="22"/>
                <w:highlight w:val="none"/>
              </w:rPr>
              <w:t>须提供有效证明材料：</w:t>
            </w:r>
            <w:r>
              <w:rPr>
                <w:rFonts w:hint="eastAsia" w:ascii="宋体" w:hAnsi="宋体" w:cs="宋体"/>
                <w:sz w:val="22"/>
                <w:szCs w:val="22"/>
                <w:highlight w:val="none"/>
              </w:rPr>
              <w:t>同时提供中标通知书、合同，</w:t>
            </w:r>
            <w:r>
              <w:rPr>
                <w:rFonts w:hint="eastAsia" w:ascii="宋体" w:hAnsi="宋体"/>
                <w:snapToGrid w:val="0"/>
                <w:sz w:val="22"/>
                <w:szCs w:val="22"/>
                <w:highlight w:val="none"/>
              </w:rPr>
              <w:t>扫描件并加盖供应商电子签章，</w:t>
            </w:r>
            <w:r>
              <w:rPr>
                <w:rFonts w:hint="eastAsia" w:ascii="宋体" w:hAnsi="宋体" w:cs="宋体"/>
                <w:sz w:val="22"/>
                <w:szCs w:val="22"/>
                <w:highlight w:val="none"/>
              </w:rPr>
              <w:t>不提供或提供不全不得分。县（市、区）统一招投标的，运维合同与各</w:t>
            </w:r>
            <w:r>
              <w:rPr>
                <w:rFonts w:hint="eastAsia" w:ascii="宋体" w:hAnsi="宋体" w:cs="宋体"/>
                <w:sz w:val="22"/>
                <w:szCs w:val="22"/>
                <w:highlight w:val="none"/>
                <w:lang w:eastAsia="zh-CN"/>
              </w:rPr>
              <w:t>采购人</w:t>
            </w:r>
            <w:r>
              <w:rPr>
                <w:rFonts w:hint="eastAsia" w:ascii="宋体" w:hAnsi="宋体" w:cs="宋体"/>
                <w:sz w:val="22"/>
                <w:szCs w:val="22"/>
                <w:highlight w:val="none"/>
              </w:rPr>
              <w:t>签订的，提供多份</w:t>
            </w:r>
            <w:r>
              <w:rPr>
                <w:rFonts w:hint="eastAsia" w:ascii="宋体" w:hAnsi="宋体" w:cs="宋体"/>
                <w:sz w:val="22"/>
                <w:szCs w:val="22"/>
                <w:highlight w:val="none"/>
                <w:lang w:eastAsia="zh-CN"/>
              </w:rPr>
              <w:t>采购人</w:t>
            </w:r>
            <w:r>
              <w:rPr>
                <w:rFonts w:hint="eastAsia" w:ascii="宋体" w:hAnsi="宋体" w:cs="宋体"/>
                <w:sz w:val="22"/>
                <w:szCs w:val="22"/>
                <w:highlight w:val="none"/>
              </w:rPr>
              <w:t>合同的算一个业绩。</w:t>
            </w:r>
          </w:p>
        </w:tc>
        <w:tc>
          <w:tcPr>
            <w:tcW w:w="1319" w:type="dxa"/>
            <w:noWrap w:val="0"/>
            <w:vAlign w:val="center"/>
          </w:tcPr>
          <w:p w14:paraId="1408B33C">
            <w:pPr>
              <w:keepNext w:val="0"/>
              <w:keepLines w:val="0"/>
              <w:pageBreakBefore w:val="0"/>
              <w:widowControl w:val="0"/>
              <w:kinsoku/>
              <w:wordWrap/>
              <w:overflowPunct/>
              <w:topLinePunct w:val="0"/>
              <w:bidi w:val="0"/>
              <w:snapToGrid/>
              <w:spacing w:line="400" w:lineRule="exact"/>
              <w:rPr>
                <w:rFonts w:hint="eastAsia" w:ascii="宋体" w:hAnsi="宋体" w:eastAsia="宋体"/>
                <w:b/>
                <w:bCs/>
                <w:sz w:val="22"/>
                <w:szCs w:val="22"/>
                <w:highlight w:val="none"/>
                <w:lang w:val="en-US" w:eastAsia="zh-CN"/>
              </w:rPr>
            </w:pPr>
            <w:bookmarkStart w:id="424" w:name="OLE_LINK2"/>
            <w:r>
              <w:rPr>
                <w:rFonts w:hint="eastAsia" w:ascii="宋体" w:hAnsi="宋体"/>
                <w:b/>
                <w:bCs/>
                <w:sz w:val="22"/>
                <w:szCs w:val="22"/>
                <w:highlight w:val="none"/>
                <w:lang w:val="en-US" w:eastAsia="zh-CN"/>
              </w:rPr>
              <w:t>客观分</w:t>
            </w:r>
            <w:bookmarkEnd w:id="424"/>
          </w:p>
        </w:tc>
      </w:tr>
      <w:tr w14:paraId="3943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63" w:type="dxa"/>
            <w:noWrap w:val="0"/>
            <w:vAlign w:val="center"/>
          </w:tcPr>
          <w:p w14:paraId="0F673D72">
            <w:pPr>
              <w:keepNext w:val="0"/>
              <w:keepLines w:val="0"/>
              <w:pageBreakBefore w:val="0"/>
              <w:widowControl w:val="0"/>
              <w:kinsoku/>
              <w:wordWrap/>
              <w:overflowPunct/>
              <w:topLinePunct w:val="0"/>
              <w:bidi w:val="0"/>
              <w:snapToGrid/>
              <w:spacing w:line="400" w:lineRule="exact"/>
              <w:ind w:left="-50"/>
              <w:jc w:val="center"/>
              <w:rPr>
                <w:rFonts w:hint="default" w:ascii="宋体" w:hAnsi="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2</w:t>
            </w:r>
          </w:p>
        </w:tc>
        <w:tc>
          <w:tcPr>
            <w:tcW w:w="1618" w:type="dxa"/>
            <w:noWrap w:val="0"/>
            <w:vAlign w:val="center"/>
          </w:tcPr>
          <w:p w14:paraId="4F4288A8">
            <w:pPr>
              <w:keepNext w:val="0"/>
              <w:keepLines w:val="0"/>
              <w:pageBreakBefore w:val="0"/>
              <w:widowControl w:val="0"/>
              <w:kinsoku/>
              <w:wordWrap/>
              <w:overflowPunct/>
              <w:topLinePunct w:val="0"/>
              <w:bidi w:val="0"/>
              <w:snapToGrid/>
              <w:spacing w:line="400" w:lineRule="exact"/>
              <w:ind w:left="-50" w:leftChars="0"/>
              <w:jc w:val="center"/>
              <w:rPr>
                <w:rFonts w:hint="eastAsia" w:ascii="宋体" w:hAnsi="宋体" w:cs="宋体"/>
                <w:b/>
                <w:sz w:val="22"/>
                <w:szCs w:val="22"/>
                <w:highlight w:val="none"/>
              </w:rPr>
            </w:pPr>
            <w:r>
              <w:rPr>
                <w:rFonts w:hint="eastAsia" w:ascii="宋体" w:hAnsi="宋体" w:eastAsia="宋体" w:cs="宋体"/>
                <w:b/>
                <w:sz w:val="22"/>
                <w:szCs w:val="22"/>
                <w:highlight w:val="none"/>
              </w:rPr>
              <w:t>企业资信</w:t>
            </w:r>
          </w:p>
        </w:tc>
        <w:tc>
          <w:tcPr>
            <w:tcW w:w="1219" w:type="dxa"/>
            <w:noWrap w:val="0"/>
            <w:vAlign w:val="center"/>
          </w:tcPr>
          <w:p w14:paraId="5697C838">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lang w:val="en-US" w:eastAsia="zh-CN"/>
              </w:rPr>
            </w:pPr>
            <w:r>
              <w:rPr>
                <w:rFonts w:hint="eastAsia" w:cs="宋体" w:asciiTheme="minorEastAsia" w:hAnsiTheme="minorEastAsia" w:eastAsiaTheme="minorEastAsia"/>
                <w:szCs w:val="21"/>
                <w:highlight w:val="none"/>
                <w:lang w:val="en-US" w:eastAsia="zh-CN"/>
              </w:rPr>
              <w:t>3</w:t>
            </w:r>
            <w:r>
              <w:rPr>
                <w:rFonts w:hint="eastAsia" w:cs="宋体" w:asciiTheme="minorEastAsia" w:hAnsiTheme="minorEastAsia" w:eastAsiaTheme="minorEastAsia"/>
                <w:szCs w:val="21"/>
                <w:highlight w:val="none"/>
              </w:rPr>
              <w:t>分</w:t>
            </w:r>
          </w:p>
        </w:tc>
        <w:tc>
          <w:tcPr>
            <w:tcW w:w="4848" w:type="dxa"/>
            <w:noWrap w:val="0"/>
            <w:vAlign w:val="center"/>
          </w:tcPr>
          <w:p w14:paraId="783BF658">
            <w:pPr>
              <w:pStyle w:val="34"/>
              <w:keepNext w:val="0"/>
              <w:keepLines w:val="0"/>
              <w:pageBreakBefore w:val="0"/>
              <w:widowControl w:val="0"/>
              <w:kinsoku/>
              <w:wordWrap/>
              <w:overflowPunct/>
              <w:topLinePunct w:val="0"/>
              <w:bidi w:val="0"/>
              <w:snapToGrid/>
              <w:spacing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eastAsia="宋体" w:cs="Times New Roman"/>
                <w:b w:val="0"/>
                <w:kern w:val="2"/>
                <w:sz w:val="22"/>
                <w:szCs w:val="22"/>
                <w:highlight w:val="none"/>
                <w:lang w:val="en-US" w:eastAsia="zh-CN" w:bidi="ar-SA"/>
              </w:rPr>
              <w:t>1.投标人具有有效的ISO9001质量管理体系认证证书的，得1分；</w:t>
            </w:r>
          </w:p>
          <w:p w14:paraId="6F1E45CE">
            <w:pPr>
              <w:pStyle w:val="34"/>
              <w:keepNext w:val="0"/>
              <w:keepLines w:val="0"/>
              <w:pageBreakBefore w:val="0"/>
              <w:widowControl w:val="0"/>
              <w:kinsoku/>
              <w:wordWrap/>
              <w:overflowPunct/>
              <w:topLinePunct w:val="0"/>
              <w:bidi w:val="0"/>
              <w:snapToGrid/>
              <w:spacing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eastAsia="宋体" w:cs="Times New Roman"/>
                <w:b w:val="0"/>
                <w:kern w:val="2"/>
                <w:sz w:val="22"/>
                <w:szCs w:val="22"/>
                <w:highlight w:val="none"/>
                <w:lang w:val="en-US" w:eastAsia="zh-CN" w:bidi="ar-SA"/>
              </w:rPr>
              <w:t>2.投标人具有有效的ISO45001职业健康安全管理体系认证证书的，得1分；</w:t>
            </w:r>
          </w:p>
          <w:p w14:paraId="4FA23217">
            <w:pPr>
              <w:pStyle w:val="34"/>
              <w:keepNext w:val="0"/>
              <w:keepLines w:val="0"/>
              <w:pageBreakBefore w:val="0"/>
              <w:widowControl w:val="0"/>
              <w:kinsoku/>
              <w:wordWrap/>
              <w:overflowPunct/>
              <w:topLinePunct w:val="0"/>
              <w:bidi w:val="0"/>
              <w:snapToGrid/>
              <w:spacing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eastAsia="宋体" w:cs="Times New Roman"/>
                <w:b w:val="0"/>
                <w:kern w:val="2"/>
                <w:sz w:val="22"/>
                <w:szCs w:val="22"/>
                <w:highlight w:val="none"/>
                <w:lang w:val="en-US" w:eastAsia="zh-CN" w:bidi="ar-SA"/>
              </w:rPr>
              <w:t>3.投标人具有有效的ISO14001环境管理体系认证证书的，得1分。</w:t>
            </w:r>
          </w:p>
          <w:p w14:paraId="6A38E24E">
            <w:pPr>
              <w:pStyle w:val="7"/>
              <w:keepNext w:val="0"/>
              <w:keepLines w:val="0"/>
              <w:pageBreakBefore w:val="0"/>
              <w:widowControl w:val="0"/>
              <w:kinsoku/>
              <w:wordWrap/>
              <w:overflowPunct/>
              <w:topLinePunct w:val="0"/>
              <w:bidi w:val="0"/>
              <w:snapToGrid/>
              <w:spacing w:after="0" w:line="400" w:lineRule="exact"/>
              <w:rPr>
                <w:rFonts w:hint="default"/>
                <w:highlight w:val="none"/>
                <w:lang w:val="en-US" w:eastAsia="zh-CN"/>
              </w:rPr>
            </w:pPr>
            <w:r>
              <w:rPr>
                <w:rFonts w:hint="eastAsia" w:ascii="宋体" w:hAnsi="宋体" w:eastAsia="宋体" w:cs="Times New Roman"/>
                <w:b w:val="0"/>
                <w:kern w:val="2"/>
                <w:sz w:val="22"/>
                <w:szCs w:val="22"/>
                <w:highlight w:val="none"/>
                <w:lang w:val="en-US" w:eastAsia="zh-CN" w:bidi="ar-SA"/>
              </w:rPr>
              <w:t>注：以上认证范围须包括污水治理或设施运维或环境保护等相关的内容，投标文件中提供相应认证证书扫描件，同时提供全国认证认可信息公共服务平台网站查询截图证明材料加盖投标人电子公章，两者缺一不可否则不得分。</w:t>
            </w:r>
          </w:p>
        </w:tc>
        <w:tc>
          <w:tcPr>
            <w:tcW w:w="1319" w:type="dxa"/>
            <w:noWrap w:val="0"/>
            <w:vAlign w:val="center"/>
          </w:tcPr>
          <w:p w14:paraId="3A524EDB">
            <w:pPr>
              <w:pStyle w:val="7"/>
              <w:keepNext w:val="0"/>
              <w:keepLines w:val="0"/>
              <w:pageBreakBefore w:val="0"/>
              <w:widowControl w:val="0"/>
              <w:kinsoku/>
              <w:wordWrap/>
              <w:overflowPunct/>
              <w:topLinePunct w:val="0"/>
              <w:bidi w:val="0"/>
              <w:snapToGrid/>
              <w:spacing w:after="0"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b/>
                <w:bCs/>
                <w:sz w:val="22"/>
                <w:szCs w:val="22"/>
                <w:highlight w:val="none"/>
                <w:lang w:val="en-US" w:eastAsia="zh-CN"/>
              </w:rPr>
              <w:t>客观分</w:t>
            </w:r>
          </w:p>
        </w:tc>
      </w:tr>
      <w:tr w14:paraId="25C1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3" w:type="dxa"/>
            <w:noWrap w:val="0"/>
            <w:vAlign w:val="center"/>
          </w:tcPr>
          <w:p w14:paraId="5C0E2F79">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3</w:t>
            </w:r>
          </w:p>
        </w:tc>
        <w:tc>
          <w:tcPr>
            <w:tcW w:w="1618" w:type="dxa"/>
            <w:noWrap w:val="0"/>
            <w:vAlign w:val="center"/>
          </w:tcPr>
          <w:p w14:paraId="1A162EC5">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运维工作车辆配备情况</w:t>
            </w:r>
          </w:p>
        </w:tc>
        <w:tc>
          <w:tcPr>
            <w:tcW w:w="1219" w:type="dxa"/>
            <w:noWrap w:val="0"/>
            <w:vAlign w:val="center"/>
          </w:tcPr>
          <w:p w14:paraId="7181089B">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8</w:t>
            </w:r>
            <w:r>
              <w:rPr>
                <w:rFonts w:hint="eastAsia" w:ascii="宋体" w:hAnsi="宋体" w:cs="宋体"/>
                <w:sz w:val="22"/>
                <w:szCs w:val="22"/>
                <w:highlight w:val="none"/>
              </w:rPr>
              <w:t>分</w:t>
            </w:r>
          </w:p>
        </w:tc>
        <w:tc>
          <w:tcPr>
            <w:tcW w:w="4848" w:type="dxa"/>
            <w:noWrap w:val="0"/>
            <w:vAlign w:val="center"/>
          </w:tcPr>
          <w:p w14:paraId="3C40A55D">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color w:val="auto"/>
                <w:sz w:val="22"/>
                <w:szCs w:val="22"/>
                <w:highlight w:val="none"/>
                <w:shd w:val="clear" w:color="auto" w:fill="auto"/>
              </w:rPr>
              <w:t>2、在基本配置的基础上增加一辆</w:t>
            </w:r>
            <w:r>
              <w:rPr>
                <w:rFonts w:hint="eastAsia" w:ascii="宋体" w:hAnsi="宋体"/>
                <w:color w:val="auto"/>
                <w:sz w:val="22"/>
                <w:szCs w:val="22"/>
                <w:highlight w:val="none"/>
                <w:shd w:val="clear" w:color="auto" w:fill="auto"/>
                <w:lang w:val="en-US" w:eastAsia="zh-CN"/>
              </w:rPr>
              <w:t>疏通车（大型）</w:t>
            </w:r>
            <w:r>
              <w:rPr>
                <w:rFonts w:hint="eastAsia" w:ascii="宋体" w:hAnsi="宋体"/>
                <w:color w:val="auto"/>
                <w:sz w:val="22"/>
                <w:szCs w:val="22"/>
                <w:highlight w:val="none"/>
                <w:shd w:val="clear" w:color="auto" w:fill="auto"/>
              </w:rPr>
              <w:t>的加</w:t>
            </w:r>
            <w:r>
              <w:rPr>
                <w:rFonts w:hint="eastAsia" w:ascii="宋体" w:hAnsi="宋体"/>
                <w:color w:val="auto"/>
                <w:sz w:val="22"/>
                <w:szCs w:val="22"/>
                <w:highlight w:val="none"/>
                <w:shd w:val="clear" w:color="auto" w:fill="auto"/>
                <w:lang w:val="en-US" w:eastAsia="zh-CN"/>
              </w:rPr>
              <w:t>2</w:t>
            </w:r>
            <w:r>
              <w:rPr>
                <w:rFonts w:hint="eastAsia" w:ascii="宋体" w:hAnsi="宋体"/>
                <w:color w:val="auto"/>
                <w:sz w:val="22"/>
                <w:szCs w:val="22"/>
                <w:highlight w:val="none"/>
                <w:shd w:val="clear" w:color="auto" w:fill="auto"/>
              </w:rPr>
              <w:t>分，增加两辆</w:t>
            </w:r>
            <w:bookmarkStart w:id="425" w:name="OLE_LINK8"/>
            <w:r>
              <w:rPr>
                <w:rFonts w:hint="eastAsia" w:ascii="宋体" w:hAnsi="宋体"/>
                <w:color w:val="auto"/>
                <w:sz w:val="22"/>
                <w:szCs w:val="22"/>
                <w:highlight w:val="none"/>
                <w:shd w:val="clear" w:color="auto" w:fill="auto"/>
                <w:lang w:val="en-US" w:eastAsia="zh-CN"/>
              </w:rPr>
              <w:t>气囊封堵车</w:t>
            </w:r>
            <w:bookmarkEnd w:id="425"/>
            <w:r>
              <w:rPr>
                <w:rFonts w:hint="eastAsia" w:ascii="宋体" w:hAnsi="宋体"/>
                <w:color w:val="auto"/>
                <w:sz w:val="22"/>
                <w:szCs w:val="22"/>
                <w:highlight w:val="none"/>
                <w:shd w:val="clear" w:color="auto" w:fill="auto"/>
              </w:rPr>
              <w:t>的加</w:t>
            </w:r>
            <w:r>
              <w:rPr>
                <w:rFonts w:hint="eastAsia" w:ascii="宋体" w:hAnsi="宋体"/>
                <w:color w:val="auto"/>
                <w:sz w:val="22"/>
                <w:szCs w:val="22"/>
                <w:highlight w:val="none"/>
                <w:shd w:val="clear" w:color="auto" w:fill="auto"/>
                <w:lang w:val="en-US" w:eastAsia="zh-CN"/>
              </w:rPr>
              <w:t>2</w:t>
            </w:r>
            <w:r>
              <w:rPr>
                <w:rFonts w:hint="eastAsia" w:ascii="宋体" w:hAnsi="宋体"/>
                <w:color w:val="auto"/>
                <w:sz w:val="22"/>
                <w:szCs w:val="22"/>
                <w:highlight w:val="none"/>
                <w:shd w:val="clear" w:color="auto" w:fill="auto"/>
              </w:rPr>
              <w:t>分。在基本配置的基础上增加一辆高压清洗车</w:t>
            </w:r>
            <w:r>
              <w:rPr>
                <w:rFonts w:hint="eastAsia" w:ascii="宋体" w:hAnsi="宋体"/>
                <w:color w:val="auto"/>
                <w:sz w:val="22"/>
                <w:szCs w:val="22"/>
                <w:highlight w:val="none"/>
                <w:shd w:val="clear" w:color="auto" w:fill="auto"/>
                <w:lang w:val="en-US" w:eastAsia="zh-CN"/>
              </w:rPr>
              <w:t>的加2分。</w:t>
            </w:r>
            <w:r>
              <w:rPr>
                <w:rFonts w:hint="eastAsia" w:ascii="宋体" w:hAnsi="宋体"/>
                <w:color w:val="auto"/>
                <w:sz w:val="22"/>
                <w:szCs w:val="22"/>
                <w:highlight w:val="none"/>
                <w:shd w:val="clear" w:color="auto" w:fill="auto"/>
              </w:rPr>
              <w:t>在基本配置的基础上增加一辆</w:t>
            </w:r>
            <w:r>
              <w:rPr>
                <w:rFonts w:hint="eastAsia" w:ascii="宋体" w:hAnsi="宋体"/>
                <w:color w:val="auto"/>
                <w:sz w:val="22"/>
                <w:szCs w:val="22"/>
                <w:highlight w:val="none"/>
                <w:shd w:val="clear" w:color="auto" w:fill="auto"/>
                <w:lang w:val="en-US" w:eastAsia="zh-CN"/>
              </w:rPr>
              <w:t>吸污车的加2分。</w:t>
            </w:r>
            <w:r>
              <w:rPr>
                <w:rFonts w:hint="eastAsia" w:ascii="宋体" w:hAnsi="宋体"/>
                <w:sz w:val="22"/>
                <w:szCs w:val="22"/>
                <w:highlight w:val="none"/>
              </w:rPr>
              <w:t>本项最高加</w:t>
            </w:r>
            <w:r>
              <w:rPr>
                <w:rFonts w:hint="eastAsia" w:ascii="宋体" w:hAnsi="宋体"/>
                <w:sz w:val="22"/>
                <w:szCs w:val="22"/>
                <w:highlight w:val="none"/>
                <w:lang w:val="en-US" w:eastAsia="zh-CN"/>
              </w:rPr>
              <w:t>8</w:t>
            </w:r>
            <w:r>
              <w:rPr>
                <w:rFonts w:hint="eastAsia" w:ascii="宋体" w:hAnsi="宋体"/>
                <w:sz w:val="22"/>
                <w:szCs w:val="22"/>
                <w:highlight w:val="none"/>
              </w:rPr>
              <w:t>分。</w:t>
            </w:r>
          </w:p>
          <w:p w14:paraId="32AB2B5A">
            <w:pPr>
              <w:keepNext w:val="0"/>
              <w:keepLines w:val="0"/>
              <w:pageBreakBefore w:val="0"/>
              <w:widowControl w:val="0"/>
              <w:kinsoku/>
              <w:wordWrap/>
              <w:overflowPunct/>
              <w:topLinePunct w:val="0"/>
              <w:bidi w:val="0"/>
              <w:snapToGrid/>
              <w:spacing w:line="400" w:lineRule="exact"/>
              <w:rPr>
                <w:rFonts w:hint="eastAsia" w:ascii="宋体" w:hAnsi="宋体"/>
                <w:b/>
                <w:bCs/>
                <w:sz w:val="22"/>
                <w:szCs w:val="22"/>
                <w:highlight w:val="none"/>
              </w:rPr>
            </w:pPr>
            <w:r>
              <w:rPr>
                <w:rFonts w:hint="eastAsia" w:ascii="宋体" w:hAnsi="宋体"/>
                <w:sz w:val="22"/>
                <w:szCs w:val="22"/>
                <w:highlight w:val="none"/>
              </w:rPr>
              <w:t xml:space="preserve"> </w:t>
            </w:r>
            <w:r>
              <w:rPr>
                <w:rFonts w:hint="eastAsia" w:ascii="宋体" w:hAnsi="宋体"/>
                <w:b/>
                <w:bCs/>
                <w:sz w:val="22"/>
                <w:szCs w:val="22"/>
                <w:highlight w:val="none"/>
              </w:rPr>
              <w:t>须提供有效证明材料：</w:t>
            </w:r>
          </w:p>
          <w:p w14:paraId="3FCA8B37">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投标文件中提供的车辆须同时提供机动车行驶证（包括整车实物照片）、购置发票，</w:t>
            </w:r>
            <w:r>
              <w:rPr>
                <w:rFonts w:hint="eastAsia" w:ascii="宋体" w:hAnsi="宋体"/>
                <w:snapToGrid w:val="0"/>
                <w:sz w:val="22"/>
                <w:szCs w:val="22"/>
                <w:highlight w:val="none"/>
              </w:rPr>
              <w:t>扫描件并加盖供应商电子签章，</w:t>
            </w:r>
            <w:r>
              <w:rPr>
                <w:rFonts w:hint="eastAsia" w:ascii="宋体" w:hAnsi="宋体"/>
                <w:sz w:val="22"/>
                <w:szCs w:val="22"/>
                <w:highlight w:val="none"/>
              </w:rPr>
              <w:t xml:space="preserve">要求投入的作业车辆行驶证上的所有人与投标供应商一致； </w:t>
            </w:r>
          </w:p>
        </w:tc>
        <w:tc>
          <w:tcPr>
            <w:tcW w:w="1319" w:type="dxa"/>
            <w:noWrap w:val="0"/>
            <w:vAlign w:val="center"/>
          </w:tcPr>
          <w:p w14:paraId="1F3B44A1">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bookmarkStart w:id="426" w:name="OLE_LINK5"/>
            <w:r>
              <w:rPr>
                <w:rFonts w:hint="eastAsia" w:ascii="宋体" w:hAnsi="宋体"/>
                <w:b/>
                <w:bCs/>
                <w:sz w:val="22"/>
                <w:szCs w:val="22"/>
                <w:highlight w:val="none"/>
                <w:lang w:val="en-US" w:eastAsia="zh-CN"/>
              </w:rPr>
              <w:t>客观分</w:t>
            </w:r>
            <w:bookmarkEnd w:id="426"/>
          </w:p>
        </w:tc>
      </w:tr>
      <w:tr w14:paraId="09EC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3" w:type="dxa"/>
            <w:noWrap w:val="0"/>
            <w:vAlign w:val="center"/>
          </w:tcPr>
          <w:p w14:paraId="4DD752A7">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4</w:t>
            </w:r>
          </w:p>
        </w:tc>
        <w:tc>
          <w:tcPr>
            <w:tcW w:w="1618" w:type="dxa"/>
            <w:noWrap w:val="0"/>
            <w:vAlign w:val="center"/>
          </w:tcPr>
          <w:p w14:paraId="0C0A7C48">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运维设备配备情况</w:t>
            </w:r>
          </w:p>
        </w:tc>
        <w:tc>
          <w:tcPr>
            <w:tcW w:w="1219" w:type="dxa"/>
            <w:noWrap w:val="0"/>
            <w:vAlign w:val="center"/>
          </w:tcPr>
          <w:p w14:paraId="53B65045">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分</w:t>
            </w:r>
          </w:p>
        </w:tc>
        <w:tc>
          <w:tcPr>
            <w:tcW w:w="4848" w:type="dxa"/>
            <w:noWrap w:val="0"/>
            <w:vAlign w:val="center"/>
          </w:tcPr>
          <w:p w14:paraId="213A4294">
            <w:pPr>
              <w:keepNext w:val="0"/>
              <w:keepLines w:val="0"/>
              <w:pageBreakBefore w:val="0"/>
              <w:widowControl w:val="0"/>
              <w:kinsoku/>
              <w:wordWrap/>
              <w:overflowPunct/>
              <w:topLinePunct w:val="0"/>
              <w:bidi w:val="0"/>
              <w:snapToGrid/>
              <w:spacing w:line="400" w:lineRule="exact"/>
              <w:rPr>
                <w:rFonts w:hint="default" w:ascii="宋体" w:hAnsi="宋体" w:eastAsia="宋体"/>
                <w:sz w:val="22"/>
                <w:szCs w:val="22"/>
                <w:highlight w:val="none"/>
                <w:lang w:val="en-US" w:eastAsia="zh-CN"/>
              </w:rPr>
            </w:pPr>
            <w:r>
              <w:rPr>
                <w:rFonts w:hint="eastAsia" w:ascii="宋体" w:hAnsi="宋体"/>
                <w:sz w:val="22"/>
                <w:szCs w:val="22"/>
                <w:highlight w:val="none"/>
              </w:rPr>
              <w:t>投标供应商针对本项目</w:t>
            </w:r>
            <w:r>
              <w:rPr>
                <w:rFonts w:hint="eastAsia" w:ascii="宋体" w:hAnsi="宋体"/>
                <w:sz w:val="22"/>
                <w:szCs w:val="22"/>
                <w:highlight w:val="none"/>
                <w:lang w:val="en-US" w:eastAsia="zh-CN"/>
              </w:rPr>
              <w:t>所</w:t>
            </w:r>
            <w:r>
              <w:rPr>
                <w:rFonts w:hint="eastAsia" w:ascii="宋体" w:hAnsi="宋体"/>
                <w:sz w:val="22"/>
                <w:szCs w:val="22"/>
                <w:highlight w:val="none"/>
              </w:rPr>
              <w:t>配备</w:t>
            </w:r>
            <w:r>
              <w:rPr>
                <w:rFonts w:hint="eastAsia" w:ascii="宋体" w:hAnsi="宋体"/>
                <w:sz w:val="22"/>
                <w:szCs w:val="22"/>
                <w:highlight w:val="none"/>
                <w:lang w:val="en-US" w:eastAsia="zh-CN"/>
              </w:rPr>
              <w:t>设备，及配备设备在项目过程中的实施方案进行打分；</w:t>
            </w:r>
          </w:p>
          <w:p w14:paraId="216C645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10</w:t>
            </w:r>
            <w:r>
              <w:rPr>
                <w:rFonts w:hint="eastAsia" w:ascii="宋体" w:hAnsi="宋体" w:cs="宋体"/>
                <w:snapToGrid w:val="0"/>
                <w:sz w:val="22"/>
                <w:szCs w:val="22"/>
                <w:highlight w:val="none"/>
              </w:rPr>
              <w:t>分；</w:t>
            </w:r>
          </w:p>
          <w:p w14:paraId="4C495431">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6</w:t>
            </w:r>
            <w:r>
              <w:rPr>
                <w:rFonts w:hint="eastAsia" w:ascii="宋体" w:hAnsi="宋体" w:cs="宋体"/>
                <w:snapToGrid w:val="0"/>
                <w:sz w:val="22"/>
                <w:szCs w:val="22"/>
                <w:highlight w:val="none"/>
              </w:rPr>
              <w:t>分；</w:t>
            </w:r>
          </w:p>
          <w:p w14:paraId="6A7F22B6">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3</w:t>
            </w:r>
            <w:r>
              <w:rPr>
                <w:rFonts w:hint="eastAsia" w:ascii="宋体" w:hAnsi="宋体" w:cs="宋体"/>
                <w:snapToGrid w:val="0"/>
                <w:sz w:val="22"/>
                <w:szCs w:val="22"/>
                <w:highlight w:val="none"/>
              </w:rPr>
              <w:t>分；</w:t>
            </w:r>
          </w:p>
          <w:p w14:paraId="2465B492">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cs="宋体"/>
                <w:b w:val="0"/>
                <w:bCs w:val="0"/>
                <w:snapToGrid w:val="0"/>
                <w:sz w:val="22"/>
                <w:szCs w:val="22"/>
                <w:highlight w:val="none"/>
                <w:lang w:val="en-US" w:eastAsia="zh-CN"/>
              </w:rPr>
              <w:t>不合理或无具体描述的不得分。</w:t>
            </w:r>
          </w:p>
        </w:tc>
        <w:tc>
          <w:tcPr>
            <w:tcW w:w="1319" w:type="dxa"/>
            <w:noWrap w:val="0"/>
            <w:vAlign w:val="center"/>
          </w:tcPr>
          <w:p w14:paraId="4223A0BF">
            <w:pPr>
              <w:keepNext w:val="0"/>
              <w:keepLines w:val="0"/>
              <w:pageBreakBefore w:val="0"/>
              <w:widowControl w:val="0"/>
              <w:kinsoku/>
              <w:wordWrap/>
              <w:overflowPunct/>
              <w:topLinePunct w:val="0"/>
              <w:bidi w:val="0"/>
              <w:snapToGrid/>
              <w:spacing w:line="400" w:lineRule="exact"/>
              <w:rPr>
                <w:rFonts w:hint="default" w:ascii="宋体" w:hAnsi="宋体" w:cs="宋体"/>
                <w:b w:val="0"/>
                <w:bCs w:val="0"/>
                <w:snapToGrid w:val="0"/>
                <w:sz w:val="22"/>
                <w:szCs w:val="22"/>
                <w:highlight w:val="yellow"/>
                <w:lang w:val="en-US" w:eastAsia="zh-CN"/>
              </w:rPr>
            </w:pPr>
            <w:bookmarkStart w:id="427" w:name="OLE_LINK4"/>
            <w:r>
              <w:rPr>
                <w:rFonts w:hint="eastAsia" w:ascii="宋体" w:hAnsi="宋体" w:cs="宋体"/>
                <w:b/>
                <w:bCs/>
                <w:snapToGrid w:val="0"/>
                <w:sz w:val="22"/>
                <w:szCs w:val="22"/>
                <w:highlight w:val="none"/>
                <w:lang w:val="en-US" w:eastAsia="zh-CN"/>
              </w:rPr>
              <w:t>主观分</w:t>
            </w:r>
            <w:bookmarkEnd w:id="427"/>
          </w:p>
        </w:tc>
      </w:tr>
      <w:tr w14:paraId="06E9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63" w:type="dxa"/>
            <w:noWrap w:val="0"/>
            <w:vAlign w:val="center"/>
          </w:tcPr>
          <w:p w14:paraId="553B155D">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5</w:t>
            </w:r>
          </w:p>
        </w:tc>
        <w:tc>
          <w:tcPr>
            <w:tcW w:w="1618" w:type="dxa"/>
            <w:noWrap w:val="0"/>
            <w:vAlign w:val="center"/>
          </w:tcPr>
          <w:p w14:paraId="02B94264">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项目运维人员配备情况</w:t>
            </w:r>
          </w:p>
        </w:tc>
        <w:tc>
          <w:tcPr>
            <w:tcW w:w="1219" w:type="dxa"/>
            <w:noWrap w:val="0"/>
            <w:vAlign w:val="center"/>
          </w:tcPr>
          <w:p w14:paraId="244E1210">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分</w:t>
            </w:r>
          </w:p>
        </w:tc>
        <w:tc>
          <w:tcPr>
            <w:tcW w:w="4848" w:type="dxa"/>
            <w:noWrap w:val="0"/>
            <w:vAlign w:val="center"/>
          </w:tcPr>
          <w:p w14:paraId="561AD15A">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1、投标供应商拟派项目负责人具有</w:t>
            </w:r>
            <w:r>
              <w:rPr>
                <w:rFonts w:hint="eastAsia" w:ascii="宋体" w:hAnsi="宋体"/>
                <w:sz w:val="22"/>
                <w:szCs w:val="22"/>
                <w:highlight w:val="none"/>
                <w:lang w:val="en-US" w:eastAsia="zh-CN"/>
              </w:rPr>
              <w:t>中级工程师</w:t>
            </w:r>
            <w:r>
              <w:rPr>
                <w:rFonts w:hint="eastAsia" w:ascii="宋体" w:hAnsi="宋体"/>
                <w:sz w:val="22"/>
                <w:szCs w:val="22"/>
                <w:highlight w:val="none"/>
                <w:lang w:eastAsia="zh-CN"/>
              </w:rPr>
              <w:t>（</w:t>
            </w:r>
            <w:r>
              <w:rPr>
                <w:rFonts w:hint="eastAsia" w:ascii="宋体" w:hAnsi="宋体"/>
                <w:sz w:val="22"/>
                <w:szCs w:val="22"/>
                <w:highlight w:val="none"/>
                <w:lang w:val="en-US" w:eastAsia="zh-CN"/>
              </w:rPr>
              <w:t>环保类</w:t>
            </w:r>
            <w:r>
              <w:rPr>
                <w:rFonts w:hint="eastAsia" w:ascii="宋体" w:hAnsi="宋体"/>
                <w:sz w:val="22"/>
                <w:szCs w:val="22"/>
                <w:highlight w:val="none"/>
                <w:lang w:eastAsia="zh-CN"/>
              </w:rPr>
              <w:t>）</w:t>
            </w:r>
            <w:r>
              <w:rPr>
                <w:rFonts w:hint="eastAsia" w:ascii="宋体" w:hAnsi="宋体"/>
                <w:sz w:val="22"/>
                <w:szCs w:val="22"/>
                <w:highlight w:val="none"/>
                <w:lang w:val="en-US" w:eastAsia="zh-CN"/>
              </w:rPr>
              <w:t>及以上职称</w:t>
            </w:r>
            <w:r>
              <w:rPr>
                <w:rFonts w:hint="eastAsia" w:ascii="宋体" w:hAnsi="宋体"/>
                <w:sz w:val="22"/>
                <w:szCs w:val="22"/>
                <w:highlight w:val="none"/>
              </w:rPr>
              <w:t>，得3分。</w:t>
            </w:r>
          </w:p>
          <w:p w14:paraId="480B11C6">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【证明材料：①提供人员相关证书复印件、②提供人员近</w:t>
            </w:r>
            <w:r>
              <w:rPr>
                <w:rFonts w:hint="eastAsia" w:ascii="宋体" w:hAnsi="宋体"/>
                <w:sz w:val="22"/>
                <w:szCs w:val="22"/>
                <w:highlight w:val="none"/>
                <w:lang w:val="en-US" w:eastAsia="zh-CN"/>
              </w:rPr>
              <w:t>12</w:t>
            </w:r>
            <w:r>
              <w:rPr>
                <w:rFonts w:hint="eastAsia" w:ascii="宋体" w:hAnsi="宋体"/>
                <w:sz w:val="22"/>
                <w:szCs w:val="22"/>
                <w:highlight w:val="none"/>
              </w:rPr>
              <w:t>个月的社保缴纳证明的扫描件加盖供应商电子签章（社保缴纳证明以社保机构出具的社保证明为准），不提供或提供不全的不得分。】2、项目技术负责人具有</w:t>
            </w:r>
            <w:r>
              <w:rPr>
                <w:rFonts w:hint="eastAsia" w:ascii="宋体" w:hAnsi="宋体"/>
                <w:sz w:val="22"/>
                <w:szCs w:val="22"/>
                <w:highlight w:val="none"/>
                <w:lang w:val="en-US" w:eastAsia="zh-CN"/>
              </w:rPr>
              <w:t>中级</w:t>
            </w:r>
            <w:r>
              <w:rPr>
                <w:rFonts w:hint="eastAsia" w:ascii="宋体" w:hAnsi="宋体"/>
                <w:sz w:val="22"/>
                <w:szCs w:val="22"/>
                <w:highlight w:val="none"/>
              </w:rPr>
              <w:t>工程师</w:t>
            </w:r>
            <w:r>
              <w:rPr>
                <w:rFonts w:hint="eastAsia" w:ascii="宋体" w:hAnsi="宋体"/>
                <w:sz w:val="22"/>
                <w:szCs w:val="22"/>
                <w:highlight w:val="none"/>
                <w:lang w:eastAsia="zh-CN"/>
              </w:rPr>
              <w:t>（</w:t>
            </w:r>
            <w:r>
              <w:rPr>
                <w:rFonts w:hint="eastAsia" w:ascii="宋体" w:hAnsi="宋体"/>
                <w:sz w:val="22"/>
                <w:szCs w:val="22"/>
                <w:highlight w:val="none"/>
                <w:lang w:val="en-US" w:eastAsia="zh-CN"/>
              </w:rPr>
              <w:t>环保类</w:t>
            </w:r>
            <w:r>
              <w:rPr>
                <w:rFonts w:hint="eastAsia" w:ascii="宋体" w:hAnsi="宋体"/>
                <w:sz w:val="22"/>
                <w:szCs w:val="22"/>
                <w:highlight w:val="none"/>
                <w:lang w:eastAsia="zh-CN"/>
              </w:rPr>
              <w:t>）</w:t>
            </w:r>
            <w:r>
              <w:rPr>
                <w:rFonts w:hint="eastAsia" w:ascii="宋体" w:hAnsi="宋体"/>
                <w:sz w:val="22"/>
                <w:szCs w:val="22"/>
                <w:highlight w:val="none"/>
              </w:rPr>
              <w:t>的得</w:t>
            </w:r>
            <w:r>
              <w:rPr>
                <w:rFonts w:hint="eastAsia" w:ascii="宋体" w:hAnsi="宋体"/>
                <w:sz w:val="22"/>
                <w:szCs w:val="22"/>
                <w:highlight w:val="none"/>
                <w:lang w:val="en-US" w:eastAsia="zh-CN"/>
              </w:rPr>
              <w:t>2</w:t>
            </w:r>
            <w:r>
              <w:rPr>
                <w:rFonts w:hint="eastAsia" w:ascii="宋体" w:hAnsi="宋体"/>
                <w:sz w:val="22"/>
                <w:szCs w:val="22"/>
                <w:highlight w:val="none"/>
              </w:rPr>
              <w:t>分。最高得2分。</w:t>
            </w:r>
          </w:p>
          <w:p w14:paraId="571C54B9">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3、项目班组人员具有安全C证、</w:t>
            </w:r>
            <w:r>
              <w:rPr>
                <w:rFonts w:hint="eastAsia" w:ascii="宋体" w:hAnsi="宋体"/>
                <w:sz w:val="22"/>
                <w:szCs w:val="22"/>
                <w:highlight w:val="none"/>
                <w:lang w:val="en-US" w:eastAsia="zh-CN"/>
              </w:rPr>
              <w:t>注册造价工程师证书、</w:t>
            </w:r>
            <w:r>
              <w:rPr>
                <w:rFonts w:hint="eastAsia" w:ascii="宋体" w:hAnsi="宋体"/>
                <w:sz w:val="22"/>
                <w:szCs w:val="22"/>
                <w:highlight w:val="none"/>
              </w:rPr>
              <w:t>台账资料员证、</w:t>
            </w:r>
            <w:r>
              <w:rPr>
                <w:rFonts w:hint="eastAsia" w:ascii="宋体" w:hAnsi="宋体"/>
                <w:sz w:val="22"/>
                <w:szCs w:val="22"/>
                <w:highlight w:val="none"/>
                <w:lang w:val="en-US" w:eastAsia="zh-CN"/>
              </w:rPr>
              <w:t>电工证书、</w:t>
            </w:r>
            <w:r>
              <w:rPr>
                <w:rFonts w:hint="eastAsia" w:ascii="宋体" w:hAnsi="宋体"/>
                <w:sz w:val="22"/>
                <w:szCs w:val="22"/>
                <w:highlight w:val="none"/>
              </w:rPr>
              <w:t>化验员证、巡查员证、养护员证</w:t>
            </w:r>
            <w:r>
              <w:rPr>
                <w:rFonts w:hint="eastAsia" w:ascii="宋体" w:hAnsi="宋体"/>
                <w:sz w:val="22"/>
                <w:szCs w:val="22"/>
                <w:highlight w:val="none"/>
                <w:lang w:eastAsia="zh-CN"/>
              </w:rPr>
              <w:t>（</w:t>
            </w:r>
            <w:r>
              <w:rPr>
                <w:rFonts w:hint="eastAsia" w:ascii="宋体" w:hAnsi="宋体"/>
                <w:sz w:val="22"/>
                <w:szCs w:val="22"/>
                <w:highlight w:val="none"/>
                <w:lang w:val="en-US" w:eastAsia="zh-CN"/>
              </w:rPr>
              <w:t>或巡查养护员证</w:t>
            </w:r>
            <w:r>
              <w:rPr>
                <w:rFonts w:hint="eastAsia" w:ascii="宋体" w:hAnsi="宋体"/>
                <w:sz w:val="22"/>
                <w:szCs w:val="22"/>
                <w:highlight w:val="none"/>
                <w:lang w:eastAsia="zh-CN"/>
              </w:rPr>
              <w:t>）</w:t>
            </w:r>
            <w:r>
              <w:rPr>
                <w:rFonts w:hint="eastAsia" w:ascii="宋体" w:hAnsi="宋体"/>
                <w:sz w:val="22"/>
                <w:szCs w:val="22"/>
                <w:highlight w:val="none"/>
              </w:rPr>
              <w:t>、地下管道疏通养护员证、信息报送员证、废弃物处置员证、有毒有害有限空间作业证、市政工程潜水员证的每种得</w:t>
            </w:r>
            <w:r>
              <w:rPr>
                <w:rFonts w:ascii="宋体" w:hAnsi="宋体"/>
                <w:sz w:val="22"/>
                <w:szCs w:val="22"/>
                <w:highlight w:val="none"/>
              </w:rPr>
              <w:t>1</w:t>
            </w:r>
            <w:r>
              <w:rPr>
                <w:rFonts w:hint="eastAsia" w:ascii="宋体" w:hAnsi="宋体"/>
                <w:sz w:val="22"/>
                <w:szCs w:val="22"/>
                <w:highlight w:val="none"/>
              </w:rPr>
              <w:t>分，单工种最多得</w:t>
            </w:r>
            <w:r>
              <w:rPr>
                <w:rFonts w:ascii="宋体" w:hAnsi="宋体"/>
                <w:sz w:val="22"/>
                <w:szCs w:val="22"/>
                <w:highlight w:val="none"/>
              </w:rPr>
              <w:t>1</w:t>
            </w:r>
            <w:r>
              <w:rPr>
                <w:rFonts w:hint="eastAsia" w:ascii="宋体" w:hAnsi="宋体"/>
                <w:sz w:val="22"/>
                <w:szCs w:val="22"/>
                <w:highlight w:val="none"/>
              </w:rPr>
              <w:t>分，最多得</w:t>
            </w:r>
            <w:r>
              <w:rPr>
                <w:rFonts w:hint="eastAsia" w:ascii="宋体" w:hAnsi="宋体"/>
                <w:sz w:val="22"/>
                <w:szCs w:val="22"/>
                <w:highlight w:val="none"/>
                <w:lang w:val="en-US" w:eastAsia="zh-CN"/>
              </w:rPr>
              <w:t>5</w:t>
            </w:r>
            <w:r>
              <w:rPr>
                <w:rFonts w:hint="eastAsia" w:ascii="宋体" w:hAnsi="宋体"/>
                <w:sz w:val="22"/>
                <w:szCs w:val="22"/>
                <w:highlight w:val="none"/>
              </w:rPr>
              <w:t>分。</w:t>
            </w:r>
          </w:p>
          <w:p w14:paraId="45A2A426">
            <w:pPr>
              <w:keepNext w:val="0"/>
              <w:keepLines w:val="0"/>
              <w:pageBreakBefore w:val="0"/>
              <w:widowControl w:val="0"/>
              <w:kinsoku/>
              <w:wordWrap/>
              <w:overflowPunct/>
              <w:topLinePunct w:val="0"/>
              <w:bidi w:val="0"/>
              <w:snapToGrid/>
              <w:spacing w:line="400" w:lineRule="exact"/>
              <w:rPr>
                <w:rFonts w:hint="eastAsia"/>
                <w:sz w:val="22"/>
                <w:szCs w:val="22"/>
                <w:highlight w:val="none"/>
              </w:rPr>
            </w:pPr>
            <w:r>
              <w:rPr>
                <w:rFonts w:hint="eastAsia" w:ascii="宋体" w:hAnsi="宋体"/>
                <w:sz w:val="22"/>
                <w:szCs w:val="22"/>
                <w:highlight w:val="none"/>
              </w:rPr>
              <w:t>（提供人员相关资格证书、荣誉奖项证明文件及人员在投标供应商单位近六个月的社保缴纳证明的扫描件加盖供应商电子签章，每种证书只能计分一次，如同一人员持有两本证书按一人计分，未提供或提供不全或社保不满足要求的不计分。）</w:t>
            </w:r>
          </w:p>
        </w:tc>
        <w:tc>
          <w:tcPr>
            <w:tcW w:w="1319" w:type="dxa"/>
            <w:noWrap w:val="0"/>
            <w:vAlign w:val="center"/>
          </w:tcPr>
          <w:p w14:paraId="0C28191C">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b/>
                <w:bCs/>
                <w:sz w:val="22"/>
                <w:szCs w:val="22"/>
                <w:highlight w:val="none"/>
                <w:lang w:val="en-US" w:eastAsia="zh-CN"/>
              </w:rPr>
              <w:t>客观分</w:t>
            </w:r>
          </w:p>
        </w:tc>
      </w:tr>
      <w:tr w14:paraId="14CC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63" w:type="dxa"/>
            <w:noWrap w:val="0"/>
            <w:vAlign w:val="center"/>
          </w:tcPr>
          <w:p w14:paraId="74577124">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6</w:t>
            </w:r>
          </w:p>
        </w:tc>
        <w:tc>
          <w:tcPr>
            <w:tcW w:w="1618" w:type="dxa"/>
            <w:noWrap w:val="0"/>
            <w:vAlign w:val="center"/>
          </w:tcPr>
          <w:p w14:paraId="2C3E9A2C">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应急预案</w:t>
            </w:r>
          </w:p>
        </w:tc>
        <w:tc>
          <w:tcPr>
            <w:tcW w:w="1219" w:type="dxa"/>
            <w:noWrap w:val="0"/>
            <w:vAlign w:val="center"/>
          </w:tcPr>
          <w:p w14:paraId="2962CA69">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4DCBCD6B">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z w:val="22"/>
                <w:szCs w:val="22"/>
                <w:highlight w:val="none"/>
              </w:rPr>
              <w:t>投标人针对本项目的突发应急事件（突发停电情况处理、设备故障应急处理、水质超标紧急处理、人为因素破坏管网或设备的应急处理、恶劣自然状况的应急处理等）的处理预案是否合理进行评分：</w:t>
            </w:r>
          </w:p>
          <w:p w14:paraId="64B9CD83">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bookmarkStart w:id="428" w:name="OLE_LINK1"/>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4BD82DA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063A05C6">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74E49BB0">
            <w:pPr>
              <w:pStyle w:val="8"/>
              <w:keepNext w:val="0"/>
              <w:keepLines w:val="0"/>
              <w:pageBreakBefore w:val="0"/>
              <w:widowControl w:val="0"/>
              <w:kinsoku/>
              <w:wordWrap/>
              <w:overflowPunct/>
              <w:topLinePunct w:val="0"/>
              <w:bidi w:val="0"/>
              <w:snapToGrid/>
              <w:spacing w:after="0" w:line="400" w:lineRule="exact"/>
              <w:ind w:firstLine="0" w:firstLineChars="0"/>
              <w:rPr>
                <w:rFonts w:hint="eastAsia" w:ascii="宋体" w:hAnsi="宋体"/>
                <w:sz w:val="22"/>
                <w:szCs w:val="22"/>
                <w:highlight w:val="none"/>
                <w:lang w:val="en-US" w:eastAsia="zh-CN"/>
              </w:rPr>
            </w:pPr>
            <w:r>
              <w:rPr>
                <w:rFonts w:hint="eastAsia" w:ascii="宋体" w:hAnsi="宋体" w:cs="宋体"/>
                <w:b w:val="0"/>
                <w:bCs/>
                <w:snapToGrid w:val="0"/>
                <w:sz w:val="22"/>
                <w:szCs w:val="22"/>
                <w:highlight w:val="none"/>
                <w:lang w:val="en-US" w:eastAsia="zh-CN"/>
              </w:rPr>
              <w:t>不合理或无具体描述的不得分。</w:t>
            </w:r>
            <w:bookmarkEnd w:id="428"/>
          </w:p>
        </w:tc>
        <w:tc>
          <w:tcPr>
            <w:tcW w:w="1319" w:type="dxa"/>
            <w:noWrap w:val="0"/>
            <w:vAlign w:val="center"/>
          </w:tcPr>
          <w:p w14:paraId="3EBBAE85">
            <w:pPr>
              <w:pStyle w:val="8"/>
              <w:keepNext w:val="0"/>
              <w:keepLines w:val="0"/>
              <w:pageBreakBefore w:val="0"/>
              <w:widowControl w:val="0"/>
              <w:kinsoku/>
              <w:wordWrap/>
              <w:overflowPunct/>
              <w:topLinePunct w:val="0"/>
              <w:bidi w:val="0"/>
              <w:snapToGrid/>
              <w:spacing w:after="0" w:line="400" w:lineRule="exact"/>
              <w:ind w:firstLine="0" w:firstLineChars="0"/>
              <w:rPr>
                <w:rFonts w:hint="eastAsia" w:ascii="宋体" w:hAnsi="宋体" w:cs="宋体"/>
                <w:b w:val="0"/>
                <w:bCs/>
                <w:snapToGrid w:val="0"/>
                <w:sz w:val="22"/>
                <w:szCs w:val="22"/>
                <w:highlight w:val="none"/>
                <w:lang w:val="en-US" w:eastAsia="zh-CN"/>
              </w:rPr>
            </w:pPr>
            <w:r>
              <w:rPr>
                <w:rFonts w:hint="eastAsia" w:ascii="宋体" w:hAnsi="宋体" w:cs="宋体"/>
                <w:b/>
                <w:bCs/>
                <w:snapToGrid w:val="0"/>
                <w:sz w:val="22"/>
                <w:szCs w:val="22"/>
                <w:highlight w:val="none"/>
                <w:lang w:val="en-US" w:eastAsia="zh-CN"/>
              </w:rPr>
              <w:t>主观分</w:t>
            </w:r>
          </w:p>
        </w:tc>
      </w:tr>
      <w:tr w14:paraId="1D33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63" w:type="dxa"/>
            <w:noWrap w:val="0"/>
            <w:vAlign w:val="center"/>
          </w:tcPr>
          <w:p w14:paraId="24984E2B">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7</w:t>
            </w:r>
          </w:p>
        </w:tc>
        <w:tc>
          <w:tcPr>
            <w:tcW w:w="1618" w:type="dxa"/>
            <w:noWrap w:val="0"/>
            <w:vAlign w:val="center"/>
          </w:tcPr>
          <w:p w14:paraId="6E226D01">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运维服务计划</w:t>
            </w:r>
          </w:p>
          <w:p w14:paraId="46A23825">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b/>
                <w:sz w:val="22"/>
                <w:szCs w:val="22"/>
                <w:highlight w:val="none"/>
                <w:lang w:val="en-US" w:eastAsia="zh-CN"/>
              </w:rPr>
            </w:pPr>
            <w:r>
              <w:rPr>
                <w:rFonts w:hint="eastAsia" w:ascii="宋体" w:hAnsi="宋体" w:cs="宋体"/>
                <w:b/>
                <w:sz w:val="22"/>
                <w:szCs w:val="22"/>
                <w:highlight w:val="none"/>
              </w:rPr>
              <w:t>和方案</w:t>
            </w:r>
          </w:p>
        </w:tc>
        <w:tc>
          <w:tcPr>
            <w:tcW w:w="1219" w:type="dxa"/>
            <w:noWrap w:val="0"/>
            <w:vAlign w:val="center"/>
          </w:tcPr>
          <w:p w14:paraId="7F2EC519">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13</w:t>
            </w:r>
            <w:r>
              <w:rPr>
                <w:rFonts w:hint="eastAsia" w:ascii="宋体" w:hAnsi="宋体" w:cs="宋体"/>
                <w:sz w:val="22"/>
                <w:szCs w:val="22"/>
                <w:highlight w:val="none"/>
              </w:rPr>
              <w:t>分</w:t>
            </w:r>
          </w:p>
        </w:tc>
        <w:tc>
          <w:tcPr>
            <w:tcW w:w="4848" w:type="dxa"/>
            <w:noWrap w:val="0"/>
            <w:vAlign w:val="center"/>
          </w:tcPr>
          <w:p w14:paraId="63A8C1AB">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z w:val="22"/>
                <w:szCs w:val="22"/>
                <w:highlight w:val="none"/>
              </w:rPr>
              <w:t>投标人提供的设施运维、维修及运行管理方案、计划，设施运行操作规则与规程等内容</w:t>
            </w:r>
            <w:r>
              <w:rPr>
                <w:rFonts w:hint="eastAsia" w:ascii="宋体" w:hAnsi="宋体" w:cs="宋体"/>
                <w:snapToGrid w:val="0"/>
                <w:sz w:val="22"/>
                <w:szCs w:val="22"/>
                <w:highlight w:val="none"/>
              </w:rPr>
              <w:t>进行评分</w:t>
            </w:r>
            <w:r>
              <w:rPr>
                <w:rFonts w:hint="eastAsia" w:ascii="宋体" w:hAnsi="宋体" w:cs="宋体"/>
                <w:sz w:val="22"/>
                <w:szCs w:val="22"/>
                <w:highlight w:val="none"/>
              </w:rPr>
              <w:t>：</w:t>
            </w:r>
          </w:p>
          <w:p w14:paraId="6E760673">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13</w:t>
            </w:r>
            <w:r>
              <w:rPr>
                <w:rFonts w:hint="eastAsia" w:ascii="宋体" w:hAnsi="宋体" w:cs="宋体"/>
                <w:snapToGrid w:val="0"/>
                <w:sz w:val="22"/>
                <w:szCs w:val="22"/>
                <w:highlight w:val="none"/>
              </w:rPr>
              <w:t>分；</w:t>
            </w:r>
          </w:p>
          <w:p w14:paraId="7CC840F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9</w:t>
            </w:r>
            <w:r>
              <w:rPr>
                <w:rFonts w:hint="eastAsia" w:ascii="宋体" w:hAnsi="宋体" w:cs="宋体"/>
                <w:snapToGrid w:val="0"/>
                <w:sz w:val="22"/>
                <w:szCs w:val="22"/>
                <w:highlight w:val="none"/>
              </w:rPr>
              <w:t>分；</w:t>
            </w:r>
          </w:p>
          <w:p w14:paraId="6B92A053">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5</w:t>
            </w:r>
            <w:r>
              <w:rPr>
                <w:rFonts w:hint="eastAsia" w:ascii="宋体" w:hAnsi="宋体" w:cs="宋体"/>
                <w:snapToGrid w:val="0"/>
                <w:sz w:val="22"/>
                <w:szCs w:val="22"/>
                <w:highlight w:val="none"/>
              </w:rPr>
              <w:t>分；</w:t>
            </w:r>
          </w:p>
          <w:p w14:paraId="472F6528">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459AE3B1">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0BCB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7A7DB322">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8</w:t>
            </w:r>
          </w:p>
        </w:tc>
        <w:tc>
          <w:tcPr>
            <w:tcW w:w="1618" w:type="dxa"/>
            <w:noWrap w:val="0"/>
            <w:vAlign w:val="center"/>
          </w:tcPr>
          <w:p w14:paraId="2CC27B37">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b/>
                <w:sz w:val="22"/>
                <w:szCs w:val="22"/>
                <w:highlight w:val="none"/>
              </w:rPr>
            </w:pPr>
            <w:r>
              <w:rPr>
                <w:rFonts w:hint="eastAsia" w:ascii="宋体" w:hAnsi="宋体" w:cs="宋体"/>
                <w:b/>
                <w:sz w:val="22"/>
                <w:szCs w:val="22"/>
                <w:highlight w:val="none"/>
              </w:rPr>
              <w:t>运维管理措施及内部考核制度</w:t>
            </w:r>
          </w:p>
        </w:tc>
        <w:tc>
          <w:tcPr>
            <w:tcW w:w="1219" w:type="dxa"/>
            <w:noWrap w:val="0"/>
            <w:vAlign w:val="center"/>
          </w:tcPr>
          <w:p w14:paraId="2561C9A9">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712FCE10">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对投标人提供的针对本项目的运维管理措施及内部考核制度等内容进行评分：</w:t>
            </w:r>
          </w:p>
          <w:p w14:paraId="4DE1926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107376A4">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2C135FD7">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5295D214">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162B31A2">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0C38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0BCFC6DA">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9</w:t>
            </w:r>
          </w:p>
        </w:tc>
        <w:tc>
          <w:tcPr>
            <w:tcW w:w="1618" w:type="dxa"/>
            <w:noWrap w:val="0"/>
            <w:vAlign w:val="center"/>
          </w:tcPr>
          <w:p w14:paraId="11AE4502">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b/>
                <w:sz w:val="22"/>
                <w:szCs w:val="22"/>
                <w:highlight w:val="none"/>
              </w:rPr>
            </w:pPr>
            <w:r>
              <w:rPr>
                <w:rFonts w:hint="eastAsia" w:ascii="宋体" w:hAnsi="宋体" w:cs="宋体"/>
                <w:b/>
                <w:sz w:val="22"/>
                <w:szCs w:val="22"/>
                <w:highlight w:val="none"/>
              </w:rPr>
              <w:t>质量、安全文明措施</w:t>
            </w:r>
          </w:p>
        </w:tc>
        <w:tc>
          <w:tcPr>
            <w:tcW w:w="1219" w:type="dxa"/>
            <w:noWrap w:val="0"/>
            <w:vAlign w:val="center"/>
          </w:tcPr>
          <w:p w14:paraId="7C165A83">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6ACBC761">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对投标人提供的质量、安全文明措施的可行性、合理性进行评分：</w:t>
            </w:r>
          </w:p>
          <w:p w14:paraId="6EF8F4BE">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7DDFF5B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7FF91DB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3E1B9034">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4780DCAA">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7944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6EFBF3F0">
            <w:pPr>
              <w:keepNext w:val="0"/>
              <w:keepLines w:val="0"/>
              <w:pageBreakBefore w:val="0"/>
              <w:widowControl w:val="0"/>
              <w:kinsoku/>
              <w:wordWrap/>
              <w:overflowPunct/>
              <w:topLinePunct w:val="0"/>
              <w:bidi w:val="0"/>
              <w:snapToGrid/>
              <w:spacing w:line="400" w:lineRule="exact"/>
              <w:ind w:left="-50"/>
              <w:jc w:val="center"/>
              <w:rPr>
                <w:rFonts w:hint="default"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10</w:t>
            </w:r>
          </w:p>
        </w:tc>
        <w:tc>
          <w:tcPr>
            <w:tcW w:w="1618" w:type="dxa"/>
            <w:noWrap w:val="0"/>
            <w:vAlign w:val="center"/>
          </w:tcPr>
          <w:p w14:paraId="6C9BEF7C">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b/>
                <w:sz w:val="22"/>
                <w:szCs w:val="22"/>
                <w:highlight w:val="none"/>
              </w:rPr>
            </w:pPr>
            <w:r>
              <w:rPr>
                <w:rFonts w:hint="eastAsia" w:ascii="宋体" w:hAnsi="宋体" w:cs="宋体"/>
                <w:b/>
                <w:sz w:val="22"/>
                <w:szCs w:val="22"/>
                <w:highlight w:val="none"/>
              </w:rPr>
              <w:t>环境保护措施</w:t>
            </w:r>
          </w:p>
        </w:tc>
        <w:tc>
          <w:tcPr>
            <w:tcW w:w="1219" w:type="dxa"/>
            <w:noWrap w:val="0"/>
            <w:vAlign w:val="center"/>
          </w:tcPr>
          <w:p w14:paraId="1DF22A8B">
            <w:pPr>
              <w:keepNext w:val="0"/>
              <w:keepLines w:val="0"/>
              <w:pageBreakBefore w:val="0"/>
              <w:widowControl w:val="0"/>
              <w:kinsoku/>
              <w:wordWrap/>
              <w:overflowPunct/>
              <w:topLinePunct w:val="0"/>
              <w:bidi w:val="0"/>
              <w:snapToGrid/>
              <w:spacing w:line="400" w:lineRule="exact"/>
              <w:ind w:right="3"/>
              <w:jc w:val="center"/>
              <w:rPr>
                <w:rFonts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50C7FE5F">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对投标人提供的环境保护措施的可行性、合理性进行评分：</w:t>
            </w:r>
          </w:p>
          <w:p w14:paraId="6FD94D2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7DAEBF3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345D8669">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7AD7178B">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6AC0ABA9">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55BC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0F464049">
            <w:pPr>
              <w:keepNext w:val="0"/>
              <w:keepLines w:val="0"/>
              <w:pageBreakBefore w:val="0"/>
              <w:widowControl w:val="0"/>
              <w:kinsoku/>
              <w:wordWrap/>
              <w:overflowPunct/>
              <w:topLinePunct w:val="0"/>
              <w:bidi w:val="0"/>
              <w:snapToGrid/>
              <w:spacing w:line="400" w:lineRule="exact"/>
              <w:ind w:left="-50"/>
              <w:jc w:val="center"/>
              <w:rPr>
                <w:rFonts w:hint="default" w:ascii="宋体" w:hAnsi="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11</w:t>
            </w:r>
          </w:p>
        </w:tc>
        <w:tc>
          <w:tcPr>
            <w:tcW w:w="1618" w:type="dxa"/>
            <w:noWrap w:val="0"/>
            <w:vAlign w:val="center"/>
          </w:tcPr>
          <w:p w14:paraId="73871068">
            <w:pPr>
              <w:keepNext w:val="0"/>
              <w:keepLines w:val="0"/>
              <w:pageBreakBefore w:val="0"/>
              <w:widowControl w:val="0"/>
              <w:kinsoku/>
              <w:wordWrap/>
              <w:overflowPunct/>
              <w:topLinePunct w:val="0"/>
              <w:bidi w:val="0"/>
              <w:snapToGrid/>
              <w:spacing w:line="400" w:lineRule="exact"/>
              <w:ind w:right="3"/>
              <w:jc w:val="center"/>
              <w:rPr>
                <w:rFonts w:hint="default" w:ascii="宋体" w:hAnsi="宋体" w:eastAsia="宋体" w:cs="宋体"/>
                <w:b/>
                <w:sz w:val="22"/>
                <w:szCs w:val="22"/>
                <w:highlight w:val="none"/>
                <w:lang w:val="en-US" w:eastAsia="zh-CN"/>
              </w:rPr>
            </w:pPr>
            <w:r>
              <w:rPr>
                <w:rFonts w:hint="eastAsia" w:ascii="宋体" w:hAnsi="宋体" w:cs="宋体"/>
                <w:b/>
                <w:sz w:val="22"/>
                <w:szCs w:val="22"/>
                <w:highlight w:val="none"/>
                <w:lang w:val="en-US" w:eastAsia="zh-CN"/>
              </w:rPr>
              <w:t>运营平台</w:t>
            </w:r>
          </w:p>
        </w:tc>
        <w:tc>
          <w:tcPr>
            <w:tcW w:w="1219" w:type="dxa"/>
            <w:noWrap w:val="0"/>
            <w:vAlign w:val="center"/>
          </w:tcPr>
          <w:p w14:paraId="2F561AD7">
            <w:pPr>
              <w:keepNext w:val="0"/>
              <w:keepLines w:val="0"/>
              <w:pageBreakBefore w:val="0"/>
              <w:widowControl w:val="0"/>
              <w:kinsoku/>
              <w:wordWrap/>
              <w:overflowPunct/>
              <w:topLinePunct w:val="0"/>
              <w:bidi w:val="0"/>
              <w:snapToGrid/>
              <w:spacing w:line="400" w:lineRule="exact"/>
              <w:ind w:right="3"/>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r>
              <w:rPr>
                <w:rFonts w:hint="eastAsia" w:ascii="宋体" w:hAnsi="宋体" w:cs="宋体"/>
                <w:sz w:val="22"/>
                <w:szCs w:val="22"/>
                <w:highlight w:val="none"/>
              </w:rPr>
              <w:t>分</w:t>
            </w:r>
          </w:p>
        </w:tc>
        <w:tc>
          <w:tcPr>
            <w:tcW w:w="4848" w:type="dxa"/>
            <w:noWrap w:val="0"/>
            <w:vAlign w:val="center"/>
          </w:tcPr>
          <w:p w14:paraId="6C7D740F">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w:t>
            </w:r>
            <w:r>
              <w:rPr>
                <w:rFonts w:hint="eastAsia" w:ascii="宋体" w:hAnsi="宋体" w:cs="宋体"/>
                <w:snapToGrid w:val="0"/>
                <w:sz w:val="22"/>
                <w:szCs w:val="22"/>
                <w:highlight w:val="none"/>
                <w:lang w:val="en-US" w:eastAsia="zh-CN"/>
              </w:rPr>
              <w:t>运营平台功能、设计思路</w:t>
            </w:r>
            <w:r>
              <w:rPr>
                <w:rFonts w:hint="eastAsia" w:ascii="宋体" w:hAnsi="宋体" w:cs="宋体"/>
                <w:snapToGrid w:val="0"/>
                <w:sz w:val="22"/>
                <w:szCs w:val="22"/>
                <w:highlight w:val="none"/>
              </w:rPr>
              <w:t>进行评分：</w:t>
            </w:r>
          </w:p>
          <w:p w14:paraId="6F82722F">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lang w:val="en-US" w:eastAsia="zh-CN"/>
              </w:rPr>
              <w:t>平台功能全面，</w:t>
            </w: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6</w:t>
            </w:r>
            <w:r>
              <w:rPr>
                <w:rFonts w:hint="eastAsia" w:ascii="宋体" w:hAnsi="宋体" w:cs="宋体"/>
                <w:snapToGrid w:val="0"/>
                <w:sz w:val="22"/>
                <w:szCs w:val="22"/>
                <w:highlight w:val="none"/>
              </w:rPr>
              <w:t>分；</w:t>
            </w:r>
          </w:p>
          <w:p w14:paraId="6554312E">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lang w:val="en-US" w:eastAsia="zh-CN"/>
              </w:rPr>
              <w:t>平台功能一般，</w:t>
            </w: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30A430C7">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lang w:val="en-US" w:eastAsia="zh-CN"/>
              </w:rPr>
              <w:t>平台功能缺失，</w:t>
            </w: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67A3BFD3">
            <w:pPr>
              <w:keepNext w:val="0"/>
              <w:keepLines w:val="0"/>
              <w:pageBreakBefore w:val="0"/>
              <w:widowControl w:val="0"/>
              <w:kinsoku/>
              <w:wordWrap/>
              <w:overflowPunct/>
              <w:topLinePunct w:val="0"/>
              <w:bidi w:val="0"/>
              <w:snapToGrid/>
              <w:spacing w:line="400" w:lineRule="exact"/>
              <w:rPr>
                <w:rFonts w:hint="default"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28D5A28A">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bl>
    <w:p w14:paraId="4A269BC7">
      <w:pPr>
        <w:spacing w:line="440" w:lineRule="exact"/>
        <w:ind w:firstLine="330" w:firstLineChars="150"/>
        <w:rPr>
          <w:rFonts w:hint="eastAsia" w:ascii="宋体" w:hAnsi="宋体" w:eastAsia="宋体" w:cs="新宋体"/>
          <w:color w:val="auto"/>
          <w:sz w:val="22"/>
          <w:szCs w:val="22"/>
          <w:highlight w:val="none"/>
          <w:lang w:eastAsia="zh-CN"/>
        </w:rPr>
      </w:pPr>
    </w:p>
    <w:p w14:paraId="535EE4B6">
      <w:pPr>
        <w:spacing w:line="440" w:lineRule="exact"/>
        <w:ind w:firstLine="330" w:firstLineChars="150"/>
        <w:rPr>
          <w:rFonts w:hint="eastAsia" w:ascii="宋体" w:hAnsi="宋体" w:eastAsia="宋体" w:cs="新宋体"/>
          <w:color w:val="auto"/>
          <w:sz w:val="22"/>
          <w:szCs w:val="22"/>
          <w:highlight w:val="none"/>
          <w:lang w:eastAsia="zh-CN"/>
        </w:rPr>
      </w:pPr>
    </w:p>
    <w:p w14:paraId="383D5E2A">
      <w:pPr>
        <w:numPr>
          <w:ilvl w:val="0"/>
          <w:numId w:val="19"/>
        </w:numPr>
        <w:spacing w:line="440" w:lineRule="exact"/>
        <w:ind w:firstLine="0"/>
        <w:rPr>
          <w:rFonts w:ascii="宋体" w:hAnsi="宋体" w:cs="新宋体"/>
          <w:b/>
          <w:bCs/>
          <w:color w:val="auto"/>
          <w:sz w:val="22"/>
          <w:szCs w:val="22"/>
          <w:highlight w:val="none"/>
        </w:rPr>
      </w:pPr>
      <w:r>
        <w:rPr>
          <w:rFonts w:hint="eastAsia" w:ascii="宋体" w:hAnsi="宋体"/>
          <w:b/>
          <w:color w:val="auto"/>
          <w:sz w:val="22"/>
          <w:szCs w:val="22"/>
          <w:highlight w:val="none"/>
        </w:rPr>
        <w:t>投标报价评分</w:t>
      </w:r>
      <w:r>
        <w:rPr>
          <w:rFonts w:hint="eastAsia" w:ascii="宋体" w:hAnsi="宋体" w:cs="新宋体"/>
          <w:b/>
          <w:bCs/>
          <w:color w:val="auto"/>
          <w:sz w:val="22"/>
          <w:szCs w:val="22"/>
          <w:highlight w:val="none"/>
        </w:rPr>
        <w:t>（20分）：</w:t>
      </w:r>
    </w:p>
    <w:p w14:paraId="7B2F9B29">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2.1满足采购文件要求且</w:t>
      </w:r>
      <w:r>
        <w:rPr>
          <w:rFonts w:hint="eastAsia" w:ascii="宋体" w:hAnsi="宋体" w:cs="新宋体"/>
          <w:b/>
          <w:color w:val="auto"/>
          <w:kern w:val="0"/>
          <w:sz w:val="22"/>
          <w:szCs w:val="22"/>
          <w:highlight w:val="none"/>
          <w:u w:val="single"/>
        </w:rPr>
        <w:t>投标价格最低</w:t>
      </w:r>
      <w:r>
        <w:rPr>
          <w:rFonts w:hint="eastAsia" w:ascii="宋体" w:hAnsi="宋体" w:cs="新宋体"/>
          <w:color w:val="auto"/>
          <w:kern w:val="0"/>
          <w:sz w:val="22"/>
          <w:szCs w:val="22"/>
          <w:highlight w:val="none"/>
        </w:rPr>
        <w:t>的投标报价为评标基准价；</w:t>
      </w:r>
    </w:p>
    <w:p w14:paraId="4D5EE2D7">
      <w:pPr>
        <w:spacing w:line="460" w:lineRule="exact"/>
        <w:ind w:left="33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1）有效投标人的投标价等于评标基准价时，其投标报价评分值为满分；</w:t>
      </w:r>
    </w:p>
    <w:p w14:paraId="6009E449">
      <w:pPr>
        <w:spacing w:line="460" w:lineRule="exact"/>
        <w:ind w:left="33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w:t>
      </w:r>
      <w:r>
        <w:rPr>
          <w:rFonts w:hint="eastAsia" w:ascii="宋体" w:hAnsi="宋体" w:cs="宋体"/>
          <w:color w:val="auto"/>
          <w:sz w:val="22"/>
          <w:highlight w:val="none"/>
        </w:rPr>
        <w:t>未满足折扣条件的报价得分</w:t>
      </w:r>
      <w:r>
        <w:rPr>
          <w:rFonts w:hint="eastAsia" w:ascii="宋体" w:hAnsi="宋体" w:cs="新宋体"/>
          <w:color w:val="auto"/>
          <w:kern w:val="0"/>
          <w:sz w:val="22"/>
          <w:szCs w:val="22"/>
          <w:highlight w:val="none"/>
        </w:rPr>
        <w:t>=（评标基准价/投标人投标报价）×20</w:t>
      </w:r>
      <w:r>
        <w:rPr>
          <w:rFonts w:hint="eastAsia" w:ascii="宋体" w:hAnsi="宋体"/>
          <w:color w:val="auto"/>
          <w:sz w:val="22"/>
          <w:szCs w:val="22"/>
          <w:highlight w:val="none"/>
        </w:rPr>
        <w:t>（四舍五入，保留小数点后2位）；</w:t>
      </w:r>
    </w:p>
    <w:p w14:paraId="25584520">
      <w:pPr>
        <w:spacing w:line="460" w:lineRule="exact"/>
        <w:ind w:left="330"/>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4）本项目采购</w:t>
      </w:r>
      <w:r>
        <w:rPr>
          <w:rFonts w:hint="eastAsia" w:ascii="宋体" w:hAnsi="宋体" w:cs="新宋体"/>
          <w:b/>
          <w:color w:val="auto"/>
          <w:kern w:val="0"/>
          <w:sz w:val="22"/>
          <w:szCs w:val="22"/>
          <w:highlight w:val="none"/>
          <w:lang w:val="en-US" w:eastAsia="zh-CN"/>
        </w:rPr>
        <w:t>最高限价</w:t>
      </w:r>
      <w:r>
        <w:rPr>
          <w:rFonts w:hint="eastAsia" w:ascii="宋体" w:hAnsi="宋体" w:cs="新宋体"/>
          <w:b/>
          <w:color w:val="auto"/>
          <w:kern w:val="0"/>
          <w:sz w:val="22"/>
          <w:szCs w:val="22"/>
          <w:highlight w:val="none"/>
        </w:rPr>
        <w:t>为人民币</w:t>
      </w:r>
      <w:r>
        <w:rPr>
          <w:rFonts w:hint="eastAsia" w:ascii="宋体" w:hAnsi="宋体" w:cs="新宋体"/>
          <w:b/>
          <w:color w:val="auto"/>
          <w:kern w:val="0"/>
          <w:sz w:val="22"/>
          <w:szCs w:val="22"/>
          <w:highlight w:val="none"/>
          <w:lang w:val="en-US" w:eastAsia="zh-CN"/>
        </w:rPr>
        <w:t xml:space="preserve"> 64 </w:t>
      </w:r>
      <w:r>
        <w:rPr>
          <w:rFonts w:hint="eastAsia" w:ascii="宋体" w:hAnsi="宋体" w:cs="新宋体"/>
          <w:b/>
          <w:color w:val="auto"/>
          <w:kern w:val="0"/>
          <w:sz w:val="22"/>
          <w:szCs w:val="22"/>
          <w:highlight w:val="none"/>
        </w:rPr>
        <w:t>万元整，如投标人报价超过采购</w:t>
      </w:r>
      <w:r>
        <w:rPr>
          <w:rFonts w:hint="eastAsia" w:ascii="宋体" w:hAnsi="宋体" w:cs="新宋体"/>
          <w:b/>
          <w:color w:val="auto"/>
          <w:kern w:val="0"/>
          <w:sz w:val="22"/>
          <w:szCs w:val="22"/>
          <w:highlight w:val="none"/>
          <w:lang w:val="en-US" w:eastAsia="zh-CN"/>
        </w:rPr>
        <w:t>最高限价</w:t>
      </w:r>
      <w:r>
        <w:rPr>
          <w:rFonts w:hint="eastAsia" w:ascii="宋体" w:hAnsi="宋体" w:cs="新宋体"/>
          <w:b/>
          <w:color w:val="auto"/>
          <w:kern w:val="0"/>
          <w:sz w:val="22"/>
          <w:szCs w:val="22"/>
          <w:highlight w:val="none"/>
        </w:rPr>
        <w:t>，其投标文件作无效标处理。</w:t>
      </w:r>
    </w:p>
    <w:p w14:paraId="44D5FE1B">
      <w:pPr>
        <w:spacing w:line="460" w:lineRule="exact"/>
        <w:ind w:left="330"/>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5）所有投标人报价文件均超采购预算，重新组织采购。</w:t>
      </w:r>
    </w:p>
    <w:p w14:paraId="3D6997A1">
      <w:pPr>
        <w:numPr>
          <w:ilvl w:val="0"/>
          <w:numId w:val="0"/>
        </w:numPr>
        <w:spacing w:line="360" w:lineRule="exact"/>
        <w:ind w:firstLine="442" w:firstLineChars="200"/>
        <w:rPr>
          <w:rFonts w:hint="eastAsia" w:ascii="宋体" w:hAnsi="宋体" w:eastAsia="宋体" w:cs="Times New Roman"/>
          <w:bCs/>
          <w:color w:val="auto"/>
          <w:sz w:val="21"/>
          <w:szCs w:val="21"/>
          <w:highlight w:val="none"/>
        </w:rPr>
      </w:pPr>
      <w:r>
        <w:rPr>
          <w:rFonts w:hint="eastAsia" w:ascii="宋体" w:hAnsi="宋体" w:eastAsia="宋体" w:cs="新宋体"/>
          <w:b/>
          <w:color w:val="auto"/>
          <w:kern w:val="0"/>
          <w:sz w:val="22"/>
          <w:szCs w:val="22"/>
          <w:highlight w:val="none"/>
          <w:lang w:val="en-US" w:eastAsia="zh-CN"/>
        </w:rPr>
        <w:t>6）</w:t>
      </w:r>
      <w:r>
        <w:rPr>
          <w:rFonts w:hint="eastAsia" w:ascii="宋体" w:hAnsi="宋体" w:eastAsia="宋体" w:cs="新宋体"/>
          <w:b/>
          <w:color w:val="auto"/>
          <w:kern w:val="0"/>
          <w:sz w:val="22"/>
          <w:szCs w:val="22"/>
          <w:highlight w:val="none"/>
        </w:rPr>
        <w:t>▲</w:t>
      </w:r>
      <w:r>
        <w:rPr>
          <w:rFonts w:hint="eastAsia" w:ascii="宋体" w:hAnsi="宋体" w:eastAsia="宋体" w:cs="新宋体"/>
          <w:b/>
          <w:color w:val="auto"/>
          <w:kern w:val="0"/>
          <w:sz w:val="22"/>
          <w:szCs w:val="22"/>
          <w:highlight w:val="none"/>
          <w:lang w:val="en-US" w:eastAsia="zh-CN"/>
        </w:rPr>
        <w:t>本</w:t>
      </w:r>
      <w:r>
        <w:rPr>
          <w:rFonts w:hint="eastAsia" w:ascii="宋体" w:hAnsi="宋体" w:eastAsia="宋体" w:cs="新宋体"/>
          <w:b/>
          <w:color w:val="auto"/>
          <w:kern w:val="0"/>
          <w:sz w:val="22"/>
          <w:szCs w:val="22"/>
          <w:highlight w:val="none"/>
        </w:rPr>
        <w:t>项目为专门面向中小企业采购的，不再执行价格评审优惠的扶持政策。</w:t>
      </w:r>
    </w:p>
    <w:p w14:paraId="5C63B559">
      <w:pPr>
        <w:numPr>
          <w:ilvl w:val="0"/>
          <w:numId w:val="19"/>
        </w:numPr>
        <w:spacing w:line="440" w:lineRule="exact"/>
        <w:ind w:firstLine="0"/>
        <w:rPr>
          <w:rFonts w:hint="eastAsia" w:ascii="宋体" w:hAnsi="宋体"/>
          <w:b/>
          <w:color w:val="auto"/>
          <w:sz w:val="22"/>
          <w:szCs w:val="22"/>
          <w:highlight w:val="none"/>
        </w:rPr>
      </w:pPr>
      <w:r>
        <w:rPr>
          <w:rFonts w:hint="eastAsia" w:ascii="宋体" w:hAnsi="宋体"/>
          <w:b/>
          <w:color w:val="auto"/>
          <w:sz w:val="22"/>
          <w:szCs w:val="22"/>
          <w:highlight w:val="none"/>
        </w:rPr>
        <w:t>有效投标人的综合得分为技术资信文件得分和投标报价得分的总和。</w:t>
      </w:r>
      <w:bookmarkEnd w:id="423"/>
    </w:p>
    <w:p w14:paraId="1171085D">
      <w:pPr>
        <w:numPr>
          <w:ilvl w:val="0"/>
          <w:numId w:val="19"/>
        </w:numPr>
        <w:spacing w:line="440" w:lineRule="exact"/>
        <w:ind w:firstLine="0"/>
        <w:rPr>
          <w:rFonts w:hint="eastAsia" w:ascii="宋体" w:hAnsi="宋体"/>
          <w:b/>
          <w:color w:val="auto"/>
          <w:sz w:val="22"/>
          <w:szCs w:val="22"/>
          <w:highlight w:val="none"/>
        </w:rPr>
      </w:pPr>
      <w:r>
        <w:rPr>
          <w:rFonts w:hint="eastAsia" w:ascii="宋体" w:hAnsi="宋体"/>
          <w:b/>
          <w:color w:val="auto"/>
          <w:sz w:val="22"/>
          <w:highlight w:val="none"/>
        </w:rPr>
        <w:t>定标办法</w:t>
      </w:r>
    </w:p>
    <w:p w14:paraId="58A1372C">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 xml:space="preserve">   </w:t>
      </w:r>
      <w:r>
        <w:rPr>
          <w:rFonts w:hint="eastAsia" w:ascii="宋体" w:hAnsi="宋体"/>
          <w:color w:val="auto"/>
          <w:sz w:val="22"/>
          <w:szCs w:val="22"/>
          <w:highlight w:val="none"/>
        </w:rPr>
        <w:t>本次招标由评标委员会推荐</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名中标候选人，招标人根据评标委员会的推荐结果进行最终确认。</w:t>
      </w:r>
      <w:r>
        <w:rPr>
          <w:rFonts w:hint="eastAsia" w:ascii="宋体" w:hAnsi="宋体"/>
          <w:color w:val="auto"/>
          <w:sz w:val="22"/>
          <w:highlight w:val="none"/>
        </w:rPr>
        <w:t>如中标人放弃中标、或因不可抗力提出不能履行合同；或者招标文件规定应当提交履约保证金而在规定的期限内未能提交的；或未能在规定时间内与招标人签订合同的；或者经质疑，招标人审查后，确因排名第一的候选人在本次采购活动中存在违法违规行为或其他原因使质疑成立的，本次招标失败，重新组织招标。</w:t>
      </w:r>
    </w:p>
    <w:p w14:paraId="130D0549">
      <w:pPr>
        <w:numPr>
          <w:ilvl w:val="0"/>
          <w:numId w:val="19"/>
        </w:numPr>
        <w:spacing w:line="420" w:lineRule="exact"/>
        <w:rPr>
          <w:rFonts w:hint="eastAsia" w:ascii="宋体" w:hAnsi="宋体"/>
          <w:b/>
          <w:color w:val="auto"/>
          <w:sz w:val="22"/>
          <w:highlight w:val="none"/>
        </w:rPr>
      </w:pPr>
      <w:bookmarkStart w:id="429" w:name="_Toc221356967"/>
      <w:bookmarkStart w:id="430" w:name="_Toc221356904"/>
      <w:r>
        <w:rPr>
          <w:rFonts w:hint="eastAsia" w:ascii="宋体" w:hAnsi="宋体"/>
          <w:b/>
          <w:color w:val="auto"/>
          <w:sz w:val="22"/>
          <w:highlight w:val="none"/>
        </w:rPr>
        <w:t>确定中标人</w:t>
      </w:r>
      <w:bookmarkEnd w:id="429"/>
      <w:bookmarkEnd w:id="430"/>
    </w:p>
    <w:p w14:paraId="7E9FE0F1">
      <w:pPr>
        <w:spacing w:line="420" w:lineRule="exact"/>
        <w:ind w:left="400"/>
        <w:rPr>
          <w:rFonts w:hint="eastAsia" w:ascii="宋体" w:hAnsi="宋体"/>
          <w:b/>
          <w:color w:val="auto"/>
          <w:sz w:val="22"/>
          <w:highlight w:val="none"/>
        </w:rPr>
      </w:pPr>
      <w:r>
        <w:rPr>
          <w:rFonts w:ascii="宋体" w:hAnsi="宋体"/>
          <w:color w:val="auto"/>
          <w:sz w:val="22"/>
          <w:szCs w:val="22"/>
          <w:highlight w:val="none"/>
        </w:rPr>
        <w:t>评标结束后，招标人将在</w:t>
      </w:r>
      <w:r>
        <w:rPr>
          <w:rFonts w:hint="eastAsia" w:ascii="宋体" w:hAnsi="宋体" w:cs="Arial"/>
          <w:color w:val="auto"/>
          <w:sz w:val="22"/>
          <w:szCs w:val="22"/>
          <w:highlight w:val="none"/>
        </w:rPr>
        <w:t>温州市公共资源交易网鹿城区分网</w:t>
      </w:r>
      <w:r>
        <w:rPr>
          <w:rFonts w:hint="eastAsia" w:ascii="宋体" w:hAnsi="宋体"/>
          <w:color w:val="auto"/>
          <w:sz w:val="22"/>
          <w:szCs w:val="22"/>
          <w:highlight w:val="none"/>
        </w:rPr>
        <w:t>及其他</w:t>
      </w:r>
      <w:r>
        <w:rPr>
          <w:rFonts w:ascii="宋体" w:hAnsi="宋体"/>
          <w:color w:val="auto"/>
          <w:sz w:val="22"/>
          <w:szCs w:val="22"/>
          <w:highlight w:val="none"/>
        </w:rPr>
        <w:t>政府采购指定信息发布媒体上公示中标结果。公示期结束，</w:t>
      </w:r>
      <w:r>
        <w:rPr>
          <w:rFonts w:hint="eastAsia" w:ascii="宋体" w:hAnsi="宋体"/>
          <w:color w:val="auto"/>
          <w:sz w:val="22"/>
          <w:szCs w:val="22"/>
          <w:highlight w:val="none"/>
        </w:rPr>
        <w:t>且</w:t>
      </w:r>
      <w:r>
        <w:rPr>
          <w:rFonts w:ascii="宋体" w:hAnsi="宋体"/>
          <w:color w:val="auto"/>
          <w:sz w:val="22"/>
          <w:szCs w:val="22"/>
          <w:highlight w:val="none"/>
        </w:rPr>
        <w:t>在规定期限内无异议则招标机构将向中标人发出中标通知书。</w:t>
      </w:r>
    </w:p>
    <w:p w14:paraId="06E1C62B">
      <w:pPr>
        <w:numPr>
          <w:ilvl w:val="0"/>
          <w:numId w:val="19"/>
        </w:numPr>
        <w:spacing w:line="420" w:lineRule="exact"/>
        <w:rPr>
          <w:rFonts w:hint="eastAsia" w:ascii="宋体" w:hAnsi="宋体"/>
          <w:b/>
          <w:color w:val="auto"/>
          <w:sz w:val="22"/>
          <w:highlight w:val="none"/>
        </w:rPr>
      </w:pPr>
      <w:bookmarkStart w:id="431" w:name="_Toc221356968"/>
      <w:bookmarkStart w:id="432" w:name="_Toc221356905"/>
      <w:r>
        <w:rPr>
          <w:rFonts w:hint="eastAsia" w:ascii="宋体" w:hAnsi="宋体"/>
          <w:b/>
          <w:color w:val="auto"/>
          <w:sz w:val="22"/>
          <w:highlight w:val="none"/>
        </w:rPr>
        <w:t>投标人义务</w:t>
      </w:r>
      <w:bookmarkEnd w:id="431"/>
      <w:bookmarkEnd w:id="432"/>
    </w:p>
    <w:p w14:paraId="47597CAF">
      <w:pPr>
        <w:spacing w:line="420" w:lineRule="exact"/>
        <w:ind w:left="400"/>
        <w:rPr>
          <w:rFonts w:hint="eastAsia"/>
          <w:color w:val="auto"/>
          <w:highlight w:val="none"/>
        </w:rPr>
      </w:pPr>
      <w:r>
        <w:rPr>
          <w:rFonts w:hint="eastAsia" w:ascii="宋体" w:hAnsi="宋体"/>
          <w:color w:val="auto"/>
          <w:sz w:val="22"/>
          <w:szCs w:val="22"/>
          <w:highlight w:val="none"/>
        </w:rPr>
        <w:t>投标人应随时接受评标委员会的询标，解答包括有关的商务、技术问题等。评标结束，所有评标资料存招标人备查。</w:t>
      </w:r>
    </w:p>
    <w:p w14:paraId="3A78BD60">
      <w:pPr>
        <w:rPr>
          <w:color w:val="auto"/>
          <w:highlight w:val="none"/>
        </w:rPr>
      </w:pPr>
    </w:p>
    <w:sectPr>
      <w:footerReference r:id="rId12" w:type="first"/>
      <w:headerReference r:id="rId10" w:type="default"/>
      <w:footerReference r:id="rId11"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1237">
    <w:pPr>
      <w:pStyle w:val="14"/>
      <w:jc w:val="center"/>
    </w:pPr>
    <w:r>
      <w:fldChar w:fldCharType="begin"/>
    </w:r>
    <w:r>
      <w:instrText xml:space="preserve"> PAGE   \* MERGEFORMAT </w:instrText>
    </w:r>
    <w:r>
      <w:fldChar w:fldCharType="separate"/>
    </w:r>
    <w:r>
      <w:rPr>
        <w:lang w:val="zh-CN"/>
      </w:rPr>
      <w:t>59</w:t>
    </w:r>
    <w:r>
      <w:fldChar w:fldCharType="end"/>
    </w:r>
  </w:p>
  <w:p w14:paraId="772A4154">
    <w:pPr>
      <w:pStyle w:val="14"/>
      <w:ind w:right="360" w:firstLine="4410" w:firstLineChars="2450"/>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9144">
    <w:pPr>
      <w:pStyle w:val="14"/>
      <w:framePr w:wrap="around" w:vAnchor="text" w:hAnchor="margin" w:xAlign="center" w:y="1"/>
      <w:rPr>
        <w:rStyle w:val="24"/>
      </w:rPr>
    </w:pPr>
    <w:r>
      <w:fldChar w:fldCharType="begin"/>
    </w:r>
    <w:r>
      <w:rPr>
        <w:rStyle w:val="24"/>
      </w:rPr>
      <w:instrText xml:space="preserve">PAGE  </w:instrText>
    </w:r>
    <w:r>
      <w:fldChar w:fldCharType="end"/>
    </w:r>
  </w:p>
  <w:p w14:paraId="5F62BC1A">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AF74">
    <w:pPr>
      <w:pStyle w:val="14"/>
      <w:jc w:val="center"/>
    </w:pPr>
    <w:r>
      <w:fldChar w:fldCharType="begin"/>
    </w:r>
    <w:r>
      <w:instrText xml:space="preserve"> PAGE   \* MERGEFORMAT </w:instrText>
    </w:r>
    <w:r>
      <w:fldChar w:fldCharType="separate"/>
    </w:r>
    <w:r>
      <w:rPr>
        <w:lang w:val="zh-CN"/>
      </w:rPr>
      <w:t>1</w:t>
    </w:r>
    <w:r>
      <w:fldChar w:fldCharType="end"/>
    </w:r>
  </w:p>
  <w:p w14:paraId="58860B3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5E2">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9BD734">
                          <w:pPr>
                            <w:pStyle w:val="14"/>
                            <w:jc w:val="center"/>
                          </w:pPr>
                          <w:r>
                            <w:fldChar w:fldCharType="begin"/>
                          </w:r>
                          <w:r>
                            <w:instrText xml:space="preserve">PAGE   \* MERGEFORMAT</w:instrText>
                          </w:r>
                          <w:r>
                            <w:fldChar w:fldCharType="separate"/>
                          </w:r>
                          <w:r>
                            <w:rPr>
                              <w:lang w:val="zh-CN"/>
                            </w:rP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99BD734">
                    <w:pPr>
                      <w:pStyle w:val="14"/>
                      <w:jc w:val="center"/>
                    </w:pPr>
                    <w:r>
                      <w:fldChar w:fldCharType="begin"/>
                    </w:r>
                    <w:r>
                      <w:instrText xml:space="preserve">PAGE   \* MERGEFORMAT</w:instrText>
                    </w:r>
                    <w:r>
                      <w:fldChar w:fldCharType="separate"/>
                    </w:r>
                    <w:r>
                      <w:rPr>
                        <w:lang w:val="zh-CN"/>
                      </w:rPr>
                      <w:t>99</w:t>
                    </w:r>
                    <w:r>
                      <w:fldChar w:fldCharType="end"/>
                    </w:r>
                  </w:p>
                </w:txbxContent>
              </v:textbox>
            </v:shape>
          </w:pict>
        </mc:Fallback>
      </mc:AlternateContent>
    </w:r>
  </w:p>
  <w:p w14:paraId="0CDFB0F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773F">
    <w:pPr>
      <w:pStyle w:val="14"/>
      <w:pBdr>
        <w:top w:val="single" w:color="auto" w:sz="4" w:space="1"/>
      </w:pBdr>
      <w:ind w:right="-82" w:rightChars="-39" w:firstLine="4410" w:firstLineChars="2450"/>
      <w:jc w:val="right"/>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53BEE984">
                          <w:pPr>
                            <w:pStyle w:val="14"/>
                            <w:rPr>
                              <w:rStyle w:val="24"/>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24"/>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24"/>
                              <w:rFonts w:ascii="新宋体" w:hAnsi="新宋体" w:eastAsia="新宋体" w:cs="新宋体"/>
                              <w:b/>
                              <w:sz w:val="16"/>
                              <w:szCs w:val="16"/>
                            </w:rPr>
                            <w:t>104</w:t>
                          </w:r>
                          <w:r>
                            <w:rPr>
                              <w:rFonts w:hint="eastAsia" w:ascii="新宋体" w:hAnsi="新宋体" w:eastAsia="新宋体" w:cs="新宋体"/>
                              <w:b/>
                              <w:sz w:val="16"/>
                              <w:szCs w:val="16"/>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u5MVa1AAAAAMBAAAPAAAAAAAAAAEAIAAAACIAAABkcnMvZG93bnJldi54bWxQSwECFAAUAAAA&#10;CACHTuJAfh4PNbkBAABxAwAADgAAAAAAAAABACAAAAAjAQAAZHJzL2Uyb0RvYy54bWxQSwUGAAAA&#10;AAYABgBZAQAATgUAAAAA&#10;">
              <v:fill on="f" focussize="0,0"/>
              <v:stroke on="f"/>
              <v:imagedata o:title=""/>
              <o:lock v:ext="edit" aspectratio="f"/>
              <v:textbox inset="0mm,0mm,0mm,0mm">
                <w:txbxContent>
                  <w:p w14:paraId="53BEE984">
                    <w:pPr>
                      <w:pStyle w:val="14"/>
                      <w:rPr>
                        <w:rStyle w:val="24"/>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24"/>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24"/>
                        <w:rFonts w:ascii="新宋体" w:hAnsi="新宋体" w:eastAsia="新宋体" w:cs="新宋体"/>
                        <w:b/>
                        <w:sz w:val="16"/>
                        <w:szCs w:val="16"/>
                      </w:rPr>
                      <w:t>104</w:t>
                    </w:r>
                    <w:r>
                      <w:rPr>
                        <w:rFonts w:hint="eastAsia" w:ascii="新宋体" w:hAnsi="新宋体" w:eastAsia="新宋体" w:cs="新宋体"/>
                        <w:b/>
                        <w:sz w:val="16"/>
                        <w:szCs w:val="1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662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31369F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31369F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1FD7">
    <w:pPr>
      <w:pStyle w:val="15"/>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434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9B8E">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6CBC">
    <w:pPr>
      <w:pStyle w:val="1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CB600783"/>
    <w:multiLevelType w:val="singleLevel"/>
    <w:tmpl w:val="CB600783"/>
    <w:lvl w:ilvl="0" w:tentative="0">
      <w:start w:val="1"/>
      <w:numFmt w:val="decimal"/>
      <w:suff w:val="nothing"/>
      <w:lvlText w:val="%1）"/>
      <w:lvlJc w:val="left"/>
    </w:lvl>
  </w:abstractNum>
  <w:abstractNum w:abstractNumId="4">
    <w:nsid w:val="0000001C"/>
    <w:multiLevelType w:val="multilevel"/>
    <w:tmpl w:val="0000001C"/>
    <w:lvl w:ilvl="0" w:tentative="0">
      <w:start w:val="1"/>
      <w:numFmt w:val="decimal"/>
      <w:lvlText w:val="（%1）"/>
      <w:lvlJc w:val="left"/>
      <w:pPr>
        <w:tabs>
          <w:tab w:val="left" w:pos="3349"/>
        </w:tabs>
        <w:ind w:left="3349" w:hanging="720"/>
      </w:pPr>
      <w:rPr>
        <w:rFonts w:hint="default"/>
      </w:rPr>
    </w:lvl>
    <w:lvl w:ilvl="1" w:tentative="0">
      <w:start w:val="1"/>
      <w:numFmt w:val="lowerLetter"/>
      <w:lvlText w:val="%2)"/>
      <w:lvlJc w:val="left"/>
      <w:pPr>
        <w:tabs>
          <w:tab w:val="left" w:pos="3469"/>
        </w:tabs>
        <w:ind w:left="3469" w:hanging="420"/>
      </w:pPr>
    </w:lvl>
    <w:lvl w:ilvl="2" w:tentative="0">
      <w:start w:val="1"/>
      <w:numFmt w:val="lowerRoman"/>
      <w:lvlText w:val="%3."/>
      <w:lvlJc w:val="right"/>
      <w:pPr>
        <w:tabs>
          <w:tab w:val="left" w:pos="3889"/>
        </w:tabs>
        <w:ind w:left="3889" w:hanging="420"/>
      </w:pPr>
    </w:lvl>
    <w:lvl w:ilvl="3" w:tentative="0">
      <w:start w:val="1"/>
      <w:numFmt w:val="decimal"/>
      <w:lvlText w:val="%4."/>
      <w:lvlJc w:val="left"/>
      <w:pPr>
        <w:tabs>
          <w:tab w:val="left" w:pos="4309"/>
        </w:tabs>
        <w:ind w:left="4309" w:hanging="420"/>
      </w:pPr>
    </w:lvl>
    <w:lvl w:ilvl="4" w:tentative="0">
      <w:start w:val="1"/>
      <w:numFmt w:val="lowerLetter"/>
      <w:lvlText w:val="%5)"/>
      <w:lvlJc w:val="left"/>
      <w:pPr>
        <w:tabs>
          <w:tab w:val="left" w:pos="4729"/>
        </w:tabs>
        <w:ind w:left="4729" w:hanging="420"/>
      </w:pPr>
    </w:lvl>
    <w:lvl w:ilvl="5" w:tentative="0">
      <w:start w:val="1"/>
      <w:numFmt w:val="lowerRoman"/>
      <w:lvlText w:val="%6."/>
      <w:lvlJc w:val="right"/>
      <w:pPr>
        <w:tabs>
          <w:tab w:val="left" w:pos="5149"/>
        </w:tabs>
        <w:ind w:left="5149" w:hanging="420"/>
      </w:pPr>
    </w:lvl>
    <w:lvl w:ilvl="6" w:tentative="0">
      <w:start w:val="1"/>
      <w:numFmt w:val="decimal"/>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5">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8">
    <w:nsid w:val="16C6564A"/>
    <w:multiLevelType w:val="multilevel"/>
    <w:tmpl w:val="16C6564A"/>
    <w:lvl w:ilvl="0" w:tentative="0">
      <w:start w:val="1"/>
      <w:numFmt w:val="decimal"/>
      <w:lvlText w:val="%1."/>
      <w:lvlJc w:val="left"/>
      <w:pPr>
        <w:ind w:left="25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615169"/>
    <w:multiLevelType w:val="singleLevel"/>
    <w:tmpl w:val="20615169"/>
    <w:lvl w:ilvl="0" w:tentative="0">
      <w:start w:val="1"/>
      <w:numFmt w:val="decimal"/>
      <w:suff w:val="nothing"/>
      <w:lvlText w:val="%1．"/>
      <w:lvlJc w:val="left"/>
      <w:pPr>
        <w:ind w:left="0" w:firstLine="400"/>
      </w:pPr>
      <w:rPr>
        <w:rFonts w:hint="default"/>
      </w:rPr>
    </w:lvl>
  </w:abstractNum>
  <w:abstractNum w:abstractNumId="10">
    <w:nsid w:val="2627F4A4"/>
    <w:multiLevelType w:val="singleLevel"/>
    <w:tmpl w:val="2627F4A4"/>
    <w:lvl w:ilvl="0" w:tentative="0">
      <w:start w:val="8"/>
      <w:numFmt w:val="decimal"/>
      <w:lvlText w:val="%1."/>
      <w:lvlJc w:val="left"/>
      <w:pPr>
        <w:tabs>
          <w:tab w:val="left" w:pos="312"/>
        </w:tabs>
      </w:pPr>
    </w:lvl>
  </w:abstractNum>
  <w:abstractNum w:abstractNumId="11">
    <w:nsid w:val="27291909"/>
    <w:multiLevelType w:val="multilevel"/>
    <w:tmpl w:val="27291909"/>
    <w:lvl w:ilvl="0" w:tentative="0">
      <w:start w:val="1"/>
      <w:numFmt w:val="decimal"/>
      <w:lvlText w:val="%1."/>
      <w:lvlJc w:val="left"/>
      <w:pPr>
        <w:tabs>
          <w:tab w:val="left" w:pos="851"/>
        </w:tabs>
        <w:ind w:left="851" w:hanging="851"/>
      </w:pPr>
      <w:rPr>
        <w:rFonts w:hint="default" w:ascii="Arial Unicode MS" w:hAnsi="Arial Unicode MS" w:eastAsia="仿宋_GB2312"/>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54F403B5"/>
    <w:multiLevelType w:val="singleLevel"/>
    <w:tmpl w:val="54F403B5"/>
    <w:lvl w:ilvl="0" w:tentative="0">
      <w:start w:val="1"/>
      <w:numFmt w:val="chineseCounting"/>
      <w:suff w:val="nothing"/>
      <w:lvlText w:val="%1、"/>
      <w:lvlJc w:val="left"/>
      <w:pPr>
        <w:ind w:left="0" w:firstLine="0"/>
      </w:pPr>
    </w:lvl>
  </w:abstractNum>
  <w:abstractNum w:abstractNumId="13">
    <w:nsid w:val="557FD3DA"/>
    <w:multiLevelType w:val="singleLevel"/>
    <w:tmpl w:val="557FD3DA"/>
    <w:lvl w:ilvl="0" w:tentative="0">
      <w:start w:val="3"/>
      <w:numFmt w:val="chineseCounting"/>
      <w:suff w:val="nothing"/>
      <w:lvlText w:val="%1、"/>
      <w:lvlJc w:val="left"/>
      <w:pPr>
        <w:ind w:left="0" w:firstLine="0"/>
      </w:pPr>
    </w:lvl>
  </w:abstractNum>
  <w:abstractNum w:abstractNumId="14">
    <w:nsid w:val="5A82CCC1"/>
    <w:multiLevelType w:val="singleLevel"/>
    <w:tmpl w:val="5A82CCC1"/>
    <w:lvl w:ilvl="0" w:tentative="0">
      <w:start w:val="1"/>
      <w:numFmt w:val="chineseCounting"/>
      <w:suff w:val="nothing"/>
      <w:lvlText w:val="%1、"/>
      <w:lvlJc w:val="left"/>
      <w:pPr>
        <w:ind w:left="0" w:firstLine="420"/>
      </w:pPr>
      <w:rPr>
        <w:rFonts w:hint="eastAsia"/>
      </w:rPr>
    </w:lvl>
  </w:abstractNum>
  <w:abstractNum w:abstractNumId="15">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6">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17">
    <w:nsid w:val="7AED6D14"/>
    <w:multiLevelType w:val="singleLevel"/>
    <w:tmpl w:val="7AED6D14"/>
    <w:lvl w:ilvl="0" w:tentative="0">
      <w:start w:val="1"/>
      <w:numFmt w:val="decimal"/>
      <w:suff w:val="nothing"/>
      <w:lvlText w:val="%1．"/>
      <w:lvlJc w:val="left"/>
      <w:pPr>
        <w:ind w:left="0" w:firstLine="400"/>
      </w:pPr>
      <w:rPr>
        <w:rFonts w:hint="default"/>
      </w:rPr>
    </w:lvl>
  </w:abstractNum>
  <w:abstractNum w:abstractNumId="18">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17"/>
  </w:num>
  <w:num w:numId="3">
    <w:abstractNumId w:val="8"/>
  </w:num>
  <w:num w:numId="4">
    <w:abstractNumId w:val="18"/>
  </w:num>
  <w:num w:numId="5">
    <w:abstractNumId w:val="2"/>
  </w:num>
  <w:num w:numId="6">
    <w:abstractNumId w:val="5"/>
  </w:num>
  <w:num w:numId="7">
    <w:abstractNumId w:val="6"/>
  </w:num>
  <w:num w:numId="8">
    <w:abstractNumId w:val="12"/>
    <w:lvlOverride w:ilvl="0">
      <w:startOverride w:val="1"/>
    </w:lvlOverride>
  </w:num>
  <w:num w:numId="9">
    <w:abstractNumId w:val="13"/>
    <w:lvlOverride w:ilvl="0">
      <w:startOverride w:val="3"/>
    </w:lvlOverride>
  </w:num>
  <w:num w:numId="10">
    <w:abstractNumId w:val="3"/>
  </w:num>
  <w:num w:numId="11">
    <w:abstractNumId w:val="10"/>
  </w:num>
  <w:num w:numId="12">
    <w:abstractNumId w:val="15"/>
  </w:num>
  <w:num w:numId="13">
    <w:abstractNumId w:val="14"/>
  </w:num>
  <w:num w:numId="14">
    <w:abstractNumId w:val="1"/>
  </w:num>
  <w:num w:numId="15">
    <w:abstractNumId w:val="0"/>
  </w:num>
  <w:num w:numId="16">
    <w:abstractNumId w:val="4"/>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DRmYjg3MjUxY2EwODcyYmZmOGVlYzgwM2IxMTcifQ=="/>
    <w:docVar w:name="KSO_WPS_MARK_KEY" w:val="efb338fa-0ac6-4a1e-9aaa-794b62672959"/>
  </w:docVars>
  <w:rsids>
    <w:rsidRoot w:val="4D0D7392"/>
    <w:rsid w:val="006F57E1"/>
    <w:rsid w:val="043068F8"/>
    <w:rsid w:val="045525AB"/>
    <w:rsid w:val="059565ED"/>
    <w:rsid w:val="05A328E5"/>
    <w:rsid w:val="07E07378"/>
    <w:rsid w:val="0A1160EA"/>
    <w:rsid w:val="105E1C02"/>
    <w:rsid w:val="119A0D13"/>
    <w:rsid w:val="11A567F3"/>
    <w:rsid w:val="13171395"/>
    <w:rsid w:val="168703AA"/>
    <w:rsid w:val="17601D24"/>
    <w:rsid w:val="1B777EC3"/>
    <w:rsid w:val="1C5C6C2D"/>
    <w:rsid w:val="1CF74986"/>
    <w:rsid w:val="1EA64A57"/>
    <w:rsid w:val="280C6A80"/>
    <w:rsid w:val="28174BE4"/>
    <w:rsid w:val="2E17458B"/>
    <w:rsid w:val="320969D9"/>
    <w:rsid w:val="338C3586"/>
    <w:rsid w:val="3AF60164"/>
    <w:rsid w:val="40717BA8"/>
    <w:rsid w:val="41D815C5"/>
    <w:rsid w:val="464E48DC"/>
    <w:rsid w:val="4A8E7592"/>
    <w:rsid w:val="4BF85A55"/>
    <w:rsid w:val="4C0B7EAA"/>
    <w:rsid w:val="4C8469F2"/>
    <w:rsid w:val="4D0D7392"/>
    <w:rsid w:val="4E225F19"/>
    <w:rsid w:val="51FB3EC1"/>
    <w:rsid w:val="53A659C1"/>
    <w:rsid w:val="55DC4140"/>
    <w:rsid w:val="59651D68"/>
    <w:rsid w:val="59980257"/>
    <w:rsid w:val="5E5B62E9"/>
    <w:rsid w:val="62E812DE"/>
    <w:rsid w:val="67F84CC5"/>
    <w:rsid w:val="683F271E"/>
    <w:rsid w:val="6FAF3250"/>
    <w:rsid w:val="71963B87"/>
    <w:rsid w:val="7615550A"/>
    <w:rsid w:val="769A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楷体_GB2312" w:hAnsi="Tahoma" w:eastAsia="楷体_GB2312"/>
      <w:b/>
      <w:bCs/>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tabs>
        <w:tab w:val="left" w:pos="567"/>
      </w:tabs>
      <w:ind w:left="567" w:hanging="567"/>
      <w:outlineLvl w:val="4"/>
    </w:pPr>
    <w:rPr>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Body Text"/>
    <w:basedOn w:val="1"/>
    <w:next w:val="8"/>
    <w:qFormat/>
    <w:uiPriority w:val="99"/>
    <w:pPr>
      <w:spacing w:after="120"/>
    </w:pPr>
    <w:rPr>
      <w:rFonts w:ascii="Tahoma" w:hAnsi="Tahoma"/>
    </w:rPr>
  </w:style>
  <w:style w:type="paragraph" w:styleId="8">
    <w:name w:val="Body Text First Indent"/>
    <w:basedOn w:val="7"/>
    <w:next w:val="9"/>
    <w:qFormat/>
    <w:uiPriority w:val="0"/>
    <w:pPr>
      <w:autoSpaceDE w:val="0"/>
      <w:autoSpaceDN w:val="0"/>
      <w:adjustRightInd w:val="0"/>
      <w:ind w:firstLine="420" w:firstLineChars="100"/>
      <w:jc w:val="left"/>
    </w:pPr>
    <w:rPr>
      <w:rFonts w:ascii="仿宋_GB2312" w:hAnsi="Calibri"/>
      <w:b/>
      <w:kern w:val="0"/>
      <w:sz w:val="32"/>
      <w:szCs w:val="32"/>
    </w:rPr>
  </w:style>
  <w:style w:type="paragraph" w:styleId="9">
    <w:name w:val="toc 6"/>
    <w:basedOn w:val="1"/>
    <w:next w:val="1"/>
    <w:qFormat/>
    <w:uiPriority w:val="0"/>
    <w:pPr>
      <w:ind w:left="2100" w:leftChars="1000"/>
    </w:pPr>
  </w:style>
  <w:style w:type="paragraph" w:styleId="10">
    <w:name w:val="Body Text Indent"/>
    <w:basedOn w:val="1"/>
    <w:qFormat/>
    <w:uiPriority w:val="0"/>
    <w:pPr>
      <w:adjustRightInd w:val="0"/>
      <w:spacing w:line="360" w:lineRule="auto"/>
      <w:ind w:firstLine="490"/>
      <w:jc w:val="left"/>
    </w:pPr>
    <w:rPr>
      <w:rFonts w:ascii="宋体" w:hAnsi="宋体"/>
      <w:sz w:val="24"/>
      <w:szCs w:val="20"/>
    </w:rPr>
  </w:style>
  <w:style w:type="paragraph" w:styleId="11">
    <w:name w:val="Block Text"/>
    <w:basedOn w:val="1"/>
    <w:qFormat/>
    <w:uiPriority w:val="99"/>
    <w:pPr>
      <w:spacing w:after="120"/>
      <w:ind w:left="1440" w:leftChars="700" w:right="1440" w:rightChars="700"/>
    </w:pPr>
    <w:rPr>
      <w:szCs w:val="22"/>
    </w:rPr>
  </w:style>
  <w:style w:type="paragraph" w:styleId="12">
    <w:name w:val="toc 3"/>
    <w:basedOn w:val="1"/>
    <w:next w:val="1"/>
    <w:qFormat/>
    <w:uiPriority w:val="39"/>
    <w:pPr>
      <w:ind w:left="840" w:leftChars="400"/>
    </w:pPr>
  </w:style>
  <w:style w:type="paragraph" w:styleId="13">
    <w:name w:val="Plain Text"/>
    <w:basedOn w:val="1"/>
    <w:next w:val="1"/>
    <w:qFormat/>
    <w:uiPriority w:val="99"/>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360" w:lineRule="exact"/>
      <w:ind w:left="718" w:hanging="718" w:hangingChars="342"/>
    </w:pPr>
    <w:rPr>
      <w:rFonts w:ascii="Arial" w:hAnsi="Arial" w:eastAsia="楷体_GB2312" w:cs="Arial"/>
    </w:rPr>
  </w:style>
  <w:style w:type="paragraph" w:styleId="17">
    <w:name w:val="List"/>
    <w:basedOn w:val="1"/>
    <w:qFormat/>
    <w:uiPriority w:val="0"/>
    <w:pPr>
      <w:ind w:left="200" w:hanging="200" w:hangingChars="200"/>
    </w:pPr>
    <w:rPr>
      <w:sz w:val="28"/>
    </w:rPr>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bCs/>
      <w:kern w:val="0"/>
      <w:sz w:val="32"/>
      <w:szCs w:val="32"/>
    </w:rPr>
  </w:style>
  <w:style w:type="character" w:styleId="23">
    <w:name w:val="Strong"/>
    <w:basedOn w:val="22"/>
    <w:qFormat/>
    <w:uiPriority w:val="0"/>
    <w:rPr>
      <w:b/>
    </w:rPr>
  </w:style>
  <w:style w:type="character" w:styleId="24">
    <w:name w:val="page number"/>
    <w:qFormat/>
    <w:uiPriority w:val="6"/>
    <w:rPr>
      <w:szCs w:val="20"/>
    </w:rPr>
  </w:style>
  <w:style w:type="character" w:styleId="25">
    <w:name w:val="Hyperlink"/>
    <w:qFormat/>
    <w:uiPriority w:val="99"/>
    <w:rPr>
      <w:rFonts w:ascii="仿宋_GB2312" w:eastAsia="仿宋_GB2312"/>
      <w:color w:val="000000"/>
      <w:sz w:val="20"/>
      <w:szCs w:val="20"/>
      <w:u w:val="none"/>
    </w:rPr>
  </w:style>
  <w:style w:type="paragraph" w:customStyle="1" w:styleId="26">
    <w:name w:val="[Normal]"/>
    <w:qFormat/>
    <w:uiPriority w:val="0"/>
    <w:rPr>
      <w:rFonts w:ascii="宋体" w:hAnsi="宋体" w:eastAsia="宋体" w:cs="Times New Roman"/>
      <w:sz w:val="24"/>
      <w:szCs w:val="22"/>
      <w:lang w:val="zh-CN" w:eastAsia="zh-CN" w:bidi="ar-SA"/>
    </w:rPr>
  </w:style>
  <w:style w:type="paragraph" w:customStyle="1" w:styleId="27">
    <w:name w:val="样式1"/>
    <w:basedOn w:val="1"/>
    <w:next w:val="5"/>
    <w:qFormat/>
    <w:uiPriority w:val="0"/>
    <w:pPr>
      <w:spacing w:line="360" w:lineRule="auto"/>
      <w:ind w:firstLine="420" w:firstLineChars="200"/>
    </w:pPr>
    <w:rPr>
      <w:rFonts w:ascii="宋体" w:hAnsi="宋体"/>
      <w:szCs w:val="21"/>
    </w:rPr>
  </w:style>
  <w:style w:type="paragraph" w:customStyle="1" w:styleId="2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29">
    <w:name w:val="正文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
    <w:name w:val="标题 2 Char"/>
    <w:qFormat/>
    <w:uiPriority w:val="0"/>
    <w:rPr>
      <w:rFonts w:ascii="Arial" w:hAnsi="Arial" w:eastAsia="黑体"/>
      <w:b/>
      <w:bCs/>
      <w:kern w:val="2"/>
      <w:sz w:val="32"/>
      <w:szCs w:val="32"/>
      <w:lang w:val="en-US" w:eastAsia="zh-CN" w:bidi="ar-SA"/>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33">
    <w:name w:val="GP正文(首行缩进)"/>
    <w:basedOn w:val="1"/>
    <w:qFormat/>
    <w:uiPriority w:val="0"/>
    <w:pPr>
      <w:widowControl/>
      <w:spacing w:line="360" w:lineRule="auto"/>
      <w:ind w:firstLine="480" w:firstLineChars="200"/>
      <w:jc w:val="left"/>
    </w:pPr>
    <w:rPr>
      <w:rFonts w:ascii="Times New Roman" w:hAnsi="宋体"/>
      <w:kern w:val="0"/>
      <w:sz w:val="24"/>
      <w:szCs w:val="20"/>
    </w:rPr>
  </w:style>
  <w:style w:type="paragraph" w:customStyle="1" w:styleId="34">
    <w:name w:val="表格文字"/>
    <w:basedOn w:val="1"/>
    <w:next w:val="7"/>
    <w:qFormat/>
    <w:uiPriority w:val="0"/>
    <w:pPr>
      <w:autoSpaceDE w:val="0"/>
      <w:autoSpaceDN w:val="0"/>
      <w:adjustRightInd w:val="0"/>
      <w:spacing w:line="300" w:lineRule="auto"/>
      <w:textAlignment w:val="baseline"/>
    </w:pPr>
    <w:rPr>
      <w:rFonts w:ascii="宋体" w:hAnsi="宋体" w:cs="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22603</Words>
  <Characters>23787</Characters>
  <Lines>0</Lines>
  <Paragraphs>0</Paragraphs>
  <TotalTime>52</TotalTime>
  <ScaleCrop>false</ScaleCrop>
  <LinksUpToDate>false</LinksUpToDate>
  <CharactersWithSpaces>24982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2024-02-26T12:09:00Z</dcterms:created>
  <dc:creator>张豪</dc:creator>
  <cp:lastModifiedBy>玲兒</cp:lastModifiedBy>
  <cp:lastPrinted>2025-05-28T04:16:00Z</cp:lastPrinted>
  <dcterms:modified xsi:type="dcterms:W3CDTF">2025-06-16T08:27:03Z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1EC8ABDA3A6645568C4E0589EFB64C9A_13</vt:lpwstr>
  </property>
  <property fmtid="{D5CDD505-2E9C-101B-9397-08002B2CF9AE}" pid="4" name="KSOTemplateDocerSaveRecord">
    <vt:lpwstr>eyJoZGlkIjoiNDk2MDNmZDZmYzI4NzlhNzFmNDljNGM0NTVjMjcxOTAiLCJ1c2VySWQiOiIzODQ3NDM1MzUifQ==</vt:lpwstr>
  </property>
</Properties>
</file>