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DF5AF">
      <w:pPr>
        <w:spacing w:line="440" w:lineRule="exact"/>
        <w:ind w:firstLine="420"/>
        <w:jc w:val="center"/>
        <w:rPr>
          <w:rFonts w:hint="eastAsia" w:ascii="宋体" w:hAnsi="宋体" w:cs="宋体"/>
          <w:b/>
          <w:bCs/>
          <w:color w:val="auto"/>
          <w:sz w:val="72"/>
          <w:szCs w:val="72"/>
          <w:highlight w:val="none"/>
        </w:rPr>
      </w:pPr>
    </w:p>
    <w:p w14:paraId="10558218">
      <w:pPr>
        <w:spacing w:line="1000" w:lineRule="exact"/>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温州市政府（分散）采购</w:t>
      </w:r>
    </w:p>
    <w:p w14:paraId="4A8611C0">
      <w:pPr>
        <w:ind w:firstLine="2357" w:firstLineChars="235"/>
        <w:rPr>
          <w:rFonts w:hint="eastAsia" w:ascii="宋体" w:hAnsi="宋体" w:cs="宋体"/>
          <w:b/>
          <w:color w:val="auto"/>
          <w:spacing w:val="140"/>
          <w:sz w:val="72"/>
          <w:highlight w:val="none"/>
        </w:rPr>
      </w:pPr>
    </w:p>
    <w:p w14:paraId="331C6CB7">
      <w:pPr>
        <w:ind w:firstLine="2357" w:firstLineChars="235"/>
        <w:rPr>
          <w:rFonts w:hint="eastAsia" w:ascii="宋体" w:hAnsi="宋体" w:cs="宋体"/>
          <w:b/>
          <w:color w:val="auto"/>
          <w:spacing w:val="140"/>
          <w:sz w:val="72"/>
          <w:highlight w:val="none"/>
        </w:rPr>
      </w:pPr>
    </w:p>
    <w:p w14:paraId="329FB878">
      <w:pPr>
        <w:spacing w:line="360" w:lineRule="exact"/>
        <w:jc w:val="center"/>
        <w:rPr>
          <w:rFonts w:hint="eastAsia" w:ascii="宋体" w:hAnsi="宋体" w:cs="宋体"/>
          <w:b/>
          <w:color w:val="auto"/>
          <w:spacing w:val="140"/>
          <w:sz w:val="72"/>
          <w:highlight w:val="none"/>
        </w:rPr>
      </w:pPr>
    </w:p>
    <w:p w14:paraId="4A3E7FB8">
      <w:pPr>
        <w:spacing w:line="360" w:lineRule="exact"/>
        <w:jc w:val="center"/>
        <w:rPr>
          <w:rFonts w:hint="eastAsia" w:ascii="宋体" w:hAnsi="宋体" w:cs="宋体"/>
          <w:b/>
          <w:color w:val="auto"/>
          <w:spacing w:val="140"/>
          <w:sz w:val="72"/>
          <w:highlight w:val="none"/>
        </w:rPr>
      </w:pPr>
    </w:p>
    <w:p w14:paraId="770FD4BD">
      <w:pPr>
        <w:spacing w:after="120" w:line="900" w:lineRule="exact"/>
        <w:jc w:val="center"/>
        <w:rPr>
          <w:rFonts w:hint="eastAsia" w:ascii="宋体" w:hAnsi="宋体" w:eastAsia="宋体" w:cs="宋体"/>
          <w:b/>
          <w:color w:val="auto"/>
          <w:spacing w:val="140"/>
          <w:sz w:val="84"/>
          <w:szCs w:val="84"/>
          <w:highlight w:val="none"/>
          <w:lang w:eastAsia="zh-CN"/>
        </w:rPr>
      </w:pPr>
      <w:r>
        <w:rPr>
          <w:rFonts w:hint="eastAsia" w:ascii="宋体" w:hAnsi="宋体" w:cs="宋体"/>
          <w:b/>
          <w:color w:val="auto"/>
          <w:spacing w:val="140"/>
          <w:sz w:val="84"/>
          <w:szCs w:val="84"/>
          <w:highlight w:val="none"/>
          <w:lang w:eastAsia="zh-CN"/>
        </w:rPr>
        <w:t>招 标 文 件</w:t>
      </w:r>
    </w:p>
    <w:p w14:paraId="27E23579">
      <w:pPr>
        <w:pStyle w:val="19"/>
        <w:spacing w:before="120"/>
        <w:jc w:val="center"/>
        <w:rPr>
          <w:rFonts w:hint="eastAsia" w:hAnsi="宋体" w:cs="宋体"/>
          <w:color w:val="auto"/>
          <w:sz w:val="52"/>
          <w:szCs w:val="52"/>
          <w:highlight w:val="none"/>
        </w:rPr>
      </w:pPr>
      <w:r>
        <w:rPr>
          <w:rFonts w:hint="eastAsia" w:hAnsi="宋体" w:cs="宋体"/>
          <w:b/>
          <w:color w:val="auto"/>
          <w:spacing w:val="140"/>
          <w:sz w:val="52"/>
          <w:szCs w:val="52"/>
          <w:highlight w:val="none"/>
        </w:rPr>
        <w:t>（线上电子招投标）</w:t>
      </w:r>
    </w:p>
    <w:p w14:paraId="142BA164">
      <w:pPr>
        <w:spacing w:line="400" w:lineRule="exact"/>
        <w:jc w:val="center"/>
        <w:rPr>
          <w:rFonts w:hint="eastAsia" w:ascii="宋体" w:hAnsi="宋体" w:cs="宋体"/>
          <w:b/>
          <w:color w:val="auto"/>
          <w:sz w:val="32"/>
          <w:highlight w:val="none"/>
        </w:rPr>
      </w:pPr>
    </w:p>
    <w:p w14:paraId="08DBDDB9">
      <w:pPr>
        <w:spacing w:line="400" w:lineRule="exact"/>
        <w:jc w:val="center"/>
        <w:rPr>
          <w:rFonts w:hint="eastAsia" w:ascii="宋体" w:hAnsi="宋体" w:cs="宋体"/>
          <w:b/>
          <w:color w:val="auto"/>
          <w:sz w:val="32"/>
          <w:highlight w:val="none"/>
        </w:rPr>
      </w:pPr>
    </w:p>
    <w:p w14:paraId="000CDF91">
      <w:pPr>
        <w:rPr>
          <w:rFonts w:hint="eastAsia" w:ascii="宋体" w:hAnsi="宋体" w:cs="宋体"/>
          <w:b/>
          <w:color w:val="auto"/>
          <w:sz w:val="24"/>
          <w:highlight w:val="none"/>
        </w:rPr>
      </w:pPr>
    </w:p>
    <w:p w14:paraId="0A12B805">
      <w:pPr>
        <w:spacing w:line="600" w:lineRule="exact"/>
        <w:ind w:left="2312" w:leftChars="1101" w:firstLine="6"/>
        <w:rPr>
          <w:rFonts w:hint="eastAsia" w:ascii="宋体" w:hAnsi="宋体" w:eastAsia="宋体" w:cs="宋体"/>
          <w:color w:val="auto"/>
          <w:spacing w:val="30"/>
          <w:sz w:val="30"/>
          <w:highlight w:val="yellow"/>
          <w:lang w:eastAsia="zh-CN"/>
        </w:rPr>
      </w:pPr>
      <w:r>
        <w:rPr>
          <w:rFonts w:hint="eastAsia" w:ascii="宋体" w:hAnsi="宋体" w:cs="宋体"/>
          <w:color w:val="auto"/>
          <w:spacing w:val="30"/>
          <w:sz w:val="30"/>
          <w:highlight w:val="none"/>
        </w:rPr>
        <w:t>项 目 编 号：</w:t>
      </w:r>
      <w:r>
        <w:rPr>
          <w:rFonts w:hint="eastAsia" w:ascii="宋体" w:hAnsi="宋体" w:cs="宋体"/>
          <w:color w:val="auto"/>
          <w:spacing w:val="30"/>
          <w:sz w:val="30"/>
          <w:highlight w:val="none"/>
          <w:lang w:eastAsia="zh-CN"/>
        </w:rPr>
        <w:t>WZUZFFS-GKZB-20250013</w:t>
      </w:r>
    </w:p>
    <w:p w14:paraId="46771B99">
      <w:pPr>
        <w:spacing w:line="600" w:lineRule="exact"/>
        <w:ind w:left="4836" w:leftChars="1103" w:right="817" w:rightChars="389" w:hanging="2520"/>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rPr>
        <w:t>项 目 名 称：</w:t>
      </w:r>
      <w:r>
        <w:rPr>
          <w:rFonts w:hint="eastAsia" w:ascii="宋体" w:hAnsi="宋体" w:cs="宋体"/>
          <w:color w:val="auto"/>
          <w:spacing w:val="30"/>
          <w:sz w:val="30"/>
          <w:highlight w:val="none"/>
          <w:lang w:eastAsia="zh-CN"/>
        </w:rPr>
        <w:t>温州大学D区食堂一楼后厨设备</w:t>
      </w:r>
    </w:p>
    <w:p w14:paraId="76164C47">
      <w:pPr>
        <w:spacing w:line="600" w:lineRule="exact"/>
        <w:ind w:left="2312" w:leftChars="1101" w:firstLine="6"/>
        <w:rPr>
          <w:rFonts w:hint="eastAsia" w:ascii="宋体" w:hAnsi="宋体" w:cs="宋体"/>
          <w:color w:val="auto"/>
          <w:spacing w:val="40"/>
          <w:sz w:val="30"/>
          <w:highlight w:val="none"/>
        </w:rPr>
      </w:pPr>
      <w:r>
        <w:rPr>
          <w:rFonts w:hint="eastAsia" w:ascii="宋体" w:hAnsi="宋体" w:cs="宋体"/>
          <w:color w:val="auto"/>
          <w:spacing w:val="30"/>
          <w:sz w:val="30"/>
          <w:highlight w:val="none"/>
        </w:rPr>
        <w:t>采 购 方 式：公开招标</w:t>
      </w:r>
    </w:p>
    <w:p w14:paraId="029DB7D5">
      <w:pPr>
        <w:spacing w:line="600" w:lineRule="exact"/>
        <w:ind w:firstLine="1140" w:firstLineChars="300"/>
        <w:rPr>
          <w:rFonts w:hint="eastAsia" w:ascii="宋体" w:hAnsi="宋体" w:cs="宋体"/>
          <w:color w:val="auto"/>
          <w:spacing w:val="40"/>
          <w:sz w:val="30"/>
          <w:highlight w:val="none"/>
        </w:rPr>
      </w:pPr>
    </w:p>
    <w:p w14:paraId="1F71FFE3">
      <w:pPr>
        <w:spacing w:line="600" w:lineRule="exact"/>
        <w:rPr>
          <w:rFonts w:hint="eastAsia" w:ascii="宋体" w:hAnsi="宋体" w:cs="宋体"/>
          <w:color w:val="auto"/>
          <w:spacing w:val="40"/>
          <w:sz w:val="30"/>
          <w:highlight w:val="none"/>
        </w:rPr>
      </w:pPr>
    </w:p>
    <w:p w14:paraId="1DC1B8A0">
      <w:pPr>
        <w:spacing w:line="600" w:lineRule="exact"/>
        <w:rPr>
          <w:rFonts w:hint="eastAsia" w:ascii="宋体" w:hAnsi="宋体" w:cs="宋体"/>
          <w:color w:val="auto"/>
          <w:spacing w:val="40"/>
          <w:sz w:val="30"/>
          <w:highlight w:val="none"/>
        </w:rPr>
      </w:pPr>
    </w:p>
    <w:p w14:paraId="597360D2">
      <w:pPr>
        <w:spacing w:line="600" w:lineRule="exact"/>
        <w:jc w:val="center"/>
        <w:rPr>
          <w:rFonts w:hint="eastAsia" w:ascii="宋体" w:hAnsi="宋体" w:eastAsia="宋体" w:cs="宋体"/>
          <w:b w:val="0"/>
          <w:bCs/>
          <w:color w:val="auto"/>
          <w:kern w:val="11"/>
          <w:sz w:val="30"/>
          <w:highlight w:val="none"/>
          <w:lang w:eastAsia="zh-CN"/>
        </w:rPr>
      </w:pPr>
      <w:r>
        <w:rPr>
          <w:rFonts w:hint="eastAsia" w:ascii="宋体" w:hAnsi="宋体" w:cs="宋体"/>
          <w:b w:val="0"/>
          <w:bCs/>
          <w:color w:val="auto"/>
          <w:kern w:val="11"/>
          <w:sz w:val="30"/>
          <w:highlight w:val="none"/>
        </w:rPr>
        <w:t>采购人：</w:t>
      </w:r>
      <w:r>
        <w:rPr>
          <w:rFonts w:hint="eastAsia" w:ascii="宋体" w:hAnsi="宋体" w:cs="宋体"/>
          <w:b w:val="0"/>
          <w:bCs/>
          <w:color w:val="auto"/>
          <w:kern w:val="11"/>
          <w:sz w:val="30"/>
          <w:highlight w:val="none"/>
          <w:lang w:eastAsia="zh-CN"/>
        </w:rPr>
        <w:t>温州大学</w:t>
      </w:r>
    </w:p>
    <w:p w14:paraId="31D71612">
      <w:pPr>
        <w:spacing w:line="600" w:lineRule="exact"/>
        <w:jc w:val="center"/>
        <w:rPr>
          <w:rFonts w:hint="eastAsia" w:ascii="宋体" w:hAnsi="宋体" w:cs="宋体"/>
          <w:b w:val="0"/>
          <w:bCs/>
          <w:color w:val="auto"/>
          <w:kern w:val="11"/>
          <w:sz w:val="30"/>
          <w:highlight w:val="none"/>
        </w:rPr>
      </w:pPr>
      <w:r>
        <w:rPr>
          <w:rFonts w:hint="eastAsia" w:ascii="宋体" w:hAnsi="宋体" w:cs="宋体"/>
          <w:b w:val="0"/>
          <w:bCs/>
          <w:color w:val="auto"/>
          <w:kern w:val="11"/>
          <w:sz w:val="30"/>
          <w:highlight w:val="none"/>
        </w:rPr>
        <w:t>采购代理机构：温州市圣励招标代理有限公司</w:t>
      </w:r>
    </w:p>
    <w:p w14:paraId="3425760D">
      <w:pPr>
        <w:rPr>
          <w:rFonts w:hint="eastAsia" w:ascii="宋体" w:hAnsi="宋体" w:cs="宋体"/>
          <w:b w:val="0"/>
          <w:bCs/>
          <w:color w:val="auto"/>
          <w:spacing w:val="40"/>
          <w:sz w:val="28"/>
          <w:highlight w:val="none"/>
        </w:rPr>
      </w:pPr>
    </w:p>
    <w:p w14:paraId="0AC3490E">
      <w:pPr>
        <w:ind w:firstLine="3800" w:firstLineChars="1000"/>
        <w:rPr>
          <w:rFonts w:hint="eastAsia" w:ascii="宋体" w:hAnsi="宋体" w:cs="宋体"/>
          <w:b w:val="0"/>
          <w:bCs/>
          <w:color w:val="auto"/>
          <w:spacing w:val="40"/>
          <w:sz w:val="30"/>
          <w:szCs w:val="30"/>
          <w:highlight w:val="none"/>
        </w:rPr>
      </w:pPr>
      <w:r>
        <w:rPr>
          <w:rFonts w:hint="eastAsia" w:ascii="宋体" w:hAnsi="宋体" w:cs="宋体"/>
          <w:b w:val="0"/>
          <w:bCs/>
          <w:color w:val="auto"/>
          <w:spacing w:val="40"/>
          <w:sz w:val="30"/>
          <w:szCs w:val="30"/>
          <w:highlight w:val="none"/>
        </w:rPr>
        <w:t>二〇二</w:t>
      </w:r>
      <w:r>
        <w:rPr>
          <w:rFonts w:hint="eastAsia" w:ascii="宋体" w:hAnsi="宋体" w:cs="宋体"/>
          <w:b w:val="0"/>
          <w:bCs/>
          <w:color w:val="auto"/>
          <w:spacing w:val="40"/>
          <w:sz w:val="30"/>
          <w:szCs w:val="30"/>
          <w:highlight w:val="none"/>
          <w:lang w:val="en-US" w:eastAsia="zh-CN"/>
        </w:rPr>
        <w:t>五</w:t>
      </w:r>
      <w:r>
        <w:rPr>
          <w:rFonts w:hint="eastAsia" w:ascii="宋体" w:hAnsi="宋体" w:cs="宋体"/>
          <w:b w:val="0"/>
          <w:bCs/>
          <w:color w:val="auto"/>
          <w:spacing w:val="40"/>
          <w:sz w:val="30"/>
          <w:szCs w:val="30"/>
          <w:highlight w:val="none"/>
        </w:rPr>
        <w:t>年</w:t>
      </w:r>
      <w:r>
        <w:rPr>
          <w:rFonts w:hint="eastAsia" w:ascii="宋体" w:hAnsi="宋体" w:cs="宋体"/>
          <w:b w:val="0"/>
          <w:bCs/>
          <w:color w:val="auto"/>
          <w:spacing w:val="40"/>
          <w:sz w:val="30"/>
          <w:szCs w:val="30"/>
          <w:highlight w:val="none"/>
          <w:lang w:val="en-US" w:eastAsia="zh-CN"/>
        </w:rPr>
        <w:t>六</w:t>
      </w:r>
      <w:r>
        <w:rPr>
          <w:rFonts w:hint="eastAsia" w:ascii="宋体" w:hAnsi="宋体" w:cs="宋体"/>
          <w:b w:val="0"/>
          <w:bCs/>
          <w:color w:val="auto"/>
          <w:spacing w:val="40"/>
          <w:sz w:val="30"/>
          <w:szCs w:val="30"/>
          <w:highlight w:val="none"/>
        </w:rPr>
        <w:t>月</w:t>
      </w:r>
    </w:p>
    <w:p w14:paraId="25E635F3">
      <w:pPr>
        <w:spacing w:line="600" w:lineRule="exact"/>
        <w:jc w:val="center"/>
        <w:rPr>
          <w:rFonts w:hint="eastAsia" w:ascii="宋体" w:hAnsi="宋体" w:cs="宋体"/>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032F9B1F">
      <w:pPr>
        <w:spacing w:line="600" w:lineRule="exact"/>
        <w:jc w:val="center"/>
        <w:outlineLvl w:val="0"/>
        <w:rPr>
          <w:rFonts w:hint="eastAsia" w:ascii="宋体" w:hAnsi="宋体" w:cs="宋体"/>
          <w:color w:val="auto"/>
          <w:highlight w:val="none"/>
        </w:rPr>
      </w:pPr>
      <w:r>
        <w:rPr>
          <w:rFonts w:hint="eastAsia" w:ascii="宋体" w:hAnsi="宋体" w:cs="宋体"/>
          <w:color w:val="auto"/>
          <w:sz w:val="36"/>
          <w:szCs w:val="36"/>
          <w:highlight w:val="none"/>
        </w:rPr>
        <w:t>目   录</w:t>
      </w:r>
    </w:p>
    <w:p w14:paraId="27C7AE24">
      <w:pPr>
        <w:pStyle w:val="27"/>
        <w:tabs>
          <w:tab w:val="right" w:leader="dot" w:pos="9638"/>
        </w:tabs>
        <w:spacing w:line="460" w:lineRule="exact"/>
        <w:rPr>
          <w:rFonts w:hint="eastAsia" w:ascii="宋体" w:hAnsi="宋体" w:cs="宋体"/>
          <w:b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TOC \o "1-3" \h \z \u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smallCaps/>
          <w:color w:val="auto"/>
          <w:spacing w:val="40"/>
          <w:sz w:val="22"/>
          <w:szCs w:val="22"/>
          <w:highlight w:val="none"/>
        </w:rPr>
        <w:fldChar w:fldCharType="begin"/>
      </w:r>
      <w:r>
        <w:rPr>
          <w:rFonts w:hint="eastAsia" w:ascii="宋体" w:hAnsi="宋体" w:cs="宋体"/>
          <w:b w:val="0"/>
          <w:smallCaps/>
          <w:color w:val="auto"/>
          <w:spacing w:val="40"/>
          <w:sz w:val="22"/>
          <w:szCs w:val="22"/>
          <w:highlight w:val="none"/>
        </w:rPr>
        <w:instrText xml:space="preserve"> HYPERLINK \l _Toc15977 </w:instrText>
      </w:r>
      <w:r>
        <w:rPr>
          <w:rFonts w:hint="eastAsia" w:ascii="宋体" w:hAnsi="宋体" w:cs="宋体"/>
          <w:b w:val="0"/>
          <w:smallCaps/>
          <w:color w:val="auto"/>
          <w:spacing w:val="40"/>
          <w:sz w:val="22"/>
          <w:szCs w:val="22"/>
          <w:highlight w:val="none"/>
        </w:rPr>
        <w:fldChar w:fldCharType="separate"/>
      </w:r>
      <w:r>
        <w:rPr>
          <w:rFonts w:hint="eastAsia" w:ascii="宋体" w:hAnsi="宋体" w:cs="宋体"/>
          <w:b w:val="0"/>
          <w:color w:val="auto"/>
          <w:sz w:val="22"/>
          <w:szCs w:val="22"/>
          <w:highlight w:val="none"/>
        </w:rPr>
        <w:t xml:space="preserve">第一部分   </w:t>
      </w:r>
      <w:r>
        <w:rPr>
          <w:rFonts w:hint="eastAsia" w:ascii="宋体" w:hAnsi="宋体" w:cs="宋体"/>
          <w:b w:val="0"/>
          <w:color w:val="auto"/>
          <w:sz w:val="22"/>
          <w:szCs w:val="22"/>
          <w:highlight w:val="none"/>
          <w:lang w:eastAsia="zh-CN"/>
        </w:rPr>
        <w:t>公开招标公告</w:t>
      </w:r>
      <w:r>
        <w:rPr>
          <w:rFonts w:hint="eastAsia" w:ascii="宋体" w:hAnsi="宋体" w:cs="宋体"/>
          <w:b w:val="0"/>
          <w:color w:val="auto"/>
          <w:sz w:val="22"/>
          <w:szCs w:val="22"/>
          <w:highlight w:val="none"/>
        </w:rPr>
        <w:tab/>
      </w: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PAGEREF _Toc15977 \h </w:instrText>
      </w:r>
      <w:r>
        <w:rPr>
          <w:rFonts w:hint="eastAsia" w:ascii="宋体" w:hAnsi="宋体" w:cs="宋体"/>
          <w:b w:val="0"/>
          <w:color w:val="auto"/>
          <w:sz w:val="22"/>
          <w:szCs w:val="22"/>
          <w:highlight w:val="none"/>
        </w:rPr>
        <w:fldChar w:fldCharType="separate"/>
      </w:r>
      <w:r>
        <w:rPr>
          <w:rFonts w:hint="eastAsia" w:ascii="宋体" w:hAnsi="宋体" w:cs="宋体"/>
          <w:b w:val="0"/>
          <w:color w:val="auto"/>
          <w:sz w:val="22"/>
          <w:szCs w:val="22"/>
          <w:highlight w:val="none"/>
        </w:rPr>
        <w:t>1</w:t>
      </w:r>
      <w:r>
        <w:rPr>
          <w:rFonts w:hint="eastAsia" w:ascii="宋体" w:hAnsi="宋体" w:cs="宋体"/>
          <w:b w:val="0"/>
          <w:color w:val="auto"/>
          <w:sz w:val="22"/>
          <w:szCs w:val="22"/>
          <w:highlight w:val="none"/>
        </w:rPr>
        <w:fldChar w:fldCharType="end"/>
      </w:r>
      <w:r>
        <w:rPr>
          <w:rFonts w:hint="eastAsia" w:ascii="宋体" w:hAnsi="宋体" w:cs="宋体"/>
          <w:b w:val="0"/>
          <w:smallCaps/>
          <w:color w:val="auto"/>
          <w:spacing w:val="40"/>
          <w:sz w:val="22"/>
          <w:szCs w:val="22"/>
          <w:highlight w:val="none"/>
        </w:rPr>
        <w:fldChar w:fldCharType="end"/>
      </w:r>
    </w:p>
    <w:p w14:paraId="55D5EF39">
      <w:pPr>
        <w:pStyle w:val="27"/>
        <w:tabs>
          <w:tab w:val="right" w:leader="dot" w:pos="9638"/>
        </w:tabs>
        <w:spacing w:line="460" w:lineRule="exact"/>
        <w:rPr>
          <w:rFonts w:hint="eastAsia" w:ascii="宋体" w:hAnsi="宋体" w:cs="宋体"/>
          <w:b w:val="0"/>
          <w:color w:val="auto"/>
          <w:sz w:val="22"/>
          <w:szCs w:val="22"/>
          <w:highlight w:val="none"/>
        </w:rPr>
      </w:pPr>
      <w:r>
        <w:rPr>
          <w:rFonts w:hint="eastAsia" w:ascii="宋体" w:hAnsi="宋体" w:cs="宋体"/>
          <w:b w:val="0"/>
          <w:smallCaps/>
          <w:color w:val="auto"/>
          <w:spacing w:val="40"/>
          <w:sz w:val="22"/>
          <w:szCs w:val="22"/>
          <w:highlight w:val="none"/>
        </w:rPr>
        <w:fldChar w:fldCharType="begin"/>
      </w:r>
      <w:r>
        <w:rPr>
          <w:rFonts w:hint="eastAsia" w:ascii="宋体" w:hAnsi="宋体" w:cs="宋体"/>
          <w:b w:val="0"/>
          <w:smallCaps/>
          <w:color w:val="auto"/>
          <w:spacing w:val="40"/>
          <w:sz w:val="22"/>
          <w:szCs w:val="22"/>
          <w:highlight w:val="none"/>
        </w:rPr>
        <w:instrText xml:space="preserve"> HYPERLINK \l _Toc24683 </w:instrText>
      </w:r>
      <w:r>
        <w:rPr>
          <w:rFonts w:hint="eastAsia" w:ascii="宋体" w:hAnsi="宋体" w:cs="宋体"/>
          <w:b w:val="0"/>
          <w:smallCaps/>
          <w:color w:val="auto"/>
          <w:spacing w:val="40"/>
          <w:sz w:val="22"/>
          <w:szCs w:val="22"/>
          <w:highlight w:val="none"/>
        </w:rPr>
        <w:fldChar w:fldCharType="separate"/>
      </w:r>
      <w:r>
        <w:rPr>
          <w:rFonts w:hint="eastAsia" w:ascii="宋体" w:hAnsi="宋体" w:cs="宋体"/>
          <w:b w:val="0"/>
          <w:color w:val="auto"/>
          <w:sz w:val="22"/>
          <w:szCs w:val="22"/>
          <w:highlight w:val="none"/>
        </w:rPr>
        <w:t>第二部分   供应商须知</w:t>
      </w:r>
      <w:r>
        <w:rPr>
          <w:rFonts w:hint="eastAsia" w:ascii="宋体" w:hAnsi="宋体" w:cs="宋体"/>
          <w:b w:val="0"/>
          <w:color w:val="auto"/>
          <w:sz w:val="22"/>
          <w:szCs w:val="22"/>
          <w:highlight w:val="none"/>
        </w:rPr>
        <w:tab/>
      </w: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PAGEREF _Toc24683 \h </w:instrText>
      </w:r>
      <w:r>
        <w:rPr>
          <w:rFonts w:hint="eastAsia" w:ascii="宋体" w:hAnsi="宋体" w:cs="宋体"/>
          <w:b w:val="0"/>
          <w:color w:val="auto"/>
          <w:sz w:val="22"/>
          <w:szCs w:val="22"/>
          <w:highlight w:val="none"/>
        </w:rPr>
        <w:fldChar w:fldCharType="separate"/>
      </w:r>
      <w:r>
        <w:rPr>
          <w:rFonts w:hint="eastAsia" w:ascii="宋体" w:hAnsi="宋体" w:cs="宋体"/>
          <w:b w:val="0"/>
          <w:color w:val="auto"/>
          <w:sz w:val="22"/>
          <w:szCs w:val="22"/>
          <w:highlight w:val="none"/>
        </w:rPr>
        <w:t>4</w:t>
      </w:r>
      <w:r>
        <w:rPr>
          <w:rFonts w:hint="eastAsia" w:ascii="宋体" w:hAnsi="宋体" w:cs="宋体"/>
          <w:b w:val="0"/>
          <w:color w:val="auto"/>
          <w:sz w:val="22"/>
          <w:szCs w:val="22"/>
          <w:highlight w:val="none"/>
        </w:rPr>
        <w:fldChar w:fldCharType="end"/>
      </w:r>
      <w:r>
        <w:rPr>
          <w:rFonts w:hint="eastAsia" w:ascii="宋体" w:hAnsi="宋体" w:cs="宋体"/>
          <w:b w:val="0"/>
          <w:smallCaps/>
          <w:color w:val="auto"/>
          <w:spacing w:val="40"/>
          <w:sz w:val="22"/>
          <w:szCs w:val="22"/>
          <w:highlight w:val="none"/>
        </w:rPr>
        <w:fldChar w:fldCharType="end"/>
      </w:r>
    </w:p>
    <w:p w14:paraId="6C16DE33">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_Toc12338 </w:instrText>
      </w:r>
      <w:r>
        <w:rPr>
          <w:rFonts w:hint="eastAsia" w:ascii="宋体" w:hAnsi="宋体" w:cs="宋体"/>
          <w:smallCaps w:val="0"/>
          <w:color w:val="auto"/>
          <w:spacing w:val="40"/>
          <w:sz w:val="22"/>
          <w:szCs w:val="22"/>
          <w:highlight w:val="none"/>
        </w:rPr>
        <w:fldChar w:fldCharType="separate"/>
      </w:r>
      <w:r>
        <w:rPr>
          <w:rFonts w:hint="eastAsia" w:ascii="宋体" w:hAnsi="宋体" w:cs="宋体"/>
          <w:color w:val="auto"/>
          <w:sz w:val="22"/>
          <w:szCs w:val="22"/>
          <w:highlight w:val="none"/>
        </w:rPr>
        <w:t>供应商须知前附表</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_Toc12338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4</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74FFD2F5">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_Toc29734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一、说    明</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_Toc29734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9</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48BD78CA">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_Toc20577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二、采购文件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_Toc20577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13</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5CEF636">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_Toc15767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三、投标文件的编制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_Toc15767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13</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C339180">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_Toc16821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四、投标文件的递交</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_Toc16821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16</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49CB4800">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_Toc7629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五、开标和评标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_Toc7629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16</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0ACF871">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_Toc11549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六、授予合同</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_Toc11549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18</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56F47FBF">
      <w:pPr>
        <w:pStyle w:val="20"/>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_Toc15763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七、可中止电子交易活动的情形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_Toc15763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19</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5D1A82B1">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_Toc5487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第三部分   拟签订的合同文本</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_Toc5487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21</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3B7BD72F">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_Toc25811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第四部分   附件</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_Toc25811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25</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4B1F3421">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_Toc22957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第五部分  采购需求</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_Toc22957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45</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5BA52CEE">
      <w:pPr>
        <w:pStyle w:val="27"/>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_Toc23106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kern w:val="36"/>
          <w:sz w:val="22"/>
          <w:szCs w:val="22"/>
          <w:highlight w:val="none"/>
        </w:rPr>
        <w:t>第六部分  评标原则及方法</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_Toc23106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78</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19B50A4C">
      <w:pPr>
        <w:spacing w:line="400" w:lineRule="exact"/>
        <w:rPr>
          <w:rFonts w:hint="eastAsia" w:ascii="宋体" w:hAnsi="宋体" w:cs="宋体"/>
          <w:smallCaps/>
          <w:color w:val="auto"/>
          <w:spacing w:val="40"/>
          <w:sz w:val="22"/>
          <w:szCs w:val="22"/>
          <w:highlight w:val="none"/>
        </w:rPr>
      </w:pPr>
      <w:r>
        <w:rPr>
          <w:rFonts w:hint="eastAsia" w:ascii="宋体" w:hAnsi="宋体" w:cs="宋体"/>
          <w:smallCaps/>
          <w:color w:val="auto"/>
          <w:spacing w:val="40"/>
          <w:sz w:val="22"/>
          <w:szCs w:val="22"/>
          <w:highlight w:val="none"/>
        </w:rPr>
        <w:fldChar w:fldCharType="end"/>
      </w:r>
      <w:bookmarkStart w:id="0" w:name="_Toc15977"/>
      <w:bookmarkStart w:id="1" w:name="_Toc6791"/>
      <w:bookmarkStart w:id="2" w:name="_Toc23021"/>
      <w:bookmarkStart w:id="3" w:name="_Toc29406"/>
      <w:bookmarkStart w:id="4" w:name="_Toc195502576"/>
      <w:bookmarkStart w:id="5" w:name="_Toc195502486"/>
      <w:bookmarkStart w:id="6" w:name="_Toc12549"/>
      <w:bookmarkStart w:id="7" w:name="_Toc4245"/>
      <w:bookmarkStart w:id="8" w:name="_Toc549"/>
      <w:bookmarkStart w:id="9" w:name="_Toc25286"/>
      <w:bookmarkStart w:id="10" w:name="_Toc202085286"/>
    </w:p>
    <w:p w14:paraId="7D5F2395">
      <w:pPr>
        <w:spacing w:line="400" w:lineRule="exact"/>
        <w:rPr>
          <w:rFonts w:hint="eastAsia"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供应商注意。各供应商必须认真阅读和理解采购文件中的每一个条款及要求，因误读采购文件而造成的后果，采购人和采购代理机构概不负责。</w:t>
      </w:r>
    </w:p>
    <w:p w14:paraId="1BD38E17">
      <w:pPr>
        <w:jc w:val="center"/>
        <w:outlineLvl w:val="0"/>
        <w:rPr>
          <w:rFonts w:hint="eastAsia" w:ascii="宋体" w:hAnsi="宋体" w:cs="宋体"/>
          <w:b/>
          <w:bCs/>
          <w:color w:val="auto"/>
          <w:sz w:val="28"/>
          <w:szCs w:val="28"/>
          <w:highlight w:val="none"/>
        </w:rPr>
        <w:sectPr>
          <w:footerReference r:id="rId7" w:type="default"/>
          <w:pgSz w:w="11906" w:h="16838"/>
          <w:pgMar w:top="1134" w:right="915" w:bottom="1134" w:left="1111" w:header="851" w:footer="992" w:gutter="0"/>
          <w:pgNumType w:start="1"/>
          <w:cols w:space="720" w:num="1"/>
          <w:docGrid w:linePitch="312" w:charSpace="0"/>
        </w:sectPr>
      </w:pPr>
    </w:p>
    <w:p w14:paraId="4E9818F1">
      <w:pPr>
        <w:jc w:val="center"/>
        <w:outlineLvl w:val="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 xml:space="preserve">第一部分  </w:t>
      </w:r>
      <w:bookmarkEnd w:id="0"/>
      <w:r>
        <w:rPr>
          <w:rFonts w:hint="eastAsia" w:ascii="宋体" w:hAnsi="宋体" w:cs="宋体"/>
          <w:b/>
          <w:bCs/>
          <w:color w:val="auto"/>
          <w:sz w:val="28"/>
          <w:szCs w:val="28"/>
          <w:highlight w:val="none"/>
          <w:lang w:eastAsia="zh-CN"/>
        </w:rPr>
        <w:t>公开招标公告</w:t>
      </w:r>
    </w:p>
    <w:p w14:paraId="70A1BCC5">
      <w:pPr>
        <w:pStyle w:val="20"/>
        <w:rPr>
          <w:rFonts w:hint="eastAsia" w:ascii="宋体" w:hAnsi="宋体" w:cs="宋体"/>
          <w:color w:val="auto"/>
          <w:highlight w:val="none"/>
        </w:rPr>
      </w:pPr>
      <w:r>
        <w:rPr>
          <w:sz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89535</wp:posOffset>
                </wp:positionV>
                <wp:extent cx="6254115" cy="930910"/>
                <wp:effectExtent l="5080" t="4445" r="8255" b="17145"/>
                <wp:wrapNone/>
                <wp:docPr id="1" name="文本框 257"/>
                <wp:cNvGraphicFramePr/>
                <a:graphic xmlns:a="http://schemas.openxmlformats.org/drawingml/2006/main">
                  <a:graphicData uri="http://schemas.microsoft.com/office/word/2010/wordprocessingShape">
                    <wps:wsp>
                      <wps:cNvSpPr txBox="1"/>
                      <wps:spPr>
                        <a:xfrm>
                          <a:off x="0" y="0"/>
                          <a:ext cx="6254115" cy="930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0E5358">
                            <w:pPr>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项目概况</w:t>
                            </w:r>
                          </w:p>
                          <w:p w14:paraId="3591A5CB">
                            <w:pPr>
                              <w:keepNext w:val="0"/>
                              <w:keepLines w:val="0"/>
                              <w:pageBreakBefore w:val="0"/>
                              <w:widowControl w:val="0"/>
                              <w:kinsoku/>
                              <w:wordWrap w:val="0"/>
                              <w:overflowPunct/>
                              <w:topLinePunct w:val="0"/>
                              <w:autoSpaceDE/>
                              <w:autoSpaceDN/>
                              <w:bidi w:val="0"/>
                              <w:adjustRightInd w:val="0"/>
                              <w:snapToGrid w:val="0"/>
                              <w:spacing w:line="440" w:lineRule="exact"/>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温州大学D区食堂一楼后厨设备</w:t>
                            </w:r>
                            <w:r>
                              <w:rPr>
                                <w:rFonts w:hint="eastAsia" w:ascii="宋体" w:hAnsi="宋体" w:cs="宋体"/>
                                <w:color w:val="auto"/>
                                <w:sz w:val="22"/>
                                <w:szCs w:val="22"/>
                                <w:highlight w:val="none"/>
                                <w:lang w:val="en-US" w:eastAsia="zh-CN"/>
                              </w:rPr>
                              <w:t>招标项目</w:t>
                            </w:r>
                            <w:r>
                              <w:rPr>
                                <w:rFonts w:hint="eastAsia" w:ascii="宋体" w:hAnsi="宋体" w:cs="宋体"/>
                                <w:color w:val="auto"/>
                                <w:sz w:val="22"/>
                                <w:szCs w:val="22"/>
                                <w:highlight w:val="none"/>
                              </w:rPr>
                              <w:t>的潜在</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应在政采云平台</w:t>
                            </w:r>
                            <w:r>
                              <w:rPr>
                                <w:rFonts w:hint="eastAsia" w:ascii="宋体" w:hAnsi="宋体" w:cs="宋体"/>
                                <w:color w:val="auto"/>
                                <w:sz w:val="22"/>
                                <w:szCs w:val="22"/>
                                <w:highlight w:val="none"/>
                                <w:lang w:val="en-US" w:eastAsia="zh-CN"/>
                              </w:rPr>
                              <w:t>线上</w:t>
                            </w:r>
                            <w:r>
                              <w:rPr>
                                <w:rFonts w:hint="eastAsia" w:ascii="宋体" w:hAnsi="宋体" w:cs="宋体"/>
                                <w:color w:val="auto"/>
                                <w:sz w:val="22"/>
                                <w:szCs w:val="22"/>
                                <w:highlight w:val="none"/>
                              </w:rPr>
                              <w:t>获取（下载）</w:t>
                            </w:r>
                            <w:r>
                              <w:rPr>
                                <w:rFonts w:hint="eastAsia" w:ascii="宋体" w:hAnsi="宋体" w:cs="宋体"/>
                                <w:color w:val="auto"/>
                                <w:sz w:val="22"/>
                                <w:szCs w:val="22"/>
                                <w:highlight w:val="none"/>
                                <w:lang w:val="en-US" w:eastAsia="zh-CN"/>
                              </w:rPr>
                              <w:t>招标</w:t>
                            </w:r>
                            <w:r>
                              <w:rPr>
                                <w:rFonts w:hint="eastAsia" w:ascii="宋体" w:hAnsi="宋体" w:cs="宋体"/>
                                <w:color w:val="auto"/>
                                <w:sz w:val="22"/>
                                <w:szCs w:val="22"/>
                                <w:highlight w:val="none"/>
                              </w:rPr>
                              <w:t>文件，并于202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:30（北京时间）前递交（上传）投标文件。</w:t>
                            </w:r>
                          </w:p>
                          <w:p w14:paraId="6E5E0C75"/>
                        </w:txbxContent>
                      </wps:txbx>
                      <wps:bodyPr vert="horz" wrap="square" anchor="t" anchorCtr="0" upright="1"/>
                    </wps:wsp>
                  </a:graphicData>
                </a:graphic>
              </wp:anchor>
            </w:drawing>
          </mc:Choice>
          <mc:Fallback>
            <w:pict>
              <v:shape id="文本框 257" o:spid="_x0000_s1026" o:spt="202" type="#_x0000_t202" style="position:absolute;left:0pt;margin-left:-0.7pt;margin-top:7.05pt;height:73.3pt;width:492.45pt;z-index:251659264;mso-width-relative:page;mso-height-relative:page;" fillcolor="#FFFFFF" filled="t" stroked="t" coordsize="21600,21600" o:gfxdata="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U21fdgAAAAJAQAADwAAAAAAAAABACAAAAAiAAAAZHJzL2Rvd25yZXYueG1sUEsBAhQA&#10;FAAAAAgAh07iQCwun7crAgAAawQAAA4AAAAAAAAAAQAgAAAAJwEAAGRycy9lMm9Eb2MueG1sUEsF&#10;BgAAAAAGAAYAWQEAAMQFAAAAAA==&#10;">
                <v:fill on="t" focussize="0,0"/>
                <v:stroke color="#000000" joinstyle="miter"/>
                <v:imagedata o:title=""/>
                <o:lock v:ext="edit" aspectratio="f"/>
                <v:textbox>
                  <w:txbxContent>
                    <w:p w14:paraId="7E0E5358">
                      <w:pPr>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项目概况</w:t>
                      </w:r>
                    </w:p>
                    <w:p w14:paraId="3591A5CB">
                      <w:pPr>
                        <w:keepNext w:val="0"/>
                        <w:keepLines w:val="0"/>
                        <w:pageBreakBefore w:val="0"/>
                        <w:widowControl w:val="0"/>
                        <w:kinsoku/>
                        <w:wordWrap w:val="0"/>
                        <w:overflowPunct/>
                        <w:topLinePunct w:val="0"/>
                        <w:autoSpaceDE/>
                        <w:autoSpaceDN/>
                        <w:bidi w:val="0"/>
                        <w:adjustRightInd w:val="0"/>
                        <w:snapToGrid w:val="0"/>
                        <w:spacing w:line="440" w:lineRule="exact"/>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温州大学D区食堂一楼后厨设备</w:t>
                      </w:r>
                      <w:r>
                        <w:rPr>
                          <w:rFonts w:hint="eastAsia" w:ascii="宋体" w:hAnsi="宋体" w:cs="宋体"/>
                          <w:color w:val="auto"/>
                          <w:sz w:val="22"/>
                          <w:szCs w:val="22"/>
                          <w:highlight w:val="none"/>
                          <w:lang w:val="en-US" w:eastAsia="zh-CN"/>
                        </w:rPr>
                        <w:t>招标项目</w:t>
                      </w:r>
                      <w:r>
                        <w:rPr>
                          <w:rFonts w:hint="eastAsia" w:ascii="宋体" w:hAnsi="宋体" w:cs="宋体"/>
                          <w:color w:val="auto"/>
                          <w:sz w:val="22"/>
                          <w:szCs w:val="22"/>
                          <w:highlight w:val="none"/>
                        </w:rPr>
                        <w:t>的潜在</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应在政采云平台</w:t>
                      </w:r>
                      <w:r>
                        <w:rPr>
                          <w:rFonts w:hint="eastAsia" w:ascii="宋体" w:hAnsi="宋体" w:cs="宋体"/>
                          <w:color w:val="auto"/>
                          <w:sz w:val="22"/>
                          <w:szCs w:val="22"/>
                          <w:highlight w:val="none"/>
                          <w:lang w:val="en-US" w:eastAsia="zh-CN"/>
                        </w:rPr>
                        <w:t>线上</w:t>
                      </w:r>
                      <w:r>
                        <w:rPr>
                          <w:rFonts w:hint="eastAsia" w:ascii="宋体" w:hAnsi="宋体" w:cs="宋体"/>
                          <w:color w:val="auto"/>
                          <w:sz w:val="22"/>
                          <w:szCs w:val="22"/>
                          <w:highlight w:val="none"/>
                        </w:rPr>
                        <w:t>获取（下载）</w:t>
                      </w:r>
                      <w:r>
                        <w:rPr>
                          <w:rFonts w:hint="eastAsia" w:ascii="宋体" w:hAnsi="宋体" w:cs="宋体"/>
                          <w:color w:val="auto"/>
                          <w:sz w:val="22"/>
                          <w:szCs w:val="22"/>
                          <w:highlight w:val="none"/>
                          <w:lang w:val="en-US" w:eastAsia="zh-CN"/>
                        </w:rPr>
                        <w:t>招标</w:t>
                      </w:r>
                      <w:r>
                        <w:rPr>
                          <w:rFonts w:hint="eastAsia" w:ascii="宋体" w:hAnsi="宋体" w:cs="宋体"/>
                          <w:color w:val="auto"/>
                          <w:sz w:val="22"/>
                          <w:szCs w:val="22"/>
                          <w:highlight w:val="none"/>
                        </w:rPr>
                        <w:t>文件，并于202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:30（北京时间）前递交（上传）投标文件。</w:t>
                      </w:r>
                    </w:p>
                    <w:p w14:paraId="6E5E0C75"/>
                  </w:txbxContent>
                </v:textbox>
              </v:shape>
            </w:pict>
          </mc:Fallback>
        </mc:AlternateContent>
      </w:r>
    </w:p>
    <w:p w14:paraId="4CA5C0A2">
      <w:pPr>
        <w:ind w:firstLine="442" w:firstLineChars="200"/>
        <w:rPr>
          <w:rFonts w:hint="eastAsia" w:ascii="宋体" w:hAnsi="宋体" w:cs="宋体"/>
          <w:b/>
          <w:bCs/>
          <w:color w:val="auto"/>
          <w:sz w:val="22"/>
          <w:szCs w:val="22"/>
          <w:highlight w:val="none"/>
        </w:rPr>
      </w:pPr>
    </w:p>
    <w:p w14:paraId="18D08F0D">
      <w:pPr>
        <w:ind w:firstLine="442" w:firstLineChars="200"/>
        <w:rPr>
          <w:rFonts w:hint="eastAsia" w:ascii="宋体" w:hAnsi="宋体" w:cs="宋体"/>
          <w:b/>
          <w:bCs/>
          <w:color w:val="auto"/>
          <w:sz w:val="22"/>
          <w:szCs w:val="22"/>
          <w:highlight w:val="none"/>
        </w:rPr>
      </w:pPr>
    </w:p>
    <w:p w14:paraId="7BAB64D5">
      <w:pPr>
        <w:ind w:firstLine="442" w:firstLineChars="200"/>
        <w:rPr>
          <w:rFonts w:hint="eastAsia" w:ascii="宋体" w:hAnsi="宋体" w:cs="宋体"/>
          <w:b/>
          <w:bCs/>
          <w:color w:val="auto"/>
          <w:sz w:val="22"/>
          <w:szCs w:val="22"/>
          <w:highlight w:val="none"/>
        </w:rPr>
      </w:pPr>
    </w:p>
    <w:p w14:paraId="554B0628">
      <w:pPr>
        <w:ind w:firstLine="442" w:firstLineChars="200"/>
        <w:rPr>
          <w:rFonts w:hint="eastAsia" w:ascii="宋体" w:hAnsi="宋体" w:cs="宋体"/>
          <w:b/>
          <w:bCs/>
          <w:color w:val="auto"/>
          <w:sz w:val="22"/>
          <w:szCs w:val="22"/>
          <w:highlight w:val="none"/>
        </w:rPr>
      </w:pPr>
    </w:p>
    <w:p w14:paraId="3F9C2350">
      <w:pPr>
        <w:rPr>
          <w:rFonts w:hint="eastAsia" w:ascii="宋体" w:hAnsi="宋体" w:cs="宋体"/>
          <w:b/>
          <w:bCs/>
          <w:color w:val="auto"/>
          <w:sz w:val="22"/>
          <w:szCs w:val="22"/>
          <w:highlight w:val="none"/>
        </w:rPr>
      </w:pPr>
    </w:p>
    <w:bookmarkEnd w:id="1"/>
    <w:bookmarkEnd w:id="2"/>
    <w:bookmarkEnd w:id="3"/>
    <w:bookmarkEnd w:id="4"/>
    <w:bookmarkEnd w:id="5"/>
    <w:bookmarkEnd w:id="6"/>
    <w:bookmarkEnd w:id="7"/>
    <w:bookmarkEnd w:id="8"/>
    <w:bookmarkEnd w:id="9"/>
    <w:bookmarkEnd w:id="10"/>
    <w:p w14:paraId="480681F5">
      <w:pPr>
        <w:numPr>
          <w:ilvl w:val="0"/>
          <w:numId w:val="1"/>
        </w:numPr>
        <w:adjustRightInd w:val="0"/>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项目基本情况</w:t>
      </w:r>
    </w:p>
    <w:p w14:paraId="18EF9443">
      <w:pPr>
        <w:adjustRightInd w:val="0"/>
        <w:snapToGrid w:val="0"/>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WZUZFFS-GKZB-20250013</w:t>
      </w:r>
    </w:p>
    <w:p w14:paraId="302B69F3">
      <w:pPr>
        <w:adjustRightInd w:val="0"/>
        <w:snapToGrid w:val="0"/>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温州大学D区食堂一楼后厨设备</w:t>
      </w:r>
    </w:p>
    <w:p w14:paraId="795AA70E">
      <w:pPr>
        <w:adjustRightInd w:val="0"/>
        <w:snapToGrid w:val="0"/>
        <w:spacing w:line="440" w:lineRule="exact"/>
        <w:ind w:firstLine="440" w:firstLineChars="200"/>
        <w:rPr>
          <w:rFonts w:hint="default" w:ascii="宋体" w:hAnsi="宋体" w:cs="宋体"/>
          <w:color w:val="auto"/>
          <w:sz w:val="22"/>
          <w:szCs w:val="22"/>
          <w:highlight w:val="none"/>
          <w:lang w:val="en-US"/>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val="en-US" w:eastAsia="zh-CN"/>
        </w:rPr>
        <w:t>1624748</w:t>
      </w:r>
    </w:p>
    <w:p w14:paraId="44230581">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最高限价（元）：</w:t>
      </w:r>
      <w:r>
        <w:rPr>
          <w:rFonts w:hint="eastAsia" w:ascii="宋体" w:hAnsi="宋体" w:cs="宋体"/>
          <w:color w:val="auto"/>
          <w:sz w:val="22"/>
          <w:szCs w:val="22"/>
          <w:highlight w:val="none"/>
          <w:lang w:val="en-US" w:eastAsia="zh-CN"/>
        </w:rPr>
        <w:t>1624748</w:t>
      </w:r>
      <w:bookmarkStart w:id="119" w:name="_GoBack"/>
      <w:bookmarkEnd w:id="119"/>
    </w:p>
    <w:p w14:paraId="698D4481">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采购需求：</w:t>
      </w:r>
    </w:p>
    <w:p w14:paraId="3656A567">
      <w:pPr>
        <w:adjustRightInd w:val="0"/>
        <w:snapToGrid w:val="0"/>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标项名称：</w:t>
      </w:r>
      <w:r>
        <w:rPr>
          <w:rFonts w:hint="eastAsia" w:ascii="宋体" w:hAnsi="宋体" w:cs="宋体"/>
          <w:color w:val="auto"/>
          <w:sz w:val="22"/>
          <w:szCs w:val="22"/>
          <w:highlight w:val="none"/>
          <w:lang w:eastAsia="zh-CN"/>
        </w:rPr>
        <w:t>温州大学D区食堂一楼后厨设备</w:t>
      </w:r>
    </w:p>
    <w:p w14:paraId="600106AD">
      <w:pPr>
        <w:adjustRightInd w:val="0"/>
        <w:snapToGrid w:val="0"/>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数量:1</w:t>
      </w:r>
      <w:r>
        <w:rPr>
          <w:rFonts w:hint="eastAsia" w:ascii="宋体" w:hAnsi="宋体" w:cs="宋体"/>
          <w:color w:val="auto"/>
          <w:sz w:val="22"/>
          <w:szCs w:val="22"/>
          <w:highlight w:val="none"/>
          <w:lang w:val="en-US" w:eastAsia="zh-CN"/>
        </w:rPr>
        <w:t>批</w:t>
      </w:r>
    </w:p>
    <w:p w14:paraId="37208FC1">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1624748</w:t>
      </w:r>
      <w:r>
        <w:rPr>
          <w:rFonts w:hint="eastAsia" w:ascii="宋体" w:hAnsi="宋体" w:cs="宋体"/>
          <w:color w:val="auto"/>
          <w:sz w:val="22"/>
          <w:szCs w:val="22"/>
          <w:highlight w:val="none"/>
        </w:rPr>
        <w:t xml:space="preserve"> </w:t>
      </w:r>
    </w:p>
    <w:p w14:paraId="0511C6C9">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简要规格描述或项目基本概况介绍、用途：详见</w:t>
      </w:r>
      <w:r>
        <w:rPr>
          <w:rFonts w:hint="eastAsia" w:ascii="宋体" w:hAnsi="宋体" w:cs="宋体"/>
          <w:color w:val="auto"/>
          <w:sz w:val="22"/>
          <w:szCs w:val="22"/>
          <w:highlight w:val="none"/>
          <w:lang w:val="en-US" w:eastAsia="zh-CN"/>
        </w:rPr>
        <w:t>招标</w:t>
      </w:r>
      <w:r>
        <w:rPr>
          <w:rFonts w:hint="eastAsia" w:ascii="宋体" w:hAnsi="宋体" w:cs="宋体"/>
          <w:color w:val="auto"/>
          <w:sz w:val="22"/>
          <w:szCs w:val="22"/>
          <w:highlight w:val="none"/>
        </w:rPr>
        <w:t>文件</w:t>
      </w:r>
    </w:p>
    <w:p w14:paraId="4001166D">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6A01B195">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合同履约期限：详见采购文件</w:t>
      </w:r>
    </w:p>
    <w:p w14:paraId="40789C3F">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w:t>
      </w:r>
      <w:r>
        <w:rPr>
          <w:rFonts w:hint="eastAsia" w:ascii="宋体" w:hAnsi="宋体" w:cs="宋体"/>
          <w:color w:val="auto"/>
          <w:sz w:val="22"/>
          <w:szCs w:val="22"/>
          <w:highlight w:val="none"/>
          <w:lang w:val="en-US" w:eastAsia="zh-CN"/>
        </w:rPr>
        <w:t>是</w:t>
      </w:r>
      <w:r>
        <w:rPr>
          <w:rFonts w:hint="eastAsia" w:ascii="宋体" w:hAnsi="宋体" w:cs="宋体"/>
          <w:color w:val="auto"/>
          <w:sz w:val="22"/>
          <w:szCs w:val="22"/>
          <w:highlight w:val="none"/>
        </w:rPr>
        <w:t>）接受联合体投标。</w:t>
      </w:r>
    </w:p>
    <w:p w14:paraId="5971D18C">
      <w:pPr>
        <w:numPr>
          <w:ilvl w:val="0"/>
          <w:numId w:val="1"/>
        </w:numPr>
        <w:adjustRightInd w:val="0"/>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申请人的资格要求：</w:t>
      </w:r>
    </w:p>
    <w:p w14:paraId="606AC081">
      <w:pPr>
        <w:numPr>
          <w:ilvl w:val="0"/>
          <w:numId w:val="2"/>
        </w:num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满足《中华人民共和国政府采购法》第二十二条规定；未被“信用中国”（www.creditchina.gov.cn)、中国政府采购网（www.ccgp.gov.cn）列入失信被执行人、</w:t>
      </w:r>
      <w:r>
        <w:rPr>
          <w:rFonts w:hint="eastAsia" w:ascii="宋体" w:hAnsi="宋体" w:cs="宋体"/>
          <w:color w:val="auto"/>
          <w:sz w:val="22"/>
          <w:szCs w:val="22"/>
          <w:highlight w:val="none"/>
          <w:lang w:eastAsia="zh-CN"/>
        </w:rPr>
        <w:t>重大税收违法失信主体</w:t>
      </w:r>
      <w:r>
        <w:rPr>
          <w:rFonts w:hint="eastAsia" w:ascii="宋体" w:hAnsi="宋体" w:cs="宋体"/>
          <w:color w:val="auto"/>
          <w:sz w:val="22"/>
          <w:szCs w:val="22"/>
          <w:highlight w:val="none"/>
        </w:rPr>
        <w:t>、政府采购严重违法失信行为记录名单。</w:t>
      </w:r>
    </w:p>
    <w:p w14:paraId="3644B935">
      <w:pPr>
        <w:numPr>
          <w:ilvl w:val="0"/>
          <w:numId w:val="2"/>
        </w:num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落实政府采购政策需满足的资格要求：专门面向中小企业采购项目。</w:t>
      </w:r>
    </w:p>
    <w:p w14:paraId="33C8CC22">
      <w:pPr>
        <w:numPr>
          <w:ilvl w:val="0"/>
          <w:numId w:val="2"/>
        </w:numPr>
        <w:adjustRightInd w:val="0"/>
        <w:snapToGrid w:val="0"/>
        <w:spacing w:line="440" w:lineRule="exact"/>
        <w:ind w:firstLine="440" w:firstLineChars="200"/>
        <w:rPr>
          <w:rFonts w:hint="eastAsia" w:ascii="宋体" w:hAnsi="宋体" w:cs="宋体"/>
          <w:color w:val="auto"/>
          <w:highlight w:val="none"/>
        </w:rPr>
      </w:pPr>
      <w:r>
        <w:rPr>
          <w:rFonts w:hint="eastAsia" w:ascii="宋体" w:hAnsi="宋体" w:cs="宋体"/>
          <w:color w:val="auto"/>
          <w:sz w:val="22"/>
          <w:szCs w:val="22"/>
          <w:highlight w:val="none"/>
        </w:rPr>
        <w:t>本项目的特定资格要求：无</w:t>
      </w:r>
    </w:p>
    <w:p w14:paraId="042E866B">
      <w:pPr>
        <w:numPr>
          <w:ilvl w:val="0"/>
          <w:numId w:val="1"/>
        </w:numPr>
        <w:adjustRightInd w:val="0"/>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获取</w:t>
      </w:r>
      <w:r>
        <w:rPr>
          <w:rFonts w:hint="eastAsia" w:ascii="宋体" w:hAnsi="宋体" w:cs="宋体"/>
          <w:b/>
          <w:bCs/>
          <w:color w:val="auto"/>
          <w:sz w:val="22"/>
          <w:szCs w:val="22"/>
          <w:highlight w:val="none"/>
          <w:lang w:val="en-US" w:eastAsia="zh-CN"/>
        </w:rPr>
        <w:t>招标</w:t>
      </w:r>
      <w:r>
        <w:rPr>
          <w:rFonts w:hint="eastAsia" w:ascii="宋体" w:hAnsi="宋体" w:cs="宋体"/>
          <w:b/>
          <w:bCs/>
          <w:color w:val="auto"/>
          <w:sz w:val="22"/>
          <w:szCs w:val="22"/>
          <w:highlight w:val="none"/>
        </w:rPr>
        <w:t>文件</w:t>
      </w:r>
    </w:p>
    <w:p w14:paraId="54061F74">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日，每天上午00:00至12:00，下午12:00至23:59（北京时间，线上获取法定节假日均可，线下获取文件法定节假日除外）</w:t>
      </w:r>
    </w:p>
    <w:p w14:paraId="07221005">
      <w:pPr>
        <w:adjustRightInd w:val="0"/>
        <w:snapToGrid w:val="0"/>
        <w:spacing w:line="440" w:lineRule="exact"/>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地点（网址）：政采云平台</w:t>
      </w:r>
      <w:r>
        <w:rPr>
          <w:rFonts w:hint="eastAsia" w:ascii="宋体" w:hAnsi="宋体" w:cs="宋体"/>
          <w:color w:val="auto"/>
          <w:sz w:val="22"/>
          <w:szCs w:val="22"/>
          <w:highlight w:val="none"/>
          <w:lang w:val="en-US" w:eastAsia="zh-CN"/>
        </w:rPr>
        <w:t>线上获取</w:t>
      </w:r>
    </w:p>
    <w:p w14:paraId="35EDE852">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方式：供应商登录政采云平台https://www.zcygov.cn/在线申请获取采购文件（进入“项目采购”应用，在获取采购文件菜单中选择项目，申请获取采购文件）。</w:t>
      </w:r>
    </w:p>
    <w:p w14:paraId="0F07B6FF">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售价（元）：0 </w:t>
      </w:r>
    </w:p>
    <w:p w14:paraId="4F9B316B">
      <w:pPr>
        <w:numPr>
          <w:ilvl w:val="0"/>
          <w:numId w:val="1"/>
        </w:numPr>
        <w:adjustRightInd w:val="0"/>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提交投标文件截止时间、开标时间和地点</w:t>
      </w:r>
    </w:p>
    <w:p w14:paraId="50D9CE62">
      <w:pPr>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 xml:space="preserve">日 </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w:t>
      </w:r>
    </w:p>
    <w:p w14:paraId="11443C35">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投标地点（网址）：</w:t>
      </w:r>
      <w:r>
        <w:rPr>
          <w:rFonts w:hint="eastAsia" w:ascii="宋体" w:hAnsi="宋体" w:cs="宋体"/>
          <w:color w:val="auto"/>
          <w:sz w:val="22"/>
          <w:szCs w:val="22"/>
          <w:highlight w:val="none"/>
          <w:lang w:eastAsia="zh-CN"/>
        </w:rPr>
        <w:t>请登录政采云投标客户端投标</w:t>
      </w:r>
      <w:r>
        <w:rPr>
          <w:rFonts w:hint="eastAsia" w:ascii="宋体" w:hAnsi="宋体" w:cs="宋体"/>
          <w:color w:val="auto"/>
          <w:sz w:val="22"/>
          <w:szCs w:val="22"/>
          <w:highlight w:val="none"/>
        </w:rPr>
        <w:t> </w:t>
      </w:r>
    </w:p>
    <w:p w14:paraId="0F8BA4B2">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开标时间：202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w:t>
      </w:r>
    </w:p>
    <w:p w14:paraId="6E680868">
      <w:pPr>
        <w:pStyle w:val="34"/>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left="218" w:leftChars="104" w:firstLine="220" w:firstLineChars="100"/>
        <w:textAlignment w:val="auto"/>
        <w:rPr>
          <w:rFonts w:hint="eastAsia" w:ascii="宋体" w:hAnsi="宋体" w:cs="宋体"/>
          <w:smallCaps/>
          <w:color w:val="auto"/>
          <w:sz w:val="22"/>
          <w:szCs w:val="22"/>
          <w:highlight w:val="none"/>
        </w:rPr>
      </w:pPr>
      <w:r>
        <w:rPr>
          <w:rFonts w:hint="eastAsia" w:ascii="宋体" w:hAnsi="宋体" w:cs="宋体"/>
          <w:smallCaps/>
          <w:color w:val="auto"/>
          <w:sz w:val="22"/>
          <w:szCs w:val="22"/>
          <w:highlight w:val="none"/>
        </w:rPr>
        <w:t>开标地点（网址）：</w:t>
      </w:r>
      <w:r>
        <w:rPr>
          <w:rFonts w:hint="eastAsia" w:ascii="宋体" w:hAnsi="宋体" w:eastAsia="宋体" w:cs="宋体"/>
          <w:i w:val="0"/>
          <w:iCs w:val="0"/>
          <w:caps w:val="0"/>
          <w:color w:val="000000"/>
          <w:spacing w:val="0"/>
          <w:sz w:val="22"/>
          <w:szCs w:val="22"/>
          <w:highlight w:val="none"/>
        </w:rPr>
        <w:t>温州大学茶山南校区行政楼516A室</w:t>
      </w:r>
      <w:r>
        <w:rPr>
          <w:rFonts w:hint="eastAsia" w:ascii="宋体" w:hAnsi="宋体" w:eastAsia="宋体" w:cs="宋体"/>
          <w:i w:val="0"/>
          <w:iCs w:val="0"/>
          <w:caps w:val="0"/>
          <w:color w:val="000000"/>
          <w:spacing w:val="0"/>
          <w:sz w:val="22"/>
          <w:szCs w:val="22"/>
          <w:lang w:eastAsia="zh-CN"/>
        </w:rPr>
        <w:t>（</w:t>
      </w:r>
      <w:r>
        <w:rPr>
          <w:rFonts w:hint="eastAsia" w:ascii="新宋体" w:hAnsi="新宋体" w:eastAsia="新宋体" w:cs="新宋体"/>
          <w:color w:val="auto"/>
          <w:sz w:val="22"/>
          <w:szCs w:val="22"/>
          <w:highlight w:val="none"/>
        </w:rPr>
        <w:t>政府采购云平台：http：//zfcg.czt.zj.gov.cn</w:t>
      </w:r>
      <w:r>
        <w:rPr>
          <w:rFonts w:hint="eastAsia" w:ascii="新宋体" w:hAnsi="新宋体" w:eastAsia="新宋体" w:cs="新宋体"/>
          <w:color w:val="auto"/>
          <w:sz w:val="22"/>
          <w:szCs w:val="22"/>
          <w:highlight w:val="none"/>
          <w:lang w:eastAsia="zh-CN"/>
        </w:rPr>
        <w:t>）</w:t>
      </w:r>
    </w:p>
    <w:p w14:paraId="72116C97">
      <w:pPr>
        <w:adjustRightInd w:val="0"/>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五、公告期限 </w:t>
      </w:r>
    </w:p>
    <w:p w14:paraId="403803DC">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自本公告发布之日起5个工作日。</w:t>
      </w:r>
    </w:p>
    <w:p w14:paraId="7149E2DE">
      <w:pPr>
        <w:adjustRightInd w:val="0"/>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六、其他补充事宜</w:t>
      </w:r>
    </w:p>
    <w:p w14:paraId="5D83FC44">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5675FDE">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683DB2B">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55B71">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795E20">
      <w:pPr>
        <w:adjustRightInd w:val="0"/>
        <w:snapToGrid w:val="0"/>
        <w:spacing w:line="44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七、对本次采购提出询问、质疑、投诉，请按以下方式联系</w:t>
      </w:r>
    </w:p>
    <w:p w14:paraId="69FAA1B2">
      <w:pPr>
        <w:adjustRightInd w:val="0"/>
        <w:snapToGrid w:val="0"/>
        <w:spacing w:line="440" w:lineRule="exact"/>
        <w:ind w:firstLine="66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采购人信息</w:t>
      </w:r>
    </w:p>
    <w:p w14:paraId="293812E2">
      <w:pPr>
        <w:adjustRightInd w:val="0"/>
        <w:snapToGrid w:val="0"/>
        <w:spacing w:line="44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    称：</w:t>
      </w:r>
      <w:r>
        <w:rPr>
          <w:rFonts w:hint="eastAsia" w:ascii="宋体" w:hAnsi="宋体" w:cs="宋体"/>
          <w:color w:val="auto"/>
          <w:sz w:val="22"/>
          <w:szCs w:val="22"/>
          <w:highlight w:val="none"/>
          <w:lang w:eastAsia="zh-CN"/>
        </w:rPr>
        <w:t>温州大学</w:t>
      </w:r>
    </w:p>
    <w:p w14:paraId="408E7DEE">
      <w:pPr>
        <w:adjustRightInd w:val="0"/>
        <w:snapToGrid w:val="0"/>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浙江省温州市茶山镇高教园区</w:t>
      </w:r>
    </w:p>
    <w:p w14:paraId="3D88AD08">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传     真： /</w:t>
      </w:r>
    </w:p>
    <w:p w14:paraId="197760E9">
      <w:pPr>
        <w:adjustRightInd w:val="0"/>
        <w:snapToGrid w:val="0"/>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张老师</w:t>
      </w:r>
    </w:p>
    <w:p w14:paraId="208DD088">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项目联系方式（询问）：</w:t>
      </w:r>
      <w:r>
        <w:rPr>
          <w:rFonts w:hint="eastAsia" w:ascii="宋体" w:hAnsi="宋体" w:cs="宋体"/>
          <w:color w:val="auto"/>
          <w:sz w:val="22"/>
          <w:szCs w:val="22"/>
          <w:highlight w:val="none"/>
          <w:lang w:eastAsia="zh-CN"/>
        </w:rPr>
        <w:t>0577-86596037</w:t>
      </w:r>
      <w:r>
        <w:rPr>
          <w:rFonts w:hint="eastAsia" w:ascii="宋体" w:hAnsi="宋体" w:cs="宋体"/>
          <w:color w:val="auto"/>
          <w:sz w:val="22"/>
          <w:szCs w:val="22"/>
          <w:highlight w:val="none"/>
        </w:rPr>
        <w:t xml:space="preserve"> </w:t>
      </w:r>
    </w:p>
    <w:p w14:paraId="31C9ECE0">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质疑联系人：</w:t>
      </w:r>
      <w:r>
        <w:rPr>
          <w:rFonts w:hint="eastAsia" w:ascii="宋体" w:hAnsi="宋体" w:cs="宋体"/>
          <w:color w:val="auto"/>
          <w:sz w:val="22"/>
          <w:szCs w:val="22"/>
          <w:highlight w:val="none"/>
          <w:lang w:eastAsia="zh-CN"/>
        </w:rPr>
        <w:t>贾老师</w:t>
      </w:r>
      <w:r>
        <w:rPr>
          <w:rFonts w:hint="eastAsia" w:ascii="宋体" w:hAnsi="宋体" w:cs="宋体"/>
          <w:color w:val="auto"/>
          <w:sz w:val="22"/>
          <w:szCs w:val="22"/>
          <w:highlight w:val="none"/>
        </w:rPr>
        <w:t xml:space="preserve">  </w:t>
      </w:r>
    </w:p>
    <w:p w14:paraId="31227C96">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质疑联系方式：</w:t>
      </w:r>
      <w:r>
        <w:rPr>
          <w:rFonts w:hint="eastAsia" w:ascii="宋体" w:hAnsi="宋体" w:cs="宋体"/>
          <w:color w:val="auto"/>
          <w:sz w:val="22"/>
          <w:szCs w:val="22"/>
          <w:highlight w:val="none"/>
          <w:lang w:eastAsia="zh-CN"/>
        </w:rPr>
        <w:t>0577-86596095</w:t>
      </w:r>
      <w:r>
        <w:rPr>
          <w:rFonts w:hint="eastAsia" w:ascii="宋体" w:hAnsi="宋体" w:cs="宋体"/>
          <w:color w:val="auto"/>
          <w:sz w:val="22"/>
          <w:szCs w:val="22"/>
          <w:highlight w:val="none"/>
        </w:rPr>
        <w:t xml:space="preserve"> </w:t>
      </w:r>
    </w:p>
    <w:p w14:paraId="7F73C9B7">
      <w:pPr>
        <w:pStyle w:val="16"/>
        <w:spacing w:line="440" w:lineRule="exact"/>
        <w:ind w:right="-252"/>
        <w:rPr>
          <w:rFonts w:hint="eastAsia" w:cs="宋体"/>
          <w:color w:val="auto"/>
          <w:highlight w:val="none"/>
        </w:rPr>
      </w:pPr>
    </w:p>
    <w:p w14:paraId="428871AC">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采购代理机构信息</w:t>
      </w:r>
    </w:p>
    <w:p w14:paraId="4448DE45">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名    称：温州市圣励招标代理有限公司</w:t>
      </w:r>
    </w:p>
    <w:p w14:paraId="637B78FE">
      <w:pPr>
        <w:adjustRightInd w:val="0"/>
        <w:snapToGrid w:val="0"/>
        <w:spacing w:line="44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    址：</w:t>
      </w:r>
      <w:r>
        <w:rPr>
          <w:rFonts w:hint="eastAsia" w:ascii="宋体" w:hAnsi="宋体" w:cs="宋体"/>
          <w:bCs/>
          <w:color w:val="auto"/>
          <w:kern w:val="0"/>
          <w:sz w:val="22"/>
          <w:szCs w:val="22"/>
          <w:highlight w:val="none"/>
          <w:lang w:eastAsia="zh-CN"/>
        </w:rPr>
        <w:t>浙江省温</w:t>
      </w:r>
      <w:r>
        <w:rPr>
          <w:rFonts w:hint="eastAsia" w:ascii="宋体" w:hAnsi="宋体" w:eastAsia="宋体" w:cs="宋体"/>
          <w:color w:val="auto"/>
          <w:sz w:val="22"/>
          <w:szCs w:val="22"/>
          <w:highlight w:val="none"/>
          <w:lang w:eastAsia="zh-CN"/>
        </w:rPr>
        <w:t>州市鹿城区南汇街道市府路新益大厦1幢601室</w:t>
      </w:r>
    </w:p>
    <w:p w14:paraId="68987CAB">
      <w:pPr>
        <w:adjustRightInd w:val="0"/>
        <w:snapToGrid w:val="0"/>
        <w:spacing w:line="44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传     真： /</w:t>
      </w:r>
    </w:p>
    <w:p w14:paraId="17099146">
      <w:pPr>
        <w:adjustRightInd w:val="0"/>
        <w:snapToGrid w:val="0"/>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项目联系人（询问）：</w:t>
      </w:r>
      <w:r>
        <w:rPr>
          <w:rFonts w:hint="eastAsia" w:ascii="宋体" w:hAnsi="宋体" w:eastAsia="宋体" w:cs="宋体"/>
          <w:color w:val="auto"/>
          <w:sz w:val="22"/>
          <w:szCs w:val="22"/>
          <w:highlight w:val="none"/>
          <w:lang w:eastAsia="zh-CN"/>
        </w:rPr>
        <w:t>吴成丰</w:t>
      </w:r>
    </w:p>
    <w:p w14:paraId="235596BD">
      <w:pPr>
        <w:adjustRightInd w:val="0"/>
        <w:snapToGrid w:val="0"/>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w:t>
      </w:r>
      <w:r>
        <w:rPr>
          <w:rFonts w:hint="eastAsia" w:ascii="宋体" w:hAnsi="宋体" w:cs="宋体"/>
          <w:color w:val="auto"/>
          <w:sz w:val="22"/>
          <w:szCs w:val="22"/>
          <w:highlight w:val="none"/>
          <w:lang w:eastAsia="zh-CN"/>
        </w:rPr>
        <w:t>15958725544</w:t>
      </w:r>
    </w:p>
    <w:p w14:paraId="1FA53E15">
      <w:pPr>
        <w:adjustRightInd w:val="0"/>
        <w:snapToGrid w:val="0"/>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质疑联系人：</w:t>
      </w:r>
      <w:r>
        <w:rPr>
          <w:rFonts w:hint="eastAsia" w:ascii="宋体" w:hAnsi="宋体" w:cs="宋体"/>
          <w:color w:val="auto"/>
          <w:sz w:val="22"/>
          <w:szCs w:val="22"/>
          <w:highlight w:val="none"/>
          <w:lang w:val="en-US" w:eastAsia="zh-CN"/>
        </w:rPr>
        <w:t>黄</w:t>
      </w:r>
      <w:r>
        <w:rPr>
          <w:rFonts w:hint="eastAsia" w:ascii="宋体" w:hAnsi="宋体" w:cs="宋体"/>
          <w:color w:val="auto"/>
          <w:sz w:val="22"/>
          <w:szCs w:val="22"/>
          <w:highlight w:val="none"/>
          <w:lang w:eastAsia="zh-CN"/>
        </w:rPr>
        <w:t>先生</w:t>
      </w:r>
    </w:p>
    <w:p w14:paraId="430ACC83">
      <w:pPr>
        <w:adjustRightInd w:val="0"/>
        <w:snapToGrid w:val="0"/>
        <w:spacing w:line="440" w:lineRule="exact"/>
        <w:ind w:firstLine="66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eastAsia="zh-CN"/>
        </w:rPr>
        <w:t>15355937525</w:t>
      </w:r>
    </w:p>
    <w:p w14:paraId="0F9173D6">
      <w:pPr>
        <w:pStyle w:val="16"/>
        <w:spacing w:line="440" w:lineRule="exact"/>
        <w:ind w:right="-252"/>
        <w:rPr>
          <w:rFonts w:hint="eastAsia" w:cs="宋体"/>
          <w:color w:val="auto"/>
          <w:highlight w:val="none"/>
        </w:rPr>
      </w:pPr>
    </w:p>
    <w:p w14:paraId="64D223B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firstLineChars="3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3.同级政府采购监督管理部门</w:t>
      </w:r>
    </w:p>
    <w:p w14:paraId="0F2CDCB5">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firstLineChars="3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名  称：温州市财政局（浙江省政府采购行政裁决服务中心（温州））</w:t>
      </w:r>
    </w:p>
    <w:p w14:paraId="169A8CE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firstLineChars="3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地  址：温州市鹿城区滨江街道瓯江路展银大厦1606室</w:t>
      </w:r>
    </w:p>
    <w:p w14:paraId="0C45931D">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firstLineChars="3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传  真：/</w:t>
      </w:r>
    </w:p>
    <w:p w14:paraId="08CFB99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firstLineChars="3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联系人：李老师、王老师</w:t>
      </w:r>
    </w:p>
    <w:p w14:paraId="1BD461E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60" w:firstLineChars="3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监督投诉电话：0577-88501561、0577-85501562</w:t>
      </w:r>
    </w:p>
    <w:p w14:paraId="48D8E55C">
      <w:pPr>
        <w:spacing w:line="440" w:lineRule="exact"/>
        <w:ind w:right="440"/>
        <w:jc w:val="right"/>
        <w:rPr>
          <w:rFonts w:hint="eastAsia" w:ascii="宋体" w:hAnsi="宋体" w:cs="宋体"/>
          <w:color w:val="auto"/>
          <w:sz w:val="22"/>
          <w:szCs w:val="22"/>
          <w:highlight w:val="none"/>
        </w:rPr>
      </w:pPr>
    </w:p>
    <w:p w14:paraId="5DDD820D">
      <w:pPr>
        <w:adjustRightInd w:val="0"/>
        <w:snapToGrid w:val="0"/>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若对项目采购电子交易系统操作有疑问，可登录政采云（https://www.zcygov.cn/），点击右侧咨询小采，获取采小蜜智能服务管家帮助，或拨打政采云服务热线95763获取热线服务帮助。</w:t>
      </w:r>
    </w:p>
    <w:p w14:paraId="79115427">
      <w:pPr>
        <w:pStyle w:val="19"/>
        <w:rPr>
          <w:rFonts w:hint="eastAsia"/>
        </w:rPr>
      </w:pPr>
    </w:p>
    <w:p w14:paraId="55A969D2">
      <w:pPr>
        <w:adjustRightInd w:val="0"/>
        <w:snapToGrid w:val="0"/>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400-888-4636；天谷CA 400-087-8198。</w:t>
      </w:r>
    </w:p>
    <w:p w14:paraId="0898D06C">
      <w:pPr>
        <w:pStyle w:val="3"/>
        <w:spacing w:line="420" w:lineRule="exact"/>
        <w:jc w:val="center"/>
        <w:rPr>
          <w:rFonts w:hint="eastAsia" w:ascii="宋体" w:hAnsi="宋体" w:cs="宋体"/>
          <w:color w:val="auto"/>
          <w:sz w:val="36"/>
          <w:szCs w:val="36"/>
          <w:highlight w:val="none"/>
        </w:rPr>
      </w:pPr>
      <w:bookmarkStart w:id="11" w:name="_Toc195502487"/>
      <w:bookmarkStart w:id="12" w:name="_Toc202085287"/>
      <w:bookmarkStart w:id="13" w:name="_Toc195502577"/>
      <w:r>
        <w:rPr>
          <w:rFonts w:hint="eastAsia" w:ascii="宋体" w:hAnsi="宋体" w:cs="宋体"/>
          <w:color w:val="auto"/>
          <w:sz w:val="36"/>
          <w:szCs w:val="36"/>
          <w:highlight w:val="none"/>
        </w:rPr>
        <w:br w:type="page"/>
      </w:r>
      <w:bookmarkStart w:id="14" w:name="_Toc24683"/>
      <w:r>
        <w:rPr>
          <w:rFonts w:hint="eastAsia" w:ascii="宋体" w:hAnsi="宋体" w:cs="宋体"/>
          <w:color w:val="auto"/>
          <w:sz w:val="36"/>
          <w:szCs w:val="36"/>
          <w:highlight w:val="none"/>
        </w:rPr>
        <w:t>第二部分   供应商须知</w:t>
      </w:r>
      <w:bookmarkEnd w:id="11"/>
      <w:bookmarkEnd w:id="12"/>
      <w:bookmarkEnd w:id="13"/>
      <w:bookmarkEnd w:id="14"/>
    </w:p>
    <w:p w14:paraId="39BA360A">
      <w:pPr>
        <w:pStyle w:val="2"/>
        <w:spacing w:line="420" w:lineRule="exact"/>
        <w:jc w:val="center"/>
        <w:rPr>
          <w:rFonts w:hint="eastAsia" w:ascii="宋体" w:hAnsi="宋体" w:eastAsia="宋体" w:cs="宋体"/>
          <w:color w:val="auto"/>
          <w:sz w:val="28"/>
          <w:szCs w:val="28"/>
          <w:highlight w:val="none"/>
        </w:rPr>
      </w:pPr>
      <w:bookmarkStart w:id="15" w:name="_Toc486600281"/>
      <w:bookmarkStart w:id="16" w:name="_Toc12338"/>
      <w:bookmarkStart w:id="17" w:name="_Toc525993250"/>
      <w:r>
        <w:rPr>
          <w:rFonts w:hint="eastAsia" w:ascii="宋体" w:hAnsi="宋体" w:eastAsia="宋体" w:cs="宋体"/>
          <w:color w:val="auto"/>
          <w:sz w:val="28"/>
          <w:szCs w:val="28"/>
          <w:highlight w:val="none"/>
        </w:rPr>
        <w:t>供应商须知前附表</w:t>
      </w:r>
      <w:bookmarkEnd w:id="15"/>
      <w:bookmarkEnd w:id="16"/>
      <w:bookmarkEnd w:id="17"/>
    </w:p>
    <w:tbl>
      <w:tblPr>
        <w:tblStyle w:val="39"/>
        <w:tblW w:w="0" w:type="auto"/>
        <w:jc w:val="center"/>
        <w:tblLayout w:type="fixed"/>
        <w:tblCellMar>
          <w:top w:w="0" w:type="dxa"/>
          <w:left w:w="108" w:type="dxa"/>
          <w:bottom w:w="0" w:type="dxa"/>
          <w:right w:w="108" w:type="dxa"/>
        </w:tblCellMar>
      </w:tblPr>
      <w:tblGrid>
        <w:gridCol w:w="766"/>
        <w:gridCol w:w="1796"/>
        <w:gridCol w:w="6830"/>
      </w:tblGrid>
      <w:tr w14:paraId="19997370">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6A472C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479BDB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条款名称</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02231C3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编列内容</w:t>
            </w:r>
          </w:p>
        </w:tc>
      </w:tr>
      <w:tr w14:paraId="6D47D7C7">
        <w:tblPrEx>
          <w:tblCellMar>
            <w:top w:w="0" w:type="dxa"/>
            <w:left w:w="108" w:type="dxa"/>
            <w:bottom w:w="0" w:type="dxa"/>
            <w:right w:w="108" w:type="dxa"/>
          </w:tblCellMar>
        </w:tblPrEx>
        <w:trPr>
          <w:trHeight w:val="57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8FBC4D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9400620">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4CEAEDE2">
            <w:pPr>
              <w:autoSpaceDE w:val="0"/>
              <w:autoSpaceDN w:val="0"/>
              <w:adjustRightInd w:val="0"/>
              <w:spacing w:line="360" w:lineRule="exact"/>
              <w:jc w:val="left"/>
              <w:rPr>
                <w:rFonts w:hint="eastAsia"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温州大学</w:t>
            </w:r>
          </w:p>
        </w:tc>
      </w:tr>
      <w:tr w14:paraId="18EBDBC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B9C555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5E34B21">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65F4614">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温州市圣励招标代理有限公司</w:t>
            </w:r>
          </w:p>
        </w:tc>
      </w:tr>
      <w:tr w14:paraId="2D6312C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05FAFC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7751D1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4E1B3FD4">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温州大学D区食堂一楼后厨设备</w:t>
            </w:r>
          </w:p>
          <w:p w14:paraId="6BC729E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项目编号：WZUZFFS-GKZB-20250013</w:t>
            </w:r>
          </w:p>
        </w:tc>
      </w:tr>
      <w:tr w14:paraId="1D83981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04BCC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FA3261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预算金额</w:t>
            </w:r>
            <w:r>
              <w:rPr>
                <w:rFonts w:hint="eastAsia" w:ascii="宋体" w:hAnsi="宋体" w:cs="宋体"/>
                <w:color w:val="auto"/>
                <w:kern w:val="0"/>
                <w:sz w:val="22"/>
                <w:szCs w:val="22"/>
                <w:highlight w:val="none"/>
              </w:rPr>
              <w:t>及资金来源</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3EACF319">
            <w:pPr>
              <w:autoSpaceDE w:val="0"/>
              <w:autoSpaceDN w:val="0"/>
              <w:adjustRightInd w:val="0"/>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▲预算金额：</w:t>
            </w:r>
            <w:r>
              <w:rPr>
                <w:rFonts w:hint="eastAsia" w:ascii="宋体" w:hAnsi="宋体" w:cs="宋体"/>
                <w:color w:val="auto"/>
                <w:sz w:val="22"/>
                <w:szCs w:val="22"/>
                <w:highlight w:val="none"/>
                <w:u w:val="single"/>
                <w:lang w:eastAsia="zh-CN"/>
              </w:rPr>
              <w:t>1624748</w:t>
            </w:r>
            <w:r>
              <w:rPr>
                <w:rFonts w:hint="eastAsia" w:ascii="宋体" w:hAnsi="宋体" w:cs="宋体"/>
                <w:color w:val="auto"/>
                <w:sz w:val="22"/>
                <w:szCs w:val="22"/>
                <w:highlight w:val="none"/>
                <w:u w:val="single"/>
              </w:rPr>
              <w:t>元，报价超过预算金额的投标无效。</w:t>
            </w:r>
          </w:p>
          <w:p w14:paraId="505F77DB">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采购资金来源：财政拨款。</w:t>
            </w:r>
          </w:p>
        </w:tc>
      </w:tr>
      <w:tr w14:paraId="460CC006">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C7E04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6300CD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采购需求</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4692514E">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详见第五部分</w:t>
            </w:r>
          </w:p>
        </w:tc>
      </w:tr>
      <w:tr w14:paraId="2F255C5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0ACDE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C61C24E">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投标报价</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5CCDE06">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1.投标报价是指一次性报出不得更改的价格；</w:t>
            </w:r>
          </w:p>
          <w:p w14:paraId="3301A217">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r>
              <w:rPr>
                <w:rFonts w:hint="eastAsia" w:ascii="宋体" w:hAnsi="宋体" w:cs="宋体"/>
                <w:b/>
                <w:color w:val="auto"/>
                <w:sz w:val="22"/>
                <w:szCs w:val="22"/>
                <w:highlight w:val="none"/>
              </w:rPr>
              <w:t>采用人民币报价。</w:t>
            </w:r>
          </w:p>
        </w:tc>
      </w:tr>
      <w:tr w14:paraId="6E34259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F09D5B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3F64DFB">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投标费用</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3A9B1FE9">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不论投标结果如何，供应商均应自行承担所有与投标有关的全部费用</w:t>
            </w:r>
          </w:p>
        </w:tc>
      </w:tr>
      <w:tr w14:paraId="39E4EDD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278E1C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1F312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供应商资格要求</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3D247DA">
            <w:pPr>
              <w:autoSpaceDE w:val="0"/>
              <w:autoSpaceDN w:val="0"/>
              <w:adjustRightInd w:val="0"/>
              <w:spacing w:line="36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sz w:val="22"/>
                <w:szCs w:val="22"/>
                <w:highlight w:val="none"/>
              </w:rPr>
              <w:t>详见</w:t>
            </w:r>
            <w:r>
              <w:rPr>
                <w:rFonts w:hint="eastAsia" w:ascii="宋体" w:hAnsi="宋体" w:cs="宋体"/>
                <w:color w:val="auto"/>
                <w:sz w:val="22"/>
                <w:szCs w:val="22"/>
                <w:highlight w:val="none"/>
                <w:lang w:eastAsia="zh-CN"/>
              </w:rPr>
              <w:t>公开招标公告</w:t>
            </w:r>
          </w:p>
        </w:tc>
      </w:tr>
      <w:tr w14:paraId="27F5B42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2C4959">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820BF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68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E9F96A">
            <w:pPr>
              <w:spacing w:line="360" w:lineRule="exact"/>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本项目</w:t>
            </w:r>
            <w:r>
              <w:rPr>
                <w:rFonts w:hint="eastAsia" w:ascii="宋体" w:hAnsi="宋体" w:cs="宋体"/>
                <w:color w:val="auto"/>
                <w:kern w:val="0"/>
                <w:sz w:val="22"/>
                <w:szCs w:val="22"/>
                <w:highlight w:val="none"/>
              </w:rPr>
              <w:t>接受</w:t>
            </w:r>
            <w:r>
              <w:rPr>
                <w:rFonts w:hint="eastAsia" w:ascii="宋体" w:hAnsi="宋体" w:cs="宋体"/>
                <w:color w:val="auto"/>
                <w:kern w:val="0"/>
                <w:sz w:val="22"/>
                <w:szCs w:val="22"/>
                <w:highlight w:val="none"/>
                <w:lang w:val="en-US" w:eastAsia="zh-CN"/>
              </w:rPr>
              <w:t>联合体投标</w:t>
            </w:r>
            <w:r>
              <w:rPr>
                <w:rFonts w:hint="eastAsia" w:ascii="宋体" w:hAnsi="宋体" w:cs="宋体"/>
                <w:color w:val="auto"/>
                <w:kern w:val="0"/>
                <w:sz w:val="22"/>
                <w:szCs w:val="22"/>
                <w:highlight w:val="none"/>
                <w:lang w:val="zh-CN"/>
              </w:rPr>
              <w:t>。</w:t>
            </w:r>
          </w:p>
        </w:tc>
      </w:tr>
      <w:tr w14:paraId="384545D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0F73D4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7F0F6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3355E54F">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w:t>
            </w:r>
            <w:r>
              <w:rPr>
                <w:rFonts w:hint="eastAsia" w:ascii="宋体" w:hAnsi="宋体" w:cs="宋体"/>
                <w:color w:val="auto"/>
                <w:kern w:val="0"/>
                <w:sz w:val="22"/>
                <w:szCs w:val="22"/>
                <w:highlight w:val="none"/>
              </w:rPr>
              <w:t>组织</w:t>
            </w:r>
          </w:p>
        </w:tc>
      </w:tr>
      <w:tr w14:paraId="223F33E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8AA0AF3">
            <w:pPr>
              <w:spacing w:line="360" w:lineRule="exact"/>
              <w:jc w:val="center"/>
              <w:rPr>
                <w:rFonts w:hint="eastAsia" w:ascii="宋体" w:hAnsi="宋体" w:cs="宋体"/>
                <w:color w:val="auto"/>
                <w:kern w:val="0"/>
                <w:sz w:val="22"/>
                <w:szCs w:val="22"/>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EEA497C">
            <w:pPr>
              <w:spacing w:line="36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样品要求</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09F88A04">
            <w:pPr>
              <w:numPr>
                <w:ilvl w:val="0"/>
                <w:numId w:val="0"/>
              </w:numPr>
              <w:tabs>
                <w:tab w:val="left" w:pos="900"/>
              </w:tabs>
              <w:autoSpaceDE w:val="0"/>
              <w:autoSpaceDN w:val="0"/>
              <w:adjustRightInd w:val="0"/>
              <w:snapToGrid w:val="0"/>
              <w:spacing w:line="460" w:lineRule="exact"/>
              <w:ind w:left="0" w:firstLine="0"/>
              <w:jc w:val="both"/>
              <w:textAlignment w:val="bottom"/>
              <w:rPr>
                <w:rFonts w:hint="default"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本项目投标样品：</w:t>
            </w:r>
            <w:r>
              <w:rPr>
                <w:rFonts w:hint="eastAsia" w:ascii="宋体" w:hAnsi="宋体" w:eastAsia="宋体" w:cs="宋体"/>
                <w:b/>
                <w:bCs/>
                <w:color w:val="auto"/>
                <w:kern w:val="2"/>
                <w:sz w:val="22"/>
                <w:szCs w:val="22"/>
                <w:highlight w:val="none"/>
                <w:lang w:val="en-US" w:eastAsia="zh-CN" w:bidi="ar-SA"/>
              </w:rPr>
              <w:t>电磁自动摇摆汤炉</w:t>
            </w:r>
          </w:p>
          <w:p w14:paraId="031E3C12">
            <w:pPr>
              <w:numPr>
                <w:ilvl w:val="0"/>
                <w:numId w:val="0"/>
              </w:numPr>
              <w:tabs>
                <w:tab w:val="left" w:pos="900"/>
              </w:tabs>
              <w:autoSpaceDE w:val="0"/>
              <w:autoSpaceDN w:val="0"/>
              <w:adjustRightInd w:val="0"/>
              <w:snapToGrid w:val="0"/>
              <w:spacing w:line="460" w:lineRule="exact"/>
              <w:ind w:left="0" w:firstLine="0"/>
              <w:jc w:val="both"/>
              <w:textAlignment w:val="bottom"/>
              <w:rPr>
                <w:rFonts w:hint="eastAsia" w:ascii="宋体" w:hAnsi="宋体" w:eastAsia="宋体"/>
                <w:b w:val="0"/>
                <w:bCs w:val="0"/>
                <w:color w:val="auto"/>
                <w:sz w:val="22"/>
                <w:szCs w:val="22"/>
                <w:highlight w:val="none"/>
                <w:u w:val="none"/>
                <w:lang w:val="en-US" w:eastAsia="zh-CN"/>
              </w:rPr>
            </w:pP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u w:val="none"/>
                <w:lang w:val="en-US" w:eastAsia="zh-CN"/>
              </w:rPr>
              <w:t>、</w:t>
            </w:r>
            <w:r>
              <w:rPr>
                <w:rFonts w:hint="eastAsia" w:ascii="宋体" w:hAnsi="宋体"/>
                <w:b/>
                <w:bCs/>
                <w:color w:val="auto"/>
                <w:sz w:val="22"/>
                <w:szCs w:val="22"/>
                <w:highlight w:val="none"/>
                <w:u w:val="none"/>
              </w:rPr>
              <w:t>投标样品上须标注投标人名称。</w:t>
            </w:r>
            <w:r>
              <w:rPr>
                <w:rFonts w:hint="eastAsia" w:ascii="宋体" w:hAnsi="宋体"/>
                <w:b w:val="0"/>
                <w:bCs w:val="0"/>
                <w:color w:val="auto"/>
                <w:sz w:val="22"/>
                <w:szCs w:val="22"/>
                <w:highlight w:val="none"/>
                <w:u w:val="none"/>
              </w:rPr>
              <w:t>投标样品在投标文件提交截止时间前</w:t>
            </w:r>
            <w:r>
              <w:rPr>
                <w:rFonts w:hint="eastAsia" w:ascii="宋体" w:hAnsi="宋体"/>
                <w:b w:val="0"/>
                <w:bCs w:val="0"/>
                <w:color w:val="auto"/>
                <w:sz w:val="22"/>
                <w:szCs w:val="22"/>
                <w:highlight w:val="none"/>
                <w:u w:val="none"/>
                <w:lang w:val="en-US" w:eastAsia="zh-CN"/>
              </w:rPr>
              <w:t>联系</w:t>
            </w:r>
            <w:r>
              <w:rPr>
                <w:rFonts w:hint="eastAsia" w:ascii="宋体" w:hAnsi="宋体"/>
                <w:b w:val="0"/>
                <w:bCs w:val="0"/>
                <w:color w:val="auto"/>
                <w:sz w:val="22"/>
                <w:szCs w:val="22"/>
                <w:highlight w:val="none"/>
                <w:u w:val="none"/>
              </w:rPr>
              <w:t>招标代理机构</w:t>
            </w:r>
            <w:r>
              <w:rPr>
                <w:rFonts w:hint="eastAsia" w:ascii="宋体" w:hAnsi="宋体"/>
                <w:b w:val="0"/>
                <w:bCs w:val="0"/>
                <w:color w:val="auto"/>
                <w:sz w:val="22"/>
                <w:szCs w:val="22"/>
                <w:highlight w:val="none"/>
                <w:u w:val="none"/>
                <w:lang w:eastAsia="zh-CN"/>
              </w:rPr>
              <w:t>，</w:t>
            </w:r>
            <w:r>
              <w:rPr>
                <w:rFonts w:hint="eastAsia" w:ascii="宋体" w:hAnsi="宋体"/>
                <w:b w:val="0"/>
                <w:bCs w:val="0"/>
                <w:color w:val="auto"/>
                <w:sz w:val="22"/>
                <w:szCs w:val="22"/>
                <w:highlight w:val="none"/>
                <w:u w:val="none"/>
              </w:rPr>
              <w:t>向招标代理机构提交；</w:t>
            </w:r>
            <w:r>
              <w:rPr>
                <w:rFonts w:hint="eastAsia" w:ascii="宋体" w:hAnsi="宋体"/>
                <w:b w:val="0"/>
                <w:bCs w:val="0"/>
                <w:color w:val="auto"/>
                <w:sz w:val="22"/>
                <w:szCs w:val="22"/>
                <w:highlight w:val="none"/>
                <w:u w:val="none"/>
                <w:lang w:val="en-US" w:eastAsia="zh-CN"/>
              </w:rPr>
              <w:t>样品送达地点：</w:t>
            </w:r>
            <w:r>
              <w:rPr>
                <w:rFonts w:hint="eastAsia" w:ascii="宋体" w:hAnsi="宋体" w:eastAsia="宋体" w:cs="宋体"/>
                <w:i w:val="0"/>
                <w:iCs w:val="0"/>
                <w:caps w:val="0"/>
                <w:color w:val="000000"/>
                <w:spacing w:val="0"/>
                <w:sz w:val="22"/>
                <w:szCs w:val="22"/>
                <w:highlight w:val="none"/>
              </w:rPr>
              <w:t>温州大学茶山南校区行政楼51</w:t>
            </w:r>
            <w:r>
              <w:rPr>
                <w:rFonts w:hint="eastAsia" w:ascii="宋体" w:hAnsi="宋体" w:cs="宋体"/>
                <w:i w:val="0"/>
                <w:iCs w:val="0"/>
                <w:caps w:val="0"/>
                <w:color w:val="000000"/>
                <w:spacing w:val="0"/>
                <w:sz w:val="22"/>
                <w:szCs w:val="22"/>
                <w:highlight w:val="none"/>
                <w:lang w:val="en-US" w:eastAsia="zh-CN"/>
              </w:rPr>
              <w:t>4</w:t>
            </w:r>
            <w:r>
              <w:rPr>
                <w:rFonts w:hint="eastAsia" w:ascii="宋体" w:hAnsi="宋体" w:eastAsia="宋体" w:cs="宋体"/>
                <w:i w:val="0"/>
                <w:iCs w:val="0"/>
                <w:caps w:val="0"/>
                <w:color w:val="000000"/>
                <w:spacing w:val="0"/>
                <w:sz w:val="22"/>
                <w:szCs w:val="22"/>
                <w:highlight w:val="none"/>
              </w:rPr>
              <w:t>室</w:t>
            </w:r>
            <w:r>
              <w:rPr>
                <w:rFonts w:hint="eastAsia" w:ascii="宋体" w:hAnsi="宋体"/>
                <w:color w:val="auto"/>
                <w:sz w:val="22"/>
                <w:szCs w:val="22"/>
                <w:highlight w:val="none"/>
                <w:u w:val="none"/>
              </w:rPr>
              <w:t>。</w:t>
            </w:r>
          </w:p>
          <w:p w14:paraId="00037682">
            <w:pPr>
              <w:numPr>
                <w:ilvl w:val="0"/>
                <w:numId w:val="0"/>
              </w:numPr>
              <w:tabs>
                <w:tab w:val="left" w:pos="900"/>
              </w:tabs>
              <w:autoSpaceDE w:val="0"/>
              <w:autoSpaceDN w:val="0"/>
              <w:adjustRightInd w:val="0"/>
              <w:snapToGrid w:val="0"/>
              <w:spacing w:line="460" w:lineRule="exact"/>
              <w:ind w:left="0" w:firstLine="0"/>
              <w:textAlignment w:val="bottom"/>
              <w:rPr>
                <w:rFonts w:ascii="宋体" w:hAnsi="宋体"/>
                <w:color w:val="auto"/>
                <w:sz w:val="22"/>
                <w:szCs w:val="22"/>
                <w:highlight w:val="none"/>
                <w:u w:val="none"/>
              </w:rPr>
            </w:pPr>
            <w:r>
              <w:rPr>
                <w:rFonts w:hint="eastAsia" w:ascii="宋体" w:hAnsi="宋体"/>
                <w:color w:val="auto"/>
                <w:sz w:val="22"/>
                <w:szCs w:val="22"/>
                <w:highlight w:val="none"/>
                <w:u w:val="none"/>
                <w:lang w:val="en-US" w:eastAsia="zh-CN"/>
              </w:rPr>
              <w:t>2、</w:t>
            </w:r>
            <w:r>
              <w:rPr>
                <w:rFonts w:hint="eastAsia" w:ascii="宋体" w:hAnsi="宋体"/>
                <w:color w:val="auto"/>
                <w:sz w:val="22"/>
                <w:szCs w:val="22"/>
                <w:highlight w:val="none"/>
                <w:u w:val="none"/>
              </w:rPr>
              <w:t>投标人在样品提交完成后可以离开现场，招标代理机构在评审结束后会通知各个投标人取回投标样品。</w:t>
            </w:r>
          </w:p>
          <w:p w14:paraId="41BF83B0">
            <w:pPr>
              <w:numPr>
                <w:ilvl w:val="0"/>
                <w:numId w:val="0"/>
              </w:numPr>
              <w:tabs>
                <w:tab w:val="left" w:pos="900"/>
              </w:tabs>
              <w:autoSpaceDE w:val="0"/>
              <w:autoSpaceDN w:val="0"/>
              <w:adjustRightInd w:val="0"/>
              <w:snapToGrid w:val="0"/>
              <w:spacing w:line="460" w:lineRule="exact"/>
              <w:ind w:left="0" w:firstLine="0"/>
              <w:textAlignment w:val="bottom"/>
              <w:rPr>
                <w:rFonts w:ascii="宋体" w:hAnsi="宋体"/>
                <w:b/>
                <w:color w:val="auto"/>
                <w:sz w:val="22"/>
                <w:szCs w:val="22"/>
                <w:highlight w:val="none"/>
                <w:u w:val="none"/>
              </w:rPr>
            </w:pPr>
            <w:r>
              <w:rPr>
                <w:rFonts w:hint="eastAsia" w:ascii="宋体" w:hAnsi="宋体"/>
                <w:b/>
                <w:color w:val="auto"/>
                <w:sz w:val="22"/>
                <w:szCs w:val="22"/>
                <w:highlight w:val="none"/>
                <w:u w:val="none"/>
                <w:lang w:val="en-US" w:eastAsia="zh-CN"/>
              </w:rPr>
              <w:t>3、</w:t>
            </w:r>
            <w:r>
              <w:rPr>
                <w:rFonts w:hint="eastAsia" w:ascii="宋体" w:hAnsi="宋体"/>
                <w:b/>
                <w:color w:val="auto"/>
                <w:sz w:val="22"/>
                <w:szCs w:val="22"/>
                <w:highlight w:val="none"/>
                <w:u w:val="none"/>
              </w:rPr>
              <w:t>未按招标文件要求提供投标样品，评标委员会可能对其作出不利评判</w:t>
            </w:r>
            <w:r>
              <w:rPr>
                <w:rFonts w:hint="eastAsia" w:ascii="宋体" w:hAnsi="宋体"/>
                <w:b/>
                <w:color w:val="auto"/>
                <w:sz w:val="22"/>
                <w:szCs w:val="22"/>
                <w:highlight w:val="none"/>
                <w:u w:val="none"/>
                <w:lang w:eastAsia="zh-CN"/>
              </w:rPr>
              <w:t>。</w:t>
            </w:r>
          </w:p>
          <w:p w14:paraId="0F18AC51">
            <w:pPr>
              <w:numPr>
                <w:ilvl w:val="0"/>
                <w:numId w:val="0"/>
              </w:numPr>
              <w:tabs>
                <w:tab w:val="left" w:pos="900"/>
              </w:tabs>
              <w:autoSpaceDE w:val="0"/>
              <w:autoSpaceDN w:val="0"/>
              <w:adjustRightInd w:val="0"/>
              <w:snapToGrid w:val="0"/>
              <w:spacing w:line="460" w:lineRule="exact"/>
              <w:ind w:left="0" w:firstLine="0"/>
              <w:textAlignment w:val="bottom"/>
              <w:rPr>
                <w:rFonts w:ascii="宋体" w:hAnsi="宋体"/>
                <w:b/>
                <w:color w:val="auto"/>
                <w:sz w:val="22"/>
                <w:szCs w:val="22"/>
                <w:highlight w:val="none"/>
                <w:u w:val="single"/>
              </w:rPr>
            </w:pPr>
            <w:r>
              <w:rPr>
                <w:rFonts w:hint="eastAsia" w:ascii="宋体" w:hAnsi="宋体"/>
                <w:color w:val="auto"/>
                <w:sz w:val="22"/>
                <w:szCs w:val="22"/>
                <w:highlight w:val="none"/>
              </w:rPr>
              <w:t>▲</w:t>
            </w:r>
            <w:r>
              <w:rPr>
                <w:rFonts w:hint="eastAsia" w:ascii="宋体" w:hAnsi="宋体"/>
                <w:b/>
                <w:bCs/>
                <w:color w:val="auto"/>
                <w:sz w:val="22"/>
                <w:szCs w:val="22"/>
                <w:highlight w:val="none"/>
                <w:lang w:val="en-US" w:eastAsia="zh-CN"/>
              </w:rPr>
              <w:t>4、</w:t>
            </w:r>
            <w:r>
              <w:rPr>
                <w:rFonts w:hint="eastAsia" w:ascii="宋体" w:hAnsi="宋体"/>
                <w:b/>
                <w:color w:val="auto"/>
                <w:sz w:val="22"/>
                <w:szCs w:val="22"/>
                <w:highlight w:val="none"/>
                <w:u w:val="single"/>
              </w:rPr>
              <w:t>未提供投标样品</w:t>
            </w:r>
            <w:r>
              <w:rPr>
                <w:rFonts w:hint="eastAsia" w:ascii="宋体" w:hAnsi="宋体" w:cs="Arial"/>
                <w:b/>
                <w:color w:val="auto"/>
                <w:sz w:val="22"/>
                <w:szCs w:val="22"/>
                <w:highlight w:val="none"/>
                <w:u w:val="single"/>
              </w:rPr>
              <w:t>的</w:t>
            </w:r>
            <w:r>
              <w:rPr>
                <w:rFonts w:hint="eastAsia" w:ascii="宋体" w:hAnsi="宋体" w:eastAsia="宋体" w:cs="Times New Roman"/>
                <w:b/>
                <w:color w:val="auto"/>
                <w:spacing w:val="0"/>
                <w:kern w:val="2"/>
                <w:sz w:val="22"/>
                <w:szCs w:val="22"/>
                <w:highlight w:val="none"/>
                <w:u w:val="single"/>
              </w:rPr>
              <w:t>或提供样品不满足采购需求实质性条件的</w:t>
            </w:r>
            <w:r>
              <w:rPr>
                <w:rFonts w:hint="eastAsia" w:ascii="宋体" w:hAnsi="宋体" w:eastAsia="宋体" w:cs="Times New Roman"/>
                <w:b/>
                <w:color w:val="auto"/>
                <w:sz w:val="22"/>
                <w:szCs w:val="22"/>
                <w:highlight w:val="none"/>
                <w:u w:val="single"/>
              </w:rPr>
              <w:t>将被</w:t>
            </w:r>
            <w:r>
              <w:rPr>
                <w:rFonts w:hint="eastAsia" w:ascii="宋体" w:hAnsi="宋体" w:cs="Arial"/>
                <w:b/>
                <w:color w:val="auto"/>
                <w:sz w:val="22"/>
                <w:szCs w:val="22"/>
                <w:highlight w:val="none"/>
                <w:u w:val="single"/>
              </w:rPr>
              <w:t>视为未实质性响应招标文件</w:t>
            </w:r>
            <w:r>
              <w:rPr>
                <w:rFonts w:hint="eastAsia" w:ascii="宋体" w:hAnsi="宋体"/>
                <w:b/>
                <w:color w:val="auto"/>
                <w:sz w:val="22"/>
                <w:szCs w:val="22"/>
                <w:highlight w:val="none"/>
                <w:u w:val="single"/>
              </w:rPr>
              <w:t>。</w:t>
            </w:r>
          </w:p>
          <w:p w14:paraId="0F9CB6DA">
            <w:pPr>
              <w:numPr>
                <w:ilvl w:val="0"/>
                <w:numId w:val="0"/>
              </w:numPr>
              <w:tabs>
                <w:tab w:val="left" w:pos="900"/>
              </w:tabs>
              <w:autoSpaceDE w:val="0"/>
              <w:autoSpaceDN w:val="0"/>
              <w:adjustRightInd w:val="0"/>
              <w:snapToGrid w:val="0"/>
              <w:spacing w:line="460" w:lineRule="exact"/>
              <w:ind w:left="0" w:firstLine="0"/>
              <w:textAlignment w:val="bottom"/>
              <w:rPr>
                <w:rFonts w:ascii="宋体" w:hAnsi="宋体"/>
                <w:b/>
                <w:color w:val="auto"/>
                <w:sz w:val="22"/>
                <w:szCs w:val="22"/>
                <w:highlight w:val="none"/>
                <w:u w:val="none"/>
              </w:rPr>
            </w:pPr>
            <w:r>
              <w:rPr>
                <w:rFonts w:hint="eastAsia" w:ascii="宋体" w:hAnsi="宋体"/>
                <w:b/>
                <w:color w:val="auto"/>
                <w:sz w:val="22"/>
                <w:szCs w:val="22"/>
                <w:highlight w:val="none"/>
                <w:u w:val="none"/>
              </w:rPr>
              <w:t>评标委员会可能对其进行破坏性试验，投标人自行承担样品费用。中标样品由招标人封存，并作为验收标准；未中标样品在评标结束后退还。</w:t>
            </w:r>
          </w:p>
          <w:p w14:paraId="58D085F1">
            <w:pPr>
              <w:numPr>
                <w:ilvl w:val="0"/>
                <w:numId w:val="0"/>
              </w:numPr>
              <w:tabs>
                <w:tab w:val="left" w:pos="900"/>
              </w:tabs>
              <w:autoSpaceDE w:val="0"/>
              <w:autoSpaceDN w:val="0"/>
              <w:adjustRightInd w:val="0"/>
              <w:snapToGrid w:val="0"/>
              <w:spacing w:line="460" w:lineRule="exact"/>
              <w:ind w:left="0" w:firstLine="0" w:firstLineChars="0"/>
              <w:textAlignment w:val="bottom"/>
              <w:rPr>
                <w:rFonts w:ascii="宋体" w:hAnsi="宋体"/>
                <w:color w:val="auto"/>
                <w:sz w:val="22"/>
                <w:szCs w:val="22"/>
                <w:highlight w:val="none"/>
                <w:u w:val="none"/>
              </w:rPr>
            </w:pPr>
            <w:r>
              <w:rPr>
                <w:rFonts w:hint="eastAsia" w:ascii="宋体" w:hAnsi="宋体"/>
                <w:color w:val="auto"/>
                <w:sz w:val="22"/>
                <w:szCs w:val="22"/>
                <w:highlight w:val="none"/>
                <w:u w:val="none"/>
                <w:lang w:val="en-US" w:eastAsia="zh-CN"/>
              </w:rPr>
              <w:t>5、</w:t>
            </w:r>
            <w:r>
              <w:rPr>
                <w:rFonts w:hint="eastAsia" w:ascii="宋体" w:hAnsi="宋体"/>
                <w:color w:val="auto"/>
                <w:sz w:val="22"/>
                <w:szCs w:val="22"/>
                <w:highlight w:val="none"/>
                <w:u w:val="none"/>
              </w:rPr>
              <w:t>中标候选人的实物样品送招标人处保存，确定中标人后，中标人须保证供货产品质量不低于投标样品，如低于样品质量和招标文件质量要求，招标人有权要求退货，调换合格的产品至招标人满意为止，所产生的一切费用由中标人自行承担。</w:t>
            </w:r>
          </w:p>
          <w:p w14:paraId="27D66AAA">
            <w:pPr>
              <w:autoSpaceDE w:val="0"/>
              <w:autoSpaceDN w:val="0"/>
              <w:adjustRightInd w:val="0"/>
              <w:spacing w:line="360" w:lineRule="exact"/>
              <w:rPr>
                <w:rFonts w:hint="eastAsia" w:ascii="宋体" w:hAnsi="宋体" w:cs="宋体"/>
                <w:color w:val="auto"/>
                <w:kern w:val="0"/>
                <w:sz w:val="22"/>
                <w:szCs w:val="22"/>
                <w:highlight w:val="none"/>
                <w:lang w:val="zh-CN"/>
              </w:rPr>
            </w:pPr>
          </w:p>
        </w:tc>
      </w:tr>
      <w:tr w14:paraId="41DA629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F73B8A2">
            <w:pPr>
              <w:spacing w:line="360" w:lineRule="exact"/>
              <w:jc w:val="center"/>
              <w:rPr>
                <w:rFonts w:hint="eastAsia" w:ascii="宋体" w:hAnsi="宋体" w:cs="宋体"/>
                <w:color w:val="auto"/>
                <w:kern w:val="0"/>
                <w:sz w:val="22"/>
                <w:szCs w:val="22"/>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646E7A4">
            <w:pPr>
              <w:spacing w:line="36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视频演示</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30A17CC">
            <w:pPr>
              <w:numPr>
                <w:ilvl w:val="0"/>
                <w:numId w:val="3"/>
              </w:numPr>
              <w:autoSpaceDE w:val="0"/>
              <w:autoSpaceDN w:val="0"/>
              <w:adjustRightInd w:val="0"/>
              <w:spacing w:line="360" w:lineRule="exact"/>
              <w:rPr>
                <w:rFonts w:hint="eastAsia" w:ascii="宋体" w:hAnsi="宋体" w:cs="宋体"/>
                <w:sz w:val="22"/>
                <w:szCs w:val="22"/>
                <w:highlight w:val="none"/>
              </w:rPr>
            </w:pPr>
            <w:r>
              <w:rPr>
                <w:rFonts w:hint="eastAsia" w:ascii="宋体" w:hAnsi="宋体" w:eastAsia="宋体" w:cs="宋体"/>
                <w:b w:val="0"/>
                <w:bCs w:val="0"/>
                <w:color w:val="auto"/>
                <w:kern w:val="2"/>
                <w:sz w:val="22"/>
                <w:szCs w:val="22"/>
                <w:lang w:val="en-US" w:eastAsia="zh-CN" w:bidi="ar-SA"/>
              </w:rPr>
              <w:t>递交演示视频</w:t>
            </w:r>
            <w:r>
              <w:rPr>
                <w:rFonts w:hint="eastAsia" w:ascii="宋体" w:hAnsi="宋体" w:eastAsia="宋体" w:cs="宋体"/>
                <w:b w:val="0"/>
                <w:bCs w:val="0"/>
                <w:color w:val="auto"/>
                <w:kern w:val="2"/>
                <w:sz w:val="22"/>
                <w:szCs w:val="22"/>
                <w:highlight w:val="none"/>
                <w:lang w:val="en-US" w:eastAsia="zh-CN" w:bidi="ar-SA"/>
              </w:rPr>
              <w:t>截止时间</w:t>
            </w:r>
            <w:r>
              <w:rPr>
                <w:rFonts w:hint="eastAsia" w:ascii="宋体" w:hAnsi="宋体" w:eastAsia="宋体" w:cs="宋体"/>
                <w:sz w:val="22"/>
                <w:szCs w:val="22"/>
                <w:highlight w:val="none"/>
                <w:lang w:eastAsia="zh-CN"/>
              </w:rPr>
              <w:t>：</w:t>
            </w:r>
            <w:r>
              <w:rPr>
                <w:rFonts w:hint="eastAsia" w:ascii="宋体" w:hAnsi="宋体" w:cs="宋体"/>
                <w:sz w:val="22"/>
                <w:szCs w:val="22"/>
                <w:highlight w:val="none"/>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07</w:t>
            </w:r>
            <w:r>
              <w:rPr>
                <w:rFonts w:hint="eastAsia" w:ascii="宋体" w:hAnsi="宋体" w:cs="宋体"/>
                <w:sz w:val="22"/>
                <w:szCs w:val="22"/>
                <w:highlight w:val="none"/>
              </w:rPr>
              <w:t>月</w:t>
            </w:r>
            <w:r>
              <w:rPr>
                <w:rFonts w:hint="eastAsia" w:ascii="宋体" w:hAnsi="宋体" w:cs="宋体"/>
                <w:sz w:val="22"/>
                <w:szCs w:val="22"/>
                <w:highlight w:val="none"/>
                <w:lang w:val="en-US" w:eastAsia="zh-CN"/>
              </w:rPr>
              <w:t>28</w:t>
            </w:r>
            <w:r>
              <w:rPr>
                <w:rFonts w:hint="eastAsia" w:ascii="宋体" w:hAnsi="宋体" w:cs="宋体"/>
                <w:sz w:val="22"/>
                <w:szCs w:val="22"/>
                <w:highlight w:val="none"/>
              </w:rPr>
              <w:t>日</w:t>
            </w:r>
            <w:r>
              <w:rPr>
                <w:rFonts w:hint="eastAsia" w:ascii="宋体" w:hAnsi="宋体" w:cs="宋体"/>
                <w:sz w:val="22"/>
                <w:szCs w:val="22"/>
                <w:highlight w:val="none"/>
                <w:lang w:val="en-US" w:eastAsia="zh-CN"/>
              </w:rPr>
              <w:t>09</w:t>
            </w:r>
            <w:r>
              <w:rPr>
                <w:rFonts w:hint="eastAsia" w:ascii="宋体" w:hAnsi="宋体" w:cs="宋体"/>
                <w:sz w:val="22"/>
                <w:szCs w:val="22"/>
                <w:highlight w:val="none"/>
              </w:rPr>
              <w:t>:30（北京时间）</w:t>
            </w:r>
          </w:p>
          <w:p w14:paraId="668B95D2">
            <w:pPr>
              <w:pStyle w:val="20"/>
              <w:numPr>
                <w:ilvl w:val="0"/>
                <w:numId w:val="0"/>
              </w:numPr>
              <w:rPr>
                <w:rFonts w:hint="default" w:eastAsia="宋体"/>
                <w:sz w:val="22"/>
                <w:szCs w:val="22"/>
                <w:lang w:val="en-US" w:eastAsia="zh-CN"/>
              </w:rPr>
            </w:pPr>
            <w:r>
              <w:rPr>
                <w:rFonts w:hint="eastAsia"/>
                <w:sz w:val="22"/>
                <w:szCs w:val="22"/>
                <w:lang w:val="en-US" w:eastAsia="zh-CN"/>
              </w:rPr>
              <w:t>2、递交演示视频邮寄地址：温</w:t>
            </w:r>
            <w:r>
              <w:rPr>
                <w:rFonts w:hint="eastAsia" w:ascii="宋体" w:hAnsi="宋体" w:cs="宋体"/>
                <w:smallCaps w:val="0"/>
                <w:sz w:val="22"/>
                <w:szCs w:val="22"/>
                <w:highlight w:val="none"/>
              </w:rPr>
              <w:t>州市鹿城区南汇街道</w:t>
            </w:r>
            <w:r>
              <w:rPr>
                <w:rFonts w:hint="eastAsia" w:ascii="宋体" w:hAnsi="宋体" w:cs="宋体"/>
                <w:smallCaps w:val="0"/>
                <w:sz w:val="22"/>
                <w:szCs w:val="22"/>
              </w:rPr>
              <w:t>市府路新益大厦1幢601室</w:t>
            </w:r>
            <w:r>
              <w:rPr>
                <w:rFonts w:hint="eastAsia" w:ascii="宋体" w:hAnsi="宋体" w:cs="宋体"/>
                <w:smallCaps w:val="0"/>
                <w:sz w:val="22"/>
                <w:szCs w:val="22"/>
                <w:lang w:val="en-US" w:eastAsia="zh-CN"/>
              </w:rPr>
              <w:t>,吴成丰15958725544</w:t>
            </w:r>
            <w:r>
              <w:rPr>
                <w:rFonts w:hint="eastAsia" w:ascii="宋体" w:hAnsi="宋体" w:eastAsia="宋体" w:cs="宋体"/>
                <w:b w:val="0"/>
                <w:bCs w:val="0"/>
                <w:color w:val="auto"/>
                <w:kern w:val="2"/>
                <w:sz w:val="22"/>
                <w:szCs w:val="22"/>
                <w:lang w:val="en-US" w:eastAsia="zh-CN" w:bidi="ar-SA"/>
              </w:rPr>
              <w:t>；</w:t>
            </w:r>
          </w:p>
          <w:p w14:paraId="1E67AEB5">
            <w:pPr>
              <w:autoSpaceDE w:val="0"/>
              <w:autoSpaceDN w:val="0"/>
              <w:adjustRightInd w:val="0"/>
              <w:spacing w:line="360" w:lineRule="exact"/>
              <w:rPr>
                <w:rFonts w:hint="eastAsia" w:ascii="宋体" w:hAnsi="宋体" w:eastAsia="宋体" w:cs="宋体"/>
                <w:b w:val="0"/>
                <w:bCs w:val="0"/>
                <w:color w:val="auto"/>
                <w:kern w:val="2"/>
                <w:sz w:val="22"/>
                <w:szCs w:val="22"/>
                <w:lang w:val="en-US" w:eastAsia="zh-CN" w:bidi="ar-SA"/>
              </w:rPr>
            </w:pPr>
            <w:r>
              <w:rPr>
                <w:rFonts w:hint="eastAsia" w:ascii="宋体" w:hAnsi="宋体" w:cs="宋体"/>
                <w:b w:val="0"/>
                <w:bCs w:val="0"/>
                <w:color w:val="auto"/>
                <w:kern w:val="2"/>
                <w:sz w:val="22"/>
                <w:szCs w:val="22"/>
                <w:lang w:val="en-US" w:eastAsia="zh-CN" w:bidi="ar-SA"/>
              </w:rPr>
              <w:t>3</w:t>
            </w:r>
            <w:r>
              <w:rPr>
                <w:rFonts w:hint="eastAsia" w:ascii="宋体" w:hAnsi="宋体" w:eastAsia="宋体" w:cs="宋体"/>
                <w:b w:val="0"/>
                <w:bCs w:val="0"/>
                <w:color w:val="auto"/>
                <w:kern w:val="2"/>
                <w:sz w:val="22"/>
                <w:szCs w:val="22"/>
                <w:lang w:val="en-US" w:eastAsia="zh-CN" w:bidi="ar-SA"/>
              </w:rPr>
              <w:t>、投标人在递交演示视频截止时间前递交相关功能视频的u盘，并用信封密封（信封封口处标识项目名称、项目编号、投标人信息并加盖投标人公章；超过递交演示视频截止时间的，采购人或采购代理机构将不予接收；</w:t>
            </w:r>
          </w:p>
          <w:p w14:paraId="3E9D7717">
            <w:pPr>
              <w:autoSpaceDE w:val="0"/>
              <w:autoSpaceDN w:val="0"/>
              <w:adjustRightInd w:val="0"/>
              <w:spacing w:line="360" w:lineRule="exact"/>
              <w:rPr>
                <w:rFonts w:hint="eastAsia" w:ascii="宋体" w:hAnsi="宋体" w:eastAsia="宋体" w:cs="宋体"/>
                <w:b w:val="0"/>
                <w:bCs w:val="0"/>
                <w:color w:val="auto"/>
                <w:kern w:val="2"/>
                <w:sz w:val="22"/>
                <w:szCs w:val="22"/>
                <w:lang w:val="en-US" w:eastAsia="zh-CN" w:bidi="ar-SA"/>
              </w:rPr>
            </w:pPr>
            <w:r>
              <w:rPr>
                <w:rFonts w:hint="eastAsia" w:ascii="宋体" w:hAnsi="宋体" w:cs="宋体"/>
                <w:b w:val="0"/>
                <w:bCs w:val="0"/>
                <w:color w:val="auto"/>
                <w:kern w:val="2"/>
                <w:sz w:val="22"/>
                <w:szCs w:val="22"/>
                <w:lang w:val="en-US" w:eastAsia="zh-CN" w:bidi="ar-SA"/>
              </w:rPr>
              <w:t>4</w:t>
            </w:r>
            <w:r>
              <w:rPr>
                <w:rFonts w:hint="eastAsia" w:ascii="宋体" w:hAnsi="宋体" w:eastAsia="宋体" w:cs="宋体"/>
                <w:b w:val="0"/>
                <w:bCs w:val="0"/>
                <w:color w:val="auto"/>
                <w:kern w:val="2"/>
                <w:sz w:val="22"/>
                <w:szCs w:val="22"/>
                <w:lang w:val="en-US" w:eastAsia="zh-CN" w:bidi="ar-SA"/>
              </w:rPr>
              <w:t>、相关功能视频时长不得超过15分钟，演示u盘不予退回；</w:t>
            </w:r>
          </w:p>
          <w:p w14:paraId="1CAD4B4B">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b w:val="0"/>
                <w:bCs w:val="0"/>
                <w:color w:val="auto"/>
                <w:kern w:val="2"/>
                <w:sz w:val="22"/>
                <w:szCs w:val="22"/>
                <w:lang w:val="en-US" w:eastAsia="zh-CN" w:bidi="ar-SA"/>
              </w:rPr>
              <w:t>5</w:t>
            </w:r>
            <w:r>
              <w:rPr>
                <w:rFonts w:hint="eastAsia" w:ascii="宋体" w:hAnsi="宋体" w:eastAsia="宋体" w:cs="宋体"/>
                <w:b w:val="0"/>
                <w:bCs w:val="0"/>
                <w:color w:val="auto"/>
                <w:kern w:val="2"/>
                <w:sz w:val="22"/>
                <w:szCs w:val="22"/>
                <w:lang w:val="en-US" w:eastAsia="zh-CN" w:bidi="ar-SA"/>
              </w:rPr>
              <w:t>、U盘内不得出现其他无关文件，因投标人自身原因或投标人设备原因导致无法演示或者演示效果不理想的，责任自负。）</w:t>
            </w:r>
          </w:p>
        </w:tc>
      </w:tr>
      <w:tr w14:paraId="223A3F6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40D2F62">
            <w:pPr>
              <w:spacing w:line="360" w:lineRule="exact"/>
              <w:jc w:val="center"/>
              <w:rPr>
                <w:rFonts w:hint="eastAsia" w:ascii="宋体" w:hAnsi="宋体" w:cs="宋体"/>
                <w:color w:val="auto"/>
                <w:kern w:val="0"/>
                <w:sz w:val="22"/>
                <w:szCs w:val="22"/>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842A73A">
            <w:pPr>
              <w:spacing w:line="360" w:lineRule="exact"/>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政府采购进口产品</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3734678A">
            <w:pPr>
              <w:autoSpaceDE w:val="0"/>
              <w:autoSpaceDN w:val="0"/>
              <w:adjustRightInd w:val="0"/>
              <w:spacing w:line="360" w:lineRule="exac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不允许</w:t>
            </w:r>
          </w:p>
        </w:tc>
      </w:tr>
      <w:tr w14:paraId="49BC4C3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6F660D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34D574D">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68F0F3A">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不召开</w:t>
            </w:r>
          </w:p>
        </w:tc>
      </w:tr>
      <w:tr w14:paraId="232CEDA8">
        <w:tblPrEx>
          <w:tblCellMar>
            <w:top w:w="0" w:type="dxa"/>
            <w:left w:w="108" w:type="dxa"/>
            <w:bottom w:w="0" w:type="dxa"/>
            <w:right w:w="108" w:type="dxa"/>
          </w:tblCellMar>
        </w:tblPrEx>
        <w:trPr>
          <w:trHeight w:val="65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F8468B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C64810D">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分包和转包</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1418BC6F">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14:paraId="5C37CCFF">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14:paraId="0DE44CCA">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0A74516A">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4BB6E04A">
            <w:pPr>
              <w:autoSpaceDE w:val="0"/>
              <w:autoSpaceDN w:val="0"/>
              <w:adjustRightInd w:val="0"/>
              <w:spacing w:line="360" w:lineRule="exact"/>
              <w:rPr>
                <w:rFonts w:ascii="宋体" w:hAnsi="宋体" w:cs="宋体"/>
                <w:color w:val="auto"/>
                <w:kern w:val="0"/>
                <w:sz w:val="22"/>
                <w:szCs w:val="22"/>
                <w:highlight w:val="none"/>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14:paraId="6C5A417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87F185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79009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0B906905">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6C95D07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D34A1C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C0114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投标有效期</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0DE4C1A9">
            <w:pPr>
              <w:widowControl/>
              <w:spacing w:line="36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从提交投标文件的截止时间之日起90天。</w:t>
            </w:r>
          </w:p>
        </w:tc>
      </w:tr>
      <w:tr w14:paraId="7976563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E3A374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68259F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62D19FDE">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无</w:t>
            </w:r>
          </w:p>
        </w:tc>
      </w:tr>
      <w:tr w14:paraId="2D32637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94D7FE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E65C8BE">
            <w:pPr>
              <w:snapToGrid w:val="0"/>
              <w:spacing w:line="360" w:lineRule="exact"/>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投标文件形式、制作及组成</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5A56ACED">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本项目实行网上电子投标。</w:t>
            </w:r>
          </w:p>
          <w:p w14:paraId="1A433998">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供应商应准备电子投标文件、以介质存储的数据电文形式的备份投标文件二类：</w:t>
            </w:r>
          </w:p>
          <w:p w14:paraId="43BFCB7F">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szCs w:val="22"/>
                <w:highlight w:val="none"/>
                <w:lang w:val="zh-CN"/>
              </w:rPr>
              <w:t>。</w:t>
            </w:r>
          </w:p>
          <w:p w14:paraId="63854008">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（2）以介质存储的数据电文形式的备份投标文件（如有）：</w:t>
            </w:r>
            <w:r>
              <w:rPr>
                <w:rStyle w:val="42"/>
                <w:rFonts w:hint="eastAsia" w:ascii="宋体" w:hAnsi="宋体" w:cs="宋体"/>
                <w:bCs/>
                <w:color w:val="auto"/>
                <w:sz w:val="22"/>
                <w:szCs w:val="22"/>
                <w:highlight w:val="none"/>
              </w:rPr>
              <w:t>与“电子投标文件”同时生成的数据电文形式的备份投标文件(文件扩展名为.bfbs)</w:t>
            </w:r>
            <w:r>
              <w:rPr>
                <w:rFonts w:hint="eastAsia" w:ascii="宋体" w:hAnsi="宋体" w:cs="宋体"/>
                <w:b/>
                <w:bCs/>
                <w:color w:val="auto"/>
                <w:sz w:val="22"/>
                <w:szCs w:val="22"/>
                <w:highlight w:val="none"/>
              </w:rPr>
              <w:t>，投标文件提交截止时间前以</w:t>
            </w:r>
            <w:r>
              <w:rPr>
                <w:rFonts w:hint="eastAsia" w:ascii="宋体" w:hAnsi="宋体" w:cs="宋体"/>
                <w:b/>
                <w:bCs/>
                <w:color w:val="auto"/>
                <w:sz w:val="22"/>
                <w:szCs w:val="22"/>
                <w:highlight w:val="none"/>
                <w:lang w:val="zh-CN"/>
              </w:rPr>
              <w:t>电子邮件方式传送至</w:t>
            </w:r>
            <w:r>
              <w:rPr>
                <w:rFonts w:hint="eastAsia" w:ascii="宋体" w:hAnsi="宋体" w:cs="宋体"/>
                <w:b/>
                <w:bCs/>
                <w:color w:val="auto"/>
                <w:sz w:val="22"/>
                <w:szCs w:val="22"/>
                <w:highlight w:val="none"/>
              </w:rPr>
              <w:t>温州市圣励招标代理有限公司</w:t>
            </w:r>
            <w:r>
              <w:rPr>
                <w:rFonts w:hint="eastAsia" w:ascii="宋体" w:hAnsi="宋体" w:cs="宋体"/>
                <w:b/>
                <w:bCs/>
                <w:color w:val="auto"/>
                <w:sz w:val="22"/>
                <w:szCs w:val="22"/>
                <w:highlight w:val="none"/>
                <w:lang w:val="zh-CN"/>
              </w:rPr>
              <w:t>电子邮箱</w:t>
            </w:r>
            <w:r>
              <w:rPr>
                <w:rFonts w:hint="eastAsia" w:ascii="宋体" w:hAnsi="宋体" w:cs="宋体"/>
                <w:b/>
                <w:bCs/>
                <w:color w:val="auto"/>
                <w:sz w:val="22"/>
                <w:szCs w:val="22"/>
                <w:highlight w:val="none"/>
                <w:lang w:eastAsia="zh-CN"/>
              </w:rPr>
              <w:t>15958725544@139.com</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传送的备份投标文件需打包压缩并加密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加密密码由供应商自行保管</w:t>
            </w:r>
            <w:r>
              <w:rPr>
                <w:rFonts w:hint="eastAsia" w:ascii="宋体" w:hAnsi="宋体" w:cs="宋体"/>
                <w:b/>
                <w:bCs/>
                <w:color w:val="auto"/>
                <w:sz w:val="22"/>
                <w:szCs w:val="22"/>
                <w:highlight w:val="none"/>
              </w:rPr>
              <w:t>，未加密导致投标信息泄露的风险由供应商自行承担</w:t>
            </w:r>
            <w:r>
              <w:rPr>
                <w:rStyle w:val="42"/>
                <w:rFonts w:hint="eastAsia" w:ascii="宋体" w:hAnsi="宋体" w:cs="宋体"/>
                <w:bCs/>
                <w:color w:val="auto"/>
                <w:sz w:val="22"/>
                <w:szCs w:val="22"/>
                <w:highlight w:val="none"/>
              </w:rPr>
              <w:t>。</w:t>
            </w:r>
          </w:p>
          <w:p w14:paraId="6F49E05A">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投标文件由报价文件、资格文件、商务和技术文件三部分组成。</w:t>
            </w:r>
          </w:p>
          <w:p w14:paraId="57261AD6">
            <w:pPr>
              <w:pStyle w:val="121"/>
              <w:snapToGrid w:val="0"/>
              <w:spacing w:line="360" w:lineRule="exact"/>
              <w:rPr>
                <w:rFonts w:hint="eastAsia" w:hAnsi="宋体" w:cs="宋体"/>
                <w:color w:val="auto"/>
                <w:kern w:val="0"/>
                <w:sz w:val="22"/>
                <w:szCs w:val="22"/>
                <w:highlight w:val="none"/>
              </w:rPr>
            </w:pPr>
            <w:r>
              <w:rPr>
                <w:rFonts w:hint="eastAsia" w:hAnsi="宋体" w:cs="宋体"/>
                <w:b/>
                <w:bCs/>
                <w:color w:val="auto"/>
                <w:sz w:val="22"/>
                <w:szCs w:val="22"/>
                <w:highlight w:val="none"/>
              </w:rPr>
              <w:t>注：中标人在领取中标通知书时按采购人要求提供全套纸质投标文件贰份。</w:t>
            </w:r>
          </w:p>
        </w:tc>
      </w:tr>
      <w:tr w14:paraId="5177BD4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E012B7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47B4B99">
            <w:pPr>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电子招投标特殊情况处理方式</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EEC7F64">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本项目原则上采用政采云电子招投标开标及评审程序，但有下列情形之一的，按以下情况处理：</w:t>
            </w:r>
          </w:p>
          <w:p w14:paraId="0F771CEC">
            <w:pPr>
              <w:spacing w:line="360" w:lineRule="exact"/>
              <w:jc w:val="left"/>
              <w:rPr>
                <w:rFonts w:hint="eastAsia" w:ascii="宋体" w:hAnsi="宋体" w:cs="宋体"/>
                <w:color w:val="auto"/>
                <w:sz w:val="22"/>
                <w:szCs w:val="22"/>
                <w:highlight w:val="none"/>
                <w:lang w:val="zh-CN"/>
              </w:rPr>
            </w:pPr>
            <w:r>
              <w:rPr>
                <w:rFonts w:hint="eastAsia" w:ascii="宋体" w:hAnsi="宋体" w:cs="宋体"/>
                <w:b/>
                <w:bCs/>
                <w:color w:val="auto"/>
                <w:sz w:val="22"/>
                <w:szCs w:val="22"/>
                <w:highlight w:val="none"/>
              </w:rPr>
              <w:t>若供应商在规定时间内无法解密或解密失败，采购代理机构将开启所有供应商递交的以介质存储的数据电文形式的备份投标文件，上传至政采云平台项目采购模块，以完成开标，电子投标文件自动失效。</w:t>
            </w:r>
          </w:p>
        </w:tc>
      </w:tr>
      <w:tr w14:paraId="507C0F5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9E000F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1FBAA4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评审地点</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2743E5E5">
            <w:pPr>
              <w:autoSpaceDE w:val="0"/>
              <w:autoSpaceDN w:val="0"/>
              <w:adjustRightInd w:val="0"/>
              <w:spacing w:line="360" w:lineRule="exact"/>
              <w:ind w:firstLine="31"/>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详见</w:t>
            </w:r>
            <w:r>
              <w:rPr>
                <w:rFonts w:hint="eastAsia" w:ascii="宋体" w:hAnsi="宋体" w:cs="宋体"/>
                <w:color w:val="auto"/>
                <w:kern w:val="0"/>
                <w:sz w:val="22"/>
                <w:szCs w:val="22"/>
                <w:highlight w:val="none"/>
                <w:lang w:eastAsia="zh-CN"/>
              </w:rPr>
              <w:t>公开招标公告</w:t>
            </w:r>
          </w:p>
        </w:tc>
      </w:tr>
      <w:tr w14:paraId="582B0D8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C806F5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C8D9E5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评标委员会的组建</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630C8BD3">
            <w:pPr>
              <w:autoSpaceDE w:val="0"/>
              <w:autoSpaceDN w:val="0"/>
              <w:adjustRightInd w:val="0"/>
              <w:spacing w:line="360" w:lineRule="exact"/>
              <w:ind w:firstLine="31"/>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14:paraId="16426A19">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11E4CB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181DDC8">
            <w:pPr>
              <w:spacing w:line="360" w:lineRule="exact"/>
              <w:jc w:val="center"/>
              <w:rPr>
                <w:rFonts w:hint="eastAsia" w:ascii="宋体" w:hAnsi="宋体" w:cs="宋体"/>
                <w:color w:val="auto"/>
                <w:kern w:val="0"/>
                <w:sz w:val="22"/>
                <w:szCs w:val="22"/>
                <w:highlight w:val="none"/>
              </w:rPr>
            </w:pPr>
            <w:r>
              <w:rPr>
                <w:rFonts w:hint="eastAsia" w:ascii="宋体" w:hAnsi="宋体" w:cs="宋体"/>
                <w:b/>
                <w:bCs/>
                <w:snapToGrid w:val="0"/>
                <w:color w:val="auto"/>
                <w:sz w:val="22"/>
                <w:szCs w:val="22"/>
                <w:highlight w:val="none"/>
              </w:rPr>
              <w:t>资格审查要求的资格证明材料</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5F893861">
            <w:pPr>
              <w:autoSpaceDE w:val="0"/>
              <w:autoSpaceDN w:val="0"/>
              <w:adjustRightInd w:val="0"/>
              <w:snapToGrid w:val="0"/>
              <w:spacing w:line="360" w:lineRule="exact"/>
              <w:textAlignment w:val="bottom"/>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①法定代表人身份证明或法定代表人授权书（格式见附件四）</w:t>
            </w:r>
          </w:p>
          <w:p w14:paraId="6D6DBF53">
            <w:pPr>
              <w:autoSpaceDE w:val="0"/>
              <w:autoSpaceDN w:val="0"/>
              <w:adjustRightInd w:val="0"/>
              <w:snapToGrid w:val="0"/>
              <w:spacing w:line="360" w:lineRule="exact"/>
              <w:textAlignment w:val="bottom"/>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②有效的法人或者其他组织的营业执照等证明文件，自然人的身份证明（五选一）（格式见附件四）</w:t>
            </w:r>
          </w:p>
          <w:p w14:paraId="2D36BA57">
            <w:pPr>
              <w:autoSpaceDE w:val="0"/>
              <w:autoSpaceDN w:val="0"/>
              <w:adjustRightInd w:val="0"/>
              <w:snapToGrid w:val="0"/>
              <w:spacing w:line="360" w:lineRule="exact"/>
              <w:textAlignment w:val="bottom"/>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③符合参加采购活动应当具备的一般条件的承诺函（格式见附件四）</w:t>
            </w:r>
          </w:p>
          <w:p w14:paraId="1382E005">
            <w:pPr>
              <w:autoSpaceDE w:val="0"/>
              <w:autoSpaceDN w:val="0"/>
              <w:adjustRightInd w:val="0"/>
              <w:snapToGrid w:val="0"/>
              <w:spacing w:line="360" w:lineRule="exact"/>
              <w:textAlignment w:val="bottom"/>
              <w:rPr>
                <w:rFonts w:hint="eastAsia"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④信用查询（格式见附件四）</w:t>
            </w:r>
          </w:p>
          <w:p w14:paraId="14E006AF">
            <w:pPr>
              <w:autoSpaceDE w:val="0"/>
              <w:autoSpaceDN w:val="0"/>
              <w:adjustRightInd w:val="0"/>
              <w:snapToGrid w:val="0"/>
              <w:spacing w:line="360" w:lineRule="exact"/>
              <w:textAlignment w:val="bottom"/>
              <w:rPr>
                <w:rFonts w:hint="eastAsia" w:ascii="宋体" w:hAnsi="宋体" w:cs="宋体"/>
                <w:color w:val="auto"/>
                <w:sz w:val="22"/>
                <w:szCs w:val="22"/>
                <w:highlight w:val="none"/>
                <w:lang w:val="zh-CN"/>
              </w:rPr>
            </w:pPr>
            <w:r>
              <w:rPr>
                <w:rFonts w:hint="eastAsia" w:ascii="宋体" w:hAnsi="宋体" w:cs="宋体"/>
                <w:b/>
                <w:bCs/>
                <w:snapToGrid w:val="0"/>
                <w:color w:val="auto"/>
                <w:sz w:val="22"/>
                <w:szCs w:val="22"/>
                <w:highlight w:val="none"/>
              </w:rPr>
              <w:t>⑤中小企业声明函（格式见附件四）</w:t>
            </w:r>
          </w:p>
        </w:tc>
      </w:tr>
      <w:tr w14:paraId="10EB73E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A0D3F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61E1D8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评标办法及评分标准</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49B1A360">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综合评分法，详见第六部分评标原则及方法。</w:t>
            </w:r>
          </w:p>
        </w:tc>
      </w:tr>
      <w:tr w14:paraId="536A65E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53D034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AE46758">
            <w:pPr>
              <w:spacing w:line="360" w:lineRule="exact"/>
              <w:jc w:val="center"/>
              <w:rPr>
                <w:rFonts w:hint="eastAsia" w:ascii="宋体" w:hAnsi="宋体" w:cs="宋体"/>
                <w:b/>
                <w:bCs/>
                <w:snapToGrid w:val="0"/>
                <w:color w:val="auto"/>
                <w:sz w:val="22"/>
                <w:szCs w:val="22"/>
                <w:highlight w:val="none"/>
              </w:rPr>
            </w:pPr>
            <w:r>
              <w:rPr>
                <w:rFonts w:hint="eastAsia" w:ascii="宋体" w:hAnsi="宋体" w:cs="宋体"/>
                <w:color w:val="auto"/>
                <w:sz w:val="22"/>
                <w:szCs w:val="22"/>
                <w:highlight w:val="none"/>
              </w:rPr>
              <w:t>中标公告及中标通知书</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485F1534">
            <w:pPr>
              <w:autoSpaceDE w:val="0"/>
              <w:autoSpaceDN w:val="0"/>
              <w:adjustRightInd w:val="0"/>
              <w:spacing w:line="360" w:lineRule="exact"/>
              <w:ind w:firstLine="31"/>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评标结束后中标公告发布于浙江政府采购网，并向中标人发出中标通知书。</w:t>
            </w:r>
          </w:p>
        </w:tc>
      </w:tr>
      <w:tr w14:paraId="3D04B29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6561A6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1483D0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合同备案</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7A7542E3">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中标人须在中标通知书发出之日起30日历天内与采购人签订合同。</w:t>
            </w:r>
          </w:p>
          <w:p w14:paraId="7276084A">
            <w:pPr>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中标人与采购人签订合同后，2日历天内将合同扫描件电子版发给采购代理机构：邮箱：</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"mailto:1322521566@qq.com。"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lang w:eastAsia="zh-CN"/>
              </w:rPr>
              <w:t>15958725544@139.com</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fldChar w:fldCharType="end"/>
            </w:r>
          </w:p>
        </w:tc>
      </w:tr>
      <w:tr w14:paraId="228A4F9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C9D53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5E59DA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落实政府采购支持中小企业、监狱企业及残疾人福利性单位发展政策</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6807C22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2" w:char="0052"/>
            </w:r>
            <w:r>
              <w:rPr>
                <w:rFonts w:hint="eastAsia" w:ascii="宋体" w:hAnsi="宋体" w:cs="宋体"/>
                <w:color w:val="auto"/>
                <w:sz w:val="22"/>
                <w:szCs w:val="22"/>
                <w:highlight w:val="none"/>
              </w:rPr>
              <w:t>专门面向中小企业采购项目</w:t>
            </w:r>
          </w:p>
          <w:p w14:paraId="274FBDA3">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□非专门面向中小企业采购项目。对小型和微型企业报价根据《政府采购促进中小企业发展管理办法》（财库〔2020〕46号）文件扣除，用扣除后的价格参与评审。</w:t>
            </w:r>
          </w:p>
          <w:p w14:paraId="65A84159">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本项目的扣除比例为：小型、微型企业均扣除</w:t>
            </w:r>
            <w:r>
              <w:rPr>
                <w:rFonts w:hint="eastAsia" w:ascii="宋体" w:hAnsi="宋体" w:cs="宋体"/>
                <w:color w:val="auto"/>
                <w:sz w:val="22"/>
                <w:szCs w:val="22"/>
                <w:highlight w:val="none"/>
                <w:u w:val="single"/>
              </w:rPr>
              <w:t>10%</w:t>
            </w:r>
            <w:r>
              <w:rPr>
                <w:rFonts w:hint="eastAsia" w:ascii="宋体" w:hAnsi="宋体" w:cs="宋体"/>
                <w:color w:val="auto"/>
                <w:sz w:val="22"/>
                <w:szCs w:val="22"/>
                <w:highlight w:val="none"/>
              </w:rPr>
              <w:t>；</w:t>
            </w:r>
          </w:p>
          <w:p w14:paraId="0E886DB2">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30%以上的，对联合体或者大中型企业的报价给予5%的扣除。</w:t>
            </w:r>
          </w:p>
          <w:p w14:paraId="429FC5E4">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监狱企业、残疾人福利性单位视同小型、微型企业，享受价格扣除。</w:t>
            </w:r>
          </w:p>
          <w:p w14:paraId="52C45FDD">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残疾人福利性单位属于小型、微型企业的，不重复享受政策。</w:t>
            </w:r>
          </w:p>
        </w:tc>
      </w:tr>
      <w:tr w14:paraId="2DDE79CF">
        <w:tblPrEx>
          <w:tblCellMar>
            <w:top w:w="0" w:type="dxa"/>
            <w:left w:w="108" w:type="dxa"/>
            <w:bottom w:w="0" w:type="dxa"/>
            <w:right w:w="108" w:type="dxa"/>
          </w:tblCellMar>
        </w:tblPrEx>
        <w:trPr>
          <w:trHeight w:val="228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61F9FAE">
            <w:pPr>
              <w:autoSpaceDE w:val="0"/>
              <w:autoSpaceDN w:val="0"/>
              <w:adjustRightInd w:val="0"/>
              <w:snapToGrid w:val="0"/>
              <w:spacing w:line="360" w:lineRule="exact"/>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A95CF8E">
            <w:pPr>
              <w:spacing w:line="360" w:lineRule="exact"/>
              <w:jc w:val="center"/>
              <w:rPr>
                <w:rFonts w:hint="eastAsia" w:ascii="宋体" w:hAnsi="宋体" w:cs="宋体"/>
                <w:snapToGrid w:val="0"/>
                <w:color w:val="auto"/>
                <w:sz w:val="22"/>
                <w:szCs w:val="22"/>
                <w:highlight w:val="none"/>
              </w:rPr>
            </w:pPr>
            <w:r>
              <w:rPr>
                <w:rFonts w:hint="eastAsia" w:ascii="宋体" w:hAnsi="宋体" w:cs="宋体"/>
                <w:color w:val="auto"/>
                <w:sz w:val="22"/>
                <w:szCs w:val="22"/>
                <w:highlight w:val="none"/>
              </w:rPr>
              <w:t>所属行业</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529CDF0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所属行业：工业；</w:t>
            </w:r>
          </w:p>
          <w:p w14:paraId="469F2026">
            <w:pPr>
              <w:spacing w:line="3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中小企业划型标准：</w:t>
            </w:r>
            <w:r>
              <w:rPr>
                <w:rFonts w:hint="eastAsia" w:ascii="宋体" w:hAnsi="宋体" w:cs="宋体"/>
                <w:color w:val="auto"/>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4D7FF6C">
        <w:tblPrEx>
          <w:tblCellMar>
            <w:top w:w="0" w:type="dxa"/>
            <w:left w:w="108" w:type="dxa"/>
            <w:bottom w:w="0" w:type="dxa"/>
            <w:right w:w="108" w:type="dxa"/>
          </w:tblCellMar>
        </w:tblPrEx>
        <w:trPr>
          <w:trHeight w:val="293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014629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5565B1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75AE676E">
            <w:pPr>
              <w:spacing w:line="36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3C082856">
        <w:tblPrEx>
          <w:tblCellMar>
            <w:top w:w="0" w:type="dxa"/>
            <w:left w:w="108" w:type="dxa"/>
            <w:bottom w:w="0" w:type="dxa"/>
            <w:right w:w="108" w:type="dxa"/>
          </w:tblCellMar>
        </w:tblPrEx>
        <w:trPr>
          <w:trHeight w:val="408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1844D2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F9E0BE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其它</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4C0C86E0">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1.公开招标公告属于本采购文件的一部分</w:t>
            </w:r>
          </w:p>
          <w:p w14:paraId="18E9E1CF">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2.请务必确保投标文件制作客户端为最新版本，旧版本可能导致投标文件解密失败。</w:t>
            </w:r>
          </w:p>
          <w:p w14:paraId="7011FED4">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3.请务必确保投标文件制作时所用的 CA 锁与投标文件解密时的 CA 锁为同一把，否则可能导致投标文件解密失败。</w:t>
            </w:r>
          </w:p>
          <w:p w14:paraId="21363C24">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4.在投标文件解密前，请务必检验 CA 锁与所用电脑的兼容性，部分电脑因 CA 驱动未正常安装、USB 接口兼容性差等原因可能造成投标文件解密失败。</w:t>
            </w:r>
          </w:p>
          <w:p w14:paraId="17DDA16C">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5.供应商未按采购文件规定及提醒操作的，引起的一切后果由供应商自行负责。</w:t>
            </w:r>
          </w:p>
          <w:p w14:paraId="4CBB70B7">
            <w:pPr>
              <w:pStyle w:val="128"/>
              <w:spacing w:line="360" w:lineRule="exact"/>
              <w:rPr>
                <w:rFonts w:hint="eastAsia" w:cs="宋体"/>
                <w:color w:val="auto"/>
                <w:sz w:val="22"/>
                <w:highlight w:val="none"/>
                <w:lang w:val="en-US"/>
              </w:rPr>
            </w:pPr>
            <w:r>
              <w:rPr>
                <w:rFonts w:hint="eastAsia" w:cs="宋体"/>
                <w:b/>
                <w:color w:val="auto"/>
                <w:sz w:val="22"/>
                <w:highlight w:val="none"/>
                <w:lang w:val="en-US"/>
              </w:rPr>
              <w:t>6.投标截止时间同</w:t>
            </w:r>
            <w:r>
              <w:rPr>
                <w:rStyle w:val="42"/>
                <w:rFonts w:hint="eastAsia" w:cs="宋体"/>
                <w:color w:val="auto"/>
                <w:sz w:val="22"/>
                <w:highlight w:val="none"/>
              </w:rPr>
              <w:t>提交投标文件截止时间。</w:t>
            </w:r>
          </w:p>
        </w:tc>
      </w:tr>
      <w:tr w14:paraId="0D655911">
        <w:tblPrEx>
          <w:tblCellMar>
            <w:top w:w="0" w:type="dxa"/>
            <w:left w:w="108" w:type="dxa"/>
            <w:bottom w:w="0" w:type="dxa"/>
            <w:right w:w="108" w:type="dxa"/>
          </w:tblCellMar>
        </w:tblPrEx>
        <w:trPr>
          <w:trHeight w:val="223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F6979FD">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17B113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融资意向</w:t>
            </w:r>
          </w:p>
        </w:tc>
        <w:tc>
          <w:tcPr>
            <w:tcW w:w="6830" w:type="dxa"/>
            <w:tcBorders>
              <w:top w:val="single" w:color="auto" w:sz="4" w:space="0"/>
              <w:left w:val="single" w:color="auto" w:sz="4" w:space="0"/>
              <w:bottom w:val="single" w:color="auto" w:sz="4" w:space="0"/>
              <w:right w:val="single" w:color="auto" w:sz="4" w:space="0"/>
            </w:tcBorders>
            <w:noWrap w:val="0"/>
            <w:vAlign w:val="center"/>
          </w:tcPr>
          <w:p w14:paraId="096A22E7">
            <w:pPr>
              <w:spacing w:line="360" w:lineRule="exact"/>
              <w:rPr>
                <w:rFonts w:hint="eastAsia" w:ascii="宋体" w:hAnsi="宋体" w:cs="宋体"/>
                <w:b/>
                <w:bCs/>
                <w:color w:val="auto"/>
                <w:sz w:val="22"/>
                <w:szCs w:val="22"/>
                <w:highlight w:val="none"/>
              </w:rPr>
            </w:pPr>
            <w:r>
              <w:rPr>
                <w:rFonts w:hint="eastAsia" w:ascii="宋体" w:hAnsi="宋体" w:cs="宋体"/>
                <w:snapToGrid w:val="0"/>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71E3D43">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B42817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FEDA96A">
            <w:pPr>
              <w:spacing w:line="360" w:lineRule="exact"/>
              <w:jc w:val="center"/>
              <w:rPr>
                <w:rFonts w:hint="eastAsia" w:ascii="宋体" w:hAnsi="宋体" w:cs="宋体"/>
                <w:color w:val="auto"/>
                <w:kern w:val="0"/>
                <w:sz w:val="22"/>
                <w:szCs w:val="22"/>
                <w:highlight w:val="none"/>
              </w:rPr>
            </w:pPr>
            <w:r>
              <w:rPr>
                <w:rFonts w:hint="eastAsia" w:ascii="宋体" w:hAnsi="宋体" w:cs="宋体"/>
                <w:snapToGrid w:val="0"/>
                <w:color w:val="auto"/>
                <w:sz w:val="22"/>
                <w:szCs w:val="22"/>
                <w:highlight w:val="none"/>
              </w:rPr>
              <w:t>采购代理服务费</w:t>
            </w:r>
          </w:p>
        </w:tc>
        <w:tc>
          <w:tcPr>
            <w:tcW w:w="6830" w:type="dxa"/>
            <w:tcBorders>
              <w:top w:val="single" w:color="auto" w:sz="4" w:space="0"/>
              <w:left w:val="single" w:color="auto" w:sz="4" w:space="0"/>
              <w:bottom w:val="single" w:color="auto" w:sz="4" w:space="0"/>
              <w:right w:val="single" w:color="auto" w:sz="4" w:space="0"/>
            </w:tcBorders>
            <w:noWrap w:val="0"/>
            <w:vAlign w:val="top"/>
          </w:tcPr>
          <w:p w14:paraId="495EC327">
            <w:pPr>
              <w:keepNext w:val="0"/>
              <w:keepLines w:val="0"/>
              <w:pageBreakBefore w:val="0"/>
              <w:suppressLineNumbers w:val="0"/>
              <w:kinsoku/>
              <w:wordWrap/>
              <w:overflowPunct/>
              <w:topLinePunct w:val="0"/>
              <w:bidi w:val="0"/>
              <w:spacing w:before="0" w:beforeAutospacing="0" w:after="0" w:afterAutospacing="0" w:line="460" w:lineRule="exact"/>
              <w:ind w:left="0" w:right="0" w:firstLine="0" w:firstLineChars="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szCs w:val="22"/>
                <w:highlight w:val="none"/>
              </w:rPr>
              <w:t>招标服务费：</w:t>
            </w:r>
            <w:r>
              <w:rPr>
                <w:rFonts w:hint="eastAsia" w:ascii="新宋体" w:hAnsi="新宋体" w:eastAsia="新宋体" w:cs="新宋体"/>
                <w:b w:val="0"/>
                <w:bCs w:val="0"/>
                <w:color w:val="auto"/>
                <w:sz w:val="22"/>
                <w:highlight w:val="none"/>
              </w:rPr>
              <w:t>根据国家计委计价格【2002】1980号《招标代理服务收费管理暂行办法》规定按</w:t>
            </w:r>
            <w:r>
              <w:rPr>
                <w:rFonts w:hint="eastAsia" w:ascii="新宋体" w:hAnsi="新宋体" w:eastAsia="新宋体" w:cs="新宋体"/>
                <w:b w:val="0"/>
                <w:bCs w:val="0"/>
                <w:color w:val="auto"/>
                <w:sz w:val="22"/>
                <w:highlight w:val="none"/>
                <w:lang w:val="en-US" w:eastAsia="zh-CN"/>
              </w:rPr>
              <w:t>中标</w:t>
            </w:r>
            <w:r>
              <w:rPr>
                <w:rFonts w:hint="eastAsia" w:ascii="新宋体" w:hAnsi="新宋体" w:eastAsia="新宋体" w:cs="新宋体"/>
                <w:b w:val="0"/>
                <w:bCs w:val="0"/>
                <w:color w:val="auto"/>
                <w:sz w:val="22"/>
                <w:highlight w:val="none"/>
              </w:rPr>
              <w:t>金额的差额定率累计法计算后下浮</w:t>
            </w:r>
            <w:r>
              <w:rPr>
                <w:rFonts w:hint="eastAsia" w:ascii="新宋体" w:hAnsi="新宋体" w:eastAsia="新宋体" w:cs="新宋体"/>
                <w:b w:val="0"/>
                <w:bCs w:val="0"/>
                <w:color w:val="auto"/>
                <w:sz w:val="22"/>
                <w:highlight w:val="none"/>
                <w:lang w:val="en-US" w:eastAsia="zh-CN"/>
              </w:rPr>
              <w:t>3</w:t>
            </w:r>
            <w:r>
              <w:rPr>
                <w:rFonts w:hint="eastAsia" w:ascii="新宋体" w:hAnsi="新宋体" w:eastAsia="新宋体" w:cs="新宋体"/>
                <w:b w:val="0"/>
                <w:bCs w:val="0"/>
                <w:color w:val="auto"/>
                <w:sz w:val="22"/>
                <w:highlight w:val="none"/>
              </w:rPr>
              <w:t>0%收取</w:t>
            </w:r>
            <w:r>
              <w:rPr>
                <w:rFonts w:hint="eastAsia" w:ascii="新宋体" w:hAnsi="新宋体" w:eastAsia="新宋体" w:cs="新宋体"/>
                <w:b w:val="0"/>
                <w:bCs w:val="0"/>
                <w:color w:val="auto"/>
                <w:sz w:val="22"/>
                <w:highlight w:val="none"/>
                <w:lang w:eastAsia="zh-CN"/>
              </w:rPr>
              <w:t>，</w:t>
            </w:r>
            <w:r>
              <w:rPr>
                <w:rFonts w:hint="eastAsia" w:ascii="新宋体" w:hAnsi="新宋体" w:eastAsia="新宋体" w:cs="新宋体"/>
                <w:b w:val="0"/>
                <w:bCs w:val="0"/>
                <w:color w:val="auto"/>
                <w:sz w:val="22"/>
                <w:highlight w:val="none"/>
                <w:lang w:val="en-US" w:eastAsia="zh-CN"/>
              </w:rPr>
              <w:t>不足3000元按3000元收取，</w:t>
            </w:r>
            <w:r>
              <w:rPr>
                <w:rFonts w:hint="eastAsia" w:ascii="新宋体" w:hAnsi="新宋体" w:eastAsia="新宋体" w:cs="新宋体"/>
                <w:b w:val="0"/>
                <w:bCs w:val="0"/>
                <w:color w:val="auto"/>
                <w:sz w:val="22"/>
                <w:highlight w:val="none"/>
              </w:rPr>
              <w:t>由</w:t>
            </w:r>
            <w:r>
              <w:rPr>
                <w:rFonts w:hint="eastAsia" w:ascii="新宋体" w:hAnsi="新宋体" w:eastAsia="新宋体" w:cs="新宋体"/>
                <w:b w:val="0"/>
                <w:bCs w:val="0"/>
                <w:color w:val="auto"/>
                <w:sz w:val="22"/>
                <w:highlight w:val="none"/>
                <w:lang w:val="en-US" w:eastAsia="zh-CN"/>
              </w:rPr>
              <w:t>中标人</w:t>
            </w:r>
            <w:r>
              <w:rPr>
                <w:rFonts w:hint="eastAsia" w:ascii="新宋体" w:hAnsi="新宋体" w:eastAsia="新宋体" w:cs="新宋体"/>
                <w:b w:val="0"/>
                <w:bCs w:val="0"/>
                <w:color w:val="auto"/>
                <w:sz w:val="22"/>
                <w:highlight w:val="none"/>
              </w:rPr>
              <w:t>在领取</w:t>
            </w:r>
            <w:r>
              <w:rPr>
                <w:rFonts w:hint="eastAsia" w:ascii="新宋体" w:hAnsi="新宋体" w:eastAsia="新宋体" w:cs="新宋体"/>
                <w:b w:val="0"/>
                <w:bCs w:val="0"/>
                <w:color w:val="auto"/>
                <w:sz w:val="22"/>
                <w:highlight w:val="none"/>
                <w:lang w:val="en-US" w:eastAsia="zh-CN"/>
              </w:rPr>
              <w:t>中标</w:t>
            </w:r>
            <w:r>
              <w:rPr>
                <w:rFonts w:hint="eastAsia" w:ascii="新宋体" w:hAnsi="新宋体" w:eastAsia="新宋体" w:cs="新宋体"/>
                <w:b w:val="0"/>
                <w:bCs w:val="0"/>
                <w:color w:val="auto"/>
                <w:sz w:val="22"/>
                <w:highlight w:val="none"/>
              </w:rPr>
              <w:t>通知书时支付。</w:t>
            </w:r>
          </w:p>
          <w:p w14:paraId="61350DAC">
            <w:pPr>
              <w:keepNext w:val="0"/>
              <w:keepLines w:val="0"/>
              <w:pageBreakBefore w:val="0"/>
              <w:suppressLineNumbers w:val="0"/>
              <w:kinsoku/>
              <w:wordWrap/>
              <w:overflowPunct/>
              <w:topLinePunct w:val="0"/>
              <w:bidi w:val="0"/>
              <w:spacing w:before="0" w:beforeAutospacing="0" w:after="0" w:afterAutospacing="0" w:line="460" w:lineRule="exact"/>
              <w:ind w:left="0" w:right="0" w:firstLine="0" w:firstLineChars="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户  名：</w:t>
            </w:r>
            <w:r>
              <w:rPr>
                <w:rFonts w:hint="eastAsia" w:ascii="新宋体" w:hAnsi="新宋体" w:eastAsia="新宋体" w:cs="新宋体"/>
                <w:color w:val="auto"/>
                <w:sz w:val="22"/>
                <w:szCs w:val="22"/>
                <w:highlight w:val="none"/>
                <w:lang w:eastAsia="zh-CN"/>
              </w:rPr>
              <w:t>温州市圣励招标代理有限公司</w:t>
            </w:r>
          </w:p>
          <w:p w14:paraId="2B4B2A9D">
            <w:pPr>
              <w:keepNext w:val="0"/>
              <w:keepLines w:val="0"/>
              <w:pageBreakBefore w:val="0"/>
              <w:suppressLineNumbers w:val="0"/>
              <w:kinsoku/>
              <w:wordWrap/>
              <w:overflowPunct/>
              <w:topLinePunct w:val="0"/>
              <w:bidi w:val="0"/>
              <w:spacing w:before="0" w:beforeAutospacing="0" w:after="0" w:afterAutospacing="0" w:line="460" w:lineRule="exact"/>
              <w:ind w:left="0" w:right="0" w:firstLine="0" w:firstLineChars="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账  号：</w:t>
            </w:r>
            <w:r>
              <w:rPr>
                <w:rFonts w:hint="eastAsia" w:ascii="新宋体" w:hAnsi="新宋体" w:eastAsia="新宋体" w:cs="新宋体"/>
                <w:color w:val="auto"/>
                <w:sz w:val="22"/>
                <w:szCs w:val="22"/>
                <w:highlight w:val="none"/>
                <w:lang w:eastAsia="zh-CN"/>
              </w:rPr>
              <w:t>201000279216174</w:t>
            </w:r>
          </w:p>
          <w:p w14:paraId="368C1DBF">
            <w:pPr>
              <w:spacing w:line="460" w:lineRule="exact"/>
              <w:rPr>
                <w:rFonts w:hint="eastAsia" w:ascii="宋体" w:hAnsi="宋体" w:cs="宋体"/>
                <w:b/>
                <w:color w:val="auto"/>
                <w:sz w:val="22"/>
                <w:szCs w:val="22"/>
                <w:highlight w:val="none"/>
              </w:rPr>
            </w:pPr>
            <w:r>
              <w:rPr>
                <w:rFonts w:hint="eastAsia" w:ascii="新宋体" w:hAnsi="新宋体" w:eastAsia="新宋体" w:cs="新宋体"/>
                <w:color w:val="auto"/>
                <w:sz w:val="22"/>
                <w:szCs w:val="22"/>
                <w:highlight w:val="none"/>
              </w:rPr>
              <w:t>开户行：</w:t>
            </w:r>
            <w:r>
              <w:rPr>
                <w:rFonts w:hint="eastAsia" w:ascii="新宋体" w:hAnsi="新宋体" w:eastAsia="新宋体" w:cs="新宋体"/>
                <w:color w:val="auto"/>
                <w:sz w:val="22"/>
                <w:szCs w:val="22"/>
                <w:highlight w:val="none"/>
                <w:lang w:eastAsia="zh-CN"/>
              </w:rPr>
              <w:t>浙江温州鹿城农村商业银行股份有限公司蒲鞋市支行民航路分理处</w:t>
            </w:r>
          </w:p>
        </w:tc>
      </w:tr>
    </w:tbl>
    <w:p w14:paraId="0D13B374">
      <w:pPr>
        <w:pStyle w:val="13"/>
        <w:spacing w:line="460" w:lineRule="exact"/>
        <w:jc w:val="center"/>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18" w:name="_Toc29734"/>
      <w:r>
        <w:rPr>
          <w:rFonts w:hint="eastAsia" w:ascii="宋体" w:hAnsi="宋体" w:cs="宋体"/>
          <w:b/>
          <w:bCs/>
          <w:color w:val="auto"/>
          <w:sz w:val="22"/>
          <w:szCs w:val="22"/>
          <w:highlight w:val="none"/>
        </w:rPr>
        <w:t>一、说    明</w:t>
      </w:r>
      <w:bookmarkEnd w:id="18"/>
    </w:p>
    <w:p w14:paraId="335B420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 本次采购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43A83C7C">
      <w:pPr>
        <w:pStyle w:val="13"/>
        <w:spacing w:line="460" w:lineRule="exact"/>
        <w:rPr>
          <w:rFonts w:hint="eastAsia" w:ascii="宋体" w:hAnsi="宋体" w:cs="宋体"/>
          <w:b/>
          <w:bCs/>
          <w:color w:val="auto"/>
          <w:sz w:val="22"/>
          <w:szCs w:val="22"/>
          <w:highlight w:val="none"/>
        </w:rPr>
      </w:pPr>
      <w:bookmarkStart w:id="19" w:name="_Toc3235"/>
      <w:bookmarkStart w:id="20" w:name="_Toc31546"/>
      <w:bookmarkStart w:id="21" w:name="_Toc19066"/>
      <w:bookmarkStart w:id="22" w:name="_Toc202085289"/>
      <w:bookmarkStart w:id="23" w:name="_Toc195502579"/>
      <w:bookmarkStart w:id="24" w:name="_Toc195502489"/>
      <w:r>
        <w:rPr>
          <w:rFonts w:hint="eastAsia" w:ascii="宋体" w:hAnsi="宋体" w:cs="宋体"/>
          <w:b/>
          <w:bCs/>
          <w:color w:val="auto"/>
          <w:sz w:val="22"/>
          <w:szCs w:val="22"/>
          <w:highlight w:val="none"/>
        </w:rPr>
        <w:t>（二）  定义</w:t>
      </w:r>
      <w:bookmarkEnd w:id="19"/>
      <w:bookmarkEnd w:id="20"/>
      <w:bookmarkEnd w:id="21"/>
    </w:p>
    <w:p w14:paraId="22895402">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1.“采购人”系指采购公告中载明的本项目的采购人。</w:t>
      </w:r>
    </w:p>
    <w:p w14:paraId="1F37BA3A">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2.“采购代理机构”系指采购公告中载明的本项目的采购代理机构。</w:t>
      </w:r>
    </w:p>
    <w:p w14:paraId="4C087D3C">
      <w:pPr>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3.“供应商”均系指是指响应采购、参加投标竞争的法人、其他组织或者自然人。</w:t>
      </w:r>
    </w:p>
    <w:p w14:paraId="6E60BD1E">
      <w:pPr>
        <w:pStyle w:val="20"/>
        <w:spacing w:line="460" w:lineRule="exact"/>
        <w:ind w:firstLine="220" w:firstLineChars="100"/>
        <w:rPr>
          <w:rFonts w:hint="eastAsia" w:ascii="宋体" w:hAnsi="宋体" w:cs="宋体"/>
          <w:smallCaps w:val="0"/>
          <w:color w:val="auto"/>
          <w:sz w:val="22"/>
          <w:szCs w:val="24"/>
          <w:highlight w:val="none"/>
        </w:rPr>
      </w:pPr>
      <w:r>
        <w:rPr>
          <w:rFonts w:hint="eastAsia" w:ascii="宋体" w:hAnsi="宋体" w:cs="宋体"/>
          <w:smallCaps w:val="0"/>
          <w:color w:val="auto"/>
          <w:sz w:val="22"/>
          <w:szCs w:val="24"/>
          <w:highlight w:val="none"/>
        </w:rPr>
        <w:t>4.“联合体”：是指不同的</w:t>
      </w:r>
      <w:r>
        <w:rPr>
          <w:rFonts w:hint="eastAsia" w:ascii="宋体" w:hAnsi="宋体" w:cs="宋体"/>
          <w:color w:val="auto"/>
          <w:sz w:val="22"/>
          <w:highlight w:val="none"/>
        </w:rPr>
        <w:t>供应商</w:t>
      </w:r>
      <w:r>
        <w:rPr>
          <w:rFonts w:hint="eastAsia" w:ascii="宋体" w:hAnsi="宋体" w:cs="宋体"/>
          <w:smallCaps w:val="0"/>
          <w:color w:val="auto"/>
          <w:sz w:val="22"/>
          <w:szCs w:val="24"/>
          <w:highlight w:val="none"/>
        </w:rPr>
        <w:t>通过签署联合体投标协议，以一个供应商的身份参加投标。</w:t>
      </w:r>
    </w:p>
    <w:p w14:paraId="0AB8A868">
      <w:pPr>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5.“负责人”系指法人企业的法定负责人，或其他组织为法律、行政法规规定代表单位行使职权的主要负责人，或自然人本人。</w:t>
      </w:r>
    </w:p>
    <w:p w14:paraId="667E0602">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6.“电子签名”系指数据电文中以电子形式所含、所附用于识别签名人身份并表明签名人认可其中内容的数据；“公章”系指单位法定名称章。</w:t>
      </w:r>
    </w:p>
    <w:p w14:paraId="4F55C83F">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7.“电子交易平台”是指本项目政府采购活动所依托的政府采购云平台（https://www.zcygov.cn/）。</w:t>
      </w:r>
    </w:p>
    <w:p w14:paraId="3E1DD0C3">
      <w:pPr>
        <w:pStyle w:val="13"/>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w:t>
      </w:r>
      <w:r>
        <w:rPr>
          <w:rFonts w:hint="eastAsia" w:ascii="宋体" w:hAnsi="宋体" w:cs="宋体"/>
          <w:snapToGrid w:val="0"/>
          <w:color w:val="auto"/>
          <w:kern w:val="28"/>
          <w:sz w:val="22"/>
          <w:highlight w:val="none"/>
        </w:rPr>
        <w:t>且加下划线的条款</w:t>
      </w:r>
      <w:r>
        <w:rPr>
          <w:rFonts w:hint="eastAsia" w:ascii="宋体" w:hAnsi="宋体" w:cs="宋体"/>
          <w:color w:val="auto"/>
          <w:sz w:val="22"/>
          <w:highlight w:val="none"/>
        </w:rPr>
        <w:t>系指实质性要求条款， “</w:t>
      </w:r>
      <w:r>
        <w:rPr>
          <w:rFonts w:hint="eastAsia" w:ascii="宋体" w:hAnsi="宋体" w:cs="宋体"/>
          <w:color w:val="auto"/>
          <w:sz w:val="22"/>
          <w:highlight w:val="none"/>
        </w:rPr>
        <w:sym w:font="Wingdings" w:char="00FE"/>
      </w:r>
      <w:r>
        <w:rPr>
          <w:rFonts w:hint="eastAsia" w:ascii="宋体" w:hAnsi="宋体" w:cs="宋体"/>
          <w:color w:val="auto"/>
          <w:sz w:val="22"/>
          <w:highlight w:val="none"/>
        </w:rPr>
        <w:t>” 系指适用本项目的要求，“</w:t>
      </w:r>
      <w:r>
        <w:rPr>
          <w:rFonts w:hint="eastAsia" w:ascii="宋体" w:hAnsi="宋体" w:cs="宋体"/>
          <w:color w:val="auto"/>
          <w:sz w:val="22"/>
          <w:highlight w:val="none"/>
        </w:rPr>
        <w:sym w:font="Wingdings" w:char="00A8"/>
      </w:r>
      <w:r>
        <w:rPr>
          <w:rFonts w:hint="eastAsia" w:ascii="宋体" w:hAnsi="宋体" w:cs="宋体"/>
          <w:color w:val="auto"/>
          <w:sz w:val="22"/>
          <w:highlight w:val="none"/>
        </w:rPr>
        <w:t>” 系指不适用本项目的要求</w:t>
      </w:r>
    </w:p>
    <w:p w14:paraId="3253F711">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 合格供应商要求</w:t>
      </w:r>
    </w:p>
    <w:p w14:paraId="303AFEE3">
      <w:pPr>
        <w:tabs>
          <w:tab w:val="left" w:pos="540"/>
          <w:tab w:val="left" w:pos="900"/>
        </w:tabs>
        <w:snapToGrid w:val="0"/>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1.合格的供应商应满足采购文件第一部分“采购公告”对申请人的资格要求。</w:t>
      </w:r>
    </w:p>
    <w:p w14:paraId="2CA02B3D">
      <w:pPr>
        <w:tabs>
          <w:tab w:val="left" w:pos="540"/>
          <w:tab w:val="left" w:pos="900"/>
        </w:tabs>
        <w:snapToGrid w:val="0"/>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b/>
          <w:color w:val="auto"/>
          <w:sz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099317D">
      <w:pPr>
        <w:tabs>
          <w:tab w:val="left" w:pos="540"/>
          <w:tab w:val="left" w:pos="900"/>
        </w:tabs>
        <w:snapToGrid w:val="0"/>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供应商可授权供应商代表以供应商名义参加本次采购的投标活动（包括投标文件的签署、澄清、说明、补正、递交、撤回、修改等以及签订合同和处理有关事宜）。如果供应商代表不是法定代表人(负责人)，须持有《法定代表人(负责人)授权书》。</w:t>
      </w:r>
    </w:p>
    <w:p w14:paraId="08D9C016">
      <w:pPr>
        <w:snapToGrid w:val="0"/>
        <w:spacing w:line="44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4.采用最低评标价法的</w:t>
      </w:r>
      <w:r>
        <w:rPr>
          <w:rFonts w:hint="eastAsia" w:ascii="宋体" w:hAnsi="宋体" w:cs="宋体"/>
          <w:color w:val="auto"/>
          <w:sz w:val="22"/>
          <w:highlight w:val="none"/>
        </w:rPr>
        <w:t>货物类</w:t>
      </w:r>
      <w:r>
        <w:rPr>
          <w:rFonts w:hint="eastAsia" w:ascii="宋体" w:hAnsi="宋体" w:cs="宋体"/>
          <w:bCs/>
          <w:color w:val="auto"/>
          <w:spacing w:val="6"/>
          <w:sz w:val="22"/>
          <w:highlight w:val="none"/>
        </w:rPr>
        <w:t>采购项目，提供相同品牌</w:t>
      </w:r>
      <w:r>
        <w:rPr>
          <w:rFonts w:hint="eastAsia" w:ascii="宋体" w:hAnsi="宋体" w:cs="宋体"/>
          <w:bCs/>
          <w:color w:val="auto"/>
          <w:spacing w:val="6"/>
          <w:sz w:val="22"/>
          <w:highlight w:val="none"/>
          <w:lang w:val="en-US" w:eastAsia="zh-CN"/>
        </w:rPr>
        <w:t>的核心</w:t>
      </w:r>
      <w:r>
        <w:rPr>
          <w:rFonts w:hint="eastAsia" w:ascii="宋体" w:hAnsi="宋体" w:cs="宋体"/>
          <w:bCs/>
          <w:color w:val="auto"/>
          <w:spacing w:val="6"/>
          <w:sz w:val="22"/>
          <w:highlight w:val="none"/>
        </w:rPr>
        <w:t>产品的不同供应商参加同一合同项下投标的，以其中通过资格审查、符合性审查且报价最低的参加评标；报价相同的，由采购人或者采购人委托评标委员会按照采购文件规定的方式确定一个参加评标的供应商，采购文件未规定的采取随机抽取方式确定，其他投标无效。</w:t>
      </w:r>
    </w:p>
    <w:p w14:paraId="1F15E206">
      <w:pPr>
        <w:snapToGrid w:val="0"/>
        <w:spacing w:line="44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使用综合评分法的</w:t>
      </w:r>
      <w:r>
        <w:rPr>
          <w:rFonts w:hint="eastAsia" w:ascii="宋体" w:hAnsi="宋体" w:cs="宋体"/>
          <w:color w:val="auto"/>
          <w:sz w:val="22"/>
          <w:highlight w:val="none"/>
        </w:rPr>
        <w:t>货物类</w:t>
      </w:r>
      <w:r>
        <w:rPr>
          <w:rFonts w:hint="eastAsia" w:ascii="宋体" w:hAnsi="宋体" w:cs="宋体"/>
          <w:bCs/>
          <w:color w:val="auto"/>
          <w:spacing w:val="6"/>
          <w:sz w:val="22"/>
          <w:highlight w:val="none"/>
        </w:rPr>
        <w:t>采购项目，提供相同品牌</w:t>
      </w:r>
      <w:r>
        <w:rPr>
          <w:rFonts w:hint="eastAsia" w:ascii="宋体" w:hAnsi="宋体" w:cs="宋体"/>
          <w:bCs/>
          <w:color w:val="auto"/>
          <w:spacing w:val="6"/>
          <w:sz w:val="22"/>
          <w:highlight w:val="none"/>
          <w:lang w:val="en-US" w:eastAsia="zh-CN"/>
        </w:rPr>
        <w:t>的核心</w:t>
      </w:r>
      <w:r>
        <w:rPr>
          <w:rFonts w:hint="eastAsia" w:ascii="宋体" w:hAnsi="宋体" w:cs="宋体"/>
          <w:bCs/>
          <w:color w:val="auto"/>
          <w:spacing w:val="6"/>
          <w:sz w:val="22"/>
          <w:highlight w:val="none"/>
        </w:rPr>
        <w:t>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04F3F43F">
      <w:pPr>
        <w:snapToGrid w:val="0"/>
        <w:spacing w:line="44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非单一产品采购项目，多家供应商提供的核心产品（见</w:t>
      </w:r>
      <w:r>
        <w:rPr>
          <w:rFonts w:hint="eastAsia" w:ascii="宋体" w:hAnsi="宋体" w:cs="宋体"/>
          <w:color w:val="auto"/>
          <w:sz w:val="22"/>
          <w:highlight w:val="none"/>
        </w:rPr>
        <w:t>供应商须知前附表</w:t>
      </w:r>
      <w:r>
        <w:rPr>
          <w:rFonts w:hint="eastAsia" w:ascii="宋体" w:hAnsi="宋体" w:cs="宋体"/>
          <w:bCs/>
          <w:color w:val="auto"/>
          <w:spacing w:val="6"/>
          <w:sz w:val="22"/>
          <w:highlight w:val="none"/>
        </w:rPr>
        <w:t>）品牌相同的，按前两款规定处理。</w:t>
      </w:r>
    </w:p>
    <w:p w14:paraId="018A7D5A">
      <w:pPr>
        <w:snapToGrid w:val="0"/>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5.货物类是否允许采购进口产品、是否要求节能/环境标志产品等情况见供应商须知前附表。</w:t>
      </w:r>
    </w:p>
    <w:p w14:paraId="01E91201">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（四）采购项目需要落实的政府采购政策</w:t>
      </w:r>
    </w:p>
    <w:p w14:paraId="6973418F">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0D796F">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2.支持绿色发展</w:t>
      </w:r>
    </w:p>
    <w:p w14:paraId="02D44BAD">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59829DE">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EC83D92">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3.支持中小企业发展</w:t>
      </w:r>
    </w:p>
    <w:p w14:paraId="4B285A0B">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CF615B2">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405E41AF">
      <w:pPr>
        <w:widowControl/>
        <w:spacing w:line="440" w:lineRule="exact"/>
        <w:ind w:firstLine="440" w:firstLineChars="200"/>
        <w:jc w:val="left"/>
        <w:rPr>
          <w:rFonts w:hint="eastAsia" w:ascii="宋体" w:hAnsi="宋体" w:cs="宋体"/>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rPr>
        <w:t>在政府采购活动中，供应商提供的货物、工程或者服务符合下列情形的，享受中小企业扶持政策：</w:t>
      </w:r>
    </w:p>
    <w:p w14:paraId="035DA144">
      <w:pPr>
        <w:widowControl/>
        <w:spacing w:line="44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①在货物采购项目中，货物由中小企业制造，即货物由中小企业生产且使用该中小企业商号或者注册商标；</w:t>
      </w:r>
    </w:p>
    <w:p w14:paraId="4D17C03F">
      <w:pPr>
        <w:widowControl/>
        <w:spacing w:line="44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②在工程采购项目中，工程由中小企业承建，即工程施工单位为中小企业；</w:t>
      </w:r>
    </w:p>
    <w:p w14:paraId="6A881C4F">
      <w:pPr>
        <w:widowControl/>
        <w:spacing w:line="44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③在服务采购项目中，服务由中小企业承接，即提供服务的人员为中小企业依照《中华人民共和国劳动合同法》订立劳动合同的从业人员。</w:t>
      </w:r>
    </w:p>
    <w:p w14:paraId="77EDCAC9">
      <w:pPr>
        <w:widowControl/>
        <w:spacing w:line="44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在货物采购项目中，供应商提供的货物既有中小企业制造货物，也有大型企业制造货物的，不享受中小企业扶持政策。</w:t>
      </w:r>
    </w:p>
    <w:p w14:paraId="372FCA62">
      <w:pPr>
        <w:widowControl/>
        <w:spacing w:line="44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以联合体形式参加政府采购活动，联合体各方均为中小企业的，联合体视同中小企业。其中，联合体各方均为小微企业的，联合体视同小微企业。</w:t>
      </w:r>
    </w:p>
    <w:p w14:paraId="63375865">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5%扣除，用扣除后的价格参加评审。组成联合体或者接受分包的小微企业与联合体内其他企业、分包企业之间存在直接控股、管理关系的，不享受价格扣除优惠政策。</w:t>
      </w:r>
    </w:p>
    <w:p w14:paraId="0EDCC4A6">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（4）符合《关于促进残疾人就业政府采购政策的通知》（财库〔2017〕141号）规定的条件并提供《残疾人福利性单位声明函》（附件四）的残疾人福利性单位视同小型、微型企业；</w:t>
      </w:r>
    </w:p>
    <w:p w14:paraId="154BC273">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6D6C8FF3">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E728793">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（7）中小企业享受扶持政策获得政府采购合同的，小微企业不得将合同分包给大中型企业，中型企业不得将合同分包给大型企业。</w:t>
      </w:r>
    </w:p>
    <w:p w14:paraId="6639D2D7">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CC6A821">
      <w:pPr>
        <w:snapToGrid w:val="0"/>
        <w:spacing w:line="440" w:lineRule="exact"/>
        <w:ind w:firstLine="440" w:firstLineChars="200"/>
        <w:rPr>
          <w:rFonts w:hint="eastAsia" w:ascii="宋体" w:hAnsi="宋体" w:cs="宋体"/>
          <w:color w:val="auto"/>
          <w:sz w:val="22"/>
          <w:highlight w:val="none"/>
        </w:rPr>
      </w:pPr>
      <w:r>
        <w:rPr>
          <w:rFonts w:hint="eastAsia" w:ascii="宋体" w:hAnsi="宋体" w:cs="宋体"/>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2BAB5F6">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5.支持创新发展</w:t>
      </w:r>
    </w:p>
    <w:p w14:paraId="5B51AB56">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（1）采购人优先采购被认定为首台套产品和“制造精品”的自主创新产品。</w:t>
      </w:r>
    </w:p>
    <w:p w14:paraId="3A1689F8">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6FC25D6">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（一）询问、质疑、投诉</w:t>
      </w:r>
    </w:p>
    <w:p w14:paraId="1388824E">
      <w:pPr>
        <w:autoSpaceDE w:val="0"/>
        <w:autoSpaceDN w:val="0"/>
        <w:spacing w:line="440" w:lineRule="exact"/>
        <w:ind w:firstLine="220" w:firstLineChars="100"/>
        <w:jc w:val="left"/>
        <w:rPr>
          <w:rFonts w:hint="eastAsia" w:ascii="宋体" w:hAnsi="宋体" w:cs="宋体"/>
          <w:color w:val="auto"/>
          <w:sz w:val="22"/>
          <w:highlight w:val="none"/>
          <w:lang w:val="zh-CN"/>
        </w:rPr>
      </w:pPr>
      <w:bookmarkStart w:id="25" w:name="_Toc102115981"/>
      <w:bookmarkStart w:id="26" w:name="_Toc30414"/>
      <w:r>
        <w:rPr>
          <w:rFonts w:hint="eastAsia" w:ascii="宋体" w:hAnsi="宋体" w:cs="宋体"/>
          <w:color w:val="auto"/>
          <w:sz w:val="22"/>
          <w:highlight w:val="none"/>
        </w:rPr>
        <w:t>1.</w:t>
      </w:r>
      <w:r>
        <w:rPr>
          <w:rFonts w:hint="eastAsia" w:ascii="宋体" w:hAnsi="宋体" w:cs="宋体"/>
          <w:color w:val="auto"/>
          <w:sz w:val="22"/>
          <w:highlight w:val="none"/>
          <w:lang w:val="zh-CN"/>
        </w:rPr>
        <w:t>供应商询问</w:t>
      </w:r>
    </w:p>
    <w:p w14:paraId="0D3D2A4B">
      <w:pPr>
        <w:autoSpaceDE w:val="0"/>
        <w:autoSpaceDN w:val="0"/>
        <w:spacing w:line="440" w:lineRule="exact"/>
        <w:ind w:firstLine="440" w:firstLineChars="200"/>
        <w:jc w:val="left"/>
        <w:rPr>
          <w:rFonts w:hint="eastAsia" w:ascii="宋体" w:hAnsi="宋体" w:cs="宋体"/>
          <w:color w:val="auto"/>
          <w:sz w:val="22"/>
          <w:highlight w:val="none"/>
          <w:lang w:val="zh-CN"/>
        </w:rPr>
      </w:pPr>
      <w:r>
        <w:rPr>
          <w:rFonts w:hint="eastAsia" w:ascii="宋体" w:hAnsi="宋体" w:cs="宋体"/>
          <w:color w:val="auto"/>
          <w:sz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8F0F7B">
      <w:pPr>
        <w:autoSpaceDE w:val="0"/>
        <w:autoSpaceDN w:val="0"/>
        <w:spacing w:line="440" w:lineRule="exact"/>
        <w:ind w:firstLine="220" w:firstLineChars="100"/>
        <w:jc w:val="left"/>
        <w:rPr>
          <w:rFonts w:hint="eastAsia" w:ascii="宋体" w:hAnsi="宋体" w:cs="宋体"/>
          <w:color w:val="auto"/>
          <w:sz w:val="22"/>
          <w:highlight w:val="none"/>
          <w:lang w:val="zh-CN"/>
        </w:rPr>
      </w:pPr>
      <w:r>
        <w:rPr>
          <w:rFonts w:hint="eastAsia" w:ascii="宋体" w:hAnsi="宋体" w:cs="宋体"/>
          <w:color w:val="auto"/>
          <w:sz w:val="22"/>
          <w:highlight w:val="none"/>
        </w:rPr>
        <w:t>2.</w:t>
      </w:r>
      <w:r>
        <w:rPr>
          <w:rFonts w:hint="eastAsia" w:ascii="宋体" w:hAnsi="宋体" w:cs="宋体"/>
          <w:color w:val="auto"/>
          <w:sz w:val="22"/>
          <w:highlight w:val="none"/>
          <w:lang w:val="zh-CN"/>
        </w:rPr>
        <w:t>供应商质疑</w:t>
      </w:r>
    </w:p>
    <w:p w14:paraId="70E6BE22">
      <w:pPr>
        <w:pStyle w:val="1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（1）提出质疑的供应商应当是参与所质疑项目采购活动的供应商。潜在供应商已依法获取其可质疑的采购文件的，可以对该文件提出质疑。</w:t>
      </w:r>
    </w:p>
    <w:p w14:paraId="6F438BB1">
      <w:pPr>
        <w:pStyle w:val="1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4F048AD">
      <w:pPr>
        <w:pStyle w:val="1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①质疑提交形式：以书面形式向采购公告中载明的质疑联系人提交或登录政采云平台（https://www.zcygov.cn/）通过“询问质疑投诉”栏向采购机构内设的质疑联系人提交并上传书面质疑材料。</w:t>
      </w:r>
    </w:p>
    <w:p w14:paraId="0FFD1E66">
      <w:pPr>
        <w:pStyle w:val="1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②对采购文件提出质疑的，质疑期限为供应商获得采购文件之日或者采购文件公告期限届满之日起计算。</w:t>
      </w:r>
    </w:p>
    <w:p w14:paraId="6EA495B8">
      <w:pPr>
        <w:pStyle w:val="1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③</w:t>
      </w:r>
      <w:r>
        <w:rPr>
          <w:rFonts w:hint="eastAsia" w:hAnsi="宋体" w:cs="宋体"/>
          <w:b/>
          <w:bCs/>
          <w:color w:val="auto"/>
          <w:sz w:val="22"/>
          <w:szCs w:val="22"/>
          <w:highlight w:val="none"/>
        </w:rPr>
        <w:t>对采购过程提出质疑的，质疑期限为各采购程序环节结束之日起计算。对同一采购程序环节的质疑，供应商须一次性提出。</w:t>
      </w:r>
    </w:p>
    <w:p w14:paraId="3F2571B5">
      <w:pPr>
        <w:pStyle w:val="1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④对采购结果提出质疑的，质疑期限自采购结果公告期限届满之日起计算。</w:t>
      </w:r>
    </w:p>
    <w:p w14:paraId="55AC3CC9">
      <w:pPr>
        <w:pStyle w:val="19"/>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（3）供应商提出质疑应当提交质疑函和必要的证明材料。质疑函应当包括下列内容：</w:t>
      </w:r>
    </w:p>
    <w:p w14:paraId="2FFDBB2A">
      <w:pPr>
        <w:pStyle w:val="19"/>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①</w:t>
      </w:r>
      <w:r>
        <w:rPr>
          <w:rFonts w:hint="eastAsia" w:hAnsi="宋体" w:cs="宋体"/>
          <w:color w:val="auto"/>
          <w:sz w:val="22"/>
          <w:szCs w:val="22"/>
          <w:highlight w:val="none"/>
          <w:lang w:val="zh-CN"/>
        </w:rPr>
        <w:t>供应商的姓名或者名称、地址、邮编、联系人及联系电话；</w:t>
      </w:r>
    </w:p>
    <w:p w14:paraId="481BD5EA">
      <w:pPr>
        <w:pStyle w:val="19"/>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②</w:t>
      </w:r>
      <w:r>
        <w:rPr>
          <w:rFonts w:hint="eastAsia" w:hAnsi="宋体" w:cs="宋体"/>
          <w:color w:val="auto"/>
          <w:sz w:val="22"/>
          <w:szCs w:val="22"/>
          <w:highlight w:val="none"/>
          <w:lang w:val="zh-CN"/>
        </w:rPr>
        <w:t>质疑项目的名称、编号；</w:t>
      </w:r>
    </w:p>
    <w:p w14:paraId="02BCF18C">
      <w:pPr>
        <w:pStyle w:val="19"/>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③</w:t>
      </w:r>
      <w:r>
        <w:rPr>
          <w:rFonts w:hint="eastAsia" w:hAnsi="宋体" w:cs="宋体"/>
          <w:color w:val="auto"/>
          <w:sz w:val="22"/>
          <w:szCs w:val="22"/>
          <w:highlight w:val="none"/>
          <w:lang w:val="zh-CN"/>
        </w:rPr>
        <w:t>具体、明确的质疑事项和与质疑事项相关的请求；</w:t>
      </w:r>
    </w:p>
    <w:p w14:paraId="4F42E6BB">
      <w:pPr>
        <w:pStyle w:val="19"/>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④</w:t>
      </w:r>
      <w:r>
        <w:rPr>
          <w:rFonts w:hint="eastAsia" w:hAnsi="宋体" w:cs="宋体"/>
          <w:color w:val="auto"/>
          <w:sz w:val="22"/>
          <w:szCs w:val="22"/>
          <w:highlight w:val="none"/>
          <w:lang w:val="zh-CN"/>
        </w:rPr>
        <w:t>事实依据；</w:t>
      </w:r>
    </w:p>
    <w:p w14:paraId="4EDA9FF8">
      <w:pPr>
        <w:pStyle w:val="19"/>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⑤</w:t>
      </w:r>
      <w:r>
        <w:rPr>
          <w:rFonts w:hint="eastAsia" w:hAnsi="宋体" w:cs="宋体"/>
          <w:color w:val="auto"/>
          <w:sz w:val="22"/>
          <w:szCs w:val="22"/>
          <w:highlight w:val="none"/>
          <w:lang w:val="zh-CN"/>
        </w:rPr>
        <w:t>必要的法律依据；</w:t>
      </w:r>
    </w:p>
    <w:p w14:paraId="242FAE03">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⑥</w:t>
      </w:r>
      <w:r>
        <w:rPr>
          <w:rFonts w:hint="eastAsia" w:ascii="宋体" w:hAnsi="宋体" w:cs="宋体"/>
          <w:color w:val="auto"/>
          <w:sz w:val="22"/>
          <w:highlight w:val="none"/>
          <w:lang w:val="zh-CN"/>
        </w:rPr>
        <w:t>提出质疑的日期。</w:t>
      </w:r>
    </w:p>
    <w:p w14:paraId="241D3AC3">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供应商为自然人的，应当由本人签字；供应商为法人或者其他组织的，应当由法定代表人、主要负责人，或者其授权代表签字或者盖章，并加盖公章。</w:t>
      </w:r>
    </w:p>
    <w:p w14:paraId="34D53292">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质疑函范本及制作说明详见浙江政府采购网相关格式内容。</w:t>
      </w:r>
    </w:p>
    <w:p w14:paraId="5EC9B0D1">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（4）</w:t>
      </w:r>
      <w:r>
        <w:rPr>
          <w:rFonts w:hint="eastAsia" w:ascii="宋体" w:hAnsi="宋体" w:cs="宋体"/>
          <w:color w:val="auto"/>
          <w:sz w:val="22"/>
          <w:highlight w:val="none"/>
          <w:lang w:val="zh-CN"/>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3AD65394">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（5）</w:t>
      </w:r>
      <w:r>
        <w:rPr>
          <w:rFonts w:hint="eastAsia" w:ascii="宋体" w:hAnsi="宋体" w:cs="宋体"/>
          <w:color w:val="auto"/>
          <w:sz w:val="22"/>
          <w:highlight w:val="none"/>
          <w:lang w:val="zh-CN"/>
        </w:rPr>
        <w:t>询问或者质疑事项可能影响采购结果的，采购人应当暂停签订合同，已经签订合同的，应当中止履行合同。</w:t>
      </w:r>
    </w:p>
    <w:p w14:paraId="613D6B6E">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3.</w:t>
      </w:r>
      <w:r>
        <w:rPr>
          <w:rFonts w:hint="eastAsia" w:ascii="宋体" w:hAnsi="宋体" w:cs="宋体"/>
          <w:color w:val="auto"/>
          <w:sz w:val="22"/>
          <w:highlight w:val="none"/>
          <w:lang w:val="zh-CN"/>
        </w:rPr>
        <w:t>供应商投诉</w:t>
      </w:r>
    </w:p>
    <w:p w14:paraId="04AC324C">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1</w:t>
      </w:r>
      <w:r>
        <w:rPr>
          <w:rFonts w:hint="eastAsia" w:ascii="宋体" w:hAnsi="宋体" w:cs="宋体"/>
          <w:color w:val="auto"/>
          <w:sz w:val="22"/>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3D56D70A">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2</w:t>
      </w:r>
      <w:r>
        <w:rPr>
          <w:rFonts w:hint="eastAsia" w:ascii="宋体" w:hAnsi="宋体" w:cs="宋体"/>
          <w:color w:val="auto"/>
          <w:sz w:val="22"/>
          <w:highlight w:val="none"/>
          <w:lang w:val="zh-CN"/>
        </w:rPr>
        <w:t>）供应商投诉的事项不得超出已质疑事项的范围，基于质疑答复内容提出的投诉事项除外。</w:t>
      </w:r>
    </w:p>
    <w:p w14:paraId="14FC5376">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3</w:t>
      </w:r>
      <w:r>
        <w:rPr>
          <w:rFonts w:hint="eastAsia" w:ascii="宋体" w:hAnsi="宋体" w:cs="宋体"/>
          <w:color w:val="auto"/>
          <w:sz w:val="22"/>
          <w:highlight w:val="none"/>
          <w:lang w:val="zh-CN"/>
        </w:rPr>
        <w:t>）供应商投诉应当有明确的请求和必要的证明材料。</w:t>
      </w:r>
    </w:p>
    <w:p w14:paraId="655D1595">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4</w:t>
      </w:r>
      <w:r>
        <w:rPr>
          <w:rFonts w:hint="eastAsia" w:ascii="宋体" w:hAnsi="宋体" w:cs="宋体"/>
          <w:color w:val="auto"/>
          <w:sz w:val="22"/>
          <w:highlight w:val="none"/>
          <w:lang w:val="zh-CN"/>
        </w:rPr>
        <w:t>）以联合体形式参加政府采购活动的，其投诉应当由组成联合体的所有供应商共同提出。</w:t>
      </w:r>
    </w:p>
    <w:p w14:paraId="3BBC2CA6">
      <w:pPr>
        <w:spacing w:line="4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投诉书范本及制作说明详见浙江政府采购网相关格式内容。</w:t>
      </w:r>
    </w:p>
    <w:p w14:paraId="7379D628">
      <w:pPr>
        <w:pStyle w:val="13"/>
        <w:spacing w:line="460" w:lineRule="exact"/>
        <w:jc w:val="center"/>
        <w:outlineLvl w:val="1"/>
        <w:rPr>
          <w:rFonts w:hint="eastAsia" w:ascii="宋体" w:hAnsi="宋体" w:cs="宋体"/>
          <w:b/>
          <w:bCs/>
          <w:color w:val="auto"/>
          <w:sz w:val="22"/>
          <w:szCs w:val="22"/>
          <w:highlight w:val="none"/>
        </w:rPr>
      </w:pPr>
      <w:bookmarkStart w:id="27" w:name="_Toc20577"/>
      <w:r>
        <w:rPr>
          <w:rFonts w:hint="eastAsia" w:ascii="宋体" w:hAnsi="宋体" w:cs="宋体"/>
          <w:b/>
          <w:bCs/>
          <w:color w:val="auto"/>
          <w:sz w:val="22"/>
          <w:szCs w:val="22"/>
          <w:highlight w:val="none"/>
        </w:rPr>
        <w:t>二、</w:t>
      </w:r>
      <w:bookmarkEnd w:id="22"/>
      <w:bookmarkEnd w:id="23"/>
      <w:bookmarkEnd w:id="24"/>
      <w:bookmarkEnd w:id="25"/>
      <w:bookmarkEnd w:id="26"/>
      <w:bookmarkEnd w:id="27"/>
      <w:r>
        <w:rPr>
          <w:rFonts w:hint="eastAsia" w:ascii="宋体" w:hAnsi="宋体" w:cs="宋体"/>
          <w:b/>
          <w:bCs/>
          <w:color w:val="auto"/>
          <w:sz w:val="22"/>
          <w:szCs w:val="22"/>
          <w:highlight w:val="none"/>
        </w:rPr>
        <w:t>采购文件</w:t>
      </w:r>
    </w:p>
    <w:p w14:paraId="51B40089">
      <w:pPr>
        <w:pStyle w:val="13"/>
        <w:spacing w:line="460" w:lineRule="exact"/>
        <w:rPr>
          <w:rFonts w:hint="eastAsia" w:ascii="宋体" w:hAnsi="宋体" w:cs="宋体"/>
          <w:color w:val="auto"/>
          <w:sz w:val="22"/>
          <w:szCs w:val="22"/>
          <w:highlight w:val="none"/>
        </w:rPr>
      </w:pPr>
      <w:bookmarkStart w:id="28" w:name="_Toc202085290"/>
      <w:bookmarkStart w:id="29" w:name="_Toc195502490"/>
      <w:bookmarkStart w:id="30" w:name="_Toc195502580"/>
      <w:r>
        <w:rPr>
          <w:rFonts w:hint="eastAsia" w:ascii="宋体" w:hAnsi="宋体" w:cs="宋体"/>
          <w:color w:val="auto"/>
          <w:sz w:val="22"/>
          <w:szCs w:val="22"/>
          <w:highlight w:val="none"/>
        </w:rPr>
        <w:t>（一） 采购文件由采购文件目录所列内容及相关资料组成。</w:t>
      </w:r>
    </w:p>
    <w:p w14:paraId="09164740">
      <w:pPr>
        <w:pStyle w:val="13"/>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（二） </w:t>
      </w:r>
      <w:r>
        <w:rPr>
          <w:rFonts w:hint="eastAsia" w:ascii="宋体" w:hAnsi="宋体" w:cs="宋体"/>
          <w:b/>
          <w:bCs/>
          <w:color w:val="auto"/>
          <w:sz w:val="22"/>
          <w:szCs w:val="22"/>
          <w:highlight w:val="none"/>
        </w:rPr>
        <w:t>采购文件的澄清和修改</w:t>
      </w:r>
    </w:p>
    <w:p w14:paraId="126DDD8A">
      <w:pPr>
        <w:spacing w:line="440" w:lineRule="exact"/>
        <w:ind w:left="550" w:hanging="550" w:hangingChars="250"/>
        <w:rPr>
          <w:rFonts w:hint="eastAsia" w:ascii="宋体" w:hAnsi="宋体" w:cs="宋体"/>
          <w:color w:val="auto"/>
          <w:sz w:val="22"/>
          <w:highlight w:val="none"/>
        </w:rPr>
      </w:pPr>
      <w:bookmarkStart w:id="31" w:name="_Toc102115982"/>
      <w:bookmarkStart w:id="32" w:name="_Toc3210"/>
      <w:r>
        <w:rPr>
          <w:rFonts w:hint="eastAsia" w:ascii="宋体" w:hAnsi="宋体" w:cs="宋体"/>
          <w:color w:val="auto"/>
          <w:sz w:val="22"/>
          <w:highlight w:val="none"/>
        </w:rPr>
        <w:t>1.采购人或者采购代理机构可以对已发出的采购文件进行必要的澄清或者修改。澄清或者修改应当在原公告发布媒体上发布澄清公告。澄清或者修改的内容为采购文件的组成部分。</w:t>
      </w:r>
    </w:p>
    <w:p w14:paraId="65878104">
      <w:pPr>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2.澄清或者修改的内容可能影响投标文件编制的，采购人或者采购代理机构应当在投标截止时间至少15日前，以书面形式通知所有获取采购文件的潜在供应商；不足15日的，采购人或者采购代理机构应当顺延提交投标文件的截止时间。潜在供应商在收到该书面通知后，应立即书面回复确认已收到该通知。</w:t>
      </w:r>
    </w:p>
    <w:p w14:paraId="5998C54A">
      <w:pPr>
        <w:pStyle w:val="13"/>
        <w:spacing w:line="460" w:lineRule="exact"/>
        <w:jc w:val="center"/>
        <w:outlineLvl w:val="1"/>
        <w:rPr>
          <w:rFonts w:hint="eastAsia" w:ascii="宋体" w:hAnsi="宋体" w:cs="宋体"/>
          <w:b/>
          <w:bCs/>
          <w:color w:val="auto"/>
          <w:sz w:val="22"/>
          <w:szCs w:val="22"/>
          <w:highlight w:val="none"/>
        </w:rPr>
      </w:pPr>
      <w:bookmarkStart w:id="33" w:name="_Toc15767"/>
      <w:r>
        <w:rPr>
          <w:rFonts w:hint="eastAsia" w:ascii="宋体" w:hAnsi="宋体" w:cs="宋体"/>
          <w:b/>
          <w:bCs/>
          <w:color w:val="auto"/>
          <w:sz w:val="22"/>
          <w:szCs w:val="22"/>
          <w:highlight w:val="none"/>
        </w:rPr>
        <w:t>三、</w:t>
      </w:r>
      <w:bookmarkEnd w:id="28"/>
      <w:bookmarkEnd w:id="29"/>
      <w:bookmarkEnd w:id="30"/>
      <w:bookmarkEnd w:id="31"/>
      <w:bookmarkEnd w:id="32"/>
      <w:r>
        <w:rPr>
          <w:rFonts w:hint="eastAsia" w:ascii="宋体" w:hAnsi="宋体" w:cs="宋体"/>
          <w:b/>
          <w:bCs/>
          <w:color w:val="auto"/>
          <w:sz w:val="22"/>
          <w:szCs w:val="22"/>
          <w:highlight w:val="none"/>
        </w:rPr>
        <w:t>投标文件的编制</w:t>
      </w:r>
      <w:bookmarkEnd w:id="33"/>
    </w:p>
    <w:p w14:paraId="3E043C67">
      <w:pPr>
        <w:spacing w:line="460" w:lineRule="exact"/>
        <w:ind w:left="330"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一）供应商应认真阅读采购文件中所有事项、格式、条款和技术规范等。供应商没有按照采购文件要求提交全部资料，或者没有对采购文件各个方面做出实质性响应，是供应商的风险，由此造成的一切后果由供应商自行承担。</w:t>
      </w:r>
    </w:p>
    <w:p w14:paraId="725A6073">
      <w:pPr>
        <w:spacing w:line="440" w:lineRule="exact"/>
        <w:ind w:left="550" w:hanging="550" w:hangingChars="250"/>
        <w:rPr>
          <w:rFonts w:hint="eastAsia" w:ascii="宋体" w:hAnsi="宋体" w:cs="宋体"/>
          <w:b/>
          <w:color w:val="auto"/>
          <w:sz w:val="22"/>
          <w:highlight w:val="none"/>
        </w:rPr>
      </w:pPr>
      <w:r>
        <w:rPr>
          <w:rFonts w:hint="eastAsia" w:ascii="宋体" w:hAnsi="宋体" w:cs="宋体"/>
          <w:color w:val="auto"/>
          <w:sz w:val="22"/>
          <w:szCs w:val="22"/>
          <w:highlight w:val="none"/>
        </w:rPr>
        <w:t>（二）</w:t>
      </w:r>
      <w:r>
        <w:rPr>
          <w:rFonts w:hint="eastAsia" w:ascii="宋体" w:hAnsi="宋体" w:cs="宋体"/>
          <w:b/>
          <w:color w:val="auto"/>
          <w:sz w:val="22"/>
          <w:szCs w:val="22"/>
          <w:highlight w:val="none"/>
        </w:rPr>
        <w:t>供应商应保证所提供文件资料的真实性，所有文件资料必须是针对本次投标的。如发现供应商提供了虚假文件资料，其投标文件将被拒绝，并承担相应的法律责任。</w:t>
      </w:r>
    </w:p>
    <w:p w14:paraId="4EB84DE1">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（三）投标文件分为电子投标文件以及备份投标文件。</w:t>
      </w:r>
    </w:p>
    <w:p w14:paraId="2A1B15CF">
      <w:pPr>
        <w:pStyle w:val="13"/>
        <w:spacing w:line="460" w:lineRule="exact"/>
        <w:ind w:left="418" w:hanging="418" w:hangingChars="190"/>
        <w:rPr>
          <w:rFonts w:hint="eastAsia" w:ascii="宋体" w:hAnsi="宋体" w:cs="宋体"/>
          <w:b/>
          <w:bCs/>
          <w:color w:val="auto"/>
          <w:sz w:val="22"/>
          <w:highlight w:val="none"/>
          <w:u w:val="single"/>
        </w:rPr>
      </w:pPr>
      <w:r>
        <w:rPr>
          <w:rFonts w:hint="eastAsia" w:ascii="宋体" w:hAnsi="宋体" w:cs="宋体"/>
          <w:color w:val="auto"/>
          <w:sz w:val="22"/>
          <w:szCs w:val="22"/>
          <w:highlight w:val="none"/>
        </w:rPr>
        <w:t>1.</w:t>
      </w:r>
      <w:r>
        <w:rPr>
          <w:rFonts w:hint="eastAsia" w:ascii="宋体" w:hAnsi="宋体" w:cs="宋体"/>
          <w:color w:val="auto"/>
          <w:sz w:val="22"/>
          <w:highlight w:val="none"/>
        </w:rPr>
        <w:t>电子投标文件：供应商根据“政采云供应商项目采购-电子招投标操作指南”及本采购文件规定的格式和顺序编制电子投标文件关联定位、加密并递交。</w:t>
      </w:r>
    </w:p>
    <w:p w14:paraId="1142F7D0">
      <w:pPr>
        <w:pStyle w:val="13"/>
        <w:spacing w:line="460" w:lineRule="exact"/>
        <w:ind w:left="420" w:hanging="420" w:hangingChars="191"/>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2.备份投标文件：供应商在政采云平台传输递交投标文件后，还可以在投标截止时间前提交以介质存储的数据电文形式的备份投标文件。电子投标文件按“政采云平台项目采购-电子招投标操作指南”上传。</w:t>
      </w:r>
    </w:p>
    <w:p w14:paraId="20A6D9BC">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（四）投标文件的效力</w:t>
      </w:r>
    </w:p>
    <w:p w14:paraId="08E7D21A">
      <w:pPr>
        <w:pStyle w:val="13"/>
        <w:spacing w:line="460" w:lineRule="exact"/>
        <w:ind w:left="420" w:leftChars="20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投标文件的启用，按先后顺位分别为电子投标文件和备份投标文件。在下一顺位的投标文件启用时，前一顺位的投标文件自动失效。</w:t>
      </w:r>
    </w:p>
    <w:p w14:paraId="1BB607D7">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（五）投标文件的组成：</w:t>
      </w:r>
    </w:p>
    <w:p w14:paraId="011ED539">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投标文件由资格响应文件、商务技术响应文件、报价响应文件三部分组成：</w:t>
      </w:r>
    </w:p>
    <w:p w14:paraId="28B8FB38">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（1）资格响应文件</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85"/>
        <w:gridCol w:w="1363"/>
      </w:tblGrid>
      <w:tr w14:paraId="3BDC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14:paraId="6DAB098F">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485" w:type="dxa"/>
            <w:noWrap w:val="0"/>
            <w:vAlign w:val="top"/>
          </w:tcPr>
          <w:p w14:paraId="3938843C">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363" w:type="dxa"/>
            <w:noWrap w:val="0"/>
            <w:vAlign w:val="top"/>
          </w:tcPr>
          <w:p w14:paraId="0F3E6201">
            <w:pPr>
              <w:pStyle w:val="13"/>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备注</w:t>
            </w:r>
          </w:p>
        </w:tc>
      </w:tr>
      <w:tr w14:paraId="4972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545A4A18">
            <w:pPr>
              <w:pStyle w:val="13"/>
              <w:spacing w:line="460" w:lineRule="exact"/>
              <w:jc w:val="center"/>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1</w:t>
            </w:r>
          </w:p>
        </w:tc>
        <w:tc>
          <w:tcPr>
            <w:tcW w:w="7485" w:type="dxa"/>
            <w:noWrap w:val="0"/>
            <w:vAlign w:val="top"/>
          </w:tcPr>
          <w:p w14:paraId="06AD533E">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资格证明文件</w:t>
            </w:r>
          </w:p>
        </w:tc>
        <w:tc>
          <w:tcPr>
            <w:tcW w:w="1363" w:type="dxa"/>
            <w:noWrap w:val="0"/>
            <w:vAlign w:val="top"/>
          </w:tcPr>
          <w:p w14:paraId="6183EB2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p>
        </w:tc>
      </w:tr>
      <w:tr w14:paraId="22CD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43AEFFFC">
            <w:pPr>
              <w:pStyle w:val="13"/>
              <w:spacing w:line="460" w:lineRule="exac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val="zh-CN"/>
              </w:rPr>
              <w:t>.1</w:t>
            </w:r>
          </w:p>
        </w:tc>
        <w:tc>
          <w:tcPr>
            <w:tcW w:w="7485" w:type="dxa"/>
            <w:noWrap w:val="0"/>
            <w:vAlign w:val="top"/>
          </w:tcPr>
          <w:p w14:paraId="17D1EB8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法定代表人身份证明</w:t>
            </w:r>
          </w:p>
        </w:tc>
        <w:tc>
          <w:tcPr>
            <w:tcW w:w="1363" w:type="dxa"/>
            <w:noWrap w:val="0"/>
            <w:vAlign w:val="top"/>
          </w:tcPr>
          <w:p w14:paraId="57E1349E">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附件四-1</w:t>
            </w:r>
          </w:p>
        </w:tc>
      </w:tr>
      <w:tr w14:paraId="2FDD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022BBA15">
            <w:pPr>
              <w:pStyle w:val="13"/>
              <w:spacing w:line="460" w:lineRule="exac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val="zh-CN"/>
              </w:rPr>
              <w:t>.2</w:t>
            </w:r>
          </w:p>
        </w:tc>
        <w:tc>
          <w:tcPr>
            <w:tcW w:w="7485" w:type="dxa"/>
            <w:noWrap w:val="0"/>
            <w:vAlign w:val="top"/>
          </w:tcPr>
          <w:p w14:paraId="057AF7DE">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法定代表人授权书</w:t>
            </w:r>
          </w:p>
        </w:tc>
        <w:tc>
          <w:tcPr>
            <w:tcW w:w="1363" w:type="dxa"/>
            <w:noWrap w:val="0"/>
            <w:vAlign w:val="top"/>
          </w:tcPr>
          <w:p w14:paraId="335AC079">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附件四-2</w:t>
            </w:r>
          </w:p>
        </w:tc>
      </w:tr>
      <w:tr w14:paraId="0F68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7A90FE0F">
            <w:pPr>
              <w:pStyle w:val="13"/>
              <w:spacing w:line="460" w:lineRule="exac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3</w:t>
            </w:r>
          </w:p>
        </w:tc>
        <w:tc>
          <w:tcPr>
            <w:tcW w:w="7485" w:type="dxa"/>
            <w:noWrap w:val="0"/>
            <w:vAlign w:val="center"/>
          </w:tcPr>
          <w:p w14:paraId="5D27F4B4">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有效的法人或者其他组织的营业执照等证明文件，自然人的身份证明（五选一）</w:t>
            </w:r>
          </w:p>
        </w:tc>
        <w:tc>
          <w:tcPr>
            <w:tcW w:w="1363" w:type="dxa"/>
            <w:noWrap w:val="0"/>
            <w:vAlign w:val="top"/>
          </w:tcPr>
          <w:p w14:paraId="31EDEE46">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附件四-3</w:t>
            </w:r>
          </w:p>
        </w:tc>
      </w:tr>
      <w:tr w14:paraId="01DE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0B4222ED">
            <w:pPr>
              <w:pStyle w:val="13"/>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7485" w:type="dxa"/>
            <w:noWrap w:val="0"/>
            <w:vAlign w:val="center"/>
          </w:tcPr>
          <w:p w14:paraId="38AB1DC7">
            <w:pPr>
              <w:pStyle w:val="13"/>
              <w:spacing w:line="460" w:lineRule="exact"/>
              <w:rPr>
                <w:rFonts w:hint="eastAsia" w:ascii="宋体" w:hAnsi="宋体" w:cs="宋体"/>
                <w:color w:val="auto"/>
                <w:sz w:val="22"/>
                <w:szCs w:val="22"/>
                <w:highlight w:val="none"/>
              </w:rPr>
            </w:pPr>
            <w:r>
              <w:rPr>
                <w:rFonts w:hint="eastAsia" w:ascii="宋体" w:hAnsi="宋体" w:cs="宋体"/>
                <w:sz w:val="22"/>
                <w:szCs w:val="22"/>
                <w:highlight w:val="none"/>
                <w:lang w:eastAsia="zh-CN"/>
              </w:rPr>
              <w:t>未被“信用中国”（www.creditchina.gov.cn)、中国政府采购网（www.ccgp.gov.cn）列入失信被执行人、重大税收违法案件当事人名单、政府采购严重违法失信行为记录名单</w:t>
            </w:r>
            <w:r>
              <w:rPr>
                <w:rFonts w:hint="eastAsia" w:ascii="宋体" w:hAnsi="宋体" w:cs="宋体"/>
                <w:sz w:val="22"/>
                <w:szCs w:val="22"/>
                <w:highlight w:val="none"/>
              </w:rPr>
              <w:t>。</w:t>
            </w:r>
          </w:p>
        </w:tc>
        <w:tc>
          <w:tcPr>
            <w:tcW w:w="1363" w:type="dxa"/>
            <w:noWrap w:val="0"/>
            <w:vAlign w:val="center"/>
          </w:tcPr>
          <w:p w14:paraId="5D813214">
            <w:pPr>
              <w:pStyle w:val="13"/>
              <w:spacing w:line="460" w:lineRule="exact"/>
              <w:rPr>
                <w:rFonts w:hint="eastAsia" w:ascii="宋体" w:hAnsi="宋体" w:cs="宋体"/>
                <w:color w:val="auto"/>
                <w:sz w:val="22"/>
                <w:szCs w:val="22"/>
                <w:highlight w:val="none"/>
              </w:rPr>
            </w:pPr>
          </w:p>
        </w:tc>
      </w:tr>
      <w:tr w14:paraId="5689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05F0CADD">
            <w:pPr>
              <w:pStyle w:val="13"/>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p>
        </w:tc>
        <w:tc>
          <w:tcPr>
            <w:tcW w:w="7485" w:type="dxa"/>
            <w:noWrap w:val="0"/>
            <w:vAlign w:val="center"/>
          </w:tcPr>
          <w:p w14:paraId="7E56643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关于符合《中华人民共和国政府采购法》第二十二条规定的承诺函</w:t>
            </w:r>
          </w:p>
        </w:tc>
        <w:tc>
          <w:tcPr>
            <w:tcW w:w="1363" w:type="dxa"/>
            <w:noWrap w:val="0"/>
            <w:vAlign w:val="center"/>
          </w:tcPr>
          <w:p w14:paraId="665FEB9B">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附件四-4</w:t>
            </w:r>
          </w:p>
        </w:tc>
      </w:tr>
      <w:tr w14:paraId="7ACF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62E3BAF5">
            <w:pPr>
              <w:pStyle w:val="13"/>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p>
        </w:tc>
        <w:tc>
          <w:tcPr>
            <w:tcW w:w="7485" w:type="dxa"/>
            <w:noWrap w:val="0"/>
            <w:vAlign w:val="top"/>
          </w:tcPr>
          <w:p w14:paraId="755EC560">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w:t>
            </w:r>
          </w:p>
        </w:tc>
        <w:tc>
          <w:tcPr>
            <w:tcW w:w="1363" w:type="dxa"/>
            <w:noWrap w:val="0"/>
            <w:vAlign w:val="center"/>
          </w:tcPr>
          <w:p w14:paraId="23A0328C">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4E7D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43574706">
            <w:pPr>
              <w:pStyle w:val="13"/>
              <w:spacing w:line="460" w:lineRule="exact"/>
              <w:jc w:val="center"/>
              <w:rPr>
                <w:rFonts w:hint="default" w:ascii="宋体" w:hAnsi="宋体" w:eastAsia="宋体" w:cs="宋体"/>
                <w:color w:val="auto"/>
                <w:sz w:val="22"/>
                <w:szCs w:val="22"/>
                <w:highlight w:val="none"/>
                <w:lang w:val="en-US" w:eastAsia="zh-CN"/>
              </w:rPr>
            </w:pPr>
          </w:p>
        </w:tc>
        <w:tc>
          <w:tcPr>
            <w:tcW w:w="7485" w:type="dxa"/>
            <w:noWrap w:val="0"/>
            <w:vAlign w:val="top"/>
          </w:tcPr>
          <w:p w14:paraId="05E7B96F">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残疾人福利性单位声明函</w:t>
            </w:r>
          </w:p>
        </w:tc>
        <w:tc>
          <w:tcPr>
            <w:tcW w:w="1363" w:type="dxa"/>
            <w:noWrap w:val="0"/>
            <w:vAlign w:val="center"/>
          </w:tcPr>
          <w:p w14:paraId="0A55A86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附件四-6</w:t>
            </w:r>
          </w:p>
        </w:tc>
      </w:tr>
      <w:tr w14:paraId="1A92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1B236ECD">
            <w:pPr>
              <w:pStyle w:val="13"/>
              <w:spacing w:line="460" w:lineRule="exact"/>
              <w:jc w:val="center"/>
              <w:rPr>
                <w:rFonts w:hint="default" w:ascii="宋体" w:hAnsi="宋体" w:eastAsia="宋体" w:cs="宋体"/>
                <w:color w:val="auto"/>
                <w:sz w:val="22"/>
                <w:szCs w:val="22"/>
                <w:highlight w:val="none"/>
                <w:lang w:val="en-US" w:eastAsia="zh-CN"/>
              </w:rPr>
            </w:pPr>
          </w:p>
        </w:tc>
        <w:tc>
          <w:tcPr>
            <w:tcW w:w="7485" w:type="dxa"/>
            <w:noWrap w:val="0"/>
            <w:vAlign w:val="top"/>
          </w:tcPr>
          <w:p w14:paraId="46E5EFEC">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监狱企业声明函</w:t>
            </w:r>
          </w:p>
        </w:tc>
        <w:tc>
          <w:tcPr>
            <w:tcW w:w="1363" w:type="dxa"/>
            <w:noWrap w:val="0"/>
            <w:vAlign w:val="center"/>
          </w:tcPr>
          <w:p w14:paraId="3BD6944C">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附件四-7</w:t>
            </w:r>
          </w:p>
        </w:tc>
      </w:tr>
      <w:tr w14:paraId="2367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113AE6EB">
            <w:pPr>
              <w:pStyle w:val="13"/>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7485" w:type="dxa"/>
            <w:noWrap w:val="0"/>
            <w:vAlign w:val="top"/>
          </w:tcPr>
          <w:p w14:paraId="4D0C8443">
            <w:pPr>
              <w:pStyle w:val="13"/>
              <w:spacing w:line="460" w:lineRule="exact"/>
              <w:rPr>
                <w:rFonts w:hint="eastAsia" w:ascii="宋体" w:hAnsi="宋体" w:cs="宋体"/>
                <w:color w:val="auto"/>
                <w:sz w:val="22"/>
                <w:szCs w:val="22"/>
                <w:highlight w:val="none"/>
              </w:rPr>
            </w:pPr>
            <w:r>
              <w:rPr>
                <w:rFonts w:hint="eastAsia" w:ascii="新宋体" w:hAnsi="新宋体" w:eastAsia="新宋体" w:cs="新宋体"/>
                <w:bCs/>
                <w:sz w:val="22"/>
                <w:szCs w:val="22"/>
                <w:highlight w:val="none"/>
              </w:rPr>
              <w:t>联合体协议书（如为联合体投标，请根据格式内容提供）</w:t>
            </w:r>
          </w:p>
        </w:tc>
        <w:tc>
          <w:tcPr>
            <w:tcW w:w="1363" w:type="dxa"/>
            <w:noWrap w:val="0"/>
            <w:vAlign w:val="center"/>
          </w:tcPr>
          <w:p w14:paraId="109ECC55">
            <w:pPr>
              <w:pStyle w:val="13"/>
              <w:spacing w:line="46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附件四-</w:t>
            </w:r>
            <w:r>
              <w:rPr>
                <w:rFonts w:hint="eastAsia" w:ascii="宋体" w:hAnsi="宋体" w:cs="宋体"/>
                <w:color w:val="auto"/>
                <w:sz w:val="22"/>
                <w:szCs w:val="22"/>
                <w:highlight w:val="none"/>
                <w:lang w:val="en-US" w:eastAsia="zh-CN"/>
              </w:rPr>
              <w:t>8</w:t>
            </w:r>
          </w:p>
        </w:tc>
      </w:tr>
      <w:tr w14:paraId="2BA1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2" w:type="dxa"/>
            <w:noWrap w:val="0"/>
            <w:vAlign w:val="center"/>
          </w:tcPr>
          <w:p w14:paraId="3A99B581">
            <w:pPr>
              <w:pStyle w:val="13"/>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7485" w:type="dxa"/>
            <w:noWrap w:val="0"/>
            <w:vAlign w:val="top"/>
          </w:tcPr>
          <w:p w14:paraId="66C0DAE0">
            <w:pPr>
              <w:pStyle w:val="13"/>
              <w:spacing w:line="460" w:lineRule="exact"/>
              <w:rPr>
                <w:rFonts w:hint="eastAsia" w:ascii="宋体" w:hAnsi="宋体" w:cs="宋体"/>
                <w:color w:val="auto"/>
                <w:sz w:val="22"/>
                <w:szCs w:val="22"/>
                <w:highlight w:val="none"/>
              </w:rPr>
            </w:pPr>
            <w:r>
              <w:rPr>
                <w:rFonts w:hint="eastAsia" w:ascii="宋体" w:hAnsi="宋体"/>
                <w:sz w:val="22"/>
                <w:szCs w:val="22"/>
                <w:highlight w:val="none"/>
              </w:rPr>
              <w:t>分包意向协议</w:t>
            </w:r>
            <w:r>
              <w:rPr>
                <w:rFonts w:hint="eastAsia" w:ascii="新宋体" w:hAnsi="新宋体" w:eastAsia="新宋体" w:cs="新宋体"/>
                <w:bCs/>
                <w:kern w:val="0"/>
                <w:sz w:val="22"/>
                <w:szCs w:val="22"/>
                <w:highlight w:val="none"/>
              </w:rPr>
              <w:t>（如有分包，请根据格式内容提供）</w:t>
            </w:r>
          </w:p>
        </w:tc>
        <w:tc>
          <w:tcPr>
            <w:tcW w:w="1363" w:type="dxa"/>
            <w:noWrap w:val="0"/>
            <w:vAlign w:val="center"/>
          </w:tcPr>
          <w:p w14:paraId="62B1F9A3">
            <w:pPr>
              <w:pStyle w:val="13"/>
              <w:spacing w:line="46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附件四-</w:t>
            </w:r>
            <w:r>
              <w:rPr>
                <w:rFonts w:hint="eastAsia" w:ascii="宋体" w:hAnsi="宋体" w:cs="宋体"/>
                <w:color w:val="auto"/>
                <w:sz w:val="22"/>
                <w:szCs w:val="22"/>
                <w:highlight w:val="none"/>
                <w:lang w:val="en-US" w:eastAsia="zh-CN"/>
              </w:rPr>
              <w:t>9</w:t>
            </w:r>
          </w:p>
        </w:tc>
      </w:tr>
      <w:tr w14:paraId="52B7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6CDE31D0">
            <w:pPr>
              <w:pStyle w:val="13"/>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9</w:t>
            </w:r>
          </w:p>
        </w:tc>
        <w:tc>
          <w:tcPr>
            <w:tcW w:w="7485" w:type="dxa"/>
            <w:noWrap w:val="0"/>
            <w:vAlign w:val="top"/>
          </w:tcPr>
          <w:p w14:paraId="6C068C8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投标人认为需要提供的其他资格证明文件</w:t>
            </w:r>
          </w:p>
        </w:tc>
        <w:tc>
          <w:tcPr>
            <w:tcW w:w="1363" w:type="dxa"/>
            <w:noWrap w:val="0"/>
            <w:vAlign w:val="top"/>
          </w:tcPr>
          <w:p w14:paraId="13CC5FC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r w14:paraId="2852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center"/>
          </w:tcPr>
          <w:p w14:paraId="263FBD3B">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14:paraId="41696008">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（2）商务技术响应文件</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55"/>
        <w:gridCol w:w="1393"/>
      </w:tblGrid>
      <w:tr w14:paraId="3E72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7F84F30">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455" w:type="dxa"/>
            <w:noWrap w:val="0"/>
            <w:vAlign w:val="center"/>
          </w:tcPr>
          <w:p w14:paraId="3E337F51">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393" w:type="dxa"/>
            <w:noWrap w:val="0"/>
            <w:vAlign w:val="center"/>
          </w:tcPr>
          <w:p w14:paraId="62C761D6">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en-US" w:eastAsia="zh-CN"/>
              </w:rPr>
              <w:t>备注</w:t>
            </w:r>
          </w:p>
        </w:tc>
      </w:tr>
      <w:tr w14:paraId="6922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6D0764FB">
            <w:pPr>
              <w:pStyle w:val="13"/>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455" w:type="dxa"/>
            <w:noWrap w:val="0"/>
            <w:vAlign w:val="top"/>
          </w:tcPr>
          <w:p w14:paraId="66E63A22">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投标响应函</w:t>
            </w:r>
          </w:p>
        </w:tc>
        <w:tc>
          <w:tcPr>
            <w:tcW w:w="1393" w:type="dxa"/>
            <w:noWrap w:val="0"/>
            <w:vAlign w:val="top"/>
          </w:tcPr>
          <w:p w14:paraId="7A1C8DF2">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附件一</w:t>
            </w:r>
          </w:p>
        </w:tc>
      </w:tr>
      <w:tr w14:paraId="00ED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4347FD1C">
            <w:pPr>
              <w:pStyle w:val="13"/>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7455" w:type="dxa"/>
            <w:noWrap w:val="0"/>
            <w:vAlign w:val="top"/>
          </w:tcPr>
          <w:p w14:paraId="0F0B467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393" w:type="dxa"/>
            <w:noWrap w:val="0"/>
            <w:vAlign w:val="top"/>
          </w:tcPr>
          <w:p w14:paraId="213C6324">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r w14:paraId="5007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46416598">
            <w:pPr>
              <w:pStyle w:val="13"/>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.1</w:t>
            </w:r>
          </w:p>
        </w:tc>
        <w:tc>
          <w:tcPr>
            <w:tcW w:w="7455" w:type="dxa"/>
            <w:noWrap w:val="0"/>
            <w:vAlign w:val="top"/>
          </w:tcPr>
          <w:p w14:paraId="6D01F8E3">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货物供货清单（或详细配置清单）</w:t>
            </w:r>
          </w:p>
        </w:tc>
        <w:tc>
          <w:tcPr>
            <w:tcW w:w="1393" w:type="dxa"/>
            <w:noWrap w:val="0"/>
            <w:vAlign w:val="top"/>
          </w:tcPr>
          <w:p w14:paraId="24357D04">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附件六-1</w:t>
            </w:r>
          </w:p>
        </w:tc>
      </w:tr>
      <w:tr w14:paraId="42D3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0306F424">
            <w:pPr>
              <w:pStyle w:val="13"/>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.2</w:t>
            </w:r>
          </w:p>
        </w:tc>
        <w:tc>
          <w:tcPr>
            <w:tcW w:w="7455" w:type="dxa"/>
            <w:noWrap w:val="0"/>
            <w:vAlign w:val="top"/>
          </w:tcPr>
          <w:p w14:paraId="163F9A24">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备品备件、易损易耗件和专用工具清单</w:t>
            </w:r>
          </w:p>
        </w:tc>
        <w:tc>
          <w:tcPr>
            <w:tcW w:w="1393" w:type="dxa"/>
            <w:noWrap w:val="0"/>
            <w:vAlign w:val="top"/>
          </w:tcPr>
          <w:p w14:paraId="49D3DB8A">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附件六-2</w:t>
            </w:r>
          </w:p>
        </w:tc>
      </w:tr>
      <w:tr w14:paraId="351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07B6F319">
            <w:pPr>
              <w:pStyle w:val="13"/>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455" w:type="dxa"/>
            <w:noWrap w:val="0"/>
            <w:vAlign w:val="center"/>
          </w:tcPr>
          <w:p w14:paraId="73407F5E">
            <w:pPr>
              <w:spacing w:line="336" w:lineRule="auto"/>
              <w:jc w:val="left"/>
              <w:rPr>
                <w:rFonts w:hint="eastAsia" w:ascii="宋体" w:hAnsi="宋体" w:cs="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根据本项目采购内容及要求以及商务技术评分项目，需要提供的文件和资料</w:t>
            </w:r>
          </w:p>
        </w:tc>
        <w:tc>
          <w:tcPr>
            <w:tcW w:w="1393" w:type="dxa"/>
            <w:noWrap w:val="0"/>
            <w:vAlign w:val="top"/>
          </w:tcPr>
          <w:p w14:paraId="1E54C18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highlight w:val="none"/>
              </w:rPr>
              <w:t>格式自拟</w:t>
            </w:r>
          </w:p>
        </w:tc>
      </w:tr>
      <w:tr w14:paraId="4C15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10D0C73A">
            <w:pPr>
              <w:pStyle w:val="13"/>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455" w:type="dxa"/>
            <w:noWrap w:val="0"/>
            <w:vAlign w:val="center"/>
          </w:tcPr>
          <w:p w14:paraId="719C11E2">
            <w:pPr>
              <w:spacing w:line="336"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投标人认为需要提供的其他文件</w:t>
            </w:r>
          </w:p>
        </w:tc>
        <w:tc>
          <w:tcPr>
            <w:tcW w:w="1393" w:type="dxa"/>
            <w:noWrap w:val="0"/>
            <w:vAlign w:val="top"/>
          </w:tcPr>
          <w:p w14:paraId="69955CCC">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highlight w:val="none"/>
              </w:rPr>
              <w:t>格式自拟</w:t>
            </w:r>
          </w:p>
        </w:tc>
      </w:tr>
      <w:tr w14:paraId="3AA3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center"/>
          </w:tcPr>
          <w:p w14:paraId="31ADDB53">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w:t>
            </w:r>
          </w:p>
        </w:tc>
      </w:tr>
    </w:tbl>
    <w:p w14:paraId="01DDB02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（3）报价要求响应文件</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70"/>
        <w:gridCol w:w="1378"/>
      </w:tblGrid>
      <w:tr w14:paraId="5378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6B58749D">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470" w:type="dxa"/>
            <w:noWrap w:val="0"/>
            <w:vAlign w:val="top"/>
          </w:tcPr>
          <w:p w14:paraId="468B5FB3">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378" w:type="dxa"/>
            <w:noWrap w:val="0"/>
            <w:vAlign w:val="top"/>
          </w:tcPr>
          <w:p w14:paraId="0B6AD428">
            <w:pPr>
              <w:pStyle w:val="13"/>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备注</w:t>
            </w:r>
          </w:p>
        </w:tc>
      </w:tr>
      <w:tr w14:paraId="7F5C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157BD384">
            <w:pPr>
              <w:pStyle w:val="13"/>
              <w:spacing w:line="460" w:lineRule="exac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7470" w:type="dxa"/>
            <w:noWrap w:val="0"/>
            <w:vAlign w:val="top"/>
          </w:tcPr>
          <w:p w14:paraId="2F1272AF">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报价一览表</w:t>
            </w:r>
          </w:p>
        </w:tc>
        <w:tc>
          <w:tcPr>
            <w:tcW w:w="1378" w:type="dxa"/>
            <w:noWrap w:val="0"/>
            <w:vAlign w:val="top"/>
          </w:tcPr>
          <w:p w14:paraId="430FFEAA">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附件二</w:t>
            </w:r>
          </w:p>
        </w:tc>
      </w:tr>
      <w:tr w14:paraId="1EF4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0886D60E">
            <w:pPr>
              <w:pStyle w:val="13"/>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470" w:type="dxa"/>
            <w:noWrap w:val="0"/>
            <w:vAlign w:val="top"/>
          </w:tcPr>
          <w:p w14:paraId="30CD2BEB">
            <w:pPr>
              <w:pStyle w:val="13"/>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分项报价表</w:t>
            </w:r>
          </w:p>
        </w:tc>
        <w:tc>
          <w:tcPr>
            <w:tcW w:w="1378" w:type="dxa"/>
            <w:noWrap w:val="0"/>
            <w:vAlign w:val="top"/>
          </w:tcPr>
          <w:p w14:paraId="6227F7CA">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附件三</w:t>
            </w:r>
          </w:p>
        </w:tc>
      </w:tr>
    </w:tbl>
    <w:p w14:paraId="6EEAE4EB">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2.投标文件格式</w:t>
      </w:r>
    </w:p>
    <w:p w14:paraId="55862CB3">
      <w:pPr>
        <w:tabs>
          <w:tab w:val="left" w:pos="-180"/>
          <w:tab w:val="left" w:pos="180"/>
          <w:tab w:val="left" w:pos="360"/>
        </w:tabs>
        <w:spacing w:line="460" w:lineRule="exact"/>
        <w:ind w:firstLine="638" w:firstLineChars="290"/>
        <w:rPr>
          <w:rFonts w:hint="eastAsia" w:ascii="宋体" w:hAnsi="宋体" w:cs="宋体"/>
          <w:b/>
          <w:color w:val="auto"/>
          <w:sz w:val="22"/>
          <w:szCs w:val="22"/>
          <w:highlight w:val="none"/>
        </w:rPr>
      </w:pPr>
      <w:r>
        <w:rPr>
          <w:rFonts w:hint="eastAsia" w:ascii="宋体" w:hAnsi="宋体" w:cs="宋体"/>
          <w:color w:val="auto"/>
          <w:sz w:val="22"/>
          <w:szCs w:val="22"/>
          <w:highlight w:val="none"/>
        </w:rPr>
        <w:t>供应商应根据采购文件中所提供的格式，内容按顺序填写并制作投标文件。</w:t>
      </w:r>
      <w:r>
        <w:rPr>
          <w:rFonts w:hint="eastAsia" w:ascii="宋体" w:hAnsi="宋体" w:cs="宋体"/>
          <w:b/>
          <w:color w:val="auto"/>
          <w:sz w:val="22"/>
          <w:szCs w:val="22"/>
          <w:highlight w:val="none"/>
        </w:rPr>
        <w:t>任何未按采购文件要求制作投标文件均可能会导致对其不利的评定，该风险由供应商自行承担。</w:t>
      </w:r>
    </w:p>
    <w:p w14:paraId="327D879F">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 投标报价</w:t>
      </w:r>
    </w:p>
    <w:p w14:paraId="543FB0EE">
      <w:pPr>
        <w:pStyle w:val="13"/>
        <w:spacing w:line="460" w:lineRule="exact"/>
        <w:rPr>
          <w:rFonts w:hint="eastAsia" w:ascii="宋体" w:hAnsi="宋体" w:cs="宋体"/>
          <w:color w:val="auto"/>
          <w:sz w:val="22"/>
          <w:szCs w:val="22"/>
          <w:highlight w:val="none"/>
        </w:rPr>
      </w:pPr>
      <w:bookmarkStart w:id="34" w:name="_Toc202085292"/>
      <w:bookmarkStart w:id="35" w:name="_Toc195502492"/>
      <w:bookmarkStart w:id="36" w:name="_Toc195502582"/>
      <w:r>
        <w:rPr>
          <w:rFonts w:hint="eastAsia" w:ascii="宋体" w:hAnsi="宋体" w:cs="宋体"/>
          <w:b/>
          <w:bCs/>
          <w:color w:val="auto"/>
          <w:sz w:val="22"/>
          <w:szCs w:val="22"/>
          <w:highlight w:val="none"/>
        </w:rPr>
        <w:t>1.</w:t>
      </w:r>
      <w:r>
        <w:rPr>
          <w:rFonts w:hint="eastAsia" w:ascii="宋体" w:hAnsi="宋体" w:cs="宋体"/>
          <w:b/>
          <w:color w:val="auto"/>
          <w:sz w:val="22"/>
          <w:highlight w:val="none"/>
        </w:rPr>
        <w:t>投标报价包括：完成本项目所需的所有费用，包括货物款（含软件系统）、专用工具、税金、包装、运输、保险、装卸就位、安装调试、验收（含第三方验收）、技术服务、售后服务、材料、质保期保障、采购代理服务费等全部费用。</w:t>
      </w:r>
      <w:r>
        <w:rPr>
          <w:rFonts w:hint="eastAsia" w:ascii="宋体" w:hAnsi="宋体" w:cs="宋体"/>
          <w:color w:val="auto"/>
          <w:sz w:val="22"/>
          <w:highlight w:val="none"/>
        </w:rPr>
        <w:t>供应商应根据上述因素自行考虑含入投标总价。</w:t>
      </w:r>
    </w:p>
    <w:p w14:paraId="1EC2A6BE">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highlight w:val="none"/>
        </w:rPr>
      </w:pPr>
      <w:r>
        <w:rPr>
          <w:rFonts w:hint="eastAsia" w:ascii="宋体" w:hAnsi="宋体" w:cs="宋体"/>
          <w:color w:val="auto"/>
          <w:sz w:val="22"/>
          <w:highlight w:val="none"/>
        </w:rPr>
        <w:t>2.供应商必须按附件中的投标报价一览表、投标分项报价表（均统一格式）内容填写单价、合价和总价，并由法定代表人或供应商代表签署。</w:t>
      </w:r>
    </w:p>
    <w:p w14:paraId="5683592A">
      <w:pPr>
        <w:tabs>
          <w:tab w:val="left" w:pos="-180"/>
          <w:tab w:val="left" w:pos="180"/>
          <w:tab w:val="left" w:pos="360"/>
        </w:tabs>
        <w:spacing w:line="440" w:lineRule="exact"/>
        <w:ind w:left="442" w:hanging="442" w:hangingChars="200"/>
        <w:rPr>
          <w:rFonts w:hint="eastAsia" w:ascii="宋体" w:hAnsi="宋体" w:cs="宋体"/>
          <w:color w:val="auto"/>
          <w:sz w:val="22"/>
          <w:highlight w:val="none"/>
        </w:rPr>
      </w:pPr>
      <w:r>
        <w:rPr>
          <w:rFonts w:hint="eastAsia" w:ascii="宋体" w:hAnsi="宋体" w:cs="宋体"/>
          <w:b/>
          <w:color w:val="auto"/>
          <w:sz w:val="22"/>
          <w:highlight w:val="none"/>
        </w:rPr>
        <w:t>3.▲</w:t>
      </w:r>
      <w:r>
        <w:rPr>
          <w:rFonts w:hint="eastAsia" w:ascii="宋体" w:hAnsi="宋体" w:cs="宋体"/>
          <w:color w:val="auto"/>
          <w:sz w:val="22"/>
          <w:highlight w:val="none"/>
          <w:u w:val="single"/>
        </w:rPr>
        <w:t>本次投标均以人民币报价，不接受其他货币的报价，供应商如需外汇购入某些货物，须折合成人民币计入投标报价中</w:t>
      </w:r>
      <w:r>
        <w:rPr>
          <w:rFonts w:hint="eastAsia" w:ascii="宋体" w:hAnsi="宋体" w:cs="宋体"/>
          <w:color w:val="auto"/>
          <w:sz w:val="22"/>
          <w:highlight w:val="none"/>
        </w:rPr>
        <w:t>。</w:t>
      </w:r>
    </w:p>
    <w:p w14:paraId="5B5C5021">
      <w:pPr>
        <w:tabs>
          <w:tab w:val="left" w:pos="-180"/>
          <w:tab w:val="left" w:pos="180"/>
          <w:tab w:val="left" w:pos="360"/>
        </w:tabs>
        <w:spacing w:line="440" w:lineRule="exact"/>
        <w:rPr>
          <w:rFonts w:hint="eastAsia"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b/>
          <w:color w:val="auto"/>
          <w:sz w:val="22"/>
          <w:highlight w:val="none"/>
        </w:rPr>
        <w:t>▲</w:t>
      </w:r>
      <w:r>
        <w:rPr>
          <w:rFonts w:hint="eastAsia" w:ascii="宋体" w:hAnsi="宋体" w:cs="宋体"/>
          <w:color w:val="auto"/>
          <w:sz w:val="22"/>
          <w:highlight w:val="none"/>
          <w:u w:val="single"/>
        </w:rPr>
        <w:t>招标采购单位不接受任何选择报价，对任何货物或服务只允许一个报价</w:t>
      </w:r>
      <w:r>
        <w:rPr>
          <w:rFonts w:hint="eastAsia" w:ascii="宋体" w:hAnsi="宋体" w:cs="宋体"/>
          <w:color w:val="auto"/>
          <w:sz w:val="22"/>
          <w:highlight w:val="none"/>
        </w:rPr>
        <w:t>。</w:t>
      </w:r>
    </w:p>
    <w:p w14:paraId="7D866B44">
      <w:pPr>
        <w:tabs>
          <w:tab w:val="left" w:pos="-180"/>
          <w:tab w:val="left" w:pos="180"/>
          <w:tab w:val="left" w:pos="360"/>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5.  招标采购单位要求分类报价是为了方便评标，但在任何情况下不限制采购人以其认为最合适的条款、条件签订合同的权利。</w:t>
      </w:r>
    </w:p>
    <w:p w14:paraId="5C4400B2">
      <w:pPr>
        <w:tabs>
          <w:tab w:val="left" w:pos="-180"/>
          <w:tab w:val="left" w:pos="180"/>
          <w:tab w:val="left" w:pos="360"/>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6.</w:t>
      </w:r>
      <w:r>
        <w:rPr>
          <w:rFonts w:hint="eastAsia" w:ascii="宋体" w:hAnsi="宋体" w:cs="宋体"/>
          <w:b/>
          <w:color w:val="auto"/>
          <w:sz w:val="22"/>
          <w:highlight w:val="none"/>
        </w:rPr>
        <w:t>▲</w:t>
      </w:r>
      <w:r>
        <w:rPr>
          <w:rFonts w:hint="eastAsia" w:ascii="宋体" w:hAnsi="宋体" w:cs="宋体"/>
          <w:color w:val="auto"/>
          <w:sz w:val="22"/>
          <w:highlight w:val="none"/>
          <w:u w:val="single"/>
        </w:rPr>
        <w:t>投标报价报出后，供应商不得以任何理由予以变更，任何包含价格调整的要求，将被认为是非实质性响应投标而予以拒绝</w:t>
      </w:r>
      <w:r>
        <w:rPr>
          <w:rFonts w:hint="eastAsia" w:ascii="宋体" w:hAnsi="宋体" w:cs="宋体"/>
          <w:color w:val="auto"/>
          <w:sz w:val="22"/>
          <w:highlight w:val="none"/>
        </w:rPr>
        <w:t>。</w:t>
      </w:r>
    </w:p>
    <w:p w14:paraId="4FC4B0B0">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（七）投标有效期</w:t>
      </w:r>
    </w:p>
    <w:p w14:paraId="4A6A6FBB">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
          <w:color w:val="auto"/>
          <w:sz w:val="22"/>
          <w:highlight w:val="none"/>
        </w:rPr>
        <w:t>▲</w:t>
      </w:r>
      <w:r>
        <w:rPr>
          <w:rFonts w:hint="eastAsia" w:ascii="宋体" w:hAnsi="宋体" w:cs="宋体"/>
          <w:b/>
          <w:color w:val="auto"/>
          <w:sz w:val="22"/>
          <w:highlight w:val="none"/>
          <w:u w:val="single"/>
        </w:rPr>
        <w:t>自开标之日起</w:t>
      </w:r>
      <w:r>
        <w:rPr>
          <w:rFonts w:hint="eastAsia" w:ascii="宋体" w:hAnsi="宋体" w:cs="宋体"/>
          <w:b/>
          <w:bCs/>
          <w:color w:val="auto"/>
          <w:sz w:val="22"/>
          <w:highlight w:val="none"/>
          <w:u w:val="single"/>
        </w:rPr>
        <w:t>90</w:t>
      </w:r>
      <w:r>
        <w:rPr>
          <w:rFonts w:hint="eastAsia" w:ascii="宋体" w:hAnsi="宋体" w:cs="宋体"/>
          <w:b/>
          <w:color w:val="auto"/>
          <w:sz w:val="22"/>
          <w:highlight w:val="none"/>
          <w:u w:val="single"/>
        </w:rPr>
        <w:t>天内投标应保持投标有效</w:t>
      </w:r>
      <w:r>
        <w:rPr>
          <w:rFonts w:hint="eastAsia" w:ascii="宋体" w:hAnsi="宋体" w:cs="宋体"/>
          <w:b/>
          <w:color w:val="auto"/>
          <w:sz w:val="22"/>
          <w:highlight w:val="none"/>
        </w:rPr>
        <w:t>。</w:t>
      </w:r>
    </w:p>
    <w:p w14:paraId="20F06B9D">
      <w:pPr>
        <w:pStyle w:val="13"/>
        <w:spacing w:line="460" w:lineRule="exact"/>
        <w:ind w:left="418" w:hanging="418" w:hangingChars="190"/>
        <w:rPr>
          <w:rFonts w:hint="eastAsia" w:ascii="宋体" w:hAnsi="宋体" w:cs="宋体"/>
          <w:color w:val="auto"/>
          <w:sz w:val="22"/>
          <w:szCs w:val="22"/>
          <w:highlight w:val="none"/>
        </w:rPr>
      </w:pPr>
      <w:bookmarkStart w:id="37" w:name="_Toc195502581"/>
      <w:bookmarkStart w:id="38" w:name="_Toc195502491"/>
      <w:bookmarkStart w:id="39" w:name="_Toc202085291"/>
      <w:r>
        <w:rPr>
          <w:rFonts w:hint="eastAsia" w:ascii="宋体" w:hAnsi="宋体" w:cs="宋体"/>
          <w:color w:val="auto"/>
          <w:sz w:val="22"/>
          <w:szCs w:val="22"/>
          <w:highlight w:val="none"/>
        </w:rPr>
        <w:t>2.特殊情况下，在原投标有效期截止前，采购人可与供应商协商延长投标有效期，这种要求和答复均以书面形式进行。供应商可拒绝接受延期要求，也可以接受延期要求。同意延长投标有效期的供应商不得修改投标文件。</w:t>
      </w:r>
    </w:p>
    <w:p w14:paraId="2D8E0A34">
      <w:pPr>
        <w:pStyle w:val="13"/>
        <w:spacing w:line="460" w:lineRule="exact"/>
        <w:rPr>
          <w:rFonts w:hint="eastAsia" w:ascii="宋体" w:hAnsi="宋体" w:cs="宋体"/>
          <w:color w:val="auto"/>
          <w:sz w:val="22"/>
          <w:szCs w:val="22"/>
          <w:highlight w:val="none"/>
        </w:rPr>
      </w:pPr>
      <w:r>
        <w:rPr>
          <w:rFonts w:hint="eastAsia" w:ascii="宋体" w:hAnsi="宋体" w:cs="宋体"/>
          <w:b/>
          <w:bCs/>
          <w:color w:val="auto"/>
          <w:sz w:val="22"/>
          <w:highlight w:val="none"/>
        </w:rPr>
        <w:t>（八）投标文件的签署和规定</w:t>
      </w:r>
    </w:p>
    <w:p w14:paraId="22324C74">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供应商应根据采购文件的规定对投标文件进行电子盖章及签署。</w:t>
      </w:r>
    </w:p>
    <w:p w14:paraId="39F99D1B">
      <w:pPr>
        <w:pStyle w:val="13"/>
        <w:spacing w:line="460" w:lineRule="exact"/>
        <w:jc w:val="center"/>
        <w:outlineLvl w:val="1"/>
        <w:rPr>
          <w:rFonts w:hint="eastAsia" w:ascii="宋体" w:hAnsi="宋体" w:cs="宋体"/>
          <w:b/>
          <w:bCs/>
          <w:color w:val="auto"/>
          <w:sz w:val="22"/>
          <w:szCs w:val="22"/>
          <w:highlight w:val="none"/>
        </w:rPr>
      </w:pPr>
      <w:bookmarkStart w:id="40" w:name="_Toc102115983"/>
      <w:bookmarkStart w:id="41" w:name="_Toc26264"/>
      <w:bookmarkStart w:id="42" w:name="_Toc16821"/>
      <w:bookmarkStart w:id="43" w:name="_Toc47884461"/>
      <w:r>
        <w:rPr>
          <w:rFonts w:hint="eastAsia" w:ascii="宋体" w:hAnsi="宋体" w:cs="宋体"/>
          <w:b/>
          <w:bCs/>
          <w:color w:val="auto"/>
          <w:sz w:val="22"/>
          <w:szCs w:val="22"/>
          <w:highlight w:val="none"/>
        </w:rPr>
        <w:t>四、投标文件的递交</w:t>
      </w:r>
      <w:bookmarkEnd w:id="37"/>
      <w:bookmarkEnd w:id="38"/>
      <w:bookmarkEnd w:id="39"/>
      <w:bookmarkEnd w:id="40"/>
      <w:bookmarkEnd w:id="41"/>
      <w:bookmarkEnd w:id="42"/>
      <w:bookmarkEnd w:id="43"/>
    </w:p>
    <w:p w14:paraId="1E7414B8">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（一）投标文件的递交</w:t>
      </w:r>
    </w:p>
    <w:p w14:paraId="668B887F">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投标文件必须在采购文件规定的投标文件截止时间前完成电子投标文件的传输递交。投标截止时间前未完成传输的，视为撤回投标文件。投标截止时间后送达的投标文件，将被政采云平台拒收。</w:t>
      </w:r>
    </w:p>
    <w:p w14:paraId="693C6C61">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（二）投标文件的补充、修改和撤回</w:t>
      </w:r>
    </w:p>
    <w:p w14:paraId="06C4D43C">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供应商在投标截止时间前，可以补充、修改或者撤回电子投标文件。补充或者修改电子投标文件的，应当先行撤回原文件，补充、修改后重新传输递交。</w:t>
      </w:r>
    </w:p>
    <w:bookmarkEnd w:id="34"/>
    <w:bookmarkEnd w:id="35"/>
    <w:bookmarkEnd w:id="36"/>
    <w:p w14:paraId="427B693F">
      <w:pPr>
        <w:pStyle w:val="13"/>
        <w:spacing w:line="460" w:lineRule="exact"/>
        <w:jc w:val="center"/>
        <w:outlineLvl w:val="1"/>
        <w:rPr>
          <w:rFonts w:hint="eastAsia" w:ascii="宋体" w:hAnsi="宋体" w:cs="宋体"/>
          <w:b/>
          <w:bCs/>
          <w:color w:val="auto"/>
          <w:sz w:val="22"/>
          <w:szCs w:val="22"/>
          <w:highlight w:val="none"/>
        </w:rPr>
      </w:pPr>
      <w:bookmarkStart w:id="44" w:name="_Toc12442"/>
      <w:bookmarkStart w:id="45" w:name="_Toc47884462"/>
      <w:bookmarkStart w:id="46" w:name="_Toc102115984"/>
      <w:bookmarkStart w:id="47" w:name="_Toc7629"/>
      <w:r>
        <w:rPr>
          <w:rFonts w:hint="eastAsia" w:ascii="宋体" w:hAnsi="宋体" w:cs="宋体"/>
          <w:b/>
          <w:bCs/>
          <w:color w:val="auto"/>
          <w:sz w:val="22"/>
          <w:szCs w:val="22"/>
          <w:highlight w:val="none"/>
        </w:rPr>
        <w:t>五、</w:t>
      </w:r>
      <w:bookmarkEnd w:id="44"/>
      <w:bookmarkEnd w:id="45"/>
      <w:bookmarkEnd w:id="46"/>
      <w:r>
        <w:rPr>
          <w:rFonts w:hint="eastAsia" w:ascii="宋体" w:hAnsi="宋体" w:cs="宋体"/>
          <w:b/>
          <w:bCs/>
          <w:color w:val="auto"/>
          <w:sz w:val="22"/>
          <w:szCs w:val="22"/>
          <w:highlight w:val="none"/>
        </w:rPr>
        <w:t>开标和评标</w:t>
      </w:r>
      <w:bookmarkEnd w:id="47"/>
    </w:p>
    <w:p w14:paraId="060F5165">
      <w:pPr>
        <w:spacing w:line="440" w:lineRule="exact"/>
        <w:rPr>
          <w:rFonts w:hint="eastAsia" w:ascii="宋体" w:hAnsi="宋体" w:cs="宋体"/>
          <w:b/>
          <w:bCs/>
          <w:color w:val="auto"/>
          <w:sz w:val="22"/>
          <w:highlight w:val="none"/>
        </w:rPr>
      </w:pPr>
      <w:bookmarkStart w:id="48" w:name="_Toc47884463"/>
      <w:bookmarkStart w:id="49" w:name="_Toc202085293"/>
      <w:bookmarkStart w:id="50" w:name="_Toc195502583"/>
      <w:bookmarkStart w:id="51" w:name="_Toc102115985"/>
      <w:bookmarkStart w:id="52" w:name="_Toc3139"/>
      <w:bookmarkStart w:id="53" w:name="_Toc195502493"/>
      <w:r>
        <w:rPr>
          <w:rFonts w:hint="eastAsia" w:ascii="宋体" w:hAnsi="宋体" w:cs="宋体"/>
          <w:bCs/>
          <w:color w:val="auto"/>
          <w:sz w:val="22"/>
          <w:highlight w:val="none"/>
        </w:rPr>
        <w:t>（一）</w:t>
      </w:r>
      <w:r>
        <w:rPr>
          <w:rFonts w:hint="eastAsia" w:ascii="宋体" w:hAnsi="宋体" w:cs="宋体"/>
          <w:b/>
          <w:bCs/>
          <w:color w:val="auto"/>
          <w:sz w:val="22"/>
          <w:highlight w:val="none"/>
        </w:rPr>
        <w:t>评标委员会</w:t>
      </w:r>
    </w:p>
    <w:p w14:paraId="2BDD790B">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1.采购人和采购代理机构依法组建评标委员会，评标委员会的成员在评标过程中必须严格遵守《</w:t>
      </w:r>
      <w:r>
        <w:rPr>
          <w:rFonts w:hint="eastAsia" w:ascii="宋体" w:hAnsi="宋体" w:cs="宋体"/>
          <w:color w:val="auto"/>
          <w:sz w:val="22"/>
          <w:highlight w:val="none"/>
        </w:rPr>
        <w:t>中华人民共和国政府采购法</w:t>
      </w:r>
      <w:r>
        <w:rPr>
          <w:rFonts w:hint="eastAsia" w:ascii="宋体" w:hAnsi="宋体" w:cs="宋体"/>
          <w:bCs/>
          <w:color w:val="auto"/>
          <w:sz w:val="22"/>
          <w:highlight w:val="none"/>
        </w:rPr>
        <w:t>》等有关法律、法规的规定。</w:t>
      </w:r>
    </w:p>
    <w:p w14:paraId="57284444">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（二）</w:t>
      </w:r>
      <w:r>
        <w:rPr>
          <w:rFonts w:hint="eastAsia" w:ascii="宋体" w:hAnsi="宋体" w:cs="宋体"/>
          <w:b/>
          <w:bCs/>
          <w:color w:val="auto"/>
          <w:sz w:val="22"/>
          <w:highlight w:val="none"/>
        </w:rPr>
        <w:t>评标过程的保密性</w:t>
      </w:r>
    </w:p>
    <w:p w14:paraId="2FB833BA">
      <w:pPr>
        <w:spacing w:line="440" w:lineRule="exact"/>
        <w:ind w:left="550" w:hanging="550" w:hangingChars="250"/>
        <w:rPr>
          <w:rFonts w:hint="eastAsia" w:ascii="宋体" w:hAnsi="宋体" w:cs="宋体"/>
          <w:b/>
          <w:bCs/>
          <w:color w:val="auto"/>
          <w:sz w:val="22"/>
          <w:highlight w:val="none"/>
        </w:rPr>
      </w:pPr>
      <w:r>
        <w:rPr>
          <w:rFonts w:hint="eastAsia" w:ascii="宋体" w:hAnsi="宋体" w:cs="宋体"/>
          <w:bCs/>
          <w:color w:val="auto"/>
          <w:sz w:val="22"/>
          <w:highlight w:val="none"/>
        </w:rPr>
        <w:t>1.开标后直至向中标人授予合同时止，凡与评审有关的资料均不得向供应商及与评标无关人员透露，如果供应商在评标过程中试图向采购人或采购代理机构施加影响，其投标将被拒绝。</w:t>
      </w:r>
    </w:p>
    <w:p w14:paraId="76D1964E">
      <w:pPr>
        <w:spacing w:line="440" w:lineRule="exact"/>
        <w:ind w:left="552" w:hanging="552" w:hangingChars="250"/>
        <w:rPr>
          <w:rFonts w:hint="eastAsia" w:ascii="宋体" w:hAnsi="宋体" w:cs="宋体"/>
          <w:b/>
          <w:bCs/>
          <w:color w:val="auto"/>
          <w:sz w:val="22"/>
          <w:highlight w:val="none"/>
        </w:rPr>
      </w:pPr>
      <w:r>
        <w:rPr>
          <w:rFonts w:hint="eastAsia" w:ascii="宋体" w:hAnsi="宋体" w:cs="宋体"/>
          <w:b/>
          <w:bCs/>
          <w:color w:val="auto"/>
          <w:sz w:val="22"/>
          <w:highlight w:val="none"/>
        </w:rPr>
        <w:t>（三）评标前准备</w:t>
      </w:r>
    </w:p>
    <w:p w14:paraId="45D92DBB">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1.投标文件签收及解密：由采购代理机构开始签收并开始解密投标文件。</w:t>
      </w:r>
    </w:p>
    <w:p w14:paraId="70CB6FF7">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2.投标文件解密：投标文件递交截止时间后，供应商登录政采云平台，用“项目采购-开标评标”功能对电子投标文件进行在线解密。在线解密电子投标文件时间为开标时间起30分钟内。投标文件未按时解密，供应商提供了备份投标文件的，以备份投标文件作为依据，否则视为投标文件撤回。投标文件已按时解密的，备份投标文件自动失效。</w:t>
      </w:r>
    </w:p>
    <w:p w14:paraId="4C43DF09">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3.投标文件解密结束。供应商在线解密投标文件完毕后，由采购代理机构结束解密投标文件。</w:t>
      </w:r>
    </w:p>
    <w:p w14:paraId="6DE1F113">
      <w:pPr>
        <w:spacing w:line="440" w:lineRule="exact"/>
        <w:ind w:left="552" w:hanging="552" w:hangingChars="250"/>
        <w:rPr>
          <w:rFonts w:hint="eastAsia" w:ascii="宋体" w:hAnsi="宋体" w:cs="宋体"/>
          <w:b/>
          <w:color w:val="auto"/>
          <w:sz w:val="22"/>
          <w:highlight w:val="none"/>
        </w:rPr>
      </w:pPr>
      <w:r>
        <w:rPr>
          <w:rFonts w:hint="eastAsia" w:ascii="宋体" w:hAnsi="宋体" w:cs="宋体"/>
          <w:b/>
          <w:color w:val="auto"/>
          <w:sz w:val="22"/>
          <w:highlight w:val="none"/>
        </w:rPr>
        <w:t>（四）开标评标</w:t>
      </w:r>
    </w:p>
    <w:p w14:paraId="46A6E801">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1.资格性审查</w:t>
      </w:r>
    </w:p>
    <w:p w14:paraId="34B716F0">
      <w:pPr>
        <w:spacing w:line="440" w:lineRule="exact"/>
        <w:ind w:left="638" w:leftChars="304"/>
        <w:rPr>
          <w:rFonts w:hint="eastAsia" w:ascii="宋体" w:hAnsi="宋体" w:cs="宋体"/>
          <w:bCs/>
          <w:color w:val="auto"/>
          <w:sz w:val="22"/>
          <w:highlight w:val="none"/>
        </w:rPr>
      </w:pPr>
      <w:r>
        <w:rPr>
          <w:rFonts w:hint="eastAsia" w:ascii="宋体" w:hAnsi="宋体" w:cs="宋体"/>
          <w:bCs/>
          <w:color w:val="auto"/>
          <w:sz w:val="22"/>
          <w:highlight w:val="none"/>
        </w:rPr>
        <w:t>采购人或采购代理机构依据法律、法规和采购文件的规定，对各投标文件中的资格证明在线进行审查，以确定是否具备投标资格。</w:t>
      </w:r>
      <w:r>
        <w:rPr>
          <w:rFonts w:hint="eastAsia" w:ascii="宋体" w:hAnsi="宋体" w:cs="宋体"/>
          <w:b/>
          <w:color w:val="auto"/>
          <w:sz w:val="22"/>
          <w:highlight w:val="none"/>
        </w:rPr>
        <w:t>▲</w:t>
      </w:r>
      <w:r>
        <w:rPr>
          <w:rFonts w:hint="eastAsia" w:ascii="宋体" w:hAnsi="宋体" w:cs="宋体"/>
          <w:b/>
          <w:color w:val="auto"/>
          <w:sz w:val="22"/>
          <w:highlight w:val="none"/>
          <w:u w:val="single"/>
        </w:rPr>
        <w:t>只要有一项审查不合格，则该供应商的资格审查不合格，审查不合格的投标文件将不予评审。</w:t>
      </w:r>
    </w:p>
    <w:p w14:paraId="771E4707">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2.符合性审查</w:t>
      </w:r>
    </w:p>
    <w:p w14:paraId="7FF802DD">
      <w:pPr>
        <w:spacing w:line="440" w:lineRule="exact"/>
        <w:ind w:left="638" w:leftChars="304"/>
        <w:rPr>
          <w:rFonts w:hint="eastAsia" w:ascii="宋体" w:hAnsi="宋体" w:cs="宋体"/>
          <w:bCs/>
          <w:color w:val="auto"/>
          <w:sz w:val="22"/>
          <w:highlight w:val="none"/>
        </w:rPr>
      </w:pPr>
      <w:r>
        <w:rPr>
          <w:rFonts w:hint="eastAsia" w:ascii="宋体" w:hAnsi="宋体" w:cs="宋体"/>
          <w:bCs/>
          <w:color w:val="auto"/>
          <w:sz w:val="22"/>
          <w:highlight w:val="none"/>
        </w:rPr>
        <w:t>评标委员会依据法律、法规和采购文件的规定，对投标文件的有效性、完整性和对采购文件的响应程度进行审查，以确定是否符合采购文件的商务、技术等实质性要求。</w:t>
      </w:r>
      <w:r>
        <w:rPr>
          <w:rFonts w:hint="eastAsia" w:ascii="宋体" w:hAnsi="宋体" w:cs="宋体"/>
          <w:b/>
          <w:color w:val="auto"/>
          <w:sz w:val="22"/>
          <w:highlight w:val="none"/>
          <w:u w:val="single"/>
        </w:rPr>
        <w:t>评标委员会决定投标的响应性只根据投标文件本身的内容，而不寻求外部的证据。</w:t>
      </w:r>
    </w:p>
    <w:p w14:paraId="5AE7B24D">
      <w:pPr>
        <w:spacing w:line="440" w:lineRule="exact"/>
        <w:ind w:left="539" w:hanging="539" w:hangingChars="245"/>
        <w:rPr>
          <w:rFonts w:hint="eastAsia" w:ascii="宋体" w:hAnsi="宋体" w:cs="宋体"/>
          <w:bCs/>
          <w:color w:val="auto"/>
          <w:sz w:val="22"/>
          <w:highlight w:val="none"/>
        </w:rPr>
      </w:pPr>
      <w:r>
        <w:rPr>
          <w:rFonts w:hint="eastAsia" w:ascii="宋体" w:hAnsi="宋体" w:cs="宋体"/>
          <w:bCs/>
          <w:color w:val="auto"/>
          <w:sz w:val="22"/>
          <w:highlight w:val="none"/>
        </w:rPr>
        <w:t>3.投标文件评审</w:t>
      </w:r>
    </w:p>
    <w:p w14:paraId="00E7892F">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 xml:space="preserve">     评标委员会根据采购文件中规定的评标方法和标准，对符合性审查合格的投标文件进行商务、技术和价格评估，综合比较与评价，并</w:t>
      </w:r>
      <w:r>
        <w:rPr>
          <w:rFonts w:hint="eastAsia" w:ascii="宋体" w:hAnsi="宋体" w:cs="宋体"/>
          <w:color w:val="auto"/>
          <w:sz w:val="22"/>
          <w:highlight w:val="none"/>
        </w:rPr>
        <w:t>按照采购文件中制订的评标方法进行综合评定打分，并提交评审报告。</w:t>
      </w:r>
    </w:p>
    <w:p w14:paraId="01C3F838">
      <w:pPr>
        <w:tabs>
          <w:tab w:val="left" w:pos="1365"/>
        </w:tabs>
        <w:spacing w:line="440" w:lineRule="exact"/>
        <w:ind w:left="552" w:hanging="552" w:hangingChars="250"/>
        <w:rPr>
          <w:rFonts w:hint="eastAsia" w:ascii="宋体" w:hAnsi="宋体" w:cs="宋体"/>
          <w:b/>
          <w:color w:val="auto"/>
          <w:sz w:val="22"/>
          <w:highlight w:val="none"/>
        </w:rPr>
      </w:pPr>
      <w:r>
        <w:rPr>
          <w:rFonts w:hint="eastAsia" w:ascii="宋体" w:hAnsi="宋体" w:cs="宋体"/>
          <w:b/>
          <w:color w:val="auto"/>
          <w:sz w:val="22"/>
          <w:highlight w:val="none"/>
        </w:rPr>
        <w:t>（五）投标文件的澄清</w:t>
      </w:r>
    </w:p>
    <w:p w14:paraId="163F977B">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1.对于投标文件中含义不明确、同类问题表述不一致或者有明显文字和计算错误的内容，评标委员会应当以书面形式要求供应商作出必要的澄清、说明或者补正。</w:t>
      </w:r>
    </w:p>
    <w:p w14:paraId="0B3AD610">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2.供应商的澄清、说明或者补正应当采用电子传输形式。</w:t>
      </w:r>
      <w:r>
        <w:rPr>
          <w:rFonts w:hint="eastAsia" w:ascii="宋体" w:hAnsi="宋体" w:cs="宋体"/>
          <w:b/>
          <w:color w:val="auto"/>
          <w:sz w:val="22"/>
          <w:highlight w:val="none"/>
          <w:u w:val="single"/>
        </w:rPr>
        <w:t>供应商的澄清、说明或者补正不得超出投标文件的范围或者改变投标文件的实质性内容。</w:t>
      </w:r>
    </w:p>
    <w:p w14:paraId="4D8DD3AC">
      <w:pPr>
        <w:spacing w:line="440" w:lineRule="exact"/>
        <w:ind w:left="552" w:hanging="552" w:hangingChars="250"/>
        <w:rPr>
          <w:rFonts w:hint="eastAsia" w:ascii="宋体" w:hAnsi="宋体" w:cs="宋体"/>
          <w:b/>
          <w:bCs/>
          <w:color w:val="auto"/>
          <w:sz w:val="22"/>
          <w:highlight w:val="none"/>
        </w:rPr>
      </w:pPr>
      <w:r>
        <w:rPr>
          <w:rFonts w:hint="eastAsia" w:ascii="宋体" w:hAnsi="宋体" w:cs="宋体"/>
          <w:b/>
          <w:bCs/>
          <w:color w:val="auto"/>
          <w:sz w:val="22"/>
          <w:highlight w:val="none"/>
        </w:rPr>
        <w:t>（六）投标价格修正</w:t>
      </w:r>
    </w:p>
    <w:p w14:paraId="5E3ECD54">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 xml:space="preserve">     评标委员会对各供应商的投标报价进行核查，核查时发现投标报价内容不清楚可要求供应商书面澄清，投标文件报价出现前后不一致的，按照下列规定修正：</w:t>
      </w:r>
    </w:p>
    <w:p w14:paraId="037EA05D">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1.投标文件中投标报价一览表内容与投标分项报价表不一致的，以投标报价一览表为准；</w:t>
      </w:r>
    </w:p>
    <w:p w14:paraId="104E01F4">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2.大写金额与小写金额不一致的，以大写金额为准；</w:t>
      </w:r>
    </w:p>
    <w:p w14:paraId="380B136B">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3.单价金额小数点或者百分比有明显错位的，以投标报价一览表的总价为准，并修改单价；</w:t>
      </w:r>
    </w:p>
    <w:p w14:paraId="0D5C8E3A">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4.总价金额与按单价汇总金额不一致的，以单价金额计算结果为准。</w:t>
      </w:r>
    </w:p>
    <w:p w14:paraId="23DD466A">
      <w:pPr>
        <w:spacing w:line="440" w:lineRule="exact"/>
        <w:ind w:left="550" w:hanging="550" w:hangingChars="250"/>
        <w:rPr>
          <w:rFonts w:hint="eastAsia" w:ascii="宋体" w:hAnsi="宋体" w:cs="宋体"/>
          <w:b/>
          <w:bCs/>
          <w:color w:val="auto"/>
          <w:sz w:val="22"/>
          <w:highlight w:val="none"/>
          <w:u w:val="single"/>
        </w:rPr>
      </w:pPr>
      <w:r>
        <w:rPr>
          <w:rFonts w:hint="eastAsia" w:ascii="宋体" w:hAnsi="宋体" w:cs="宋体"/>
          <w:bCs/>
          <w:color w:val="auto"/>
          <w:sz w:val="22"/>
          <w:highlight w:val="none"/>
        </w:rPr>
        <w:t>5.</w:t>
      </w:r>
      <w:r>
        <w:rPr>
          <w:rFonts w:hint="eastAsia" w:ascii="宋体" w:hAnsi="宋体" w:cs="宋体"/>
          <w:b/>
          <w:color w:val="auto"/>
          <w:sz w:val="22"/>
          <w:highlight w:val="none"/>
        </w:rPr>
        <w:t>▲</w:t>
      </w:r>
      <w:r>
        <w:rPr>
          <w:rFonts w:hint="eastAsia" w:ascii="宋体" w:hAnsi="宋体" w:cs="宋体"/>
          <w:b/>
          <w:bCs/>
          <w:color w:val="auto"/>
          <w:sz w:val="22"/>
          <w:highlight w:val="none"/>
          <w:u w:val="single"/>
        </w:rPr>
        <w:t>同时出现两种以上不一致的，按照前款规定的顺序修正。修正后的报价按照第5点的规定经供应商确认后产生约束力，供应商不确认的，其投标无效</w:t>
      </w:r>
      <w:r>
        <w:rPr>
          <w:rFonts w:hint="eastAsia" w:ascii="宋体" w:hAnsi="宋体" w:cs="宋体"/>
          <w:bCs/>
          <w:color w:val="auto"/>
          <w:sz w:val="22"/>
          <w:highlight w:val="none"/>
        </w:rPr>
        <w:t>。</w:t>
      </w:r>
    </w:p>
    <w:p w14:paraId="278D0C9F">
      <w:pPr>
        <w:spacing w:line="440" w:lineRule="exact"/>
        <w:ind w:left="541" w:hanging="541" w:hangingChars="245"/>
        <w:rPr>
          <w:rFonts w:hint="eastAsia" w:ascii="宋体" w:hAnsi="宋体" w:cs="宋体"/>
          <w:bCs/>
          <w:color w:val="auto"/>
          <w:sz w:val="22"/>
          <w:highlight w:val="none"/>
        </w:rPr>
      </w:pPr>
      <w:r>
        <w:rPr>
          <w:rFonts w:hint="eastAsia" w:ascii="宋体" w:hAnsi="宋体" w:cs="宋体"/>
          <w:b/>
          <w:color w:val="auto"/>
          <w:sz w:val="22"/>
          <w:highlight w:val="none"/>
        </w:rPr>
        <w:t>（七）▲</w:t>
      </w:r>
      <w:r>
        <w:rPr>
          <w:rFonts w:hint="eastAsia" w:ascii="宋体" w:hAnsi="宋体" w:cs="宋体"/>
          <w:b/>
          <w:bCs/>
          <w:color w:val="auto"/>
          <w:sz w:val="22"/>
          <w:highlight w:val="none"/>
          <w:u w:val="single"/>
        </w:rPr>
        <w:t>评标委员会认定供应商存在下列情况之一的，投标无效</w:t>
      </w:r>
      <w:r>
        <w:rPr>
          <w:rFonts w:hint="eastAsia" w:ascii="宋体" w:hAnsi="宋体" w:cs="宋体"/>
          <w:b/>
          <w:bCs/>
          <w:color w:val="auto"/>
          <w:sz w:val="22"/>
          <w:highlight w:val="none"/>
        </w:rPr>
        <w:t>：</w:t>
      </w:r>
    </w:p>
    <w:p w14:paraId="6E663706">
      <w:pPr>
        <w:spacing w:line="440" w:lineRule="exact"/>
        <w:ind w:left="550" w:hanging="550" w:hangingChars="250"/>
        <w:rPr>
          <w:rFonts w:hint="eastAsia" w:ascii="宋体" w:hAnsi="宋体" w:cs="宋体"/>
          <w:bCs/>
          <w:color w:val="auto"/>
          <w:sz w:val="22"/>
          <w:highlight w:val="none"/>
        </w:rPr>
      </w:pPr>
      <w:r>
        <w:rPr>
          <w:rFonts w:hint="eastAsia" w:ascii="宋体" w:hAnsi="宋体" w:cs="宋体"/>
          <w:bCs/>
          <w:color w:val="auto"/>
          <w:sz w:val="22"/>
          <w:highlight w:val="none"/>
        </w:rPr>
        <w:t>1.</w:t>
      </w:r>
      <w:r>
        <w:rPr>
          <w:rFonts w:hint="eastAsia" w:ascii="宋体" w:hAnsi="宋体" w:cs="宋体"/>
          <w:bCs/>
          <w:color w:val="auto"/>
          <w:sz w:val="22"/>
          <w:highlight w:val="none"/>
          <w:u w:val="single"/>
        </w:rPr>
        <w:t>投标文件未按采购文件要求签署、盖章的</w:t>
      </w:r>
      <w:r>
        <w:rPr>
          <w:rFonts w:hint="eastAsia" w:ascii="宋体" w:hAnsi="宋体" w:cs="宋体"/>
          <w:bCs/>
          <w:color w:val="auto"/>
          <w:sz w:val="22"/>
          <w:highlight w:val="none"/>
        </w:rPr>
        <w:t>；</w:t>
      </w:r>
    </w:p>
    <w:p w14:paraId="52D3F743">
      <w:pPr>
        <w:spacing w:line="440" w:lineRule="exact"/>
        <w:rPr>
          <w:rFonts w:hint="eastAsia"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u w:val="single"/>
        </w:rPr>
        <w:t>明显不符合采购文件规定的技术规格、技术标准要求或不满足主要技术参数的</w:t>
      </w:r>
      <w:r>
        <w:rPr>
          <w:rFonts w:hint="eastAsia" w:ascii="宋体" w:hAnsi="宋体" w:cs="宋体"/>
          <w:color w:val="auto"/>
          <w:sz w:val="22"/>
          <w:highlight w:val="none"/>
        </w:rPr>
        <w:t>；</w:t>
      </w:r>
    </w:p>
    <w:p w14:paraId="07573893">
      <w:pPr>
        <w:spacing w:line="440" w:lineRule="exact"/>
        <w:rPr>
          <w:rFonts w:hint="eastAsia" w:ascii="宋体" w:hAnsi="宋体" w:cs="宋体"/>
          <w:bCs/>
          <w:color w:val="auto"/>
          <w:sz w:val="22"/>
          <w:highlight w:val="none"/>
        </w:rPr>
      </w:pPr>
      <w:r>
        <w:rPr>
          <w:rFonts w:hint="eastAsia" w:ascii="宋体" w:hAnsi="宋体" w:cs="宋体"/>
          <w:bCs/>
          <w:color w:val="auto"/>
          <w:sz w:val="22"/>
          <w:highlight w:val="none"/>
        </w:rPr>
        <w:t>3.</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rPr>
        <w:t>；</w:t>
      </w:r>
    </w:p>
    <w:p w14:paraId="5AB97CDC">
      <w:pPr>
        <w:spacing w:line="440" w:lineRule="exact"/>
        <w:rPr>
          <w:rFonts w:hint="eastAsia"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u w:val="single"/>
        </w:rPr>
        <w:t>投标报价超过采购文件中规定的预算金额或者最高限价的</w:t>
      </w:r>
      <w:r>
        <w:rPr>
          <w:rFonts w:hint="eastAsia" w:ascii="宋体" w:hAnsi="宋体" w:cs="宋体"/>
          <w:color w:val="auto"/>
          <w:sz w:val="22"/>
          <w:highlight w:val="none"/>
        </w:rPr>
        <w:t>；</w:t>
      </w:r>
    </w:p>
    <w:p w14:paraId="0F0F3E00">
      <w:pPr>
        <w:spacing w:line="440" w:lineRule="exact"/>
        <w:rPr>
          <w:rFonts w:hint="eastAsia" w:ascii="宋体" w:hAnsi="宋体" w:cs="宋体"/>
          <w:bCs/>
          <w:color w:val="auto"/>
          <w:sz w:val="22"/>
          <w:highlight w:val="none"/>
        </w:rPr>
      </w:pPr>
      <w:r>
        <w:rPr>
          <w:rFonts w:hint="eastAsia" w:ascii="宋体" w:hAnsi="宋体" w:cs="宋体"/>
          <w:color w:val="auto"/>
          <w:sz w:val="22"/>
          <w:highlight w:val="none"/>
        </w:rPr>
        <w:t>5.</w:t>
      </w:r>
      <w:r>
        <w:rPr>
          <w:rFonts w:hint="eastAsia" w:ascii="宋体" w:hAnsi="宋体" w:cs="宋体"/>
          <w:color w:val="auto"/>
          <w:sz w:val="22"/>
          <w:highlight w:val="none"/>
          <w:u w:val="single"/>
        </w:rPr>
        <w:t>资信响应文件或商务技术响应文件中出现投标报价的</w:t>
      </w:r>
      <w:r>
        <w:rPr>
          <w:rFonts w:hint="eastAsia" w:ascii="宋体" w:hAnsi="宋体" w:cs="宋体"/>
          <w:color w:val="auto"/>
          <w:sz w:val="22"/>
          <w:highlight w:val="none"/>
        </w:rPr>
        <w:t>；</w:t>
      </w:r>
    </w:p>
    <w:p w14:paraId="00C1CB23">
      <w:pPr>
        <w:spacing w:line="440" w:lineRule="exact"/>
        <w:rPr>
          <w:rFonts w:hint="eastAsia" w:ascii="宋体" w:hAnsi="宋体" w:cs="宋体"/>
          <w:color w:val="auto"/>
          <w:sz w:val="22"/>
          <w:highlight w:val="none"/>
        </w:rPr>
      </w:pPr>
      <w:r>
        <w:rPr>
          <w:rFonts w:hint="eastAsia" w:ascii="宋体" w:hAnsi="宋体" w:cs="宋体"/>
          <w:bCs/>
          <w:color w:val="auto"/>
          <w:sz w:val="22"/>
          <w:highlight w:val="none"/>
        </w:rPr>
        <w:t>6.</w:t>
      </w:r>
      <w:r>
        <w:rPr>
          <w:rFonts w:hint="eastAsia" w:ascii="宋体" w:hAnsi="宋体" w:cs="宋体"/>
          <w:bCs/>
          <w:color w:val="auto"/>
          <w:sz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rPr>
        <w:t>；</w:t>
      </w:r>
    </w:p>
    <w:p w14:paraId="2AF30CF1">
      <w:pPr>
        <w:spacing w:line="440" w:lineRule="exact"/>
        <w:rPr>
          <w:rFonts w:hint="eastAsia" w:ascii="宋体" w:hAnsi="宋体" w:cs="宋体"/>
          <w:color w:val="auto"/>
          <w:sz w:val="22"/>
          <w:highlight w:val="none"/>
          <w:u w:val="single"/>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p>
    <w:p w14:paraId="47CBA75B">
      <w:pPr>
        <w:spacing w:line="440" w:lineRule="exact"/>
        <w:rPr>
          <w:rFonts w:hint="eastAsia" w:ascii="宋体" w:hAnsi="宋体" w:cs="宋体"/>
          <w:color w:val="auto"/>
          <w:sz w:val="22"/>
          <w:highlight w:val="none"/>
        </w:rPr>
      </w:pPr>
      <w:r>
        <w:rPr>
          <w:rFonts w:hint="eastAsia" w:ascii="宋体" w:hAnsi="宋体" w:cs="宋体"/>
          <w:bCs/>
          <w:color w:val="auto"/>
          <w:sz w:val="22"/>
          <w:highlight w:val="none"/>
        </w:rPr>
        <w:t>8.</w:t>
      </w:r>
      <w:r>
        <w:rPr>
          <w:rFonts w:hint="eastAsia" w:ascii="宋体" w:hAnsi="宋体" w:cs="宋体"/>
          <w:color w:val="auto"/>
          <w:sz w:val="22"/>
          <w:highlight w:val="none"/>
          <w:u w:val="single"/>
        </w:rPr>
        <w:t>法律、法规和采购文件中规定的其它无效情形</w:t>
      </w:r>
      <w:r>
        <w:rPr>
          <w:rFonts w:hint="eastAsia" w:ascii="宋体" w:hAnsi="宋体" w:cs="宋体"/>
          <w:color w:val="auto"/>
          <w:sz w:val="22"/>
          <w:highlight w:val="none"/>
        </w:rPr>
        <w:t>。</w:t>
      </w:r>
    </w:p>
    <w:p w14:paraId="2B39E626">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（八）评标过程中遇到特殊情况，由评标委员会遵循公开、公正原则，采取投票方式按照少数服从多数原则决定。</w:t>
      </w:r>
    </w:p>
    <w:p w14:paraId="544BC697">
      <w:pPr>
        <w:tabs>
          <w:tab w:val="left" w:pos="1365"/>
        </w:tabs>
        <w:spacing w:line="440" w:lineRule="exact"/>
        <w:ind w:left="440" w:hanging="440" w:hangingChars="200"/>
        <w:rPr>
          <w:rFonts w:hint="eastAsia" w:ascii="宋体" w:hAnsi="宋体" w:cs="宋体"/>
          <w:color w:val="auto"/>
          <w:sz w:val="22"/>
          <w:highlight w:val="none"/>
        </w:rPr>
      </w:pPr>
      <w:r>
        <w:rPr>
          <w:rFonts w:hint="eastAsia" w:ascii="宋体" w:hAnsi="宋体" w:cs="宋体"/>
          <w:color w:val="auto"/>
          <w:sz w:val="22"/>
          <w:highlight w:val="none"/>
        </w:rPr>
        <w:t>（九）优化评审管理</w:t>
      </w:r>
    </w:p>
    <w:p w14:paraId="461AC026">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1.根据浙财采监〔2022〕8号文相关的规定，评审小组成员个人主观打分偏离所有评审小组成员主观打分平均值30%以上的，由评审委员会启动评分畸高、畸低行为认定程序。</w:t>
      </w:r>
    </w:p>
    <w:p w14:paraId="0A0D56EA">
      <w:pPr>
        <w:tabs>
          <w:tab w:val="left" w:pos="1365"/>
        </w:tabs>
        <w:spacing w:line="440" w:lineRule="exact"/>
        <w:ind w:left="440" w:hanging="440" w:hangingChars="200"/>
        <w:rPr>
          <w:rFonts w:hint="eastAsia" w:ascii="宋体" w:hAnsi="宋体" w:cs="宋体"/>
          <w:color w:val="auto"/>
          <w:sz w:val="22"/>
          <w:highlight w:val="none"/>
        </w:rPr>
      </w:pPr>
      <w:r>
        <w:rPr>
          <w:rFonts w:hint="eastAsia" w:ascii="宋体" w:hAnsi="宋体" w:cs="宋体"/>
          <w:color w:val="auto"/>
          <w:sz w:val="22"/>
          <w:highlight w:val="none"/>
        </w:rPr>
        <w:t>（十）推荐中标候选人</w:t>
      </w:r>
    </w:p>
    <w:p w14:paraId="25A6E778">
      <w:pPr>
        <w:tabs>
          <w:tab w:val="left" w:pos="1365"/>
        </w:tabs>
        <w:spacing w:line="440" w:lineRule="exact"/>
        <w:ind w:left="440" w:hanging="440" w:hangingChars="200"/>
        <w:rPr>
          <w:rFonts w:hint="eastAsia" w:ascii="宋体" w:hAnsi="宋体" w:cs="宋体"/>
          <w:color w:val="auto"/>
          <w:sz w:val="22"/>
          <w:highlight w:val="none"/>
        </w:rPr>
      </w:pPr>
      <w:r>
        <w:rPr>
          <w:rFonts w:hint="eastAsia" w:ascii="宋体" w:hAnsi="宋体" w:cs="宋体"/>
          <w:color w:val="auto"/>
          <w:sz w:val="22"/>
          <w:highlight w:val="none"/>
        </w:rPr>
        <w:t>1.本次采购由评标委员会推2名中标候选人。</w:t>
      </w:r>
    </w:p>
    <w:p w14:paraId="4B258020">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2.评标委员会依据投标文件满足采购文件全部实质性要求，且按照评审因素的量化指标评审得分（即技术资信分与价格分之和）由高到低顺序排序，得分前二名的供应商推荐为该项目的第一和第二中标候选人（得分相同的，按投标报价由低到高排序；得分且投标报价相同的并列）。</w:t>
      </w:r>
    </w:p>
    <w:p w14:paraId="4FB4E38D">
      <w:pPr>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（十一）投标截止时间止及评审期间，如出现有效供应商＜3家时，本项目废标，并重新组织采购。</w:t>
      </w:r>
    </w:p>
    <w:p w14:paraId="7ED3793E">
      <w:pPr>
        <w:spacing w:line="440" w:lineRule="exact"/>
        <w:rPr>
          <w:rFonts w:hint="eastAsia" w:ascii="宋体" w:hAnsi="宋体" w:cs="宋体"/>
          <w:b/>
          <w:color w:val="auto"/>
          <w:sz w:val="22"/>
          <w:highlight w:val="none"/>
        </w:rPr>
      </w:pPr>
      <w:r>
        <w:rPr>
          <w:rFonts w:hint="eastAsia" w:ascii="宋体" w:hAnsi="宋体" w:cs="宋体"/>
          <w:b/>
          <w:color w:val="auto"/>
          <w:sz w:val="22"/>
          <w:highlight w:val="none"/>
        </w:rPr>
        <w:t>（十二）评标细则详见第六部分“评标原则及方法”。</w:t>
      </w:r>
    </w:p>
    <w:p w14:paraId="0C07133A">
      <w:pPr>
        <w:spacing w:line="440" w:lineRule="exact"/>
        <w:rPr>
          <w:rFonts w:hint="eastAsia" w:ascii="宋体" w:hAnsi="宋体" w:cs="宋体"/>
          <w:b/>
          <w:color w:val="auto"/>
          <w:sz w:val="22"/>
          <w:highlight w:val="none"/>
        </w:rPr>
      </w:pPr>
      <w:r>
        <w:rPr>
          <w:rFonts w:hint="eastAsia" w:ascii="宋体" w:hAnsi="宋体" w:cs="宋体"/>
          <w:b/>
          <w:color w:val="auto"/>
          <w:sz w:val="22"/>
          <w:highlight w:val="none"/>
        </w:rPr>
        <w:t>（十三） 未尽事宜遵循相关法律法规及规范性文件执行。</w:t>
      </w:r>
    </w:p>
    <w:p w14:paraId="0FED9E3B">
      <w:pPr>
        <w:pStyle w:val="13"/>
        <w:spacing w:line="460" w:lineRule="exact"/>
        <w:jc w:val="center"/>
        <w:outlineLvl w:val="1"/>
        <w:rPr>
          <w:rFonts w:hint="eastAsia" w:ascii="宋体" w:hAnsi="宋体" w:cs="宋体"/>
          <w:b/>
          <w:bCs/>
          <w:color w:val="auto"/>
          <w:sz w:val="22"/>
          <w:szCs w:val="22"/>
          <w:highlight w:val="none"/>
        </w:rPr>
      </w:pPr>
      <w:bookmarkStart w:id="54" w:name="_Toc11549"/>
      <w:r>
        <w:rPr>
          <w:rFonts w:hint="eastAsia" w:ascii="宋体" w:hAnsi="宋体" w:cs="宋体"/>
          <w:b/>
          <w:bCs/>
          <w:color w:val="auto"/>
          <w:sz w:val="22"/>
          <w:szCs w:val="22"/>
          <w:highlight w:val="none"/>
        </w:rPr>
        <w:t>六、授予合同</w:t>
      </w:r>
      <w:bookmarkEnd w:id="48"/>
      <w:bookmarkEnd w:id="49"/>
      <w:bookmarkEnd w:id="50"/>
      <w:bookmarkEnd w:id="51"/>
      <w:bookmarkEnd w:id="52"/>
      <w:bookmarkEnd w:id="53"/>
      <w:bookmarkEnd w:id="54"/>
    </w:p>
    <w:p w14:paraId="3F299893">
      <w:pPr>
        <w:tabs>
          <w:tab w:val="left" w:pos="1365"/>
        </w:tabs>
        <w:spacing w:line="440" w:lineRule="exact"/>
        <w:ind w:left="550" w:hanging="550" w:hangingChars="250"/>
        <w:rPr>
          <w:rFonts w:hint="eastAsia" w:ascii="宋体" w:hAnsi="宋体" w:cs="宋体"/>
          <w:b/>
          <w:color w:val="auto"/>
          <w:sz w:val="22"/>
          <w:highlight w:val="none"/>
        </w:rPr>
      </w:pPr>
      <w:bookmarkStart w:id="55" w:name="_Toc99389644"/>
      <w:bookmarkStart w:id="56" w:name="_Toc102115986"/>
      <w:bookmarkStart w:id="57" w:name="_Toc17832"/>
      <w:bookmarkStart w:id="58" w:name="_Toc95395551"/>
      <w:r>
        <w:rPr>
          <w:rFonts w:hint="eastAsia" w:ascii="宋体" w:hAnsi="宋体" w:cs="宋体"/>
          <w:bCs/>
          <w:color w:val="auto"/>
          <w:sz w:val="22"/>
          <w:highlight w:val="none"/>
        </w:rPr>
        <w:t>（一）</w:t>
      </w:r>
      <w:r>
        <w:rPr>
          <w:rFonts w:hint="eastAsia" w:ascii="宋体" w:hAnsi="宋体" w:cs="宋体"/>
          <w:b/>
          <w:color w:val="auto"/>
          <w:sz w:val="22"/>
          <w:highlight w:val="none"/>
        </w:rPr>
        <w:t xml:space="preserve"> 确定中标人</w:t>
      </w:r>
    </w:p>
    <w:p w14:paraId="73148D46">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1.采购代理机构应当在评标结束后2个工作日内将评标报告送采购人。</w:t>
      </w:r>
    </w:p>
    <w:p w14:paraId="5A6FAAD1">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2.采购人应当自收到评标报告之日起5个工作日内，在评标报告确定的中标候选人名单中按顺序确定中标人。中标候选人并列的，由采购人采取随机抽取的方式确定。</w:t>
      </w:r>
    </w:p>
    <w:p w14:paraId="16436F2B">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3.采购人在收到评标报告5个工作日内未按评标报告推荐的中标候选人顺序确定中标人，又不能说明合法理由的，视同按评标报告推荐的顺序确定排名第一的中标候选人为中标人。</w:t>
      </w:r>
    </w:p>
    <w:p w14:paraId="06E24172">
      <w:pPr>
        <w:spacing w:line="440" w:lineRule="exact"/>
        <w:rPr>
          <w:rFonts w:hint="eastAsia" w:ascii="宋体" w:hAnsi="宋体" w:cs="宋体"/>
          <w:b/>
          <w:bCs/>
          <w:color w:val="auto"/>
          <w:sz w:val="22"/>
          <w:highlight w:val="none"/>
        </w:rPr>
      </w:pPr>
      <w:r>
        <w:rPr>
          <w:rFonts w:hint="eastAsia" w:ascii="宋体" w:hAnsi="宋体" w:cs="宋体"/>
          <w:bCs/>
          <w:color w:val="auto"/>
          <w:sz w:val="22"/>
          <w:highlight w:val="none"/>
        </w:rPr>
        <w:t>（二）</w:t>
      </w:r>
      <w:r>
        <w:rPr>
          <w:rFonts w:hint="eastAsia" w:ascii="宋体" w:hAnsi="宋体" w:cs="宋体"/>
          <w:b/>
          <w:bCs/>
          <w:color w:val="auto"/>
          <w:sz w:val="22"/>
          <w:highlight w:val="none"/>
        </w:rPr>
        <w:t>中标公告</w:t>
      </w:r>
    </w:p>
    <w:p w14:paraId="56F853A2">
      <w:pPr>
        <w:spacing w:line="440" w:lineRule="exact"/>
        <w:ind w:left="550" w:hanging="550" w:hangingChars="250"/>
        <w:rPr>
          <w:rFonts w:hint="eastAsia" w:ascii="宋体" w:hAnsi="宋体" w:cs="宋体"/>
          <w:b/>
          <w:bCs/>
          <w:color w:val="auto"/>
          <w:sz w:val="22"/>
          <w:highlight w:val="none"/>
        </w:rPr>
      </w:pPr>
      <w:r>
        <w:rPr>
          <w:rFonts w:hint="eastAsia" w:ascii="宋体" w:hAnsi="宋体" w:cs="宋体"/>
          <w:bCs/>
          <w:color w:val="auto"/>
          <w:sz w:val="22"/>
          <w:highlight w:val="none"/>
        </w:rPr>
        <w:t>1.采购人或者采购代理机构应当自中标人确定之日起2个工作日内，在省级以上财政部门指定的媒体上公告中标结果，采购文件应当随中标结果同时公告。</w:t>
      </w:r>
    </w:p>
    <w:p w14:paraId="29024018">
      <w:pPr>
        <w:spacing w:line="440" w:lineRule="exact"/>
        <w:ind w:left="440" w:hanging="440" w:hangingChars="200"/>
        <w:rPr>
          <w:rFonts w:hint="eastAsia" w:ascii="宋体" w:hAnsi="宋体" w:cs="宋体"/>
          <w:bCs/>
          <w:color w:val="auto"/>
          <w:sz w:val="22"/>
          <w:highlight w:val="none"/>
        </w:rPr>
      </w:pPr>
      <w:r>
        <w:rPr>
          <w:rFonts w:hint="eastAsia" w:ascii="宋体" w:hAnsi="宋体" w:cs="宋体"/>
          <w:bCs/>
          <w:color w:val="auto"/>
          <w:sz w:val="22"/>
          <w:highlight w:val="none"/>
        </w:rPr>
        <w:t>（三）</w:t>
      </w:r>
      <w:r>
        <w:rPr>
          <w:rFonts w:hint="eastAsia" w:ascii="宋体" w:hAnsi="宋体" w:cs="宋体"/>
          <w:b/>
          <w:bCs/>
          <w:color w:val="auto"/>
          <w:sz w:val="22"/>
          <w:highlight w:val="none"/>
        </w:rPr>
        <w:t>中标通知书</w:t>
      </w:r>
    </w:p>
    <w:p w14:paraId="53F13F7A">
      <w:pPr>
        <w:spacing w:line="440" w:lineRule="exact"/>
        <w:ind w:left="440" w:hanging="440" w:hangingChars="200"/>
        <w:rPr>
          <w:rFonts w:hint="eastAsia" w:ascii="宋体" w:hAnsi="宋体" w:cs="宋体"/>
          <w:bCs/>
          <w:color w:val="auto"/>
          <w:sz w:val="22"/>
          <w:highlight w:val="none"/>
        </w:rPr>
      </w:pPr>
      <w:r>
        <w:rPr>
          <w:rFonts w:hint="eastAsia" w:ascii="宋体" w:hAnsi="宋体" w:cs="宋体"/>
          <w:bCs/>
          <w:color w:val="auto"/>
          <w:sz w:val="22"/>
          <w:highlight w:val="none"/>
        </w:rPr>
        <w:t>1.在公告中标结果的同时</w:t>
      </w:r>
      <w:r>
        <w:rPr>
          <w:rFonts w:hint="eastAsia" w:ascii="宋体" w:hAnsi="宋体" w:cs="宋体"/>
          <w:color w:val="auto"/>
          <w:sz w:val="22"/>
          <w:highlight w:val="none"/>
        </w:rPr>
        <w:t>，采购人或采购代理机构向中标人发出中标通知书。</w:t>
      </w:r>
    </w:p>
    <w:p w14:paraId="7EFDF66C">
      <w:pPr>
        <w:spacing w:line="440" w:lineRule="exact"/>
        <w:ind w:left="440" w:hanging="440" w:hangingChars="200"/>
        <w:rPr>
          <w:rFonts w:hint="eastAsia" w:ascii="宋体" w:hAnsi="宋体" w:cs="宋体"/>
          <w:bCs/>
          <w:color w:val="auto"/>
          <w:sz w:val="22"/>
          <w:highlight w:val="none"/>
        </w:rPr>
      </w:pPr>
      <w:r>
        <w:rPr>
          <w:rFonts w:hint="eastAsia" w:ascii="宋体" w:hAnsi="宋体" w:cs="宋体"/>
          <w:bCs/>
          <w:color w:val="auto"/>
          <w:sz w:val="22"/>
          <w:highlight w:val="none"/>
        </w:rPr>
        <w:t>2.</w:t>
      </w:r>
      <w:r>
        <w:rPr>
          <w:rFonts w:hint="eastAsia" w:ascii="宋体" w:hAnsi="宋体" w:cs="宋体"/>
          <w:color w:val="auto"/>
          <w:sz w:val="22"/>
          <w:highlight w:val="none"/>
        </w:rPr>
        <w:t>中标通知书是合同的一个组成部分,对采购人和中标人均具有同等法律效力。</w:t>
      </w:r>
    </w:p>
    <w:p w14:paraId="57670AE4">
      <w:pPr>
        <w:spacing w:line="440" w:lineRule="exact"/>
        <w:ind w:left="440" w:hanging="440" w:hangingChars="200"/>
        <w:rPr>
          <w:rFonts w:hint="eastAsia" w:ascii="宋体" w:hAnsi="宋体" w:cs="宋体"/>
          <w:bCs/>
          <w:color w:val="auto"/>
          <w:sz w:val="22"/>
          <w:highlight w:val="none"/>
        </w:rPr>
      </w:pPr>
      <w:r>
        <w:rPr>
          <w:rFonts w:hint="eastAsia" w:ascii="宋体" w:hAnsi="宋体" w:cs="宋体"/>
          <w:bCs/>
          <w:color w:val="auto"/>
          <w:sz w:val="22"/>
          <w:highlight w:val="none"/>
        </w:rPr>
        <w:t xml:space="preserve">（四） </w:t>
      </w:r>
      <w:r>
        <w:rPr>
          <w:rFonts w:hint="eastAsia" w:ascii="宋体" w:hAnsi="宋体" w:cs="宋体"/>
          <w:b/>
          <w:bCs/>
          <w:color w:val="auto"/>
          <w:sz w:val="22"/>
          <w:highlight w:val="none"/>
        </w:rPr>
        <w:t>签订合同</w:t>
      </w:r>
    </w:p>
    <w:p w14:paraId="7F433806">
      <w:pPr>
        <w:spacing w:line="440" w:lineRule="exact"/>
        <w:ind w:left="440" w:hanging="440" w:hangingChars="200"/>
        <w:rPr>
          <w:rFonts w:hint="eastAsia" w:ascii="宋体" w:hAnsi="宋体" w:cs="宋体"/>
          <w:bCs/>
          <w:color w:val="auto"/>
          <w:sz w:val="22"/>
          <w:highlight w:val="none"/>
        </w:rPr>
      </w:pPr>
      <w:r>
        <w:rPr>
          <w:rFonts w:hint="eastAsia" w:ascii="宋体" w:hAnsi="宋体" w:cs="宋体"/>
          <w:bCs/>
          <w:color w:val="auto"/>
          <w:sz w:val="22"/>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05B7EF52">
      <w:pPr>
        <w:spacing w:line="440" w:lineRule="exact"/>
        <w:ind w:left="550" w:hanging="550" w:hangingChars="250"/>
        <w:rPr>
          <w:rFonts w:hint="eastAsia" w:ascii="宋体" w:hAnsi="宋体" w:cs="宋体"/>
          <w:bCs/>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6"/>
          <w:sz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08FA310E">
      <w:pPr>
        <w:spacing w:line="440" w:lineRule="exact"/>
        <w:ind w:left="421" w:leftChars="-9" w:hanging="440" w:hangingChars="200"/>
        <w:rPr>
          <w:rFonts w:hint="eastAsia" w:ascii="宋体" w:hAnsi="宋体" w:cs="宋体"/>
          <w:color w:val="auto"/>
          <w:sz w:val="22"/>
          <w:highlight w:val="none"/>
        </w:rPr>
      </w:pPr>
      <w:r>
        <w:rPr>
          <w:rFonts w:hint="eastAsia" w:ascii="宋体" w:hAnsi="宋体" w:cs="宋体"/>
          <w:color w:val="auto"/>
          <w:sz w:val="22"/>
          <w:highlight w:val="none"/>
        </w:rPr>
        <w:t>3.采购文件、中标人的投标文件、投标修改文件、评标过程中有关澄清文件及经供应商和评委双方签字的询标纪要和中标通知书均作为合同附件。</w:t>
      </w:r>
    </w:p>
    <w:p w14:paraId="5AB8E0F3">
      <w:pPr>
        <w:spacing w:line="440" w:lineRule="exact"/>
        <w:ind w:left="440" w:hanging="440" w:hangingChars="200"/>
        <w:rPr>
          <w:rFonts w:hint="eastAsia" w:ascii="宋体" w:hAnsi="宋体" w:cs="宋体"/>
          <w:bCs/>
          <w:color w:val="auto"/>
          <w:sz w:val="22"/>
          <w:highlight w:val="none"/>
        </w:rPr>
      </w:pPr>
      <w:r>
        <w:rPr>
          <w:rFonts w:hint="eastAsia" w:ascii="宋体" w:hAnsi="宋体" w:cs="宋体"/>
          <w:bCs/>
          <w:color w:val="auto"/>
          <w:sz w:val="22"/>
          <w:highlight w:val="none"/>
        </w:rPr>
        <w:t>4.采购人不得向中标人提出任何不合理的要求作为签订合同的条件。</w:t>
      </w:r>
    </w:p>
    <w:p w14:paraId="39549946">
      <w:pPr>
        <w:spacing w:line="440" w:lineRule="exact"/>
        <w:ind w:left="440" w:hanging="440" w:hangingChars="200"/>
        <w:rPr>
          <w:rFonts w:hint="eastAsia" w:ascii="宋体" w:hAnsi="宋体" w:cs="宋体"/>
          <w:bCs/>
          <w:color w:val="auto"/>
          <w:sz w:val="22"/>
          <w:highlight w:val="none"/>
        </w:rPr>
      </w:pPr>
      <w:r>
        <w:rPr>
          <w:rFonts w:hint="eastAsia" w:ascii="宋体" w:hAnsi="宋体" w:cs="宋体"/>
          <w:color w:val="auto"/>
          <w:sz w:val="22"/>
          <w:highlight w:val="none"/>
        </w:rPr>
        <w:t>5.拒签合同的违约责任</w:t>
      </w:r>
    </w:p>
    <w:p w14:paraId="58E061CB">
      <w:pPr>
        <w:spacing w:line="440" w:lineRule="exact"/>
        <w:ind w:left="420" w:left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中标人接到中标通知书后，在规定时间内借故否认已经承诺的条件而拒签合同的，以违约处理。</w:t>
      </w:r>
    </w:p>
    <w:p w14:paraId="32E3B400">
      <w:pPr>
        <w:spacing w:line="440" w:lineRule="exact"/>
        <w:ind w:left="571" w:hanging="571" w:hangingChars="245"/>
        <w:rPr>
          <w:rFonts w:hint="eastAsia" w:ascii="宋体" w:hAnsi="宋体" w:cs="宋体"/>
          <w:b/>
          <w:color w:val="auto"/>
          <w:spacing w:val="6"/>
          <w:sz w:val="22"/>
          <w:highlight w:val="none"/>
          <w:shd w:val="pct10" w:color="auto" w:fill="FFFFFF"/>
        </w:rPr>
      </w:pPr>
      <w:r>
        <w:rPr>
          <w:rFonts w:hint="eastAsia" w:ascii="宋体" w:hAnsi="宋体" w:cs="宋体"/>
          <w:b/>
          <w:color w:val="auto"/>
          <w:spacing w:val="6"/>
          <w:sz w:val="22"/>
          <w:highlight w:val="none"/>
        </w:rPr>
        <w:t>6.合同一式五份，其中采购人二份，中标人二份，采购代理机构备案一份。中标人在采购合同签订后应及时提交壹份交采购代理机构备案。同时提交一份投标文件正式版的扫描件（PDF格式）供采购人备案用。</w:t>
      </w:r>
    </w:p>
    <w:p w14:paraId="128289A4">
      <w:pPr>
        <w:spacing w:line="440" w:lineRule="exact"/>
        <w:rPr>
          <w:rFonts w:hint="eastAsia" w:ascii="宋体" w:hAnsi="宋体" w:cs="宋体"/>
          <w:b/>
          <w:color w:val="auto"/>
          <w:spacing w:val="6"/>
          <w:sz w:val="22"/>
          <w:highlight w:val="none"/>
        </w:rPr>
      </w:pPr>
      <w:r>
        <w:rPr>
          <w:rFonts w:hint="eastAsia" w:ascii="宋体" w:hAnsi="宋体" w:cs="宋体"/>
          <w:color w:val="auto"/>
          <w:spacing w:val="6"/>
          <w:sz w:val="22"/>
          <w:highlight w:val="none"/>
        </w:rPr>
        <w:t xml:space="preserve">(五) </w:t>
      </w:r>
      <w:r>
        <w:rPr>
          <w:rFonts w:hint="eastAsia" w:ascii="宋体" w:hAnsi="宋体" w:cs="宋体"/>
          <w:b/>
          <w:color w:val="auto"/>
          <w:spacing w:val="6"/>
          <w:sz w:val="22"/>
          <w:highlight w:val="none"/>
          <w:u w:val="single"/>
        </w:rPr>
        <w:t>履约保证金</w:t>
      </w:r>
    </w:p>
    <w:p w14:paraId="722AB698">
      <w:pPr>
        <w:spacing w:line="440" w:lineRule="exact"/>
        <w:ind w:left="580" w:hanging="580" w:hangingChars="250"/>
        <w:rPr>
          <w:rFonts w:hint="eastAsia" w:ascii="宋体" w:hAnsi="宋体" w:cs="宋体"/>
          <w:color w:val="auto"/>
          <w:spacing w:val="6"/>
          <w:sz w:val="22"/>
          <w:highlight w:val="none"/>
        </w:rPr>
      </w:pPr>
      <w:r>
        <w:rPr>
          <w:rFonts w:hint="eastAsia" w:ascii="宋体" w:hAnsi="宋体" w:cs="宋体"/>
          <w:color w:val="auto"/>
          <w:spacing w:val="6"/>
          <w:sz w:val="22"/>
          <w:highlight w:val="none"/>
        </w:rPr>
        <w:t>1.</w:t>
      </w:r>
      <w:r>
        <w:rPr>
          <w:rFonts w:hint="eastAsia" w:ascii="宋体" w:hAnsi="宋体" w:cs="宋体"/>
          <w:color w:val="auto"/>
          <w:sz w:val="22"/>
          <w:highlight w:val="none"/>
        </w:rPr>
        <w:t>中标人在收到中标通知书后，签订合同后5个工作日内，中标人须向采购人提交履约保证。</w:t>
      </w:r>
    </w:p>
    <w:p w14:paraId="25953ED4">
      <w:pPr>
        <w:spacing w:line="440" w:lineRule="exact"/>
        <w:ind w:left="464" w:hanging="464" w:hangingChars="200"/>
        <w:rPr>
          <w:rFonts w:hint="eastAsia" w:ascii="宋体" w:hAnsi="宋体" w:cs="宋体"/>
          <w:color w:val="auto"/>
          <w:spacing w:val="6"/>
          <w:sz w:val="22"/>
          <w:highlight w:val="none"/>
        </w:rPr>
      </w:pPr>
      <w:r>
        <w:rPr>
          <w:rFonts w:hint="eastAsia" w:ascii="宋体" w:hAnsi="宋体" w:cs="宋体"/>
          <w:color w:val="auto"/>
          <w:spacing w:val="6"/>
          <w:sz w:val="22"/>
          <w:highlight w:val="none"/>
        </w:rPr>
        <w:t>2.履约保证金用于补偿采购人因中标人不能履行其合同义务而蒙受的损失。</w:t>
      </w:r>
    </w:p>
    <w:p w14:paraId="69019E87">
      <w:pPr>
        <w:spacing w:line="440" w:lineRule="exact"/>
        <w:ind w:left="580" w:hanging="580" w:hangingChars="250"/>
        <w:rPr>
          <w:rFonts w:hint="eastAsia" w:ascii="宋体" w:hAnsi="宋体" w:cs="宋体"/>
          <w:color w:val="auto"/>
          <w:spacing w:val="6"/>
          <w:sz w:val="22"/>
          <w:highlight w:val="none"/>
        </w:rPr>
      </w:pPr>
      <w:r>
        <w:rPr>
          <w:rFonts w:hint="eastAsia" w:ascii="宋体" w:hAnsi="宋体" w:cs="宋体"/>
          <w:color w:val="auto"/>
          <w:spacing w:val="6"/>
          <w:sz w:val="22"/>
          <w:highlight w:val="none"/>
        </w:rPr>
        <w:t>3.</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3765610">
      <w:pPr>
        <w:spacing w:line="440" w:lineRule="exact"/>
        <w:ind w:left="442" w:hanging="442" w:hangingChars="200"/>
        <w:rPr>
          <w:rFonts w:hint="eastAsia" w:ascii="宋体" w:hAnsi="宋体" w:cs="宋体"/>
          <w:b/>
          <w:bCs/>
          <w:color w:val="auto"/>
          <w:sz w:val="22"/>
          <w:highlight w:val="none"/>
        </w:rPr>
      </w:pPr>
      <w:r>
        <w:rPr>
          <w:rFonts w:hint="eastAsia" w:ascii="宋体" w:hAnsi="宋体" w:cs="宋体"/>
          <w:b/>
          <w:bCs/>
          <w:color w:val="auto"/>
          <w:sz w:val="22"/>
          <w:highlight w:val="none"/>
        </w:rPr>
        <w:t>（六）合同履行时更改采购数量的权力</w:t>
      </w:r>
    </w:p>
    <w:p w14:paraId="6EAFFE2F">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515D7C50">
      <w:pPr>
        <w:pStyle w:val="13"/>
        <w:spacing w:line="460" w:lineRule="exact"/>
        <w:jc w:val="center"/>
        <w:outlineLvl w:val="1"/>
        <w:rPr>
          <w:rFonts w:hint="eastAsia" w:ascii="宋体" w:hAnsi="宋体" w:cs="宋体"/>
          <w:b/>
          <w:bCs/>
          <w:color w:val="auto"/>
          <w:sz w:val="22"/>
          <w:szCs w:val="22"/>
          <w:highlight w:val="none"/>
        </w:rPr>
      </w:pPr>
      <w:bookmarkStart w:id="59" w:name="_Toc15763"/>
      <w:r>
        <w:rPr>
          <w:rFonts w:hint="eastAsia" w:ascii="宋体" w:hAnsi="宋体" w:cs="宋体"/>
          <w:b/>
          <w:bCs/>
          <w:color w:val="auto"/>
          <w:sz w:val="22"/>
          <w:szCs w:val="22"/>
          <w:highlight w:val="none"/>
        </w:rPr>
        <w:t>七、可中止电子交易活动的情形</w:t>
      </w:r>
      <w:bookmarkEnd w:id="55"/>
      <w:bookmarkEnd w:id="56"/>
      <w:bookmarkEnd w:id="57"/>
      <w:bookmarkEnd w:id="58"/>
      <w:bookmarkEnd w:id="59"/>
    </w:p>
    <w:p w14:paraId="29529EA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088F8EE0">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（一）电子交易平台发生故障而无法登录访问的；</w:t>
      </w:r>
    </w:p>
    <w:p w14:paraId="7DEFA7F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（二）电子交易平台应用或数据库出现错误，不能进行正常操作的；</w:t>
      </w:r>
    </w:p>
    <w:p w14:paraId="26550134">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（三）电子交易平台发现严重安全漏洞，有潜在泄密危险的；</w:t>
      </w:r>
    </w:p>
    <w:p w14:paraId="1C6289AE">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（四）病毒发作导致不能进行正常操作的；</w:t>
      </w:r>
    </w:p>
    <w:p w14:paraId="57A1A2F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（五）其他无法保证电子交易的公平、公正和安全的情况。</w:t>
      </w:r>
    </w:p>
    <w:p w14:paraId="603ABC77">
      <w:pPr>
        <w:pStyle w:val="13"/>
        <w:spacing w:line="460" w:lineRule="exact"/>
        <w:rPr>
          <w:rFonts w:hint="eastAsia" w:ascii="宋体" w:hAnsi="宋体" w:cs="宋体"/>
          <w:color w:val="auto"/>
          <w:sz w:val="22"/>
          <w:szCs w:val="22"/>
          <w:highlight w:val="none"/>
        </w:rPr>
      </w:pPr>
      <w:bookmarkStart w:id="60" w:name="_Toc2054"/>
      <w:bookmarkStart w:id="61" w:name="_Toc4008"/>
      <w:bookmarkStart w:id="62" w:name="_Toc13187"/>
      <w:bookmarkStart w:id="63" w:name="_Toc29091"/>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bookmarkEnd w:id="60"/>
      <w:bookmarkEnd w:id="61"/>
      <w:bookmarkEnd w:id="62"/>
      <w:bookmarkEnd w:id="63"/>
    </w:p>
    <w:p w14:paraId="233B8FD1">
      <w:pPr>
        <w:pStyle w:val="37"/>
        <w:rPr>
          <w:rFonts w:hint="eastAsia" w:ascii="宋体" w:hAnsi="宋体" w:cs="宋体"/>
          <w:color w:val="auto"/>
          <w:sz w:val="22"/>
          <w:szCs w:val="22"/>
          <w:highlight w:val="none"/>
        </w:rPr>
      </w:pPr>
    </w:p>
    <w:p w14:paraId="04853655">
      <w:pPr>
        <w:rPr>
          <w:rFonts w:hint="eastAsia" w:ascii="宋体" w:hAnsi="宋体" w:cs="宋体"/>
          <w:color w:val="auto"/>
          <w:sz w:val="22"/>
          <w:szCs w:val="22"/>
          <w:highlight w:val="none"/>
        </w:rPr>
      </w:pPr>
    </w:p>
    <w:p w14:paraId="37112813">
      <w:pPr>
        <w:pStyle w:val="20"/>
        <w:rPr>
          <w:rFonts w:hint="eastAsia" w:ascii="宋体" w:hAnsi="宋体" w:cs="宋体"/>
          <w:color w:val="auto"/>
          <w:sz w:val="22"/>
          <w:szCs w:val="22"/>
          <w:highlight w:val="none"/>
        </w:rPr>
      </w:pPr>
    </w:p>
    <w:p w14:paraId="1827ADB8">
      <w:pPr>
        <w:rPr>
          <w:rFonts w:hint="eastAsia" w:ascii="宋体" w:hAnsi="宋体" w:cs="宋体"/>
          <w:color w:val="auto"/>
          <w:sz w:val="22"/>
          <w:szCs w:val="22"/>
          <w:highlight w:val="none"/>
        </w:rPr>
      </w:pPr>
    </w:p>
    <w:p w14:paraId="529E511F">
      <w:pPr>
        <w:pStyle w:val="20"/>
        <w:rPr>
          <w:rFonts w:hint="eastAsia" w:ascii="宋体" w:hAnsi="宋体" w:cs="宋体"/>
          <w:color w:val="auto"/>
          <w:sz w:val="22"/>
          <w:szCs w:val="22"/>
          <w:highlight w:val="none"/>
        </w:rPr>
      </w:pPr>
    </w:p>
    <w:p w14:paraId="7F51CD54">
      <w:pPr>
        <w:rPr>
          <w:rFonts w:hint="eastAsia" w:ascii="宋体" w:hAnsi="宋体" w:cs="宋体"/>
          <w:color w:val="auto"/>
          <w:sz w:val="22"/>
          <w:szCs w:val="22"/>
          <w:highlight w:val="none"/>
        </w:rPr>
      </w:pPr>
    </w:p>
    <w:p w14:paraId="647411F1">
      <w:pPr>
        <w:pStyle w:val="20"/>
        <w:rPr>
          <w:rFonts w:hint="eastAsia" w:ascii="宋体" w:hAnsi="宋体" w:cs="宋体"/>
          <w:color w:val="auto"/>
          <w:sz w:val="22"/>
          <w:szCs w:val="22"/>
          <w:highlight w:val="none"/>
        </w:rPr>
      </w:pPr>
    </w:p>
    <w:p w14:paraId="7EE70E8A">
      <w:pPr>
        <w:rPr>
          <w:rFonts w:hint="eastAsia" w:ascii="宋体" w:hAnsi="宋体" w:cs="宋体"/>
          <w:color w:val="auto"/>
          <w:sz w:val="22"/>
          <w:szCs w:val="22"/>
          <w:highlight w:val="none"/>
        </w:rPr>
      </w:pPr>
    </w:p>
    <w:p w14:paraId="5732BAE7">
      <w:pPr>
        <w:pStyle w:val="20"/>
        <w:rPr>
          <w:rFonts w:hint="eastAsia" w:ascii="宋体" w:hAnsi="宋体" w:cs="宋体"/>
          <w:color w:val="auto"/>
          <w:highlight w:val="none"/>
        </w:rPr>
      </w:pPr>
    </w:p>
    <w:p w14:paraId="3CF14682">
      <w:pPr>
        <w:pStyle w:val="20"/>
        <w:rPr>
          <w:rFonts w:hint="eastAsia" w:ascii="宋体" w:hAnsi="宋体" w:cs="宋体"/>
          <w:color w:val="auto"/>
          <w:sz w:val="22"/>
          <w:szCs w:val="22"/>
          <w:highlight w:val="none"/>
        </w:rPr>
      </w:pPr>
    </w:p>
    <w:p w14:paraId="43B4D565">
      <w:pPr>
        <w:rPr>
          <w:rFonts w:hint="eastAsia" w:ascii="宋体" w:hAnsi="宋体" w:cs="宋体"/>
          <w:color w:val="auto"/>
          <w:sz w:val="22"/>
          <w:szCs w:val="22"/>
          <w:highlight w:val="none"/>
        </w:rPr>
      </w:pPr>
    </w:p>
    <w:p w14:paraId="5E0030ED">
      <w:pPr>
        <w:pStyle w:val="16"/>
        <w:ind w:right="-252"/>
        <w:rPr>
          <w:rFonts w:hint="eastAsia" w:cs="宋体"/>
          <w:color w:val="auto"/>
          <w:sz w:val="22"/>
          <w:szCs w:val="22"/>
          <w:highlight w:val="none"/>
        </w:rPr>
      </w:pPr>
    </w:p>
    <w:p w14:paraId="0E5537F3">
      <w:pPr>
        <w:pStyle w:val="16"/>
        <w:ind w:right="-252"/>
        <w:rPr>
          <w:rFonts w:hint="eastAsia" w:cs="宋体"/>
          <w:color w:val="auto"/>
          <w:sz w:val="22"/>
          <w:szCs w:val="22"/>
          <w:highlight w:val="none"/>
        </w:rPr>
      </w:pPr>
    </w:p>
    <w:p w14:paraId="03F1DC9C">
      <w:pPr>
        <w:pStyle w:val="16"/>
        <w:ind w:right="-252"/>
        <w:rPr>
          <w:rFonts w:hint="eastAsia" w:cs="宋体"/>
          <w:color w:val="auto"/>
          <w:sz w:val="22"/>
          <w:szCs w:val="22"/>
          <w:highlight w:val="none"/>
        </w:rPr>
      </w:pPr>
    </w:p>
    <w:p w14:paraId="3E703348">
      <w:pPr>
        <w:pStyle w:val="16"/>
        <w:ind w:right="-252"/>
        <w:rPr>
          <w:rFonts w:hint="eastAsia" w:cs="宋体"/>
          <w:color w:val="auto"/>
          <w:sz w:val="22"/>
          <w:szCs w:val="22"/>
          <w:highlight w:val="none"/>
        </w:rPr>
      </w:pPr>
    </w:p>
    <w:p w14:paraId="64D054E8">
      <w:pPr>
        <w:pStyle w:val="16"/>
        <w:ind w:right="-252"/>
        <w:rPr>
          <w:rFonts w:hint="eastAsia" w:cs="宋体"/>
          <w:color w:val="auto"/>
          <w:sz w:val="22"/>
          <w:szCs w:val="22"/>
          <w:highlight w:val="none"/>
        </w:rPr>
      </w:pPr>
    </w:p>
    <w:p w14:paraId="3C48AD88">
      <w:pPr>
        <w:pStyle w:val="16"/>
        <w:ind w:right="-252"/>
        <w:rPr>
          <w:rFonts w:hint="eastAsia" w:cs="宋体"/>
          <w:color w:val="auto"/>
          <w:sz w:val="22"/>
          <w:szCs w:val="22"/>
          <w:highlight w:val="none"/>
        </w:rPr>
      </w:pPr>
    </w:p>
    <w:p w14:paraId="06FA5F9F">
      <w:pPr>
        <w:pStyle w:val="16"/>
        <w:ind w:right="-252"/>
        <w:rPr>
          <w:rFonts w:hint="eastAsia" w:cs="宋体"/>
          <w:color w:val="auto"/>
          <w:sz w:val="22"/>
          <w:szCs w:val="22"/>
          <w:highlight w:val="none"/>
        </w:rPr>
      </w:pPr>
    </w:p>
    <w:p w14:paraId="394E9429">
      <w:pPr>
        <w:pStyle w:val="16"/>
        <w:ind w:right="-252"/>
        <w:rPr>
          <w:rFonts w:hint="eastAsia" w:cs="宋体"/>
          <w:color w:val="auto"/>
          <w:sz w:val="22"/>
          <w:szCs w:val="22"/>
          <w:highlight w:val="none"/>
        </w:rPr>
      </w:pPr>
    </w:p>
    <w:p w14:paraId="662016C9">
      <w:pPr>
        <w:pStyle w:val="16"/>
        <w:ind w:right="-252"/>
        <w:rPr>
          <w:rFonts w:hint="eastAsia" w:cs="宋体"/>
          <w:color w:val="auto"/>
          <w:sz w:val="22"/>
          <w:szCs w:val="22"/>
          <w:highlight w:val="none"/>
        </w:rPr>
      </w:pPr>
    </w:p>
    <w:p w14:paraId="76CC9729">
      <w:pPr>
        <w:pStyle w:val="16"/>
        <w:ind w:right="-252"/>
        <w:rPr>
          <w:rFonts w:hint="eastAsia" w:cs="宋体"/>
          <w:color w:val="auto"/>
          <w:sz w:val="22"/>
          <w:szCs w:val="22"/>
          <w:highlight w:val="none"/>
        </w:rPr>
      </w:pPr>
    </w:p>
    <w:p w14:paraId="42D2802F">
      <w:pPr>
        <w:pStyle w:val="16"/>
        <w:ind w:right="-252"/>
        <w:rPr>
          <w:rFonts w:hint="eastAsia" w:cs="宋体"/>
          <w:color w:val="auto"/>
          <w:sz w:val="22"/>
          <w:szCs w:val="22"/>
          <w:highlight w:val="none"/>
        </w:rPr>
      </w:pPr>
    </w:p>
    <w:p w14:paraId="2B53D305">
      <w:pPr>
        <w:pStyle w:val="16"/>
        <w:ind w:right="-252"/>
        <w:rPr>
          <w:rFonts w:hint="eastAsia" w:cs="宋体"/>
          <w:color w:val="auto"/>
          <w:sz w:val="22"/>
          <w:szCs w:val="22"/>
          <w:highlight w:val="none"/>
        </w:rPr>
      </w:pPr>
    </w:p>
    <w:p w14:paraId="58CEB1BC">
      <w:pPr>
        <w:pStyle w:val="16"/>
        <w:ind w:right="-252"/>
        <w:rPr>
          <w:rFonts w:hint="eastAsia" w:cs="宋体"/>
          <w:color w:val="auto"/>
          <w:sz w:val="22"/>
          <w:szCs w:val="22"/>
          <w:highlight w:val="none"/>
        </w:rPr>
      </w:pPr>
    </w:p>
    <w:p w14:paraId="4FD1F0F9">
      <w:pPr>
        <w:spacing w:line="400" w:lineRule="exact"/>
        <w:jc w:val="center"/>
        <w:outlineLvl w:val="0"/>
        <w:rPr>
          <w:rFonts w:hint="eastAsia" w:ascii="宋体" w:hAnsi="宋体" w:eastAsia="宋体" w:cs="宋体"/>
          <w:b/>
          <w:bCs/>
          <w:color w:val="auto"/>
          <w:szCs w:val="21"/>
          <w:highlight w:val="none"/>
          <w:lang w:eastAsia="zh-CN"/>
        </w:rPr>
      </w:pPr>
      <w:bookmarkStart w:id="64" w:name="_Toc5487"/>
      <w:r>
        <w:rPr>
          <w:rFonts w:hint="eastAsia" w:ascii="宋体" w:hAnsi="宋体" w:cs="宋体"/>
          <w:b/>
          <w:color w:val="auto"/>
          <w:sz w:val="32"/>
          <w:highlight w:val="none"/>
        </w:rPr>
        <w:br w:type="page"/>
      </w:r>
      <w:r>
        <w:rPr>
          <w:rFonts w:hint="eastAsia" w:ascii="宋体" w:hAnsi="宋体" w:cs="宋体"/>
          <w:b/>
          <w:color w:val="auto"/>
          <w:sz w:val="32"/>
          <w:highlight w:val="none"/>
        </w:rPr>
        <w:t xml:space="preserve">第三部分   </w:t>
      </w:r>
      <w:bookmarkEnd w:id="64"/>
      <w:r>
        <w:rPr>
          <w:rFonts w:hint="eastAsia" w:ascii="宋体" w:hAnsi="宋体" w:cs="宋体"/>
          <w:b/>
          <w:color w:val="auto"/>
          <w:sz w:val="32"/>
          <w:highlight w:val="none"/>
          <w:lang w:eastAsia="zh-CN"/>
        </w:rPr>
        <w:t>温州大学D区食堂一楼后厨设备合同</w:t>
      </w:r>
    </w:p>
    <w:p w14:paraId="07223C56">
      <w:pPr>
        <w:spacing w:line="360" w:lineRule="exact"/>
        <w:rPr>
          <w:rFonts w:hint="default" w:ascii="宋体" w:hAnsi="宋体" w:eastAsia="宋体" w:cs="宋体"/>
          <w:sz w:val="22"/>
          <w:highlight w:val="none"/>
          <w:u w:val="single"/>
          <w:lang w:val="en-US" w:eastAsia="zh-CN"/>
        </w:rPr>
      </w:pPr>
      <w:r>
        <w:rPr>
          <w:rFonts w:hint="eastAsia" w:ascii="宋体" w:hAnsi="宋体" w:cs="宋体"/>
          <w:sz w:val="22"/>
          <w:highlight w:val="none"/>
        </w:rPr>
        <w:t>采购编号：</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 xml:space="preserve">                          合同编号：</w:t>
      </w:r>
      <w:r>
        <w:rPr>
          <w:rFonts w:hint="eastAsia" w:ascii="宋体" w:hAnsi="宋体" w:cs="宋体"/>
          <w:sz w:val="22"/>
          <w:highlight w:val="none"/>
          <w:u w:val="single"/>
          <w:lang w:val="en-US" w:eastAsia="zh-CN"/>
        </w:rPr>
        <w:t xml:space="preserve">               </w:t>
      </w:r>
    </w:p>
    <w:p w14:paraId="7383D411">
      <w:pPr>
        <w:spacing w:line="360" w:lineRule="exact"/>
        <w:rPr>
          <w:rFonts w:ascii="宋体" w:hAnsi="宋体" w:cs="宋体"/>
          <w:sz w:val="22"/>
          <w:highlight w:val="none"/>
          <w:u w:val="single"/>
          <w:lang w:val="zh-CN"/>
        </w:rPr>
      </w:pPr>
      <w:r>
        <w:rPr>
          <w:rFonts w:hint="eastAsia" w:ascii="宋体" w:hAnsi="宋体" w:cs="宋体"/>
          <w:sz w:val="22"/>
          <w:highlight w:val="none"/>
        </w:rPr>
        <w:t>甲方：</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none"/>
          <w:lang w:val="en-US" w:eastAsia="zh-CN"/>
        </w:rPr>
        <w:t xml:space="preserve">   </w:t>
      </w:r>
      <w:r>
        <w:rPr>
          <w:rFonts w:hint="eastAsia" w:ascii="宋体" w:hAnsi="宋体" w:cs="宋体"/>
          <w:sz w:val="22"/>
          <w:highlight w:val="none"/>
        </w:rPr>
        <w:t>乙方</w:t>
      </w:r>
      <w:r>
        <w:rPr>
          <w:rFonts w:hint="eastAsia" w:ascii="宋体" w:hAnsi="宋体" w:cs="宋体"/>
          <w:sz w:val="22"/>
          <w:highlight w:val="none"/>
          <w:lang w:val="zh-CN"/>
        </w:rPr>
        <w:t>：</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single"/>
          <w:lang w:val="zh-CN"/>
        </w:rPr>
        <w:t xml:space="preserve">  </w:t>
      </w:r>
    </w:p>
    <w:p w14:paraId="6D66066F">
      <w:pPr>
        <w:spacing w:line="360" w:lineRule="exact"/>
        <w:rPr>
          <w:rFonts w:hint="default" w:ascii="宋体" w:hAnsi="宋体" w:eastAsia="宋体" w:cs="宋体"/>
          <w:sz w:val="22"/>
          <w:highlight w:val="none"/>
          <w:u w:val="single"/>
          <w:lang w:val="en-US" w:eastAsia="zh-CN"/>
        </w:rPr>
      </w:pPr>
      <w:r>
        <w:rPr>
          <w:rFonts w:hint="eastAsia" w:ascii="宋体" w:hAnsi="宋体" w:cs="宋体"/>
          <w:sz w:val="22"/>
          <w:highlight w:val="none"/>
        </w:rPr>
        <w:t>合同鉴证方：</w:t>
      </w:r>
      <w:r>
        <w:rPr>
          <w:rFonts w:hint="eastAsia" w:ascii="宋体" w:hAnsi="宋体" w:cs="宋体"/>
          <w:sz w:val="22"/>
          <w:highlight w:val="none"/>
          <w:u w:val="single"/>
          <w:lang w:val="en-US" w:eastAsia="zh-CN"/>
        </w:rPr>
        <w:t xml:space="preserve">                   </w:t>
      </w:r>
    </w:p>
    <w:p w14:paraId="1174FF14">
      <w:pPr>
        <w:spacing w:line="360" w:lineRule="exact"/>
        <w:ind w:firstLine="440" w:firstLineChars="200"/>
        <w:rPr>
          <w:rFonts w:ascii="宋体" w:hAnsi="宋体" w:cs="宋体"/>
          <w:sz w:val="22"/>
          <w:highlight w:val="none"/>
        </w:rPr>
      </w:pPr>
      <w:r>
        <w:rPr>
          <w:rFonts w:hint="eastAsia" w:ascii="宋体" w:hAnsi="宋体" w:cs="宋体"/>
          <w:sz w:val="22"/>
          <w:highlight w:val="none"/>
          <w:u w:val="single"/>
          <w:lang w:val="en-US" w:eastAsia="zh-CN"/>
        </w:rPr>
        <w:t xml:space="preserve">     </w:t>
      </w:r>
      <w:r>
        <w:rPr>
          <w:rFonts w:hint="eastAsia" w:ascii="宋体" w:hAnsi="宋体" w:cs="宋体"/>
          <w:sz w:val="22"/>
          <w:highlight w:val="none"/>
        </w:rPr>
        <w:t>年</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月</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日在温州大学的</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采购中，甲乙双方根据《中华人民共和国民法典》等法规和本合同的采购文件、投标文件及其采购过程中的承诺，经双方协商，同意签订本合同，共同遵守。</w:t>
      </w:r>
    </w:p>
    <w:p w14:paraId="60094C36">
      <w:pPr>
        <w:spacing w:line="360" w:lineRule="exact"/>
        <w:ind w:firstLine="440" w:firstLineChars="200"/>
        <w:rPr>
          <w:rFonts w:ascii="宋体" w:hAnsi="宋体" w:cs="宋体"/>
          <w:sz w:val="22"/>
          <w:highlight w:val="none"/>
          <w:u w:val="single"/>
        </w:rPr>
      </w:pPr>
      <w:r>
        <w:rPr>
          <w:rFonts w:hint="eastAsia" w:ascii="宋体" w:hAnsi="宋体" w:cs="宋体"/>
          <w:sz w:val="22"/>
          <w:highlight w:val="none"/>
        </w:rPr>
        <w:t xml:space="preserve">1、采购内容及价格                                                  单位： </w:t>
      </w:r>
      <w:r>
        <w:rPr>
          <w:rFonts w:hint="eastAsia" w:ascii="宋体" w:hAnsi="宋体" w:cs="宋体"/>
          <w:sz w:val="22"/>
          <w:highlight w:val="none"/>
          <w:u w:val="single"/>
        </w:rPr>
        <w:t xml:space="preserve"> 元 </w:t>
      </w:r>
    </w:p>
    <w:tbl>
      <w:tblPr>
        <w:tblStyle w:val="3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625"/>
        <w:gridCol w:w="900"/>
        <w:gridCol w:w="1325"/>
        <w:gridCol w:w="888"/>
        <w:gridCol w:w="1400"/>
        <w:gridCol w:w="1562"/>
      </w:tblGrid>
      <w:tr w14:paraId="35F1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noWrap w:val="0"/>
            <w:vAlign w:val="center"/>
          </w:tcPr>
          <w:p w14:paraId="1BEF4055">
            <w:pPr>
              <w:spacing w:line="360" w:lineRule="exact"/>
              <w:jc w:val="center"/>
              <w:rPr>
                <w:rFonts w:ascii="宋体" w:hAnsi="宋体" w:cs="宋体"/>
                <w:sz w:val="22"/>
                <w:highlight w:val="none"/>
              </w:rPr>
            </w:pPr>
            <w:r>
              <w:rPr>
                <w:rFonts w:hint="eastAsia" w:ascii="宋体" w:hAnsi="宋体" w:cs="宋体"/>
                <w:sz w:val="22"/>
                <w:highlight w:val="none"/>
              </w:rPr>
              <w:t>序号</w:t>
            </w:r>
          </w:p>
        </w:tc>
        <w:tc>
          <w:tcPr>
            <w:tcW w:w="2625" w:type="dxa"/>
            <w:noWrap w:val="0"/>
            <w:vAlign w:val="center"/>
          </w:tcPr>
          <w:p w14:paraId="1C85D59C">
            <w:pPr>
              <w:spacing w:line="360" w:lineRule="exact"/>
              <w:jc w:val="center"/>
              <w:rPr>
                <w:rFonts w:ascii="宋体" w:hAnsi="宋体" w:cs="宋体"/>
                <w:sz w:val="22"/>
                <w:highlight w:val="none"/>
              </w:rPr>
            </w:pPr>
            <w:r>
              <w:rPr>
                <w:rFonts w:hint="eastAsia" w:ascii="宋体" w:hAnsi="宋体" w:cs="宋体"/>
                <w:sz w:val="22"/>
                <w:highlight w:val="none"/>
              </w:rPr>
              <w:t>采购名称</w:t>
            </w:r>
          </w:p>
        </w:tc>
        <w:tc>
          <w:tcPr>
            <w:tcW w:w="900" w:type="dxa"/>
            <w:noWrap w:val="0"/>
            <w:vAlign w:val="center"/>
          </w:tcPr>
          <w:p w14:paraId="17BC2485">
            <w:pPr>
              <w:spacing w:line="360" w:lineRule="exact"/>
              <w:jc w:val="center"/>
              <w:rPr>
                <w:rFonts w:ascii="宋体" w:hAnsi="宋体" w:cs="宋体"/>
                <w:sz w:val="22"/>
                <w:highlight w:val="none"/>
              </w:rPr>
            </w:pPr>
            <w:r>
              <w:rPr>
                <w:rFonts w:hint="eastAsia" w:ascii="宋体" w:hAnsi="宋体" w:cs="宋体"/>
                <w:sz w:val="22"/>
                <w:highlight w:val="none"/>
              </w:rPr>
              <w:t>品牌</w:t>
            </w:r>
          </w:p>
        </w:tc>
        <w:tc>
          <w:tcPr>
            <w:tcW w:w="1325" w:type="dxa"/>
            <w:noWrap w:val="0"/>
            <w:vAlign w:val="center"/>
          </w:tcPr>
          <w:p w14:paraId="25F086CE">
            <w:pPr>
              <w:spacing w:line="360" w:lineRule="exact"/>
              <w:jc w:val="center"/>
              <w:rPr>
                <w:rFonts w:ascii="宋体" w:hAnsi="宋体" w:cs="宋体"/>
                <w:sz w:val="22"/>
                <w:highlight w:val="none"/>
              </w:rPr>
            </w:pPr>
            <w:r>
              <w:rPr>
                <w:rFonts w:hint="eastAsia" w:ascii="宋体" w:hAnsi="宋体" w:cs="宋体"/>
                <w:sz w:val="22"/>
                <w:highlight w:val="none"/>
              </w:rPr>
              <w:t>型号规格和主要配置</w:t>
            </w:r>
          </w:p>
        </w:tc>
        <w:tc>
          <w:tcPr>
            <w:tcW w:w="888" w:type="dxa"/>
            <w:noWrap w:val="0"/>
            <w:vAlign w:val="center"/>
          </w:tcPr>
          <w:p w14:paraId="0A7C89FF">
            <w:pPr>
              <w:spacing w:line="360" w:lineRule="exact"/>
              <w:jc w:val="center"/>
              <w:rPr>
                <w:rFonts w:ascii="宋体" w:hAnsi="宋体" w:cs="宋体"/>
                <w:sz w:val="22"/>
                <w:highlight w:val="none"/>
              </w:rPr>
            </w:pPr>
            <w:r>
              <w:rPr>
                <w:rFonts w:hint="eastAsia" w:ascii="宋体" w:hAnsi="宋体" w:cs="宋体"/>
                <w:sz w:val="22"/>
                <w:highlight w:val="none"/>
              </w:rPr>
              <w:t>数量</w:t>
            </w:r>
          </w:p>
        </w:tc>
        <w:tc>
          <w:tcPr>
            <w:tcW w:w="1400" w:type="dxa"/>
            <w:noWrap w:val="0"/>
            <w:vAlign w:val="center"/>
          </w:tcPr>
          <w:p w14:paraId="61E681BB">
            <w:pPr>
              <w:spacing w:line="360" w:lineRule="exact"/>
              <w:jc w:val="center"/>
              <w:rPr>
                <w:rFonts w:ascii="宋体" w:hAnsi="宋体" w:cs="宋体"/>
                <w:sz w:val="22"/>
                <w:highlight w:val="none"/>
              </w:rPr>
            </w:pPr>
            <w:r>
              <w:rPr>
                <w:rFonts w:hint="eastAsia" w:ascii="宋体" w:hAnsi="宋体" w:cs="宋体"/>
                <w:sz w:val="22"/>
                <w:highlight w:val="none"/>
              </w:rPr>
              <w:t>单价</w:t>
            </w:r>
          </w:p>
        </w:tc>
        <w:tc>
          <w:tcPr>
            <w:tcW w:w="1562" w:type="dxa"/>
            <w:noWrap w:val="0"/>
            <w:vAlign w:val="center"/>
          </w:tcPr>
          <w:p w14:paraId="3DC4B208">
            <w:pPr>
              <w:spacing w:line="360" w:lineRule="exact"/>
              <w:jc w:val="center"/>
              <w:rPr>
                <w:rFonts w:ascii="宋体" w:hAnsi="宋体" w:cs="宋体"/>
                <w:sz w:val="22"/>
                <w:highlight w:val="none"/>
              </w:rPr>
            </w:pPr>
            <w:r>
              <w:rPr>
                <w:rFonts w:hint="eastAsia" w:ascii="宋体" w:hAnsi="宋体" w:cs="宋体"/>
                <w:sz w:val="22"/>
                <w:highlight w:val="none"/>
              </w:rPr>
              <w:t>总价</w:t>
            </w:r>
          </w:p>
        </w:tc>
      </w:tr>
      <w:tr w14:paraId="6585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noWrap w:val="0"/>
            <w:vAlign w:val="center"/>
          </w:tcPr>
          <w:p w14:paraId="4E113B04">
            <w:pPr>
              <w:spacing w:line="360" w:lineRule="exact"/>
              <w:jc w:val="center"/>
              <w:rPr>
                <w:rFonts w:ascii="宋体" w:hAnsi="宋体" w:cs="宋体"/>
                <w:sz w:val="22"/>
                <w:highlight w:val="none"/>
              </w:rPr>
            </w:pPr>
            <w:r>
              <w:rPr>
                <w:rFonts w:hint="eastAsia" w:ascii="宋体" w:hAnsi="宋体" w:cs="宋体"/>
                <w:sz w:val="22"/>
                <w:highlight w:val="none"/>
              </w:rPr>
              <w:t>1</w:t>
            </w:r>
          </w:p>
        </w:tc>
        <w:tc>
          <w:tcPr>
            <w:tcW w:w="2625" w:type="dxa"/>
            <w:noWrap w:val="0"/>
            <w:vAlign w:val="center"/>
          </w:tcPr>
          <w:p w14:paraId="12587243">
            <w:pPr>
              <w:spacing w:line="360" w:lineRule="exact"/>
              <w:jc w:val="center"/>
              <w:rPr>
                <w:rFonts w:ascii="宋体" w:hAnsi="宋体" w:cs="宋体"/>
                <w:sz w:val="22"/>
                <w:highlight w:val="none"/>
              </w:rPr>
            </w:pPr>
          </w:p>
        </w:tc>
        <w:tc>
          <w:tcPr>
            <w:tcW w:w="900" w:type="dxa"/>
            <w:noWrap w:val="0"/>
            <w:vAlign w:val="center"/>
          </w:tcPr>
          <w:p w14:paraId="14043F31">
            <w:pPr>
              <w:spacing w:line="360" w:lineRule="exact"/>
              <w:jc w:val="center"/>
              <w:rPr>
                <w:rFonts w:ascii="宋体" w:hAnsi="宋体" w:cs="宋体"/>
                <w:sz w:val="22"/>
                <w:highlight w:val="none"/>
              </w:rPr>
            </w:pPr>
          </w:p>
        </w:tc>
        <w:tc>
          <w:tcPr>
            <w:tcW w:w="1325" w:type="dxa"/>
            <w:noWrap w:val="0"/>
            <w:vAlign w:val="center"/>
          </w:tcPr>
          <w:p w14:paraId="7580F0F8">
            <w:pPr>
              <w:spacing w:line="360" w:lineRule="exact"/>
              <w:jc w:val="center"/>
              <w:rPr>
                <w:rFonts w:ascii="宋体" w:hAnsi="宋体" w:cs="宋体"/>
                <w:sz w:val="22"/>
                <w:highlight w:val="none"/>
              </w:rPr>
            </w:pPr>
          </w:p>
        </w:tc>
        <w:tc>
          <w:tcPr>
            <w:tcW w:w="888" w:type="dxa"/>
            <w:noWrap w:val="0"/>
            <w:vAlign w:val="center"/>
          </w:tcPr>
          <w:p w14:paraId="653A1558">
            <w:pPr>
              <w:spacing w:line="360" w:lineRule="exact"/>
              <w:jc w:val="center"/>
              <w:rPr>
                <w:rFonts w:ascii="宋体" w:hAnsi="宋体" w:cs="宋体"/>
                <w:sz w:val="22"/>
                <w:highlight w:val="none"/>
              </w:rPr>
            </w:pPr>
          </w:p>
        </w:tc>
        <w:tc>
          <w:tcPr>
            <w:tcW w:w="1400" w:type="dxa"/>
            <w:noWrap w:val="0"/>
            <w:vAlign w:val="center"/>
          </w:tcPr>
          <w:p w14:paraId="55C89DCC">
            <w:pPr>
              <w:spacing w:line="360" w:lineRule="exact"/>
              <w:jc w:val="center"/>
              <w:rPr>
                <w:rFonts w:hint="eastAsia" w:ascii="宋体" w:hAnsi="宋体" w:cs="宋体"/>
                <w:sz w:val="22"/>
                <w:highlight w:val="none"/>
              </w:rPr>
            </w:pPr>
          </w:p>
        </w:tc>
        <w:tc>
          <w:tcPr>
            <w:tcW w:w="1562" w:type="dxa"/>
            <w:noWrap w:val="0"/>
            <w:vAlign w:val="center"/>
          </w:tcPr>
          <w:p w14:paraId="48D2717E">
            <w:pPr>
              <w:spacing w:line="360" w:lineRule="exact"/>
              <w:jc w:val="center"/>
              <w:rPr>
                <w:rFonts w:ascii="宋体" w:hAnsi="宋体" w:cs="宋体"/>
                <w:sz w:val="22"/>
                <w:highlight w:val="none"/>
              </w:rPr>
            </w:pPr>
          </w:p>
        </w:tc>
      </w:tr>
      <w:tr w14:paraId="5C54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288" w:type="dxa"/>
            <w:gridSpan w:val="7"/>
            <w:noWrap w:val="0"/>
            <w:vAlign w:val="center"/>
          </w:tcPr>
          <w:p w14:paraId="517E62FB">
            <w:pPr>
              <w:spacing w:line="360" w:lineRule="exact"/>
              <w:jc w:val="left"/>
              <w:rPr>
                <w:rFonts w:ascii="宋体" w:hAnsi="宋体" w:cs="宋体"/>
                <w:sz w:val="22"/>
                <w:highlight w:val="none"/>
              </w:rPr>
            </w:pPr>
            <w:r>
              <w:rPr>
                <w:rFonts w:hint="eastAsia" w:ascii="宋体" w:hAnsi="宋体" w:cs="宋体"/>
                <w:sz w:val="22"/>
                <w:highlight w:val="none"/>
              </w:rPr>
              <w:t xml:space="preserve">合计：（大写）  </w:t>
            </w:r>
            <w:r>
              <w:rPr>
                <w:rFonts w:hint="eastAsia" w:ascii="宋体" w:hAnsi="宋体" w:cs="宋体"/>
                <w:sz w:val="22"/>
                <w:highlight w:val="none"/>
                <w:lang w:val="en-US" w:eastAsia="zh-CN"/>
              </w:rPr>
              <w:t xml:space="preserve">                 </w:t>
            </w:r>
            <w:r>
              <w:rPr>
                <w:rFonts w:hint="eastAsia" w:ascii="宋体" w:hAnsi="宋体" w:cs="宋体"/>
                <w:sz w:val="22"/>
                <w:highlight w:val="none"/>
              </w:rPr>
              <w:t xml:space="preserve">                        </w:t>
            </w:r>
            <w:r>
              <w:rPr>
                <w:rFonts w:hint="eastAsia" w:ascii="宋体" w:hAnsi="宋体" w:cs="宋体"/>
                <w:sz w:val="22"/>
                <w:highlight w:val="none"/>
                <w:lang w:val="en-US" w:eastAsia="zh-CN"/>
              </w:rPr>
              <w:t xml:space="preserve">  </w:t>
            </w:r>
            <w:r>
              <w:rPr>
                <w:rFonts w:hint="eastAsia" w:ascii="宋体" w:hAnsi="宋体" w:cs="宋体"/>
                <w:sz w:val="22"/>
                <w:highlight w:val="none"/>
              </w:rPr>
              <w:t>小写：￥</w:t>
            </w:r>
          </w:p>
        </w:tc>
      </w:tr>
    </w:tbl>
    <w:p w14:paraId="3C16B6C8">
      <w:pPr>
        <w:spacing w:line="360" w:lineRule="exact"/>
        <w:ind w:firstLine="440" w:firstLineChars="200"/>
        <w:rPr>
          <w:rFonts w:ascii="宋体" w:hAnsi="宋体" w:cs="宋体"/>
          <w:sz w:val="22"/>
          <w:highlight w:val="none"/>
        </w:rPr>
      </w:pPr>
      <w:r>
        <w:rPr>
          <w:rFonts w:hint="eastAsia" w:ascii="宋体" w:hAnsi="宋体" w:cs="宋体"/>
          <w:sz w:val="22"/>
          <w:highlight w:val="none"/>
        </w:rPr>
        <w:t>2、本合同总价为货物的供货、包装、运输、装卸、安装调试、验收（含第三方验收）、质保期内软件升级、售后服务、搬运费、税费以及完成合同所需的一切本身和不可或缺的所有工作开支、政策性文件规定的所有风险、责任等相关各项其他可能产生的全部费用，即“交钥匙工程”，实行固定总价包干。除发生下列因素可调整合同价外，不得以任何其他理由调整任何费用。</w:t>
      </w:r>
    </w:p>
    <w:p w14:paraId="3B7DF5BF">
      <w:pPr>
        <w:spacing w:line="360" w:lineRule="exact"/>
        <w:ind w:firstLine="440" w:firstLineChars="200"/>
        <w:rPr>
          <w:rFonts w:ascii="宋体" w:hAnsi="宋体" w:cs="宋体"/>
          <w:sz w:val="22"/>
          <w:highlight w:val="none"/>
        </w:rPr>
      </w:pPr>
      <w:r>
        <w:rPr>
          <w:rFonts w:hint="eastAsia" w:ascii="宋体" w:hAnsi="宋体" w:cs="宋体"/>
          <w:sz w:val="22"/>
          <w:highlight w:val="none"/>
        </w:rPr>
        <w:t>2.1甲方因安装地点改变等原因提出的货物数量变更，经甲乙双方同意，可以签订补充协议。</w:t>
      </w:r>
    </w:p>
    <w:p w14:paraId="5B77CEB0">
      <w:pPr>
        <w:spacing w:line="360" w:lineRule="exact"/>
        <w:ind w:firstLine="440" w:firstLineChars="200"/>
        <w:rPr>
          <w:rFonts w:ascii="宋体" w:hAnsi="宋体" w:cs="宋体"/>
          <w:sz w:val="22"/>
          <w:highlight w:val="none"/>
        </w:rPr>
      </w:pPr>
      <w:r>
        <w:rPr>
          <w:rFonts w:hint="eastAsia" w:ascii="宋体" w:hAnsi="宋体" w:cs="宋体"/>
          <w:sz w:val="22"/>
          <w:highlight w:val="none"/>
        </w:rPr>
        <w:t>2.2乙方因成交产品型号停产，生产厂家出具替代型号与停产证明，但不得更改该产品成交金额，经甲乙双方同意可以签订补充协议。</w:t>
      </w:r>
    </w:p>
    <w:p w14:paraId="117C5477">
      <w:pPr>
        <w:spacing w:line="360" w:lineRule="exact"/>
        <w:ind w:firstLine="440" w:firstLineChars="200"/>
        <w:rPr>
          <w:rFonts w:ascii="宋体" w:hAnsi="宋体" w:cs="宋体"/>
          <w:sz w:val="22"/>
          <w:highlight w:val="none"/>
        </w:rPr>
      </w:pPr>
      <w:r>
        <w:rPr>
          <w:rFonts w:hint="eastAsia" w:ascii="宋体" w:hAnsi="宋体" w:cs="宋体"/>
          <w:sz w:val="22"/>
          <w:highlight w:val="none"/>
        </w:rPr>
        <w:t>2.3属乙方投标漏项少算的设备及服务费用不得追补。</w:t>
      </w:r>
    </w:p>
    <w:p w14:paraId="7858B6B0">
      <w:pPr>
        <w:spacing w:line="360" w:lineRule="exact"/>
        <w:ind w:firstLine="440" w:firstLineChars="200"/>
        <w:rPr>
          <w:rFonts w:ascii="宋体" w:hAnsi="宋体" w:cs="宋体"/>
          <w:sz w:val="22"/>
          <w:highlight w:val="none"/>
        </w:rPr>
      </w:pPr>
      <w:r>
        <w:rPr>
          <w:rFonts w:hint="eastAsia" w:ascii="宋体" w:hAnsi="宋体" w:cs="宋体"/>
          <w:sz w:val="22"/>
          <w:highlight w:val="none"/>
        </w:rPr>
        <w:t>3、设备、材料供应</w:t>
      </w:r>
    </w:p>
    <w:p w14:paraId="6E78F78B">
      <w:pPr>
        <w:spacing w:line="360" w:lineRule="exact"/>
        <w:ind w:firstLine="440" w:firstLineChars="200"/>
        <w:rPr>
          <w:rFonts w:ascii="宋体" w:hAnsi="宋体" w:cs="宋体"/>
          <w:sz w:val="22"/>
          <w:highlight w:val="none"/>
        </w:rPr>
      </w:pPr>
      <w:r>
        <w:rPr>
          <w:rFonts w:hint="eastAsia" w:ascii="宋体" w:hAnsi="宋体" w:cs="宋体"/>
          <w:sz w:val="22"/>
          <w:highlight w:val="none"/>
        </w:rPr>
        <w:t>本合同范围所需的设备均由乙方提供。采购供应的材料、设备均须有合格证、质保书等相关技术资料。如发现不合格的设备材料，由乙方承担全部的经济损失和责任。</w:t>
      </w:r>
    </w:p>
    <w:p w14:paraId="2D3F9D80">
      <w:pPr>
        <w:spacing w:line="360" w:lineRule="exact"/>
        <w:ind w:firstLine="440" w:firstLineChars="200"/>
        <w:rPr>
          <w:rFonts w:ascii="宋体" w:hAnsi="宋体" w:cs="宋体"/>
          <w:sz w:val="22"/>
          <w:highlight w:val="none"/>
        </w:rPr>
      </w:pPr>
      <w:r>
        <w:rPr>
          <w:rFonts w:hint="eastAsia" w:ascii="宋体" w:hAnsi="宋体" w:cs="宋体"/>
          <w:sz w:val="22"/>
          <w:highlight w:val="none"/>
        </w:rPr>
        <w:t>4、产品包装</w:t>
      </w:r>
    </w:p>
    <w:p w14:paraId="764821C4">
      <w:pPr>
        <w:spacing w:line="360" w:lineRule="exact"/>
        <w:ind w:firstLine="440" w:firstLineChars="200"/>
        <w:rPr>
          <w:rFonts w:ascii="宋体" w:hAnsi="宋体" w:cs="宋体"/>
          <w:sz w:val="22"/>
          <w:highlight w:val="none"/>
        </w:rPr>
      </w:pPr>
      <w:r>
        <w:rPr>
          <w:rFonts w:hint="eastAsia" w:ascii="宋体" w:hAnsi="宋体" w:cs="宋体"/>
          <w:sz w:val="22"/>
          <w:highlight w:val="none"/>
        </w:rPr>
        <w:t>4.1为了保证设备在长途运输和装卸过程中的安全，产品包装应符合国家或专业（部）标准规定。由于包装不善导致设备锈蚀、失缺或损坏，由乙方承担一切责任。</w:t>
      </w:r>
    </w:p>
    <w:p w14:paraId="13C2A2C5">
      <w:pPr>
        <w:spacing w:line="360" w:lineRule="exact"/>
        <w:ind w:firstLine="440" w:firstLineChars="200"/>
        <w:rPr>
          <w:rFonts w:ascii="宋体" w:hAnsi="宋体" w:cs="宋体"/>
          <w:sz w:val="22"/>
          <w:highlight w:val="none"/>
        </w:rPr>
      </w:pPr>
      <w:r>
        <w:rPr>
          <w:rFonts w:hint="eastAsia" w:ascii="宋体" w:hAnsi="宋体" w:cs="宋体"/>
          <w:sz w:val="22"/>
          <w:highlight w:val="none"/>
        </w:rPr>
        <w:t>4.2每一包装箱内必须附有装箱清单。</w:t>
      </w:r>
    </w:p>
    <w:p w14:paraId="3E247F43">
      <w:pPr>
        <w:spacing w:line="360" w:lineRule="exact"/>
        <w:ind w:firstLine="440" w:firstLineChars="200"/>
        <w:rPr>
          <w:rFonts w:ascii="宋体" w:hAnsi="宋体" w:cs="宋体"/>
          <w:sz w:val="22"/>
          <w:highlight w:val="none"/>
        </w:rPr>
      </w:pPr>
      <w:r>
        <w:rPr>
          <w:rFonts w:hint="eastAsia" w:ascii="宋体" w:hAnsi="宋体" w:cs="宋体"/>
          <w:sz w:val="22"/>
          <w:highlight w:val="none"/>
        </w:rPr>
        <w:t>5、唛头</w:t>
      </w:r>
    </w:p>
    <w:p w14:paraId="0A05D5E6">
      <w:pPr>
        <w:spacing w:line="360" w:lineRule="exact"/>
        <w:ind w:firstLine="440" w:firstLineChars="200"/>
        <w:rPr>
          <w:rFonts w:ascii="宋体" w:hAnsi="宋体" w:cs="宋体"/>
          <w:sz w:val="22"/>
          <w:highlight w:val="none"/>
        </w:rPr>
      </w:pPr>
      <w:r>
        <w:rPr>
          <w:rFonts w:hint="eastAsia" w:ascii="宋体" w:hAnsi="宋体" w:cs="宋体"/>
          <w:sz w:val="22"/>
          <w:highlight w:val="none"/>
        </w:rPr>
        <w:t>5.1乙方应在每件包装箱上，明显地标注下列标记：</w:t>
      </w:r>
    </w:p>
    <w:p w14:paraId="56BC6755">
      <w:pPr>
        <w:spacing w:line="360" w:lineRule="exact"/>
        <w:ind w:firstLine="440" w:firstLineChars="200"/>
        <w:rPr>
          <w:rFonts w:ascii="宋体" w:hAnsi="宋体" w:cs="宋体"/>
          <w:sz w:val="22"/>
          <w:highlight w:val="none"/>
        </w:rPr>
      </w:pPr>
      <w:r>
        <w:rPr>
          <w:rFonts w:hint="eastAsia" w:ascii="宋体" w:hAnsi="宋体" w:cs="宋体"/>
          <w:sz w:val="22"/>
          <w:highlight w:val="none"/>
        </w:rPr>
        <w:t>1)收货人； 2)产品名称；  3)合同号；4)品目号和箱号； 5)到达站或到货地点；6)外形尺寸(长宽高)，以厘米计；7)毛重、净重(公斤)。</w:t>
      </w:r>
    </w:p>
    <w:p w14:paraId="6917D1E4">
      <w:pPr>
        <w:spacing w:line="360" w:lineRule="exact"/>
        <w:ind w:firstLine="440" w:firstLineChars="200"/>
        <w:rPr>
          <w:rFonts w:ascii="宋体" w:hAnsi="宋体" w:cs="宋体"/>
          <w:sz w:val="22"/>
          <w:highlight w:val="none"/>
        </w:rPr>
      </w:pPr>
      <w:r>
        <w:rPr>
          <w:rFonts w:hint="eastAsia" w:ascii="宋体" w:hAnsi="宋体" w:cs="宋体"/>
          <w:sz w:val="22"/>
          <w:highlight w:val="none"/>
        </w:rPr>
        <w:t>5.2乙方应根据设备特点，在包装箱上标明“小心轻放”、“请勿倒置”、“防潮”等字样和吊装标记。</w:t>
      </w:r>
    </w:p>
    <w:p w14:paraId="593E559C">
      <w:pPr>
        <w:widowControl/>
        <w:spacing w:line="360" w:lineRule="exact"/>
        <w:jc w:val="left"/>
        <w:rPr>
          <w:rFonts w:ascii="宋体" w:hAnsi="宋体" w:cs="宋体"/>
          <w:sz w:val="22"/>
          <w:highlight w:val="none"/>
        </w:rPr>
      </w:pPr>
      <w:r>
        <w:rPr>
          <w:rFonts w:hint="eastAsia" w:ascii="宋体" w:hAnsi="宋体" w:cs="宋体"/>
          <w:sz w:val="22"/>
          <w:highlight w:val="none"/>
        </w:rPr>
        <w:t>6、本合同产品的免费保修期限为</w:t>
      </w:r>
      <w:r>
        <w:rPr>
          <w:rFonts w:hint="eastAsia" w:ascii="宋体" w:hAnsi="宋体" w:cs="宋体"/>
          <w:sz w:val="22"/>
          <w:highlight w:val="none"/>
          <w:u w:val="none"/>
        </w:rPr>
        <w:t>自项目验收合格之日起</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w:t>
      </w:r>
    </w:p>
    <w:p w14:paraId="3C34A9E2">
      <w:pPr>
        <w:spacing w:line="360" w:lineRule="exact"/>
        <w:ind w:firstLine="440" w:firstLineChars="200"/>
        <w:rPr>
          <w:rFonts w:ascii="宋体" w:hAnsi="宋体" w:cs="宋体"/>
          <w:sz w:val="22"/>
          <w:highlight w:val="none"/>
        </w:rPr>
      </w:pPr>
      <w:r>
        <w:rPr>
          <w:rFonts w:hint="eastAsia" w:ascii="宋体" w:hAnsi="宋体" w:cs="宋体"/>
          <w:sz w:val="22"/>
          <w:highlight w:val="none"/>
        </w:rPr>
        <w:t>在产品质量保证期限内，乙方对由于产品设计、工艺、材料、配套件的缺陷而造成的任何产品质量问题或故障负责。</w:t>
      </w:r>
    </w:p>
    <w:p w14:paraId="10661232">
      <w:pPr>
        <w:spacing w:line="360" w:lineRule="exact"/>
        <w:ind w:firstLine="440" w:firstLineChars="200"/>
        <w:rPr>
          <w:rFonts w:ascii="宋体" w:hAnsi="宋体" w:cs="宋体"/>
          <w:sz w:val="22"/>
          <w:highlight w:val="none"/>
        </w:rPr>
      </w:pPr>
      <w:r>
        <w:rPr>
          <w:rFonts w:hint="eastAsia" w:ascii="宋体" w:hAnsi="宋体" w:cs="宋体"/>
          <w:sz w:val="22"/>
          <w:highlight w:val="none"/>
        </w:rPr>
        <w:t>7、产品资料</w:t>
      </w:r>
    </w:p>
    <w:p w14:paraId="726B241E">
      <w:pPr>
        <w:spacing w:line="360" w:lineRule="exact"/>
        <w:ind w:firstLine="440" w:firstLineChars="200"/>
        <w:rPr>
          <w:rFonts w:ascii="宋体" w:hAnsi="宋体" w:cs="宋体"/>
          <w:sz w:val="22"/>
          <w:highlight w:val="none"/>
        </w:rPr>
      </w:pPr>
      <w:r>
        <w:rPr>
          <w:rFonts w:hint="eastAsia" w:ascii="宋体" w:hAnsi="宋体" w:cs="宋体"/>
          <w:sz w:val="22"/>
          <w:highlight w:val="none"/>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7678E496">
      <w:pPr>
        <w:pStyle w:val="12"/>
        <w:spacing w:line="340" w:lineRule="exact"/>
        <w:ind w:firstLine="440" w:firstLineChars="200"/>
        <w:rPr>
          <w:rFonts w:hint="default" w:ascii="宋体" w:hAnsi="宋体" w:eastAsia="宋体" w:cs="宋体"/>
          <w:sz w:val="22"/>
          <w:highlight w:val="none"/>
          <w:lang w:val="en-US" w:eastAsia="zh-CN"/>
        </w:rPr>
      </w:pPr>
      <w:r>
        <w:rPr>
          <w:rFonts w:hint="eastAsia" w:ascii="宋体" w:hAnsi="宋体" w:cs="宋体"/>
          <w:sz w:val="22"/>
          <w:highlight w:val="none"/>
        </w:rPr>
        <w:t>8、交付时间：</w:t>
      </w:r>
      <w:r>
        <w:rPr>
          <w:rFonts w:hint="eastAsia" w:ascii="宋体" w:hAnsi="宋体" w:cs="宋体"/>
          <w:sz w:val="22"/>
          <w:highlight w:val="none"/>
          <w:u w:val="single"/>
          <w:lang w:val="en-US" w:eastAsia="zh-CN"/>
        </w:rPr>
        <w:t xml:space="preserve">   年   月  日前</w:t>
      </w:r>
      <w:r>
        <w:rPr>
          <w:rFonts w:hint="eastAsia" w:ascii="宋体" w:hAnsi="宋体" w:cs="宋体"/>
          <w:sz w:val="22"/>
          <w:highlight w:val="none"/>
          <w:u w:val="none"/>
          <w:lang w:val="en-US" w:eastAsia="zh-CN"/>
        </w:rPr>
        <w:t>，交付方式：</w:t>
      </w:r>
      <w:r>
        <w:rPr>
          <w:rFonts w:hint="eastAsia" w:ascii="宋体" w:hAnsi="宋体" w:cs="宋体"/>
          <w:sz w:val="22"/>
          <w:highlight w:val="none"/>
          <w:u w:val="single"/>
          <w:lang w:val="en-US" w:eastAsia="zh-CN"/>
        </w:rPr>
        <w:t xml:space="preserve">送货上门 </w:t>
      </w:r>
      <w:r>
        <w:rPr>
          <w:rFonts w:hint="eastAsia" w:ascii="宋体" w:hAnsi="宋体" w:cs="宋体"/>
          <w:sz w:val="22"/>
          <w:highlight w:val="none"/>
          <w:u w:val="none"/>
          <w:lang w:val="en-US" w:eastAsia="zh-CN"/>
        </w:rPr>
        <w:t>，</w:t>
      </w:r>
      <w:r>
        <w:rPr>
          <w:rFonts w:hint="eastAsia" w:ascii="宋体" w:hAnsi="宋体" w:cs="宋体"/>
          <w:sz w:val="22"/>
          <w:highlight w:val="none"/>
        </w:rPr>
        <w:t>交货地点：</w:t>
      </w:r>
      <w:r>
        <w:rPr>
          <w:rFonts w:hint="eastAsia" w:ascii="宋体" w:hAnsi="宋体" w:cs="宋体"/>
          <w:sz w:val="22"/>
          <w:highlight w:val="none"/>
          <w:u w:val="single"/>
        </w:rPr>
        <w:t>温州大学指定地点</w:t>
      </w:r>
      <w:r>
        <w:rPr>
          <w:rFonts w:hint="eastAsia" w:ascii="宋体" w:hAnsi="宋体" w:cs="宋体"/>
          <w:sz w:val="22"/>
          <w:highlight w:val="none"/>
          <w:u w:val="single"/>
          <w:lang w:eastAsia="zh-CN"/>
        </w:rPr>
        <w:t>，联系人：</w:t>
      </w:r>
      <w:r>
        <w:rPr>
          <w:rFonts w:hint="eastAsia" w:ascii="宋体" w:hAnsi="宋体" w:cs="宋体"/>
          <w:sz w:val="22"/>
          <w:highlight w:val="none"/>
          <w:u w:val="single"/>
          <w:lang w:val="en-US" w:eastAsia="zh-CN"/>
        </w:rPr>
        <w:t xml:space="preserve">           </w:t>
      </w:r>
    </w:p>
    <w:p w14:paraId="56CB8A9F">
      <w:pPr>
        <w:spacing w:line="360" w:lineRule="exact"/>
        <w:ind w:firstLine="440" w:firstLineChars="200"/>
        <w:rPr>
          <w:rFonts w:ascii="宋体" w:hAnsi="宋体" w:cs="宋体"/>
          <w:sz w:val="22"/>
          <w:highlight w:val="none"/>
        </w:rPr>
      </w:pPr>
      <w:r>
        <w:rPr>
          <w:rFonts w:hint="eastAsia" w:ascii="宋体" w:hAnsi="宋体" w:cs="宋体"/>
          <w:sz w:val="22"/>
          <w:highlight w:val="none"/>
        </w:rPr>
        <w:t>9、付款方式与结算</w:t>
      </w:r>
    </w:p>
    <w:p w14:paraId="2287E91C">
      <w:pPr>
        <w:pStyle w:val="12"/>
        <w:widowControl/>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9.1履约保证金支付</w:t>
      </w:r>
    </w:p>
    <w:p w14:paraId="57687240">
      <w:pPr>
        <w:pStyle w:val="12"/>
        <w:widowControl/>
        <w:adjustRightInd w:val="0"/>
        <w:snapToGrid w:val="0"/>
        <w:spacing w:line="360" w:lineRule="exact"/>
        <w:ind w:firstLine="440" w:firstLineChars="200"/>
        <w:rPr>
          <w:rFonts w:ascii="宋体" w:hAnsi="宋体" w:cs="宋体"/>
          <w:sz w:val="22"/>
          <w:highlight w:val="none"/>
          <w:u w:val="single"/>
        </w:rPr>
      </w:pPr>
      <w:r>
        <w:rPr>
          <w:rFonts w:hint="eastAsia" w:ascii="宋体" w:hAnsi="宋体" w:cs="宋体"/>
          <w:sz w:val="22"/>
          <w:highlight w:val="none"/>
          <w:u w:val="single"/>
        </w:rPr>
        <w:t>合同签订后，乙方5个工作日内支付合同金额的1%保函作为履约保证金，履约保证金自项目验收合格之日起无质量问题，甲方按程序在7个工作日内无息退还或退还保函。</w:t>
      </w:r>
    </w:p>
    <w:p w14:paraId="37E804D4">
      <w:pPr>
        <w:spacing w:line="360" w:lineRule="exact"/>
        <w:ind w:firstLine="440" w:firstLineChars="200"/>
        <w:rPr>
          <w:rFonts w:ascii="宋体" w:hAnsi="宋体" w:cs="宋体"/>
          <w:sz w:val="22"/>
          <w:highlight w:val="none"/>
        </w:rPr>
      </w:pPr>
      <w:r>
        <w:rPr>
          <w:rFonts w:hint="eastAsia" w:ascii="宋体" w:hAnsi="宋体" w:cs="宋体"/>
          <w:sz w:val="22"/>
          <w:highlight w:val="none"/>
        </w:rPr>
        <w:t>9.2合同金额结算及支付方式</w:t>
      </w:r>
    </w:p>
    <w:p w14:paraId="7C9F9C87">
      <w:pPr>
        <w:keepNext w:val="0"/>
        <w:keepLines w:val="0"/>
        <w:pageBreakBefore w:val="0"/>
        <w:widowControl w:val="0"/>
        <w:kinsoku/>
        <w:wordWrap/>
        <w:overflowPunct/>
        <w:topLinePunct w:val="0"/>
        <w:autoSpaceDE/>
        <w:autoSpaceDN/>
        <w:bidi w:val="0"/>
        <w:adjustRightInd/>
        <w:snapToGrid/>
        <w:spacing w:line="360" w:lineRule="exact"/>
        <w:ind w:firstLine="539" w:firstLineChars="245"/>
        <w:textAlignment w:val="auto"/>
        <w:outlineLvl w:val="9"/>
        <w:rPr>
          <w:rFonts w:hint="eastAsia" w:ascii="宋体" w:hAnsi="宋体" w:cs="宋体"/>
          <w:sz w:val="22"/>
          <w:highlight w:val="none"/>
          <w:u w:val="single"/>
        </w:rPr>
      </w:pPr>
      <w:r>
        <w:rPr>
          <w:rFonts w:hint="eastAsia" w:ascii="Times New Roman" w:hAnsi="Times New Roman" w:eastAsia="新宋体" w:cs="Times New Roman"/>
          <w:color w:val="auto"/>
          <w:sz w:val="22"/>
          <w:szCs w:val="22"/>
          <w:highlight w:val="none"/>
          <w:lang w:val="en-US" w:eastAsia="zh-CN"/>
        </w:rPr>
        <w:t>合同生效、</w:t>
      </w:r>
      <w:r>
        <w:rPr>
          <w:rFonts w:hint="eastAsia" w:ascii="Times New Roman" w:hAnsi="Times New Roman" w:eastAsia="新宋体" w:cs="Times New Roman"/>
          <w:b w:val="0"/>
          <w:bCs w:val="0"/>
          <w:color w:val="auto"/>
          <w:sz w:val="22"/>
          <w:szCs w:val="22"/>
          <w:highlight w:val="none"/>
          <w:u w:val="none"/>
          <w:lang w:val="en-US" w:eastAsia="zh-CN"/>
        </w:rPr>
        <w:t>待财政资金下达、甲</w:t>
      </w:r>
      <w:r>
        <w:rPr>
          <w:rFonts w:hint="eastAsia" w:ascii="Times New Roman" w:hAnsi="Times New Roman" w:eastAsia="新宋体" w:cs="Times New Roman"/>
          <w:color w:val="auto"/>
          <w:sz w:val="22"/>
          <w:szCs w:val="22"/>
          <w:highlight w:val="none"/>
          <w:lang w:val="en-US" w:eastAsia="zh-CN"/>
        </w:rPr>
        <w:t>方收到乙方出具的合同金额40 %保函以及具备实施条件后7个工作日内，向乙方支付合同总额 40 %的预付款，乙方完成全部供货、安装、调试等工作，甲方验收合格入库并收到乙方出具全额增值税发票后7个工作日内，甲方支付剩余的合同款并退还保函。在合同签订时，乙方明确表示无需预付款或未提供保函，乙方完成全部供货、安装、调试等工作，甲方验收合格入库并收到乙方出具全额增值税发票后7个工作日内，甲方支付合同全款。</w:t>
      </w:r>
    </w:p>
    <w:p w14:paraId="3E81E489">
      <w:pPr>
        <w:spacing w:line="360" w:lineRule="exact"/>
        <w:ind w:firstLine="440" w:firstLineChars="200"/>
        <w:rPr>
          <w:rFonts w:ascii="宋体" w:hAnsi="宋体" w:cs="宋体"/>
          <w:sz w:val="22"/>
          <w:highlight w:val="none"/>
        </w:rPr>
      </w:pPr>
      <w:r>
        <w:rPr>
          <w:rFonts w:hint="eastAsia" w:ascii="宋体" w:hAnsi="宋体" w:cs="宋体"/>
          <w:sz w:val="22"/>
          <w:highlight w:val="none"/>
        </w:rPr>
        <w:t>10、</w:t>
      </w:r>
      <w:r>
        <w:rPr>
          <w:rFonts w:hint="eastAsia" w:ascii="宋体" w:hAnsi="宋体" w:cs="宋体"/>
          <w:sz w:val="22"/>
          <w:highlight w:val="none"/>
          <w:lang w:eastAsia="zh-CN"/>
        </w:rPr>
        <w:t>验收时间：</w:t>
      </w:r>
      <w:r>
        <w:rPr>
          <w:rFonts w:hint="eastAsia" w:ascii="宋体" w:hAnsi="宋体" w:cs="宋体"/>
          <w:sz w:val="22"/>
          <w:highlight w:val="none"/>
          <w:u w:val="single"/>
          <w:lang w:val="en-US" w:eastAsia="zh-CN"/>
        </w:rPr>
        <w:t xml:space="preserve">    年  月   日前</w:t>
      </w:r>
      <w:r>
        <w:rPr>
          <w:rFonts w:hint="eastAsia" w:ascii="宋体" w:hAnsi="宋体" w:cs="宋体"/>
          <w:sz w:val="22"/>
          <w:highlight w:val="none"/>
          <w:u w:val="none"/>
          <w:lang w:val="en-US" w:eastAsia="zh-CN"/>
        </w:rPr>
        <w:t>。</w:t>
      </w:r>
      <w:r>
        <w:rPr>
          <w:rFonts w:hint="eastAsia" w:ascii="宋体" w:hAnsi="宋体" w:cs="宋体"/>
          <w:sz w:val="22"/>
          <w:highlight w:val="none"/>
        </w:rPr>
        <w:t xml:space="preserve">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  </w:t>
      </w:r>
    </w:p>
    <w:p w14:paraId="7E523B65">
      <w:pPr>
        <w:spacing w:line="360" w:lineRule="exact"/>
        <w:ind w:firstLine="440" w:firstLineChars="200"/>
        <w:rPr>
          <w:rFonts w:ascii="宋体" w:hAnsi="宋体" w:cs="宋体"/>
          <w:sz w:val="22"/>
          <w:highlight w:val="none"/>
        </w:rPr>
      </w:pPr>
      <w:r>
        <w:rPr>
          <w:rFonts w:hint="eastAsia" w:ascii="宋体" w:hAnsi="宋体" w:cs="宋体"/>
          <w:sz w:val="22"/>
          <w:highlight w:val="none"/>
        </w:rPr>
        <w:t>11、违约责任</w:t>
      </w:r>
    </w:p>
    <w:p w14:paraId="00DA9E99">
      <w:pPr>
        <w:spacing w:line="360" w:lineRule="exact"/>
        <w:ind w:firstLine="440" w:firstLineChars="200"/>
        <w:rPr>
          <w:rFonts w:ascii="宋体" w:hAnsi="宋体" w:cs="宋体"/>
          <w:sz w:val="22"/>
          <w:highlight w:val="none"/>
        </w:rPr>
      </w:pPr>
      <w:r>
        <w:rPr>
          <w:rFonts w:hint="eastAsia" w:ascii="宋体" w:hAnsi="宋体" w:cs="宋体"/>
          <w:sz w:val="22"/>
          <w:highlight w:val="none"/>
        </w:rPr>
        <w:t>11.1设备质量责任</w:t>
      </w:r>
    </w:p>
    <w:p w14:paraId="6BC5BF12">
      <w:pPr>
        <w:spacing w:line="360" w:lineRule="exact"/>
        <w:ind w:firstLine="440" w:firstLineChars="200"/>
        <w:rPr>
          <w:rFonts w:ascii="宋体" w:hAnsi="宋体" w:cs="宋体"/>
          <w:sz w:val="22"/>
          <w:highlight w:val="none"/>
        </w:rPr>
      </w:pPr>
      <w:r>
        <w:rPr>
          <w:rFonts w:hint="eastAsia" w:ascii="宋体" w:hAnsi="宋体" w:cs="宋体"/>
          <w:sz w:val="22"/>
          <w:highlight w:val="none"/>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14:paraId="41BAFA77">
      <w:pPr>
        <w:spacing w:line="360" w:lineRule="exact"/>
        <w:ind w:firstLine="440" w:firstLineChars="200"/>
        <w:rPr>
          <w:rFonts w:ascii="宋体" w:hAnsi="宋体" w:cs="宋体"/>
          <w:sz w:val="22"/>
          <w:highlight w:val="none"/>
        </w:rPr>
      </w:pPr>
      <w:r>
        <w:rPr>
          <w:rFonts w:hint="eastAsia" w:ascii="宋体" w:hAnsi="宋体" w:cs="宋体"/>
          <w:sz w:val="22"/>
          <w:highlight w:val="none"/>
        </w:rPr>
        <w:t>2）接到甲方通知后，按乙方承诺提供服务。</w:t>
      </w:r>
    </w:p>
    <w:p w14:paraId="43BDE32E">
      <w:pPr>
        <w:spacing w:line="360" w:lineRule="exact"/>
        <w:ind w:firstLine="440" w:firstLineChars="200"/>
        <w:rPr>
          <w:rFonts w:ascii="宋体" w:hAnsi="宋体" w:cs="宋体"/>
          <w:sz w:val="22"/>
          <w:highlight w:val="none"/>
        </w:rPr>
      </w:pPr>
      <w:r>
        <w:rPr>
          <w:rFonts w:hint="eastAsia" w:ascii="宋体" w:hAnsi="宋体" w:cs="宋体"/>
          <w:sz w:val="22"/>
          <w:highlight w:val="none"/>
        </w:rPr>
        <w:t>3）由于甲方保管不善或使用不当造成设备短缺、故障或损坏，由甲方负责。但乙方保证及时给予补齐和修复。</w:t>
      </w:r>
    </w:p>
    <w:p w14:paraId="2DCA5A48">
      <w:pPr>
        <w:spacing w:line="360" w:lineRule="exact"/>
        <w:ind w:firstLine="440" w:firstLineChars="200"/>
        <w:rPr>
          <w:rFonts w:ascii="宋体" w:hAnsi="宋体" w:cs="宋体"/>
          <w:sz w:val="22"/>
          <w:highlight w:val="none"/>
        </w:rPr>
      </w:pPr>
      <w:r>
        <w:rPr>
          <w:rFonts w:hint="eastAsia" w:ascii="宋体" w:hAnsi="宋体" w:cs="宋体"/>
          <w:sz w:val="22"/>
          <w:highlight w:val="none"/>
        </w:rPr>
        <w:t>11.2违约赔偿</w:t>
      </w:r>
    </w:p>
    <w:p w14:paraId="23623C1B">
      <w:pPr>
        <w:spacing w:line="360" w:lineRule="exact"/>
        <w:ind w:firstLine="440" w:firstLineChars="200"/>
        <w:rPr>
          <w:rFonts w:ascii="宋体" w:hAnsi="宋体" w:cs="宋体"/>
          <w:sz w:val="22"/>
          <w:highlight w:val="none"/>
        </w:rPr>
      </w:pPr>
      <w:r>
        <w:rPr>
          <w:rFonts w:hint="eastAsia" w:ascii="宋体" w:hAnsi="宋体" w:cs="宋体"/>
          <w:sz w:val="22"/>
          <w:highlight w:val="none"/>
        </w:rPr>
        <w:t>除不可抗力外，如乙方发生不能按期交货或提供服务，甲方发生中途退货等情况，应及时以书面形式通知对方。双方应本着友好的态度进行协商，妥善解决。</w:t>
      </w:r>
    </w:p>
    <w:p w14:paraId="1FF1D3D7">
      <w:pPr>
        <w:spacing w:line="360" w:lineRule="exact"/>
        <w:ind w:firstLine="440" w:firstLineChars="200"/>
        <w:rPr>
          <w:rFonts w:ascii="宋体" w:hAnsi="宋体" w:cs="宋体"/>
          <w:sz w:val="22"/>
          <w:highlight w:val="none"/>
        </w:rPr>
      </w:pPr>
      <w:r>
        <w:rPr>
          <w:rFonts w:hint="eastAsia" w:ascii="宋体" w:hAnsi="宋体" w:cs="宋体"/>
          <w:sz w:val="22"/>
          <w:highlight w:val="none"/>
        </w:rPr>
        <w:t>如协商无效，按下列规定处以罚金。</w:t>
      </w:r>
    </w:p>
    <w:p w14:paraId="4170C969">
      <w:pPr>
        <w:numPr>
          <w:ilvl w:val="0"/>
          <w:numId w:val="4"/>
        </w:numPr>
        <w:spacing w:line="360" w:lineRule="exact"/>
        <w:ind w:left="0" w:firstLine="440" w:firstLineChars="200"/>
        <w:rPr>
          <w:rFonts w:ascii="宋体" w:hAnsi="宋体" w:cs="宋体"/>
          <w:sz w:val="22"/>
          <w:highlight w:val="none"/>
        </w:rPr>
      </w:pPr>
      <w:r>
        <w:rPr>
          <w:rFonts w:hint="eastAsia" w:ascii="宋体" w:hAnsi="宋体" w:cs="宋体"/>
          <w:sz w:val="22"/>
          <w:highlight w:val="none"/>
        </w:rPr>
        <w:t>逾期交货</w:t>
      </w:r>
    </w:p>
    <w:p w14:paraId="3E5C705B">
      <w:pPr>
        <w:spacing w:line="360" w:lineRule="exact"/>
        <w:ind w:firstLine="440" w:firstLineChars="200"/>
        <w:rPr>
          <w:rFonts w:ascii="宋体" w:hAnsi="宋体" w:cs="宋体"/>
          <w:sz w:val="22"/>
          <w:highlight w:val="none"/>
        </w:rPr>
      </w:pPr>
      <w:r>
        <w:rPr>
          <w:rFonts w:hint="eastAsia" w:ascii="宋体" w:hAnsi="宋体" w:cs="宋体"/>
          <w:sz w:val="22"/>
          <w:highlight w:val="none"/>
        </w:rPr>
        <w:t>乙方逾期交货或乙方无故未按时提供服务，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14:paraId="38A1CC4D">
      <w:pPr>
        <w:numPr>
          <w:ilvl w:val="0"/>
          <w:numId w:val="4"/>
        </w:numPr>
        <w:spacing w:line="360" w:lineRule="exact"/>
        <w:ind w:left="0" w:firstLine="440" w:firstLineChars="200"/>
        <w:rPr>
          <w:rFonts w:ascii="宋体" w:hAnsi="宋体" w:cs="宋体"/>
          <w:sz w:val="22"/>
          <w:highlight w:val="none"/>
        </w:rPr>
      </w:pPr>
      <w:r>
        <w:rPr>
          <w:rFonts w:hint="eastAsia" w:ascii="宋体" w:hAnsi="宋体" w:cs="宋体"/>
          <w:sz w:val="22"/>
          <w:highlight w:val="none"/>
        </w:rPr>
        <w:t>乙方不能交货或甲方中途退货</w:t>
      </w:r>
    </w:p>
    <w:p w14:paraId="21DD8534">
      <w:pPr>
        <w:spacing w:line="360" w:lineRule="exact"/>
        <w:ind w:firstLine="440" w:firstLineChars="200"/>
        <w:rPr>
          <w:rFonts w:ascii="宋体" w:hAnsi="宋体" w:cs="宋体"/>
          <w:sz w:val="22"/>
          <w:highlight w:val="none"/>
        </w:rPr>
      </w:pPr>
      <w:r>
        <w:rPr>
          <w:rFonts w:hint="eastAsia" w:ascii="宋体" w:hAnsi="宋体" w:cs="宋体"/>
          <w:sz w:val="22"/>
          <w:highlight w:val="none"/>
        </w:rPr>
        <w:t>乙方不能交货，履约保证金将被没收并向甲方偿付违约金。违约金按合同总价的10-30%计算。</w:t>
      </w:r>
    </w:p>
    <w:p w14:paraId="6F07B1F3">
      <w:pPr>
        <w:spacing w:line="360" w:lineRule="exact"/>
        <w:ind w:firstLine="440" w:firstLineChars="200"/>
        <w:rPr>
          <w:rFonts w:ascii="宋体" w:hAnsi="宋体" w:cs="宋体"/>
          <w:sz w:val="22"/>
          <w:highlight w:val="none"/>
        </w:rPr>
      </w:pPr>
      <w:r>
        <w:rPr>
          <w:rFonts w:hint="eastAsia" w:ascii="宋体" w:hAnsi="宋体" w:cs="宋体"/>
          <w:sz w:val="22"/>
          <w:highlight w:val="none"/>
        </w:rPr>
        <w:t>甲方中途退货，退还履约保证金并向乙方偿付违约金。违约金的计算方法与乙方违约相同。</w:t>
      </w:r>
    </w:p>
    <w:p w14:paraId="1EFB93CA">
      <w:pPr>
        <w:numPr>
          <w:ilvl w:val="0"/>
          <w:numId w:val="4"/>
        </w:numPr>
        <w:spacing w:line="360" w:lineRule="exact"/>
        <w:ind w:left="0" w:firstLine="440" w:firstLineChars="200"/>
        <w:rPr>
          <w:rFonts w:ascii="宋体" w:hAnsi="宋体" w:cs="宋体"/>
          <w:sz w:val="22"/>
          <w:highlight w:val="none"/>
        </w:rPr>
      </w:pPr>
      <w:r>
        <w:rPr>
          <w:rFonts w:hint="eastAsia" w:ascii="宋体" w:hAnsi="宋体" w:cs="宋体"/>
          <w:sz w:val="22"/>
          <w:highlight w:val="none"/>
        </w:rPr>
        <w:t>履约保证金按付款方式及时退还，逾期支付，应向乙方偿付违约金，自逾期之日起，每逾一日违约罚款按履约保证金的0.2%计付，直至付款完成。</w:t>
      </w:r>
    </w:p>
    <w:p w14:paraId="079318FB">
      <w:pPr>
        <w:spacing w:line="360" w:lineRule="exact"/>
        <w:ind w:firstLine="440" w:firstLineChars="200"/>
        <w:rPr>
          <w:rFonts w:ascii="宋体" w:hAnsi="宋体" w:cs="宋体"/>
          <w:sz w:val="22"/>
          <w:highlight w:val="none"/>
        </w:rPr>
      </w:pPr>
      <w:r>
        <w:rPr>
          <w:rFonts w:hint="eastAsia" w:ascii="宋体" w:hAnsi="宋体" w:cs="宋体"/>
          <w:sz w:val="22"/>
          <w:highlight w:val="none"/>
        </w:rPr>
        <w:t>4） 经双方协商同意延期交货或延长履约保证金期限或同意退货且无需罚款者不在此例。</w:t>
      </w:r>
    </w:p>
    <w:p w14:paraId="01C86369">
      <w:pPr>
        <w:spacing w:line="360" w:lineRule="exact"/>
        <w:ind w:firstLine="440" w:firstLineChars="200"/>
        <w:rPr>
          <w:rFonts w:ascii="宋体" w:hAnsi="宋体" w:cs="宋体"/>
          <w:sz w:val="22"/>
          <w:highlight w:val="none"/>
        </w:rPr>
      </w:pPr>
      <w:r>
        <w:rPr>
          <w:rFonts w:hint="eastAsia" w:ascii="宋体" w:hAnsi="宋体" w:cs="宋体"/>
          <w:sz w:val="22"/>
          <w:highlight w:val="none"/>
        </w:rPr>
        <w:t>12、转让和分包</w:t>
      </w:r>
    </w:p>
    <w:p w14:paraId="2F9A1159">
      <w:pPr>
        <w:spacing w:line="360" w:lineRule="exact"/>
        <w:ind w:firstLine="440" w:firstLineChars="200"/>
        <w:rPr>
          <w:rFonts w:ascii="宋体" w:hAnsi="宋体" w:cs="宋体"/>
          <w:sz w:val="22"/>
          <w:highlight w:val="none"/>
        </w:rPr>
      </w:pPr>
      <w:r>
        <w:rPr>
          <w:rFonts w:hint="eastAsia" w:ascii="宋体" w:hAnsi="宋体" w:cs="宋体"/>
          <w:sz w:val="22"/>
          <w:highlight w:val="none"/>
        </w:rPr>
        <w:t>未经甲方事先书面同意，乙方不得部分转让或分包或全部转让其应履行的合同义务。</w:t>
      </w:r>
    </w:p>
    <w:p w14:paraId="46891FAC">
      <w:pPr>
        <w:spacing w:line="360" w:lineRule="exact"/>
        <w:ind w:firstLine="440" w:firstLineChars="200"/>
        <w:rPr>
          <w:rFonts w:ascii="宋体" w:hAnsi="宋体" w:cs="宋体"/>
          <w:sz w:val="22"/>
          <w:highlight w:val="none"/>
        </w:rPr>
      </w:pPr>
      <w:r>
        <w:rPr>
          <w:rFonts w:hint="eastAsia" w:ascii="宋体" w:hAnsi="宋体" w:cs="宋体"/>
          <w:sz w:val="22"/>
          <w:highlight w:val="none"/>
        </w:rPr>
        <w:t>13、争端的解决</w:t>
      </w:r>
    </w:p>
    <w:p w14:paraId="7EE32D9F">
      <w:pPr>
        <w:spacing w:line="360" w:lineRule="exact"/>
        <w:ind w:firstLine="440" w:firstLineChars="200"/>
        <w:rPr>
          <w:rFonts w:ascii="宋体" w:hAnsi="宋体" w:cs="宋体"/>
          <w:sz w:val="22"/>
          <w:highlight w:val="none"/>
        </w:rPr>
      </w:pPr>
      <w:r>
        <w:rPr>
          <w:rFonts w:hint="eastAsia" w:ascii="宋体" w:hAnsi="宋体" w:cs="宋体"/>
          <w:sz w:val="22"/>
          <w:highlight w:val="none"/>
        </w:rPr>
        <w:t>合同实施或与合同有关的一切争端，甲乙双方首先应通过友好协商解决，如果协商仍得不到解决，任何一方可向甲方所在地人民法院申请诉讼。</w:t>
      </w:r>
    </w:p>
    <w:p w14:paraId="7E849791">
      <w:pPr>
        <w:spacing w:line="360" w:lineRule="exact"/>
        <w:ind w:firstLine="440" w:firstLineChars="200"/>
        <w:rPr>
          <w:rFonts w:ascii="宋体" w:hAnsi="宋体" w:cs="宋体"/>
          <w:sz w:val="22"/>
          <w:highlight w:val="none"/>
        </w:rPr>
      </w:pPr>
      <w:r>
        <w:rPr>
          <w:rFonts w:hint="eastAsia" w:ascii="宋体" w:hAnsi="宋体" w:cs="宋体"/>
          <w:sz w:val="22"/>
          <w:highlight w:val="none"/>
        </w:rPr>
        <w:t>14、约定事项：</w:t>
      </w:r>
    </w:p>
    <w:p w14:paraId="19CF493F">
      <w:pPr>
        <w:spacing w:line="360" w:lineRule="exact"/>
        <w:ind w:firstLine="440" w:firstLineChars="200"/>
        <w:rPr>
          <w:rFonts w:ascii="宋体" w:hAnsi="宋体" w:cs="宋体"/>
          <w:sz w:val="22"/>
          <w:highlight w:val="none"/>
        </w:rPr>
      </w:pPr>
      <w:r>
        <w:rPr>
          <w:rFonts w:hint="eastAsia" w:ascii="宋体" w:hAnsi="宋体" w:cs="宋体"/>
          <w:sz w:val="22"/>
          <w:highlight w:val="none"/>
        </w:rPr>
        <w:t>14.1 本合同一式伍份，甲方两份、乙方两份、合同鉴证方一份。</w:t>
      </w:r>
    </w:p>
    <w:p w14:paraId="03C3D054">
      <w:pPr>
        <w:spacing w:line="360" w:lineRule="exact"/>
        <w:ind w:firstLine="440" w:firstLineChars="200"/>
        <w:rPr>
          <w:rFonts w:ascii="宋体" w:hAnsi="宋体" w:cs="宋体"/>
          <w:b/>
          <w:sz w:val="22"/>
          <w:highlight w:val="none"/>
        </w:rPr>
      </w:pPr>
      <w:r>
        <w:rPr>
          <w:rFonts w:hint="eastAsia" w:ascii="宋体" w:hAnsi="宋体" w:cs="宋体"/>
          <w:sz w:val="22"/>
          <w:highlight w:val="none"/>
        </w:rPr>
        <w:t>14.2 合同经甲方、乙方、合同鉴证方签字盖章后生效。</w:t>
      </w:r>
    </w:p>
    <w:p w14:paraId="7803D7FC">
      <w:pPr>
        <w:spacing w:line="360" w:lineRule="exact"/>
        <w:ind w:firstLine="440" w:firstLineChars="200"/>
        <w:rPr>
          <w:rFonts w:ascii="宋体" w:hAnsi="宋体" w:cs="宋体"/>
          <w:sz w:val="22"/>
          <w:highlight w:val="none"/>
        </w:rPr>
      </w:pPr>
      <w:r>
        <w:rPr>
          <w:rFonts w:hint="eastAsia" w:ascii="宋体" w:hAnsi="宋体" w:cs="宋体"/>
          <w:sz w:val="22"/>
          <w:highlight w:val="none"/>
        </w:rPr>
        <w:t>14.3 如需修改或补充合同内容，经协商，双方应签署书面修改或补充协议，该协议将作为本合同的一个组成部分。</w:t>
      </w:r>
    </w:p>
    <w:p w14:paraId="4797E177">
      <w:pPr>
        <w:spacing w:line="360" w:lineRule="exact"/>
        <w:ind w:firstLine="440" w:firstLineChars="200"/>
        <w:rPr>
          <w:rFonts w:ascii="宋体" w:hAnsi="宋体" w:cs="宋体"/>
          <w:sz w:val="22"/>
          <w:highlight w:val="none"/>
        </w:rPr>
      </w:pPr>
      <w:r>
        <w:rPr>
          <w:rFonts w:hint="eastAsia" w:ascii="宋体" w:hAnsi="宋体" w:cs="宋体"/>
          <w:sz w:val="22"/>
          <w:highlight w:val="none"/>
        </w:rPr>
        <w:t xml:space="preserve">14.4 </w:t>
      </w:r>
      <w:r>
        <w:rPr>
          <w:rFonts w:hint="eastAsia" w:ascii="宋体" w:hAnsi="宋体" w:cs="宋体"/>
          <w:b/>
          <w:sz w:val="22"/>
          <w:highlight w:val="none"/>
        </w:rPr>
        <w:t>本合同未尽事宜及对合同内容如有异议，以采购文件、投标文件和在招标现场承诺为准，</w:t>
      </w:r>
      <w:r>
        <w:rPr>
          <w:rFonts w:hint="eastAsia" w:ascii="宋体" w:hAnsi="宋体" w:cs="宋体"/>
          <w:sz w:val="22"/>
          <w:highlight w:val="none"/>
        </w:rPr>
        <w:t>如遇国家法律、法规及政策另有规定的，从其规定。</w:t>
      </w:r>
    </w:p>
    <w:tbl>
      <w:tblPr>
        <w:tblStyle w:val="39"/>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4819"/>
      </w:tblGrid>
      <w:tr w14:paraId="34A1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9" w:type="dxa"/>
            <w:noWrap w:val="0"/>
            <w:vAlign w:val="top"/>
          </w:tcPr>
          <w:p w14:paraId="3C30463F">
            <w:pPr>
              <w:spacing w:line="360" w:lineRule="exact"/>
              <w:rPr>
                <w:rFonts w:hint="eastAsia" w:ascii="宋体" w:hAnsi="宋体" w:cs="宋体"/>
                <w:sz w:val="22"/>
                <w:highlight w:val="none"/>
                <w:lang w:val="zh-CN"/>
              </w:rPr>
            </w:pPr>
            <w:r>
              <w:rPr>
                <w:rFonts w:hint="eastAsia" w:ascii="宋体" w:hAnsi="宋体" w:cs="宋体"/>
                <w:sz w:val="22"/>
                <w:highlight w:val="none"/>
              </w:rPr>
              <w:t>甲方（盖章）：温州大学</w:t>
            </w:r>
          </w:p>
          <w:p w14:paraId="4E72E461">
            <w:pPr>
              <w:spacing w:line="360" w:lineRule="exact"/>
              <w:rPr>
                <w:rFonts w:hint="eastAsia" w:ascii="宋体" w:hAnsi="宋体" w:cs="宋体"/>
                <w:sz w:val="22"/>
                <w:highlight w:val="none"/>
              </w:rPr>
            </w:pPr>
            <w:r>
              <w:rPr>
                <w:rFonts w:hint="eastAsia" w:ascii="宋体" w:hAnsi="宋体" w:cs="宋体"/>
                <w:sz w:val="22"/>
                <w:highlight w:val="none"/>
              </w:rPr>
              <w:t xml:space="preserve">法人代表：赵敏 </w:t>
            </w:r>
          </w:p>
          <w:p w14:paraId="331D8662">
            <w:pPr>
              <w:spacing w:line="360" w:lineRule="exact"/>
              <w:rPr>
                <w:rFonts w:hint="eastAsia" w:ascii="宋体" w:hAnsi="宋体" w:cs="宋体"/>
                <w:sz w:val="22"/>
                <w:highlight w:val="none"/>
              </w:rPr>
            </w:pPr>
            <w:r>
              <w:rPr>
                <w:rFonts w:hint="eastAsia" w:ascii="宋体" w:hAnsi="宋体" w:cs="宋体"/>
                <w:sz w:val="22"/>
                <w:highlight w:val="none"/>
              </w:rPr>
              <w:t xml:space="preserve">委托代理人（签字）： </w:t>
            </w:r>
          </w:p>
          <w:p w14:paraId="7E39721A">
            <w:pPr>
              <w:spacing w:line="360" w:lineRule="exact"/>
              <w:rPr>
                <w:rFonts w:hint="eastAsia" w:ascii="宋体" w:hAnsi="宋体" w:cs="宋体"/>
                <w:sz w:val="22"/>
                <w:highlight w:val="none"/>
              </w:rPr>
            </w:pPr>
            <w:r>
              <w:rPr>
                <w:rFonts w:hint="eastAsia" w:ascii="宋体" w:hAnsi="宋体" w:cs="宋体"/>
                <w:sz w:val="22"/>
                <w:highlight w:val="none"/>
              </w:rPr>
              <w:t xml:space="preserve">联系电话：0577-86596037 </w:t>
            </w:r>
          </w:p>
          <w:p w14:paraId="0A34A0F8">
            <w:pPr>
              <w:spacing w:line="360" w:lineRule="exact"/>
              <w:rPr>
                <w:rFonts w:hint="eastAsia" w:ascii="宋体" w:hAnsi="宋体" w:cs="宋体"/>
                <w:sz w:val="22"/>
                <w:highlight w:val="none"/>
              </w:rPr>
            </w:pPr>
            <w:r>
              <w:rPr>
                <w:rFonts w:hint="eastAsia" w:ascii="宋体" w:hAnsi="宋体" w:cs="宋体"/>
                <w:sz w:val="22"/>
                <w:highlight w:val="none"/>
              </w:rPr>
              <w:t xml:space="preserve">地 址：温州高教园区（瓯海区茶山镇） </w:t>
            </w:r>
          </w:p>
          <w:p w14:paraId="14D68E69">
            <w:pPr>
              <w:spacing w:line="360" w:lineRule="exact"/>
              <w:rPr>
                <w:rFonts w:hint="eastAsia" w:ascii="宋体" w:hAnsi="宋体" w:cs="宋体"/>
                <w:sz w:val="22"/>
                <w:highlight w:val="none"/>
              </w:rPr>
            </w:pPr>
            <w:r>
              <w:rPr>
                <w:rFonts w:hint="eastAsia" w:ascii="宋体" w:hAnsi="宋体" w:cs="宋体"/>
                <w:sz w:val="22"/>
                <w:highlight w:val="none"/>
              </w:rPr>
              <w:t xml:space="preserve">纳税人名称：温州大学 </w:t>
            </w:r>
          </w:p>
          <w:p w14:paraId="7F66CA84">
            <w:pPr>
              <w:spacing w:line="360" w:lineRule="exact"/>
              <w:rPr>
                <w:rFonts w:hint="eastAsia" w:ascii="宋体" w:hAnsi="宋体" w:cs="宋体"/>
                <w:sz w:val="22"/>
                <w:highlight w:val="none"/>
              </w:rPr>
            </w:pPr>
            <w:r>
              <w:rPr>
                <w:rFonts w:hint="eastAsia" w:ascii="宋体" w:hAnsi="宋体" w:cs="宋体"/>
                <w:sz w:val="22"/>
                <w:highlight w:val="none"/>
              </w:rPr>
              <w:t xml:space="preserve">纳税人识别号：12330300792065186A </w:t>
            </w:r>
          </w:p>
          <w:p w14:paraId="607CD26B">
            <w:pPr>
              <w:spacing w:line="360" w:lineRule="exact"/>
              <w:rPr>
                <w:rFonts w:hint="eastAsia" w:ascii="宋体" w:hAnsi="宋体" w:cs="宋体"/>
                <w:sz w:val="22"/>
                <w:highlight w:val="none"/>
              </w:rPr>
            </w:pPr>
            <w:r>
              <w:rPr>
                <w:rFonts w:hint="eastAsia" w:ascii="宋体" w:hAnsi="宋体" w:cs="宋体"/>
                <w:sz w:val="22"/>
                <w:highlight w:val="none"/>
              </w:rPr>
              <w:t xml:space="preserve">开户行：工行马鞍池支行 </w:t>
            </w:r>
          </w:p>
          <w:p w14:paraId="62B1CAB6">
            <w:pPr>
              <w:spacing w:line="360" w:lineRule="exact"/>
              <w:rPr>
                <w:rFonts w:ascii="宋体" w:hAnsi="宋体" w:cs="宋体"/>
                <w:sz w:val="22"/>
                <w:highlight w:val="none"/>
              </w:rPr>
            </w:pPr>
            <w:r>
              <w:rPr>
                <w:rFonts w:hint="eastAsia" w:ascii="宋体" w:hAnsi="宋体" w:cs="宋体"/>
                <w:sz w:val="22"/>
                <w:highlight w:val="none"/>
              </w:rPr>
              <w:t xml:space="preserve">账号：1203206009201055368 </w:t>
            </w:r>
          </w:p>
        </w:tc>
        <w:tc>
          <w:tcPr>
            <w:tcW w:w="4819" w:type="dxa"/>
            <w:noWrap w:val="0"/>
            <w:vAlign w:val="top"/>
          </w:tcPr>
          <w:p w14:paraId="530E2519">
            <w:pPr>
              <w:spacing w:line="360" w:lineRule="exact"/>
              <w:rPr>
                <w:rFonts w:hint="eastAsia" w:ascii="宋体" w:hAnsi="宋体" w:cs="宋体"/>
                <w:sz w:val="22"/>
                <w:highlight w:val="none"/>
                <w:lang w:val="zh-CN"/>
              </w:rPr>
            </w:pPr>
            <w:r>
              <w:rPr>
                <w:rFonts w:hint="eastAsia" w:ascii="宋体" w:hAnsi="宋体" w:cs="宋体"/>
                <w:sz w:val="22"/>
                <w:highlight w:val="none"/>
              </w:rPr>
              <w:t>乙方（盖章）：</w:t>
            </w:r>
          </w:p>
          <w:p w14:paraId="45DEF040">
            <w:pPr>
              <w:spacing w:line="360" w:lineRule="exact"/>
              <w:rPr>
                <w:rFonts w:hint="eastAsia" w:ascii="宋体" w:hAnsi="宋体" w:cs="宋体"/>
                <w:sz w:val="22"/>
                <w:highlight w:val="none"/>
              </w:rPr>
            </w:pPr>
            <w:r>
              <w:rPr>
                <w:rFonts w:hint="eastAsia" w:ascii="宋体" w:hAnsi="宋体" w:cs="宋体"/>
                <w:sz w:val="22"/>
                <w:highlight w:val="none"/>
              </w:rPr>
              <w:t xml:space="preserve">法人代表： </w:t>
            </w:r>
          </w:p>
          <w:p w14:paraId="4761C487">
            <w:pPr>
              <w:spacing w:line="360" w:lineRule="exact"/>
              <w:rPr>
                <w:rFonts w:hint="eastAsia" w:ascii="宋体" w:hAnsi="宋体" w:cs="宋体"/>
                <w:sz w:val="22"/>
                <w:highlight w:val="none"/>
              </w:rPr>
            </w:pPr>
            <w:r>
              <w:rPr>
                <w:rFonts w:hint="eastAsia" w:ascii="宋体" w:hAnsi="宋体" w:cs="宋体"/>
                <w:sz w:val="22"/>
                <w:highlight w:val="none"/>
              </w:rPr>
              <w:t xml:space="preserve">委托代理人（签字）： </w:t>
            </w:r>
          </w:p>
          <w:p w14:paraId="38CF57DF">
            <w:pPr>
              <w:spacing w:line="360" w:lineRule="exact"/>
              <w:rPr>
                <w:rFonts w:hint="eastAsia" w:ascii="宋体" w:hAnsi="宋体" w:cs="宋体"/>
                <w:sz w:val="22"/>
                <w:highlight w:val="none"/>
              </w:rPr>
            </w:pPr>
            <w:r>
              <w:rPr>
                <w:rFonts w:hint="eastAsia" w:ascii="宋体" w:hAnsi="宋体" w:cs="宋体"/>
                <w:sz w:val="22"/>
                <w:highlight w:val="none"/>
                <w:lang w:eastAsia="zh-CN"/>
              </w:rPr>
              <w:t>手机号</w:t>
            </w:r>
            <w:r>
              <w:rPr>
                <w:rFonts w:hint="eastAsia" w:ascii="宋体" w:hAnsi="宋体" w:cs="宋体"/>
                <w:sz w:val="22"/>
                <w:highlight w:val="none"/>
              </w:rPr>
              <w:t xml:space="preserve">： </w:t>
            </w:r>
          </w:p>
          <w:p w14:paraId="4B33F4B0">
            <w:pPr>
              <w:spacing w:line="360" w:lineRule="exact"/>
              <w:rPr>
                <w:rFonts w:hint="eastAsia" w:ascii="宋体" w:hAnsi="宋体" w:cs="宋体"/>
                <w:sz w:val="22"/>
                <w:highlight w:val="none"/>
              </w:rPr>
            </w:pPr>
            <w:r>
              <w:rPr>
                <w:rFonts w:hint="eastAsia" w:ascii="宋体" w:hAnsi="宋体" w:cs="宋体"/>
                <w:sz w:val="22"/>
                <w:highlight w:val="none"/>
              </w:rPr>
              <w:t xml:space="preserve">地 址： </w:t>
            </w:r>
          </w:p>
          <w:p w14:paraId="662BC001">
            <w:pPr>
              <w:spacing w:line="360" w:lineRule="exact"/>
              <w:rPr>
                <w:rFonts w:ascii="宋体" w:hAnsi="宋体" w:cs="宋体"/>
                <w:sz w:val="22"/>
                <w:highlight w:val="none"/>
              </w:rPr>
            </w:pPr>
            <w:r>
              <w:rPr>
                <w:rFonts w:hint="eastAsia" w:ascii="宋体" w:hAnsi="宋体" w:cs="宋体"/>
                <w:sz w:val="22"/>
                <w:highlight w:val="none"/>
              </w:rPr>
              <w:t xml:space="preserve">纳税人名称： </w:t>
            </w:r>
          </w:p>
          <w:p w14:paraId="53409B01">
            <w:pPr>
              <w:spacing w:line="360" w:lineRule="exact"/>
              <w:rPr>
                <w:rFonts w:ascii="宋体" w:hAnsi="宋体" w:cs="宋体"/>
                <w:sz w:val="22"/>
                <w:highlight w:val="none"/>
              </w:rPr>
            </w:pPr>
            <w:r>
              <w:rPr>
                <w:rFonts w:hint="eastAsia" w:ascii="宋体" w:hAnsi="宋体" w:cs="宋体"/>
                <w:sz w:val="22"/>
                <w:highlight w:val="none"/>
              </w:rPr>
              <w:t xml:space="preserve">纳税人识别号： </w:t>
            </w:r>
          </w:p>
          <w:p w14:paraId="7DBDD3C1">
            <w:pPr>
              <w:spacing w:line="360" w:lineRule="exact"/>
              <w:rPr>
                <w:rFonts w:ascii="宋体" w:hAnsi="宋体" w:cs="宋体"/>
                <w:sz w:val="22"/>
                <w:highlight w:val="none"/>
              </w:rPr>
            </w:pPr>
            <w:r>
              <w:rPr>
                <w:rFonts w:hint="eastAsia" w:ascii="宋体" w:hAnsi="宋体" w:cs="宋体"/>
                <w:sz w:val="22"/>
                <w:highlight w:val="none"/>
              </w:rPr>
              <w:t>开户行</w:t>
            </w:r>
            <w:r>
              <w:rPr>
                <w:rFonts w:hint="eastAsia" w:ascii="宋体" w:hAnsi="宋体" w:cs="宋体"/>
                <w:sz w:val="22"/>
                <w:highlight w:val="none"/>
                <w:lang w:eastAsia="zh-CN"/>
              </w:rPr>
              <w:t>（与发票一致）</w:t>
            </w:r>
            <w:r>
              <w:rPr>
                <w:rFonts w:hint="eastAsia" w:ascii="宋体" w:hAnsi="宋体" w:cs="宋体"/>
                <w:sz w:val="22"/>
                <w:highlight w:val="none"/>
              </w:rPr>
              <w:t>：</w:t>
            </w:r>
          </w:p>
          <w:p w14:paraId="592CCB0D">
            <w:pPr>
              <w:spacing w:line="360" w:lineRule="exact"/>
              <w:rPr>
                <w:rFonts w:ascii="宋体" w:hAnsi="宋体" w:cs="宋体"/>
                <w:sz w:val="22"/>
                <w:highlight w:val="none"/>
              </w:rPr>
            </w:pPr>
            <w:r>
              <w:rPr>
                <w:rFonts w:hint="eastAsia" w:ascii="宋体" w:hAnsi="宋体" w:cs="宋体"/>
                <w:sz w:val="22"/>
                <w:highlight w:val="none"/>
              </w:rPr>
              <w:t>账号</w:t>
            </w:r>
            <w:r>
              <w:rPr>
                <w:rFonts w:hint="eastAsia" w:ascii="宋体" w:hAnsi="宋体" w:cs="宋体"/>
                <w:sz w:val="22"/>
                <w:highlight w:val="none"/>
                <w:lang w:eastAsia="zh-CN"/>
              </w:rPr>
              <w:t>（与发票一致）</w:t>
            </w:r>
            <w:r>
              <w:rPr>
                <w:rFonts w:hint="eastAsia" w:ascii="宋体" w:hAnsi="宋体" w:cs="宋体"/>
                <w:sz w:val="22"/>
                <w:highlight w:val="none"/>
              </w:rPr>
              <w:t>：</w:t>
            </w:r>
          </w:p>
        </w:tc>
      </w:tr>
      <w:tr w14:paraId="57D4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noWrap w:val="0"/>
            <w:vAlign w:val="top"/>
          </w:tcPr>
          <w:p w14:paraId="64F2E714">
            <w:pPr>
              <w:spacing w:line="360" w:lineRule="exact"/>
              <w:rPr>
                <w:rFonts w:ascii="宋体" w:hAnsi="宋体" w:cs="宋体"/>
                <w:sz w:val="22"/>
                <w:highlight w:val="none"/>
              </w:rPr>
            </w:pPr>
            <w:r>
              <w:rPr>
                <w:rFonts w:hint="eastAsia" w:ascii="宋体" w:hAnsi="宋体" w:cs="宋体"/>
                <w:sz w:val="22"/>
                <w:highlight w:val="none"/>
              </w:rPr>
              <w:t xml:space="preserve">合同鉴证方（盖章）： </w:t>
            </w:r>
          </w:p>
          <w:p w14:paraId="4C0EC084">
            <w:pPr>
              <w:spacing w:line="360" w:lineRule="exact"/>
              <w:rPr>
                <w:rFonts w:ascii="宋体" w:hAnsi="宋体" w:cs="宋体"/>
                <w:sz w:val="22"/>
                <w:highlight w:val="none"/>
              </w:rPr>
            </w:pPr>
            <w:r>
              <w:rPr>
                <w:rFonts w:hint="eastAsia" w:ascii="宋体" w:hAnsi="宋体" w:cs="宋体"/>
                <w:sz w:val="22"/>
                <w:highlight w:val="none"/>
              </w:rPr>
              <w:t>法定代表人或主要负责人（签字）：</w:t>
            </w:r>
          </w:p>
          <w:p w14:paraId="140552B2">
            <w:pPr>
              <w:spacing w:line="360" w:lineRule="exact"/>
              <w:rPr>
                <w:rFonts w:ascii="宋体" w:hAnsi="宋体" w:cs="宋体"/>
                <w:sz w:val="22"/>
                <w:highlight w:val="none"/>
              </w:rPr>
            </w:pPr>
            <w:r>
              <w:rPr>
                <w:rFonts w:hint="eastAsia" w:ascii="宋体" w:hAnsi="宋体" w:cs="宋体"/>
                <w:sz w:val="22"/>
                <w:highlight w:val="none"/>
              </w:rPr>
              <w:t>联系电话：</w:t>
            </w:r>
          </w:p>
        </w:tc>
      </w:tr>
      <w:tr w14:paraId="03DD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noWrap w:val="0"/>
            <w:vAlign w:val="center"/>
          </w:tcPr>
          <w:p w14:paraId="739FB085">
            <w:pPr>
              <w:spacing w:line="360" w:lineRule="exact"/>
              <w:ind w:firstLine="220" w:firstLineChars="100"/>
              <w:jc w:val="center"/>
              <w:rPr>
                <w:rFonts w:ascii="宋体" w:hAnsi="宋体" w:cs="宋体"/>
                <w:sz w:val="22"/>
                <w:highlight w:val="none"/>
              </w:rPr>
            </w:pPr>
            <w:r>
              <w:rPr>
                <w:rFonts w:hint="eastAsia" w:ascii="宋体" w:hAnsi="宋体" w:cs="宋体"/>
                <w:sz w:val="22"/>
                <w:highlight w:val="none"/>
              </w:rPr>
              <w:t>合同签订日期：      年    月    日</w:t>
            </w:r>
          </w:p>
        </w:tc>
      </w:tr>
    </w:tbl>
    <w:p w14:paraId="61738144">
      <w:pPr>
        <w:spacing w:line="360" w:lineRule="exact"/>
        <w:jc w:val="center"/>
        <w:rPr>
          <w:rFonts w:hint="eastAsia" w:ascii="宋体" w:hAnsi="宋体" w:cs="宋体"/>
          <w:b/>
          <w:sz w:val="22"/>
          <w:highlight w:val="none"/>
        </w:rPr>
      </w:pPr>
    </w:p>
    <w:p w14:paraId="6AD11F60">
      <w:pPr>
        <w:spacing w:line="360" w:lineRule="exact"/>
        <w:jc w:val="center"/>
        <w:rPr>
          <w:rFonts w:ascii="宋体" w:hAnsi="宋体" w:cs="宋体"/>
          <w:b/>
          <w:sz w:val="22"/>
          <w:highlight w:val="none"/>
        </w:rPr>
      </w:pPr>
      <w:r>
        <w:rPr>
          <w:rFonts w:hint="eastAsia" w:ascii="宋体" w:hAnsi="宋体" w:cs="宋体"/>
          <w:b/>
          <w:sz w:val="22"/>
          <w:highlight w:val="none"/>
        </w:rPr>
        <w:t>附件</w:t>
      </w:r>
    </w:p>
    <w:p w14:paraId="60C363F0">
      <w:pPr>
        <w:rPr>
          <w:rFonts w:ascii="宋体" w:hAnsi="宋体" w:cs="宋体"/>
          <w:b/>
          <w:sz w:val="22"/>
          <w:highlight w:val="none"/>
        </w:rPr>
      </w:pPr>
      <w:r>
        <w:rPr>
          <w:rFonts w:hint="eastAsia" w:ascii="宋体" w:hAnsi="宋体" w:cs="宋体"/>
          <w:b/>
          <w:sz w:val="22"/>
          <w:highlight w:val="none"/>
        </w:rPr>
        <w:t xml:space="preserve">    供货清单：                                           金额单位：人民币（元）</w:t>
      </w:r>
    </w:p>
    <w:tbl>
      <w:tblPr>
        <w:tblStyle w:val="39"/>
        <w:tblW w:w="94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7"/>
        <w:gridCol w:w="648"/>
        <w:gridCol w:w="677"/>
        <w:gridCol w:w="1237"/>
        <w:gridCol w:w="775"/>
        <w:gridCol w:w="1200"/>
        <w:gridCol w:w="1163"/>
        <w:gridCol w:w="826"/>
        <w:gridCol w:w="868"/>
        <w:gridCol w:w="1568"/>
        <w:gridCol w:w="11"/>
      </w:tblGrid>
      <w:tr w14:paraId="53263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14:paraId="4CA8A3E7">
            <w:pPr>
              <w:snapToGrid w:val="0"/>
              <w:spacing w:line="400" w:lineRule="exact"/>
              <w:jc w:val="center"/>
              <w:rPr>
                <w:rFonts w:ascii="宋体" w:hAnsi="宋体" w:cs="宋体"/>
                <w:sz w:val="22"/>
                <w:highlight w:val="none"/>
              </w:rPr>
            </w:pPr>
            <w:r>
              <w:rPr>
                <w:rFonts w:hint="eastAsia" w:ascii="宋体" w:hAnsi="宋体" w:cs="宋体"/>
                <w:sz w:val="22"/>
                <w:highlight w:val="none"/>
              </w:rPr>
              <w:t>序号</w:t>
            </w:r>
          </w:p>
        </w:tc>
        <w:tc>
          <w:tcPr>
            <w:tcW w:w="1325" w:type="dxa"/>
            <w:gridSpan w:val="2"/>
            <w:tcBorders>
              <w:top w:val="single" w:color="auto" w:sz="4" w:space="0"/>
              <w:left w:val="single" w:color="auto" w:sz="4" w:space="0"/>
              <w:bottom w:val="single" w:color="auto" w:sz="4" w:space="0"/>
              <w:right w:val="single" w:color="auto" w:sz="4" w:space="0"/>
            </w:tcBorders>
            <w:noWrap w:val="0"/>
            <w:vAlign w:val="center"/>
          </w:tcPr>
          <w:p w14:paraId="7B6697A2">
            <w:pPr>
              <w:snapToGrid w:val="0"/>
              <w:spacing w:line="400" w:lineRule="exact"/>
              <w:jc w:val="center"/>
              <w:rPr>
                <w:rFonts w:ascii="宋体" w:hAnsi="宋体" w:cs="宋体"/>
                <w:sz w:val="22"/>
                <w:highlight w:val="none"/>
              </w:rPr>
            </w:pPr>
            <w:r>
              <w:rPr>
                <w:rFonts w:hint="eastAsia" w:ascii="宋体" w:hAnsi="宋体" w:cs="宋体"/>
                <w:sz w:val="22"/>
                <w:highlight w:val="none"/>
              </w:rPr>
              <w:t>货物名称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842A4FB">
            <w:pPr>
              <w:snapToGrid w:val="0"/>
              <w:spacing w:line="400" w:lineRule="exact"/>
              <w:jc w:val="center"/>
              <w:rPr>
                <w:rFonts w:ascii="宋体" w:hAnsi="宋体" w:cs="宋体"/>
                <w:sz w:val="22"/>
                <w:highlight w:val="none"/>
              </w:rPr>
            </w:pPr>
            <w:r>
              <w:rPr>
                <w:rFonts w:hint="eastAsia" w:ascii="宋体" w:hAnsi="宋体" w:cs="宋体"/>
                <w:sz w:val="22"/>
                <w:highlight w:val="none"/>
              </w:rPr>
              <w:t>制造商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B4C7A5B">
            <w:pPr>
              <w:snapToGrid w:val="0"/>
              <w:spacing w:line="400" w:lineRule="exact"/>
              <w:jc w:val="center"/>
              <w:rPr>
                <w:rFonts w:ascii="宋体" w:hAnsi="宋体" w:cs="宋体"/>
                <w:sz w:val="22"/>
                <w:highlight w:val="none"/>
              </w:rPr>
            </w:pPr>
            <w:r>
              <w:rPr>
                <w:rFonts w:hint="eastAsia" w:ascii="宋体" w:hAnsi="宋体" w:cs="宋体"/>
                <w:sz w:val="22"/>
                <w:highlight w:val="none"/>
              </w:rPr>
              <w:t>产地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E9692C">
            <w:pPr>
              <w:snapToGrid w:val="0"/>
              <w:spacing w:line="400" w:lineRule="exact"/>
              <w:jc w:val="center"/>
              <w:rPr>
                <w:rFonts w:ascii="宋体" w:hAnsi="宋体" w:cs="宋体"/>
                <w:sz w:val="22"/>
                <w:highlight w:val="none"/>
              </w:rPr>
            </w:pPr>
            <w:r>
              <w:rPr>
                <w:rFonts w:hint="eastAsia" w:ascii="宋体" w:hAnsi="宋体" w:cs="宋体"/>
                <w:sz w:val="22"/>
                <w:highlight w:val="none"/>
              </w:rPr>
              <w:t>品牌</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1112DC2">
            <w:pPr>
              <w:snapToGrid w:val="0"/>
              <w:spacing w:line="400" w:lineRule="exact"/>
              <w:jc w:val="center"/>
              <w:rPr>
                <w:rFonts w:ascii="宋体" w:hAnsi="宋体" w:cs="宋体"/>
                <w:sz w:val="22"/>
                <w:highlight w:val="none"/>
              </w:rPr>
            </w:pPr>
            <w:r>
              <w:rPr>
                <w:rFonts w:hint="eastAsia" w:ascii="宋体" w:hAnsi="宋体" w:cs="宋体"/>
                <w:sz w:val="22"/>
                <w:highlight w:val="none"/>
              </w:rPr>
              <w:t>规格型号</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809CB28">
            <w:pPr>
              <w:tabs>
                <w:tab w:val="left" w:pos="1418"/>
              </w:tabs>
              <w:snapToGrid w:val="0"/>
              <w:spacing w:line="400" w:lineRule="exact"/>
              <w:jc w:val="center"/>
              <w:rPr>
                <w:rFonts w:ascii="宋体" w:hAnsi="宋体" w:cs="宋体"/>
                <w:sz w:val="22"/>
                <w:highlight w:val="none"/>
              </w:rPr>
            </w:pPr>
            <w:r>
              <w:rPr>
                <w:rFonts w:hint="eastAsia" w:ascii="宋体" w:hAnsi="宋体" w:cs="宋体"/>
                <w:sz w:val="22"/>
                <w:highlight w:val="none"/>
              </w:rPr>
              <w:t>数量</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5FA565B7">
            <w:pPr>
              <w:tabs>
                <w:tab w:val="left" w:pos="1418"/>
              </w:tabs>
              <w:snapToGrid w:val="0"/>
              <w:spacing w:line="400" w:lineRule="exact"/>
              <w:jc w:val="center"/>
              <w:rPr>
                <w:rFonts w:ascii="宋体" w:hAnsi="宋体" w:cs="宋体"/>
                <w:sz w:val="22"/>
                <w:highlight w:val="none"/>
              </w:rPr>
            </w:pPr>
            <w:r>
              <w:rPr>
                <w:rFonts w:hint="eastAsia" w:hAnsi="宋体" w:cs="宋体"/>
                <w:sz w:val="22"/>
                <w:highlight w:val="none"/>
              </w:rPr>
              <w:t>单价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A08DD71">
            <w:pPr>
              <w:pStyle w:val="19"/>
              <w:spacing w:line="400" w:lineRule="exact"/>
              <w:jc w:val="center"/>
              <w:rPr>
                <w:rFonts w:hAnsi="宋体" w:cs="宋体"/>
                <w:snapToGrid w:val="0"/>
                <w:sz w:val="22"/>
                <w:highlight w:val="none"/>
              </w:rPr>
            </w:pPr>
            <w:r>
              <w:rPr>
                <w:rFonts w:hint="eastAsia" w:hAnsi="宋体" w:cs="宋体"/>
                <w:sz w:val="22"/>
                <w:highlight w:val="none"/>
              </w:rPr>
              <w:t>合计</w:t>
            </w:r>
          </w:p>
        </w:tc>
      </w:tr>
      <w:tr w14:paraId="6775E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D9305">
            <w:pPr>
              <w:spacing w:line="300" w:lineRule="exact"/>
              <w:ind w:left="-99" w:leftChars="-47" w:right="-105" w:rightChars="-50"/>
              <w:jc w:val="center"/>
              <w:rPr>
                <w:rFonts w:ascii="宋体" w:hAnsi="宋体" w:cs="宋体"/>
                <w:sz w:val="22"/>
                <w:highlight w:val="none"/>
              </w:rPr>
            </w:pPr>
            <w:r>
              <w:rPr>
                <w:rFonts w:hint="eastAsia" w:ascii="宋体" w:hAnsi="宋体" w:cs="宋体"/>
                <w:sz w:val="22"/>
                <w:highlight w:val="none"/>
              </w:rPr>
              <w:t>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00A5D">
            <w:pPr>
              <w:spacing w:line="300" w:lineRule="exact"/>
              <w:ind w:left="-59" w:leftChars="-28" w:right="-103" w:rightChars="-49"/>
              <w:jc w:val="center"/>
              <w:rPr>
                <w:rFonts w:ascii="宋体" w:hAnsi="宋体" w:cs="宋体"/>
                <w:sz w:val="22"/>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47CE1F">
            <w:pPr>
              <w:spacing w:line="300" w:lineRule="exact"/>
              <w:ind w:left="-59" w:leftChars="-28" w:right="-55" w:rightChars="-26"/>
              <w:jc w:val="center"/>
              <w:rPr>
                <w:rFonts w:ascii="宋体" w:hAnsi="宋体" w:cs="宋体"/>
                <w:spacing w:val="-6"/>
                <w:sz w:val="22"/>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2008932">
            <w:pPr>
              <w:spacing w:line="300" w:lineRule="exact"/>
              <w:ind w:left="-59" w:leftChars="-28" w:right="-55" w:rightChars="-26"/>
              <w:jc w:val="center"/>
              <w:rPr>
                <w:rFonts w:ascii="宋体" w:hAnsi="宋体" w:cs="宋体"/>
                <w:sz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318DE70">
            <w:pPr>
              <w:spacing w:line="300" w:lineRule="exact"/>
              <w:ind w:left="-59" w:leftChars="-28" w:right="-55" w:rightChars="-26"/>
              <w:jc w:val="center"/>
              <w:rPr>
                <w:rFonts w:ascii="宋体" w:hAnsi="宋体" w:cs="宋体"/>
                <w:spacing w:val="-6"/>
                <w:sz w:val="22"/>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F351939">
            <w:pPr>
              <w:spacing w:line="300" w:lineRule="exact"/>
              <w:ind w:left="-59" w:leftChars="-28" w:right="-55" w:rightChars="-26"/>
              <w:jc w:val="center"/>
              <w:rPr>
                <w:rFonts w:ascii="宋体" w:hAnsi="宋体" w:cs="宋体"/>
                <w:sz w:val="22"/>
                <w:highlight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14:paraId="0B2F8BEE">
            <w:pPr>
              <w:spacing w:line="300" w:lineRule="exact"/>
              <w:ind w:left="-59" w:leftChars="-28" w:right="-55" w:rightChars="-26"/>
              <w:jc w:val="center"/>
              <w:rPr>
                <w:rFonts w:ascii="宋体" w:hAnsi="宋体" w:cs="宋体"/>
                <w:sz w:val="22"/>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6F1A2040">
            <w:pPr>
              <w:spacing w:line="300" w:lineRule="exact"/>
              <w:ind w:left="-59" w:leftChars="-28" w:right="-55" w:rightChars="-26"/>
              <w:jc w:val="center"/>
              <w:rPr>
                <w:rFonts w:ascii="宋体" w:hAnsi="宋体" w:cs="宋体"/>
                <w:sz w:val="22"/>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A5E8222">
            <w:pPr>
              <w:spacing w:line="300" w:lineRule="exact"/>
              <w:ind w:left="-59" w:leftChars="-28" w:right="-55" w:rightChars="-26"/>
              <w:jc w:val="center"/>
              <w:rPr>
                <w:rFonts w:ascii="宋体" w:hAnsi="宋体" w:cs="宋体"/>
                <w:sz w:val="22"/>
                <w:highlight w:val="none"/>
              </w:rPr>
            </w:pPr>
          </w:p>
        </w:tc>
      </w:tr>
      <w:tr w14:paraId="728DB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0E4E8">
            <w:pPr>
              <w:spacing w:line="300" w:lineRule="exact"/>
              <w:ind w:left="-99" w:leftChars="-47" w:right="-105" w:rightChars="-50"/>
              <w:jc w:val="center"/>
              <w:rPr>
                <w:rFonts w:ascii="宋体" w:hAnsi="宋体" w:cs="宋体"/>
                <w:sz w:val="22"/>
                <w:highlight w:val="none"/>
              </w:rPr>
            </w:pPr>
            <w:r>
              <w:rPr>
                <w:rFonts w:hint="eastAsia" w:ascii="宋体" w:hAnsi="宋体" w:cs="宋体"/>
                <w:sz w:val="22"/>
                <w:highlight w:val="none"/>
              </w:rPr>
              <w:t>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0A4499">
            <w:pPr>
              <w:spacing w:line="300" w:lineRule="exact"/>
              <w:ind w:left="-59" w:leftChars="-28" w:right="-103" w:rightChars="-49"/>
              <w:jc w:val="center"/>
              <w:rPr>
                <w:rFonts w:ascii="宋体" w:hAnsi="宋体" w:cs="宋体"/>
                <w:sz w:val="22"/>
                <w:highlight w:val="none"/>
              </w:rPr>
            </w:pP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F37F3">
            <w:pPr>
              <w:spacing w:line="300" w:lineRule="exact"/>
              <w:ind w:left="-59" w:leftChars="-28" w:right="-55" w:rightChars="-26"/>
              <w:jc w:val="center"/>
              <w:rPr>
                <w:rFonts w:ascii="宋体" w:hAnsi="宋体" w:cs="宋体"/>
                <w:spacing w:val="-6"/>
                <w:sz w:val="22"/>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41D5EAE2">
            <w:pPr>
              <w:spacing w:line="300" w:lineRule="exact"/>
              <w:ind w:left="-59" w:leftChars="-28" w:right="-55" w:rightChars="-26"/>
              <w:jc w:val="center"/>
              <w:rPr>
                <w:rFonts w:ascii="宋体" w:hAnsi="宋体" w:cs="宋体"/>
                <w:sz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9DDEABF">
            <w:pPr>
              <w:spacing w:line="300" w:lineRule="exact"/>
              <w:ind w:left="-59" w:leftChars="-28" w:right="-55" w:rightChars="-26"/>
              <w:jc w:val="center"/>
              <w:rPr>
                <w:rFonts w:ascii="宋体" w:hAnsi="宋体" w:cs="宋体"/>
                <w:spacing w:val="-6"/>
                <w:sz w:val="22"/>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2EB8446">
            <w:pPr>
              <w:spacing w:line="300" w:lineRule="exact"/>
              <w:ind w:left="-59" w:leftChars="-28" w:right="-55" w:rightChars="-26"/>
              <w:jc w:val="center"/>
              <w:rPr>
                <w:rFonts w:ascii="宋体" w:hAnsi="宋体" w:cs="宋体"/>
                <w:sz w:val="22"/>
                <w:highlight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14:paraId="2FAE9D03">
            <w:pPr>
              <w:spacing w:line="300" w:lineRule="exact"/>
              <w:ind w:left="-59" w:leftChars="-28" w:right="-55" w:rightChars="-26"/>
              <w:jc w:val="center"/>
              <w:rPr>
                <w:rFonts w:ascii="宋体" w:hAnsi="宋体" w:cs="宋体"/>
                <w:sz w:val="22"/>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626D34E3">
            <w:pPr>
              <w:spacing w:line="300" w:lineRule="exact"/>
              <w:ind w:left="-59" w:leftChars="-28" w:right="-55" w:rightChars="-26"/>
              <w:jc w:val="center"/>
              <w:rPr>
                <w:rFonts w:ascii="宋体" w:hAnsi="宋体" w:cs="宋体"/>
                <w:sz w:val="22"/>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56C7CDA">
            <w:pPr>
              <w:spacing w:line="300" w:lineRule="exact"/>
              <w:ind w:left="-59" w:leftChars="-28" w:right="-55" w:rightChars="-26"/>
              <w:jc w:val="center"/>
              <w:rPr>
                <w:rFonts w:ascii="宋体" w:hAnsi="宋体" w:cs="宋体"/>
                <w:sz w:val="22"/>
                <w:highlight w:val="none"/>
              </w:rPr>
            </w:pPr>
          </w:p>
        </w:tc>
      </w:tr>
      <w:tr w14:paraId="49E8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9469" w:type="dxa"/>
            <w:gridSpan w:val="10"/>
            <w:tcBorders>
              <w:top w:val="single" w:color="auto" w:sz="4" w:space="0"/>
              <w:left w:val="single" w:color="auto" w:sz="4" w:space="0"/>
              <w:bottom w:val="single" w:color="auto" w:sz="4" w:space="0"/>
              <w:right w:val="single" w:color="auto" w:sz="4" w:space="0"/>
            </w:tcBorders>
            <w:noWrap w:val="0"/>
            <w:vAlign w:val="center"/>
          </w:tcPr>
          <w:p w14:paraId="7A0D971C">
            <w:pPr>
              <w:spacing w:line="300" w:lineRule="exact"/>
              <w:ind w:left="-59" w:leftChars="-28" w:right="-55" w:rightChars="-26"/>
              <w:jc w:val="left"/>
              <w:rPr>
                <w:rFonts w:hint="eastAsia" w:ascii="宋体" w:hAnsi="宋体" w:cs="宋体"/>
                <w:sz w:val="22"/>
                <w:highlight w:val="none"/>
              </w:rPr>
            </w:pPr>
            <w:r>
              <w:rPr>
                <w:rFonts w:hint="eastAsia" w:ascii="宋体" w:hAnsi="宋体" w:cs="宋体"/>
                <w:sz w:val="22"/>
                <w:highlight w:val="none"/>
              </w:rPr>
              <w:t>合计：（大写）                                       小写：￥</w:t>
            </w:r>
          </w:p>
        </w:tc>
      </w:tr>
      <w:tr w14:paraId="14DA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55" w:type="dxa"/>
            <w:gridSpan w:val="2"/>
            <w:noWrap w:val="0"/>
            <w:vAlign w:val="center"/>
          </w:tcPr>
          <w:p w14:paraId="53D12736">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sz w:val="22"/>
                <w:highlight w:val="none"/>
                <w:lang w:eastAsia="zh-CN"/>
              </w:rPr>
            </w:pPr>
            <w:r>
              <w:rPr>
                <w:rFonts w:hint="eastAsia" w:ascii="宋体" w:hAnsi="宋体" w:cs="宋体"/>
                <w:b w:val="0"/>
                <w:bCs/>
                <w:sz w:val="22"/>
                <w:highlight w:val="none"/>
                <w:lang w:eastAsia="zh-CN"/>
              </w:rPr>
              <w:t>货物名称</w:t>
            </w:r>
          </w:p>
        </w:tc>
        <w:tc>
          <w:tcPr>
            <w:tcW w:w="8325" w:type="dxa"/>
            <w:gridSpan w:val="9"/>
            <w:noWrap w:val="0"/>
            <w:vAlign w:val="center"/>
          </w:tcPr>
          <w:p w14:paraId="450DE483">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b w:val="0"/>
                <w:bCs/>
                <w:sz w:val="22"/>
                <w:highlight w:val="none"/>
                <w:lang w:eastAsia="zh-CN"/>
              </w:rPr>
            </w:pPr>
            <w:r>
              <w:rPr>
                <w:rFonts w:hint="eastAsia" w:ascii="宋体" w:hAnsi="宋体" w:cs="宋体"/>
                <w:b w:val="0"/>
                <w:bCs/>
                <w:sz w:val="22"/>
                <w:highlight w:val="none"/>
                <w:lang w:eastAsia="zh-CN"/>
              </w:rPr>
              <w:t>技术参数</w:t>
            </w:r>
          </w:p>
        </w:tc>
      </w:tr>
      <w:tr w14:paraId="337D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155" w:type="dxa"/>
            <w:gridSpan w:val="2"/>
            <w:noWrap w:val="0"/>
            <w:vAlign w:val="center"/>
          </w:tcPr>
          <w:p w14:paraId="3D2FD2E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cs="宋体"/>
                <w:b/>
                <w:sz w:val="22"/>
                <w:highlight w:val="none"/>
              </w:rPr>
            </w:pPr>
          </w:p>
        </w:tc>
        <w:tc>
          <w:tcPr>
            <w:tcW w:w="8325" w:type="dxa"/>
            <w:gridSpan w:val="9"/>
            <w:noWrap w:val="0"/>
            <w:vAlign w:val="center"/>
          </w:tcPr>
          <w:p w14:paraId="77787AD8">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highlight w:val="none"/>
              </w:rPr>
            </w:pPr>
          </w:p>
        </w:tc>
      </w:tr>
    </w:tbl>
    <w:p w14:paraId="73678333">
      <w:pPr>
        <w:tabs>
          <w:tab w:val="left" w:pos="4286"/>
        </w:tabs>
        <w:spacing w:line="400" w:lineRule="exact"/>
        <w:jc w:val="center"/>
        <w:outlineLvl w:val="9"/>
        <w:rPr>
          <w:rFonts w:ascii="宋体" w:hAnsi="宋体" w:cs="宋体"/>
          <w:b/>
          <w:sz w:val="32"/>
          <w:highlight w:val="none"/>
        </w:rPr>
      </w:pPr>
    </w:p>
    <w:p w14:paraId="6A54DF65">
      <w:pPr>
        <w:tabs>
          <w:tab w:val="left" w:pos="4286"/>
        </w:tabs>
        <w:spacing w:line="400" w:lineRule="exact"/>
        <w:jc w:val="center"/>
        <w:outlineLvl w:val="9"/>
        <w:rPr>
          <w:rFonts w:ascii="宋体" w:hAnsi="宋体" w:cs="宋体"/>
          <w:b/>
          <w:sz w:val="32"/>
          <w:highlight w:val="none"/>
        </w:rPr>
      </w:pPr>
    </w:p>
    <w:p w14:paraId="7A5E10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4"/>
          <w:highlight w:val="none"/>
        </w:rPr>
      </w:pPr>
      <w:r>
        <w:rPr>
          <w:rFonts w:hint="eastAsia" w:ascii="宋体" w:hAnsi="宋体"/>
          <w:b/>
          <w:sz w:val="24"/>
          <w:highlight w:val="none"/>
          <w:lang w:val="en-US" w:eastAsia="zh-CN"/>
        </w:rPr>
        <w:t xml:space="preserve">                                  </w:t>
      </w:r>
      <w:r>
        <w:rPr>
          <w:rFonts w:hint="eastAsia" w:ascii="宋体" w:hAnsi="宋体"/>
          <w:b/>
          <w:sz w:val="24"/>
          <w:highlight w:val="none"/>
        </w:rPr>
        <w:t>甲方申请人签字：</w:t>
      </w:r>
    </w:p>
    <w:p w14:paraId="6560C45A">
      <w:pPr>
        <w:pStyle w:val="16"/>
        <w:keepNext w:val="0"/>
        <w:keepLines w:val="0"/>
        <w:pageBreakBefore w:val="0"/>
        <w:widowControl w:val="0"/>
        <w:kinsoku/>
        <w:wordWrap/>
        <w:overflowPunct/>
        <w:topLinePunct w:val="0"/>
        <w:autoSpaceDE/>
        <w:autoSpaceDN/>
        <w:bidi w:val="0"/>
        <w:adjustRightInd/>
        <w:snapToGrid/>
        <w:spacing w:line="360" w:lineRule="auto"/>
        <w:ind w:left="0" w:rightChars="0"/>
        <w:jc w:val="center"/>
        <w:textAlignment w:val="auto"/>
        <w:rPr>
          <w:highlight w:val="none"/>
        </w:rPr>
      </w:pPr>
      <w:r>
        <w:rPr>
          <w:rFonts w:hint="eastAsia"/>
          <w:b/>
          <w:sz w:val="24"/>
          <w:highlight w:val="none"/>
          <w:lang w:val="en-US" w:eastAsia="zh-CN"/>
        </w:rPr>
        <w:t xml:space="preserve">                                        </w:t>
      </w:r>
      <w:r>
        <w:rPr>
          <w:rFonts w:hint="eastAsia"/>
          <w:b/>
          <w:sz w:val="24"/>
          <w:highlight w:val="none"/>
        </w:rPr>
        <w:t>确认时间：</w:t>
      </w:r>
    </w:p>
    <w:p w14:paraId="4EA879C7">
      <w:pPr>
        <w:rPr>
          <w:rFonts w:hint="eastAsia" w:ascii="宋体" w:hAnsi="宋体" w:cs="宋体"/>
          <w:color w:val="auto"/>
          <w:highlight w:val="none"/>
        </w:rPr>
      </w:pPr>
    </w:p>
    <w:p w14:paraId="01286866">
      <w:pPr>
        <w:spacing w:line="400" w:lineRule="exact"/>
        <w:jc w:val="center"/>
        <w:outlineLvl w:val="0"/>
        <w:rPr>
          <w:rFonts w:hint="eastAsia" w:ascii="宋体" w:hAnsi="宋体" w:cs="宋体"/>
          <w:color w:val="auto"/>
          <w:sz w:val="36"/>
          <w:szCs w:val="36"/>
          <w:highlight w:val="none"/>
        </w:rPr>
      </w:pPr>
      <w:bookmarkStart w:id="65" w:name="_Toc25811"/>
      <w:bookmarkStart w:id="66" w:name="_Toc202085296"/>
      <w:bookmarkStart w:id="67" w:name="_Toc195502496"/>
      <w:bookmarkStart w:id="68" w:name="_Toc195502586"/>
      <w:bookmarkStart w:id="69" w:name="_Toc28793"/>
      <w:bookmarkStart w:id="70" w:name="_Toc14682749"/>
      <w:bookmarkStart w:id="71" w:name="_Toc30488974"/>
      <w:bookmarkStart w:id="72" w:name="_Toc195502585"/>
      <w:bookmarkStart w:id="73" w:name="_Toc202085295"/>
      <w:bookmarkStart w:id="74" w:name="_Toc195502495"/>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第四部分   附件</w:t>
      </w:r>
      <w:bookmarkEnd w:id="65"/>
      <w:bookmarkEnd w:id="66"/>
      <w:bookmarkEnd w:id="67"/>
      <w:bookmarkEnd w:id="68"/>
    </w:p>
    <w:p w14:paraId="4D77C8D8">
      <w:pPr>
        <w:spacing w:line="480" w:lineRule="exact"/>
        <w:outlineLvl w:val="1"/>
        <w:rPr>
          <w:rFonts w:hint="eastAsia" w:ascii="宋体" w:hAnsi="宋体" w:cs="宋体"/>
          <w:b/>
          <w:bCs/>
          <w:color w:val="auto"/>
          <w:sz w:val="24"/>
          <w:highlight w:val="none"/>
        </w:rPr>
      </w:pPr>
      <w:bookmarkStart w:id="75" w:name="_Toc14636"/>
      <w:bookmarkStart w:id="76" w:name="_Toc929"/>
      <w:r>
        <w:rPr>
          <w:rFonts w:hint="eastAsia" w:ascii="宋体" w:hAnsi="宋体" w:cs="宋体"/>
          <w:b/>
          <w:bCs/>
          <w:color w:val="auto"/>
          <w:sz w:val="24"/>
          <w:highlight w:val="none"/>
        </w:rPr>
        <w:t>附件一</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 xml:space="preserve"> </w:t>
      </w:r>
      <w:bookmarkEnd w:id="75"/>
      <w:bookmarkEnd w:id="76"/>
      <w:r>
        <w:rPr>
          <w:rFonts w:hint="eastAsia" w:ascii="宋体" w:hAnsi="宋体" w:cs="宋体"/>
          <w:b/>
          <w:bCs/>
          <w:color w:val="auto"/>
          <w:sz w:val="24"/>
          <w:highlight w:val="none"/>
        </w:rPr>
        <w:t xml:space="preserve">投标响应函 </w:t>
      </w:r>
    </w:p>
    <w:p w14:paraId="7F3302EC">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投标响应函</w:t>
      </w:r>
    </w:p>
    <w:p w14:paraId="459C7716">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温州大学</w:t>
      </w:r>
      <w:r>
        <w:rPr>
          <w:rFonts w:hint="eastAsia" w:ascii="宋体" w:hAnsi="宋体" w:cs="宋体"/>
          <w:color w:val="auto"/>
          <w:sz w:val="22"/>
          <w:szCs w:val="22"/>
          <w:highlight w:val="none"/>
        </w:rPr>
        <w:t>：</w:t>
      </w:r>
    </w:p>
    <w:p w14:paraId="61D84D95">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）的采购邀请，我方</w:t>
      </w:r>
      <w:r>
        <w:rPr>
          <w:rFonts w:hint="eastAsia" w:ascii="宋体" w:hAnsi="宋体" w:cs="宋体"/>
          <w:color w:val="auto"/>
          <w:sz w:val="22"/>
          <w:szCs w:val="22"/>
          <w:highlight w:val="none"/>
          <w:u w:val="single"/>
        </w:rPr>
        <w:t>（供应商名称）</w:t>
      </w:r>
      <w:r>
        <w:rPr>
          <w:rFonts w:hint="eastAsia" w:ascii="宋体" w:hAnsi="宋体" w:cs="宋体"/>
          <w:color w:val="auto"/>
          <w:sz w:val="22"/>
          <w:szCs w:val="22"/>
          <w:highlight w:val="none"/>
        </w:rPr>
        <w:t>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（授权代表全名，职务）代表我方处理有关本次投标的一切事宜。</w:t>
      </w:r>
    </w:p>
    <w:p w14:paraId="5D86B6D4">
      <w:pPr>
        <w:spacing w:line="4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在此提交的投标文件中，包括按“采购文件”要求编制的报价文件、资格证明文件、商务技术文件等三部分内容。</w:t>
      </w:r>
    </w:p>
    <w:p w14:paraId="79726F2C">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我方己完全明白采购文件的所有条款要求，并重申以下几点：</w:t>
      </w:r>
    </w:p>
    <w:p w14:paraId="79C89A33">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（一）本投标文件的有效期自响应截止日起</w:t>
      </w: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u w:val="single"/>
        </w:rPr>
        <w:t xml:space="preserve"> 90  </w:t>
      </w:r>
      <w:r>
        <w:rPr>
          <w:rFonts w:hint="eastAsia" w:ascii="宋体" w:hAnsi="宋体" w:cs="宋体"/>
          <w:color w:val="auto"/>
          <w:sz w:val="22"/>
          <w:szCs w:val="22"/>
          <w:highlight w:val="none"/>
        </w:rPr>
        <w:t>天内有效，如中标，有效期将延至合同终止日为止；</w:t>
      </w:r>
    </w:p>
    <w:p w14:paraId="2B5E0FD0">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09E45528">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（三）我方明白并承诺在规定的开标时间之后，在投标有效期内不撤回投标文件；</w:t>
      </w:r>
    </w:p>
    <w:p w14:paraId="514117C2">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14:paraId="5B753C55">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14:paraId="6A96FCC0">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（六）我方如果中标，将保证履行采购文件以及采购文件修改书（如有）中的全部责任和义务，按质、按量、按期完成《合同书》中的全部任务。</w:t>
      </w:r>
    </w:p>
    <w:p w14:paraId="40FAA4D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（七）所有与本采购有关的函件请发往下列地址：</w:t>
      </w:r>
    </w:p>
    <w:p w14:paraId="1A0592D0">
      <w:pPr>
        <w:spacing w:line="46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25BE6705">
      <w:pPr>
        <w:spacing w:line="46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092F6799">
      <w:pPr>
        <w:spacing w:line="46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0F4B552A">
      <w:pPr>
        <w:spacing w:line="46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7128D64A">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6240E6D1">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2711BD67">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日 期：      年    月   日</w:t>
      </w:r>
    </w:p>
    <w:p w14:paraId="19B8410B">
      <w:pPr>
        <w:spacing w:line="400" w:lineRule="exact"/>
        <w:rPr>
          <w:rFonts w:hint="eastAsia" w:ascii="宋体" w:hAnsi="宋体" w:cs="宋体"/>
          <w:b/>
          <w:bCs/>
          <w:color w:val="auto"/>
          <w:sz w:val="22"/>
          <w:szCs w:val="22"/>
          <w:highlight w:val="none"/>
        </w:rPr>
      </w:pPr>
    </w:p>
    <w:p w14:paraId="07BA843F">
      <w:pPr>
        <w:spacing w:line="400" w:lineRule="exact"/>
        <w:rPr>
          <w:rFonts w:hint="eastAsia" w:ascii="宋体" w:hAnsi="宋体" w:cs="宋体"/>
          <w:b/>
          <w:bCs/>
          <w:color w:val="auto"/>
          <w:sz w:val="22"/>
          <w:szCs w:val="22"/>
          <w:highlight w:val="none"/>
          <w:u w:val="single"/>
        </w:rPr>
        <w:sectPr>
          <w:footerReference r:id="rId10" w:type="first"/>
          <w:headerReference r:id="rId8" w:type="default"/>
          <w:footerReference r:id="rId9" w:type="default"/>
          <w:pgSz w:w="11906" w:h="16838"/>
          <w:pgMar w:top="1134" w:right="1134" w:bottom="1134" w:left="1134" w:header="850" w:footer="850" w:gutter="284"/>
          <w:pgNumType w:fmt="decimal" w:start="1"/>
          <w:cols w:space="720" w:num="1"/>
          <w:titlePg/>
          <w:docGrid w:linePitch="312" w:charSpace="0"/>
        </w:sect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▲不按要求提供投标函将被视为没有实质性响应采购文件。</w:t>
      </w:r>
    </w:p>
    <w:p w14:paraId="5F1E0246">
      <w:pPr>
        <w:spacing w:line="480" w:lineRule="exact"/>
        <w:outlineLvl w:val="1"/>
        <w:rPr>
          <w:rFonts w:hint="eastAsia" w:ascii="宋体" w:hAnsi="宋体" w:cs="宋体"/>
          <w:b/>
          <w:bCs/>
          <w:color w:val="auto"/>
          <w:sz w:val="24"/>
          <w:highlight w:val="none"/>
        </w:rPr>
      </w:pPr>
      <w:bookmarkStart w:id="77" w:name="_Toc20190"/>
      <w:bookmarkStart w:id="78" w:name="_Toc11153"/>
      <w:bookmarkStart w:id="79" w:name="_Toc30488978"/>
      <w:bookmarkStart w:id="80" w:name="_Toc14682753"/>
      <w:bookmarkStart w:id="81" w:name="_Toc5854"/>
      <w:r>
        <w:rPr>
          <w:rFonts w:hint="eastAsia" w:ascii="宋体" w:hAnsi="宋体" w:cs="宋体"/>
          <w:b/>
          <w:bCs/>
          <w:color w:val="auto"/>
          <w:sz w:val="24"/>
          <w:highlight w:val="none"/>
        </w:rPr>
        <w:t>附件二  报价一览表</w:t>
      </w:r>
      <w:bookmarkEnd w:id="77"/>
      <w:bookmarkEnd w:id="78"/>
      <w:bookmarkEnd w:id="79"/>
      <w:bookmarkEnd w:id="80"/>
      <w:bookmarkEnd w:id="81"/>
    </w:p>
    <w:p w14:paraId="011157A1">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报价一览表</w:t>
      </w:r>
    </w:p>
    <w:p w14:paraId="522C31DD">
      <w:pPr>
        <w:spacing w:line="400" w:lineRule="exact"/>
        <w:jc w:val="center"/>
        <w:rPr>
          <w:rFonts w:hint="eastAsia" w:ascii="宋体" w:hAnsi="宋体" w:cs="宋体"/>
          <w:b/>
          <w:bCs/>
          <w:color w:val="auto"/>
          <w:sz w:val="22"/>
          <w:szCs w:val="22"/>
          <w:highlight w:val="none"/>
        </w:rPr>
      </w:pPr>
    </w:p>
    <w:p w14:paraId="5F0EE773">
      <w:pPr>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5220"/>
        <w:gridCol w:w="1440"/>
      </w:tblGrid>
      <w:tr w14:paraId="33F7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14:paraId="4FB07BB6">
            <w:pPr>
              <w:spacing w:line="38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2160" w:type="dxa"/>
            <w:noWrap w:val="0"/>
            <w:vAlign w:val="center"/>
          </w:tcPr>
          <w:p w14:paraId="54D902A6">
            <w:pPr>
              <w:spacing w:line="38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项目名称</w:t>
            </w:r>
          </w:p>
        </w:tc>
        <w:tc>
          <w:tcPr>
            <w:tcW w:w="5220" w:type="dxa"/>
            <w:noWrap w:val="0"/>
            <w:vAlign w:val="center"/>
          </w:tcPr>
          <w:p w14:paraId="53A252AA">
            <w:pPr>
              <w:spacing w:line="38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投标</w:t>
            </w:r>
            <w:r>
              <w:rPr>
                <w:rFonts w:hint="eastAsia" w:ascii="宋体" w:hAnsi="宋体" w:cs="宋体"/>
                <w:bCs/>
                <w:color w:val="auto"/>
                <w:sz w:val="22"/>
                <w:szCs w:val="22"/>
                <w:highlight w:val="none"/>
              </w:rPr>
              <w:t>报价</w:t>
            </w:r>
          </w:p>
        </w:tc>
        <w:tc>
          <w:tcPr>
            <w:tcW w:w="1440" w:type="dxa"/>
            <w:noWrap w:val="0"/>
            <w:vAlign w:val="center"/>
          </w:tcPr>
          <w:p w14:paraId="4EC8A1E2">
            <w:pPr>
              <w:spacing w:line="38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6A34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28" w:type="dxa"/>
            <w:vMerge w:val="restart"/>
            <w:noWrap w:val="0"/>
            <w:vAlign w:val="center"/>
          </w:tcPr>
          <w:p w14:paraId="40593D96">
            <w:pPr>
              <w:spacing w:line="38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2160" w:type="dxa"/>
            <w:vMerge w:val="restart"/>
            <w:noWrap w:val="0"/>
            <w:vAlign w:val="center"/>
          </w:tcPr>
          <w:p w14:paraId="2D6F3A24">
            <w:pPr>
              <w:spacing w:line="380" w:lineRule="exact"/>
              <w:jc w:val="center"/>
              <w:rPr>
                <w:rFonts w:hint="eastAsia" w:ascii="宋体" w:hAnsi="宋体" w:eastAsia="宋体" w:cs="宋体"/>
                <w:bCs/>
                <w:color w:val="auto"/>
                <w:sz w:val="22"/>
                <w:szCs w:val="22"/>
                <w:highlight w:val="none"/>
                <w:lang w:eastAsia="zh-CN"/>
              </w:rPr>
            </w:pPr>
            <w:r>
              <w:rPr>
                <w:rFonts w:hint="eastAsia" w:ascii="宋体" w:hAnsi="宋体" w:cs="宋体"/>
                <w:color w:val="auto"/>
                <w:sz w:val="22"/>
                <w:szCs w:val="22"/>
                <w:highlight w:val="none"/>
                <w:lang w:eastAsia="zh-CN"/>
              </w:rPr>
              <w:t>温州大学D区食堂一楼后厨设备</w:t>
            </w:r>
          </w:p>
        </w:tc>
        <w:tc>
          <w:tcPr>
            <w:tcW w:w="5220" w:type="dxa"/>
            <w:noWrap w:val="0"/>
            <w:vAlign w:val="center"/>
          </w:tcPr>
          <w:p w14:paraId="40371F1E">
            <w:pPr>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大写：人民币</w:t>
            </w:r>
          </w:p>
        </w:tc>
        <w:tc>
          <w:tcPr>
            <w:tcW w:w="1440" w:type="dxa"/>
            <w:vMerge w:val="restart"/>
            <w:noWrap w:val="0"/>
            <w:vAlign w:val="center"/>
          </w:tcPr>
          <w:p w14:paraId="6D950760">
            <w:pPr>
              <w:spacing w:line="380" w:lineRule="exact"/>
              <w:rPr>
                <w:rFonts w:hint="eastAsia" w:ascii="宋体" w:hAnsi="宋体" w:cs="宋体"/>
                <w:bCs/>
                <w:color w:val="auto"/>
                <w:sz w:val="22"/>
                <w:szCs w:val="22"/>
                <w:highlight w:val="none"/>
              </w:rPr>
            </w:pPr>
          </w:p>
        </w:tc>
      </w:tr>
      <w:tr w14:paraId="7D78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8" w:type="dxa"/>
            <w:vMerge w:val="continue"/>
            <w:noWrap w:val="0"/>
            <w:vAlign w:val="top"/>
          </w:tcPr>
          <w:p w14:paraId="7790AE26">
            <w:pPr>
              <w:rPr>
                <w:rFonts w:hint="eastAsia" w:ascii="宋体" w:hAnsi="宋体" w:cs="宋体"/>
                <w:color w:val="auto"/>
                <w:sz w:val="22"/>
                <w:szCs w:val="22"/>
                <w:highlight w:val="none"/>
              </w:rPr>
            </w:pPr>
          </w:p>
        </w:tc>
        <w:tc>
          <w:tcPr>
            <w:tcW w:w="2160" w:type="dxa"/>
            <w:vMerge w:val="continue"/>
            <w:noWrap w:val="0"/>
            <w:vAlign w:val="top"/>
          </w:tcPr>
          <w:p w14:paraId="24A813D5">
            <w:pPr>
              <w:rPr>
                <w:rFonts w:hint="eastAsia" w:ascii="宋体" w:hAnsi="宋体" w:cs="宋体"/>
                <w:color w:val="auto"/>
                <w:sz w:val="22"/>
                <w:szCs w:val="22"/>
                <w:highlight w:val="none"/>
              </w:rPr>
            </w:pPr>
          </w:p>
        </w:tc>
        <w:tc>
          <w:tcPr>
            <w:tcW w:w="5220" w:type="dxa"/>
            <w:noWrap w:val="0"/>
            <w:vAlign w:val="center"/>
          </w:tcPr>
          <w:p w14:paraId="00299B17">
            <w:pPr>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小写：¥</w:t>
            </w:r>
          </w:p>
        </w:tc>
        <w:tc>
          <w:tcPr>
            <w:tcW w:w="1440" w:type="dxa"/>
            <w:vMerge w:val="continue"/>
            <w:noWrap w:val="0"/>
            <w:vAlign w:val="center"/>
          </w:tcPr>
          <w:p w14:paraId="0F056F8D">
            <w:pPr>
              <w:spacing w:line="380" w:lineRule="exact"/>
              <w:rPr>
                <w:rFonts w:hint="eastAsia" w:ascii="宋体" w:hAnsi="宋体" w:cs="宋体"/>
                <w:bCs/>
                <w:color w:val="auto"/>
                <w:sz w:val="22"/>
                <w:szCs w:val="22"/>
                <w:highlight w:val="none"/>
              </w:rPr>
            </w:pPr>
          </w:p>
        </w:tc>
      </w:tr>
    </w:tbl>
    <w:p w14:paraId="646E6FCB">
      <w:pPr>
        <w:spacing w:line="380" w:lineRule="exact"/>
        <w:ind w:left="535" w:leftChars="-171" w:hanging="894" w:hangingChars="40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说明：1.报价均为含税价。</w:t>
      </w:r>
    </w:p>
    <w:p w14:paraId="07A519EC">
      <w:pPr>
        <w:spacing w:line="380" w:lineRule="exact"/>
        <w:ind w:left="3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2.采购代理服务费应计入报价内。</w:t>
      </w:r>
    </w:p>
    <w:p w14:paraId="6F4B2777">
      <w:pPr>
        <w:spacing w:line="380" w:lineRule="exact"/>
        <w:ind w:left="3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w:t>
      </w:r>
      <w:r>
        <w:rPr>
          <w:rFonts w:hint="eastAsia" w:ascii="宋体" w:hAnsi="宋体" w:cs="宋体"/>
          <w:b/>
          <w:color w:val="auto"/>
          <w:sz w:val="22"/>
          <w:szCs w:val="22"/>
          <w:highlight w:val="none"/>
        </w:rPr>
        <w:t>完成本项目所需的所有费用，包括</w:t>
      </w:r>
      <w:r>
        <w:rPr>
          <w:rFonts w:hint="eastAsia" w:ascii="宋体" w:hAnsi="宋体" w:cs="宋体"/>
          <w:b/>
          <w:color w:val="auto"/>
          <w:sz w:val="22"/>
          <w:highlight w:val="none"/>
        </w:rPr>
        <w:t>货物款（含软件系统）、专用工具、税金、包装、运输、保险、装卸就位、安装调试、验收（含第三方验收）、技术服务、售后服务、材料、质保期保障、采购代理服务费等全部费用</w:t>
      </w:r>
      <w:r>
        <w:rPr>
          <w:rFonts w:hint="eastAsia" w:ascii="宋体" w:hAnsi="宋体" w:cs="宋体"/>
          <w:b/>
          <w:bCs/>
          <w:color w:val="auto"/>
          <w:sz w:val="22"/>
          <w:szCs w:val="22"/>
          <w:highlight w:val="none"/>
        </w:rPr>
        <w:t>，供应商应根据上述因素自行考虑含入总报价。</w:t>
      </w:r>
    </w:p>
    <w:p w14:paraId="544FA3C7">
      <w:pPr>
        <w:spacing w:line="380" w:lineRule="exact"/>
        <w:ind w:left="535" w:leftChars="-171" w:hanging="894" w:hangingChars="405"/>
        <w:rPr>
          <w:rFonts w:hint="eastAsia" w:ascii="宋体" w:hAnsi="宋体" w:cs="宋体"/>
          <w:b/>
          <w:bCs/>
          <w:color w:val="auto"/>
          <w:sz w:val="22"/>
          <w:szCs w:val="22"/>
          <w:highlight w:val="none"/>
        </w:rPr>
      </w:pPr>
    </w:p>
    <w:p w14:paraId="0D50BD05">
      <w:pPr>
        <w:spacing w:line="380" w:lineRule="exact"/>
        <w:ind w:left="535" w:leftChars="-171" w:hanging="894" w:hangingChars="405"/>
        <w:rPr>
          <w:rFonts w:hint="eastAsia" w:ascii="宋体" w:hAnsi="宋体" w:cs="宋体"/>
          <w:b/>
          <w:bCs/>
          <w:color w:val="auto"/>
          <w:sz w:val="22"/>
          <w:szCs w:val="22"/>
          <w:highlight w:val="none"/>
        </w:rPr>
      </w:pPr>
    </w:p>
    <w:p w14:paraId="6E0F47F8">
      <w:pPr>
        <w:spacing w:line="380" w:lineRule="exact"/>
        <w:ind w:left="535" w:leftChars="-171" w:hanging="894" w:hangingChars="405"/>
        <w:rPr>
          <w:rFonts w:hint="eastAsia" w:ascii="宋体" w:hAnsi="宋体" w:cs="宋体"/>
          <w:b/>
          <w:bCs/>
          <w:color w:val="auto"/>
          <w:sz w:val="22"/>
          <w:szCs w:val="22"/>
          <w:highlight w:val="none"/>
        </w:rPr>
      </w:pPr>
    </w:p>
    <w:p w14:paraId="45882F00">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3731139F">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291FC06B">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36D5297A">
      <w:pPr>
        <w:pStyle w:val="20"/>
        <w:ind w:left="0"/>
        <w:rPr>
          <w:rFonts w:hint="eastAsia" w:ascii="宋体" w:hAnsi="宋体" w:cs="宋体"/>
          <w:color w:val="auto"/>
          <w:sz w:val="22"/>
          <w:szCs w:val="22"/>
          <w:highlight w:val="none"/>
        </w:rPr>
      </w:pPr>
    </w:p>
    <w:p w14:paraId="50299CC4">
      <w:pPr>
        <w:spacing w:line="480" w:lineRule="exact"/>
        <w:outlineLvl w:val="1"/>
        <w:rPr>
          <w:rFonts w:hint="eastAsia" w:ascii="宋体" w:hAnsi="宋体" w:cs="宋体"/>
          <w:b/>
          <w:bCs/>
          <w:color w:val="auto"/>
          <w:sz w:val="24"/>
          <w:highlight w:val="none"/>
        </w:rPr>
      </w:pPr>
      <w:bookmarkStart w:id="82" w:name="_Toc24915"/>
      <w:bookmarkStart w:id="83" w:name="_Toc66"/>
      <w:r>
        <w:rPr>
          <w:rFonts w:hint="eastAsia" w:ascii="宋体" w:hAnsi="宋体" w:cs="宋体"/>
          <w:b/>
          <w:bCs/>
          <w:color w:val="auto"/>
          <w:sz w:val="24"/>
          <w:highlight w:val="none"/>
        </w:rPr>
        <w:br w:type="page"/>
      </w:r>
      <w:bookmarkStart w:id="84" w:name="_Toc16796"/>
      <w:bookmarkStart w:id="85" w:name="_Toc3547"/>
      <w:r>
        <w:rPr>
          <w:rFonts w:hint="eastAsia" w:ascii="宋体" w:hAnsi="宋体" w:cs="宋体"/>
          <w:b/>
          <w:bCs/>
          <w:color w:val="auto"/>
          <w:sz w:val="24"/>
          <w:highlight w:val="none"/>
        </w:rPr>
        <w:t>附件三  分项报价表</w:t>
      </w:r>
      <w:bookmarkEnd w:id="84"/>
      <w:bookmarkEnd w:id="85"/>
    </w:p>
    <w:p w14:paraId="361E173E">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分项报价表</w:t>
      </w:r>
    </w:p>
    <w:p w14:paraId="451C964F">
      <w:pPr>
        <w:pStyle w:val="46"/>
        <w:rPr>
          <w:rFonts w:hint="default" w:eastAsia="宋体"/>
          <w:bCs/>
          <w:sz w:val="22"/>
          <w:szCs w:val="22"/>
          <w:highlight w:val="none"/>
          <w:lang w:val="en-US" w:eastAsia="zh-CN"/>
        </w:rPr>
      </w:pPr>
      <w:r>
        <w:rPr>
          <w:rFonts w:hint="eastAsia" w:ascii="宋体" w:hAnsi="宋体" w:cs="宋体"/>
          <w:b w:val="0"/>
          <w:bCs/>
          <w:color w:val="auto"/>
          <w:sz w:val="22"/>
          <w:szCs w:val="22"/>
          <w:highlight w:val="none"/>
          <w:lang w:val="en-US" w:eastAsia="zh-CN"/>
        </w:rPr>
        <w:t>项目名称：                                                         项目编号：</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45"/>
        <w:gridCol w:w="625"/>
        <w:gridCol w:w="650"/>
        <w:gridCol w:w="1073"/>
        <w:gridCol w:w="907"/>
        <w:gridCol w:w="1235"/>
        <w:gridCol w:w="1255"/>
        <w:gridCol w:w="554"/>
      </w:tblGrid>
      <w:tr w14:paraId="5781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2" w:type="dxa"/>
            <w:noWrap w:val="0"/>
            <w:vAlign w:val="center"/>
          </w:tcPr>
          <w:p w14:paraId="1D2849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bCs/>
                <w:sz w:val="22"/>
                <w:szCs w:val="22"/>
                <w:highlight w:val="none"/>
              </w:rPr>
              <w:t>序号</w:t>
            </w:r>
          </w:p>
        </w:tc>
        <w:tc>
          <w:tcPr>
            <w:tcW w:w="2145" w:type="dxa"/>
            <w:noWrap w:val="0"/>
            <w:vAlign w:val="center"/>
          </w:tcPr>
          <w:p w14:paraId="1DF5B8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标的名称</w:t>
            </w:r>
          </w:p>
        </w:tc>
        <w:tc>
          <w:tcPr>
            <w:tcW w:w="625" w:type="dxa"/>
            <w:noWrap w:val="0"/>
            <w:vAlign w:val="center"/>
          </w:tcPr>
          <w:p w14:paraId="026B3E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单位</w:t>
            </w:r>
          </w:p>
        </w:tc>
        <w:tc>
          <w:tcPr>
            <w:tcW w:w="650" w:type="dxa"/>
            <w:noWrap w:val="0"/>
            <w:vAlign w:val="center"/>
          </w:tcPr>
          <w:p w14:paraId="450732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lang w:val="en-US" w:eastAsia="zh-CN"/>
              </w:rPr>
            </w:pPr>
            <w:r>
              <w:rPr>
                <w:rFonts w:hint="eastAsia" w:ascii="宋体" w:hAnsi="宋体" w:cs="宋体"/>
                <w:bCs/>
                <w:sz w:val="22"/>
                <w:szCs w:val="22"/>
                <w:highlight w:val="none"/>
                <w:lang w:val="en-US" w:eastAsia="zh-CN"/>
              </w:rPr>
              <w:t>数量</w:t>
            </w:r>
          </w:p>
        </w:tc>
        <w:tc>
          <w:tcPr>
            <w:tcW w:w="1073" w:type="dxa"/>
            <w:noWrap w:val="0"/>
            <w:vAlign w:val="center"/>
          </w:tcPr>
          <w:p w14:paraId="643F00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rPr>
              <w:t>产地</w:t>
            </w:r>
            <w:r>
              <w:rPr>
                <w:rFonts w:hint="eastAsia" w:ascii="宋体" w:hAnsi="宋体" w:cs="宋体"/>
                <w:bCs/>
                <w:sz w:val="22"/>
                <w:szCs w:val="22"/>
                <w:highlight w:val="none"/>
                <w:lang w:val="en-US" w:eastAsia="zh-CN"/>
              </w:rPr>
              <w:t>、品牌</w:t>
            </w:r>
          </w:p>
        </w:tc>
        <w:tc>
          <w:tcPr>
            <w:tcW w:w="907" w:type="dxa"/>
            <w:noWrap w:val="0"/>
            <w:vAlign w:val="center"/>
          </w:tcPr>
          <w:p w14:paraId="437394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规格、型号</w:t>
            </w:r>
          </w:p>
        </w:tc>
        <w:tc>
          <w:tcPr>
            <w:tcW w:w="1235" w:type="dxa"/>
            <w:noWrap w:val="0"/>
            <w:vAlign w:val="center"/>
          </w:tcPr>
          <w:p w14:paraId="6FF6DA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单价</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人民币：元</w:t>
            </w:r>
            <w:r>
              <w:rPr>
                <w:rFonts w:hint="eastAsia" w:ascii="宋体" w:hAnsi="宋体" w:cs="宋体"/>
                <w:bCs/>
                <w:sz w:val="22"/>
                <w:szCs w:val="22"/>
                <w:highlight w:val="none"/>
                <w:lang w:eastAsia="zh-CN"/>
              </w:rPr>
              <w:t>）</w:t>
            </w:r>
          </w:p>
        </w:tc>
        <w:tc>
          <w:tcPr>
            <w:tcW w:w="1255" w:type="dxa"/>
            <w:noWrap w:val="0"/>
            <w:vAlign w:val="center"/>
          </w:tcPr>
          <w:p w14:paraId="3C26E7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bCs/>
                <w:sz w:val="22"/>
                <w:szCs w:val="22"/>
                <w:highlight w:val="none"/>
              </w:rPr>
              <w:t>合价</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人民币：元</w:t>
            </w:r>
            <w:r>
              <w:rPr>
                <w:rFonts w:hint="eastAsia" w:ascii="宋体" w:hAnsi="宋体" w:cs="宋体"/>
                <w:bCs/>
                <w:sz w:val="22"/>
                <w:szCs w:val="22"/>
                <w:highlight w:val="none"/>
                <w:lang w:eastAsia="zh-CN"/>
              </w:rPr>
              <w:t>）</w:t>
            </w:r>
          </w:p>
        </w:tc>
        <w:tc>
          <w:tcPr>
            <w:tcW w:w="554" w:type="dxa"/>
            <w:noWrap w:val="0"/>
            <w:vAlign w:val="center"/>
          </w:tcPr>
          <w:p w14:paraId="302C5B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bCs/>
                <w:sz w:val="22"/>
                <w:szCs w:val="22"/>
                <w:highlight w:val="none"/>
              </w:rPr>
              <w:t>备注</w:t>
            </w:r>
          </w:p>
        </w:tc>
      </w:tr>
      <w:tr w14:paraId="5B0C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6063CAF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w:t>
            </w:r>
          </w:p>
        </w:tc>
        <w:tc>
          <w:tcPr>
            <w:tcW w:w="2145" w:type="dxa"/>
            <w:shd w:val="clear" w:color="auto" w:fill="auto"/>
            <w:noWrap w:val="0"/>
            <w:vAlign w:val="center"/>
          </w:tcPr>
          <w:p w14:paraId="43F8A81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18OO喷雾式冰台</w:t>
            </w:r>
          </w:p>
        </w:tc>
        <w:tc>
          <w:tcPr>
            <w:tcW w:w="625" w:type="dxa"/>
            <w:shd w:val="clear" w:color="auto" w:fill="auto"/>
            <w:noWrap w:val="0"/>
            <w:vAlign w:val="center"/>
          </w:tcPr>
          <w:p w14:paraId="35C5CF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台</w:t>
            </w:r>
          </w:p>
        </w:tc>
        <w:tc>
          <w:tcPr>
            <w:tcW w:w="650" w:type="dxa"/>
            <w:shd w:val="clear" w:color="auto" w:fill="auto"/>
            <w:noWrap w:val="0"/>
            <w:vAlign w:val="center"/>
          </w:tcPr>
          <w:p w14:paraId="0C8954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2</w:t>
            </w:r>
          </w:p>
        </w:tc>
        <w:tc>
          <w:tcPr>
            <w:tcW w:w="1073" w:type="dxa"/>
            <w:noWrap w:val="0"/>
            <w:vAlign w:val="center"/>
          </w:tcPr>
          <w:p w14:paraId="16E02D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735436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745833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281D8C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453EBD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39D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455854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2</w:t>
            </w:r>
          </w:p>
        </w:tc>
        <w:tc>
          <w:tcPr>
            <w:tcW w:w="2145" w:type="dxa"/>
            <w:shd w:val="clear" w:color="auto" w:fill="auto"/>
            <w:noWrap w:val="0"/>
            <w:vAlign w:val="center"/>
          </w:tcPr>
          <w:p w14:paraId="11DA0B4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300智能电磁炒菜机(自动投料+喷料)</w:t>
            </w:r>
          </w:p>
        </w:tc>
        <w:tc>
          <w:tcPr>
            <w:tcW w:w="625" w:type="dxa"/>
            <w:shd w:val="clear" w:color="auto" w:fill="auto"/>
            <w:noWrap w:val="0"/>
            <w:vAlign w:val="center"/>
          </w:tcPr>
          <w:p w14:paraId="6B866E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台</w:t>
            </w:r>
          </w:p>
        </w:tc>
        <w:tc>
          <w:tcPr>
            <w:tcW w:w="650" w:type="dxa"/>
            <w:shd w:val="clear" w:color="auto" w:fill="auto"/>
            <w:noWrap w:val="0"/>
            <w:vAlign w:val="center"/>
          </w:tcPr>
          <w:p w14:paraId="0506A2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w:t>
            </w:r>
          </w:p>
        </w:tc>
        <w:tc>
          <w:tcPr>
            <w:tcW w:w="1073" w:type="dxa"/>
            <w:noWrap w:val="0"/>
            <w:vAlign w:val="center"/>
          </w:tcPr>
          <w:p w14:paraId="506A3A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2B7C00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23CAFF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4AB8EA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43D155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3E10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3E4645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3</w:t>
            </w:r>
          </w:p>
        </w:tc>
        <w:tc>
          <w:tcPr>
            <w:tcW w:w="2145" w:type="dxa"/>
            <w:shd w:val="clear" w:color="auto" w:fill="auto"/>
            <w:noWrap w:val="0"/>
            <w:vAlign w:val="center"/>
          </w:tcPr>
          <w:p w14:paraId="62092D5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Arial" w:hAnsi="Arial" w:eastAsia="宋体" w:cs="Arial"/>
                <w:b w:val="0"/>
                <w:bCs w:val="0"/>
                <w:color w:val="000000"/>
                <w:kern w:val="2"/>
                <w:sz w:val="22"/>
                <w:szCs w:val="22"/>
                <w:highlight w:val="none"/>
                <w:lang w:val="en-US" w:eastAsia="zh-CN" w:bidi="ar"/>
              </w:rPr>
              <w:t>保温台</w:t>
            </w:r>
          </w:p>
        </w:tc>
        <w:tc>
          <w:tcPr>
            <w:tcW w:w="625" w:type="dxa"/>
            <w:shd w:val="clear" w:color="auto" w:fill="auto"/>
            <w:noWrap w:val="0"/>
            <w:vAlign w:val="center"/>
          </w:tcPr>
          <w:p w14:paraId="5295BB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台</w:t>
            </w:r>
          </w:p>
        </w:tc>
        <w:tc>
          <w:tcPr>
            <w:tcW w:w="650" w:type="dxa"/>
            <w:shd w:val="clear" w:color="auto" w:fill="auto"/>
            <w:noWrap w:val="0"/>
            <w:vAlign w:val="center"/>
          </w:tcPr>
          <w:p w14:paraId="02BDE6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w:t>
            </w:r>
          </w:p>
        </w:tc>
        <w:tc>
          <w:tcPr>
            <w:tcW w:w="1073" w:type="dxa"/>
            <w:noWrap w:val="0"/>
            <w:vAlign w:val="center"/>
          </w:tcPr>
          <w:p w14:paraId="46CB1C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23B20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29FF0E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1CF1C6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663AB3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79FE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4ECF0DF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4</w:t>
            </w:r>
          </w:p>
        </w:tc>
        <w:tc>
          <w:tcPr>
            <w:tcW w:w="2145" w:type="dxa"/>
            <w:shd w:val="clear" w:color="auto" w:fill="auto"/>
            <w:noWrap w:val="0"/>
            <w:vAlign w:val="center"/>
          </w:tcPr>
          <w:p w14:paraId="402B504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变频控制柜11KW</w:t>
            </w:r>
          </w:p>
        </w:tc>
        <w:tc>
          <w:tcPr>
            <w:tcW w:w="625" w:type="dxa"/>
            <w:shd w:val="clear" w:color="auto" w:fill="auto"/>
            <w:noWrap w:val="0"/>
            <w:vAlign w:val="center"/>
          </w:tcPr>
          <w:p w14:paraId="0B3847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台</w:t>
            </w:r>
          </w:p>
        </w:tc>
        <w:tc>
          <w:tcPr>
            <w:tcW w:w="650" w:type="dxa"/>
            <w:shd w:val="clear" w:color="auto" w:fill="auto"/>
            <w:noWrap w:val="0"/>
            <w:vAlign w:val="center"/>
          </w:tcPr>
          <w:p w14:paraId="4D2A2E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2</w:t>
            </w:r>
          </w:p>
        </w:tc>
        <w:tc>
          <w:tcPr>
            <w:tcW w:w="1073" w:type="dxa"/>
            <w:noWrap w:val="0"/>
            <w:vAlign w:val="center"/>
          </w:tcPr>
          <w:p w14:paraId="0C4678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5ACF35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0BD19D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0F0F19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462FF4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67B3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29689EC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5</w:t>
            </w:r>
          </w:p>
        </w:tc>
        <w:tc>
          <w:tcPr>
            <w:tcW w:w="2145" w:type="dxa"/>
            <w:shd w:val="clear" w:color="auto" w:fill="auto"/>
            <w:noWrap w:val="0"/>
            <w:vAlign w:val="center"/>
          </w:tcPr>
          <w:p w14:paraId="49DD7D1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变频控制柜15KW</w:t>
            </w:r>
          </w:p>
        </w:tc>
        <w:tc>
          <w:tcPr>
            <w:tcW w:w="625" w:type="dxa"/>
            <w:shd w:val="clear" w:color="auto" w:fill="auto"/>
            <w:noWrap w:val="0"/>
            <w:vAlign w:val="center"/>
          </w:tcPr>
          <w:p w14:paraId="117E0E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台</w:t>
            </w:r>
          </w:p>
        </w:tc>
        <w:tc>
          <w:tcPr>
            <w:tcW w:w="650" w:type="dxa"/>
            <w:shd w:val="clear" w:color="auto" w:fill="auto"/>
            <w:noWrap w:val="0"/>
            <w:vAlign w:val="center"/>
          </w:tcPr>
          <w:p w14:paraId="155C12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w:t>
            </w:r>
          </w:p>
        </w:tc>
        <w:tc>
          <w:tcPr>
            <w:tcW w:w="1073" w:type="dxa"/>
            <w:noWrap w:val="0"/>
            <w:vAlign w:val="center"/>
          </w:tcPr>
          <w:p w14:paraId="56D4DB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38AA50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0A94AB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10BAE6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750A78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78DC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73D579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cs="宋体"/>
                <w:bCs/>
                <w:sz w:val="22"/>
                <w:szCs w:val="22"/>
                <w:highlight w:val="none"/>
                <w:lang w:val="en-US" w:eastAsia="zh-CN"/>
              </w:rPr>
            </w:pPr>
            <w:r>
              <w:rPr>
                <w:rFonts w:hint="eastAsia" w:ascii="宋体" w:hAnsi="宋体" w:cs="宋体"/>
                <w:bCs/>
                <w:sz w:val="22"/>
                <w:szCs w:val="22"/>
                <w:highlight w:val="none"/>
                <w:lang w:val="en-US" w:eastAsia="zh-CN"/>
              </w:rPr>
              <w:t>...</w:t>
            </w:r>
          </w:p>
        </w:tc>
        <w:tc>
          <w:tcPr>
            <w:tcW w:w="2145" w:type="dxa"/>
            <w:shd w:val="clear" w:color="auto" w:fill="auto"/>
            <w:noWrap w:val="0"/>
            <w:vAlign w:val="center"/>
          </w:tcPr>
          <w:p w14:paraId="5A88D01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w:t>
            </w:r>
          </w:p>
        </w:tc>
        <w:tc>
          <w:tcPr>
            <w:tcW w:w="625" w:type="dxa"/>
            <w:shd w:val="clear" w:color="auto" w:fill="auto"/>
            <w:noWrap w:val="0"/>
            <w:vAlign w:val="center"/>
          </w:tcPr>
          <w:p w14:paraId="32ECCB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sz w:val="22"/>
                <w:szCs w:val="22"/>
                <w:vertAlign w:val="baseline"/>
                <w:lang w:val="en-US" w:eastAsia="zh-CN"/>
              </w:rPr>
              <w:t>...</w:t>
            </w:r>
          </w:p>
        </w:tc>
        <w:tc>
          <w:tcPr>
            <w:tcW w:w="650" w:type="dxa"/>
            <w:shd w:val="clear" w:color="auto" w:fill="auto"/>
            <w:noWrap w:val="0"/>
            <w:vAlign w:val="center"/>
          </w:tcPr>
          <w:p w14:paraId="351678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p>
        </w:tc>
        <w:tc>
          <w:tcPr>
            <w:tcW w:w="1073" w:type="dxa"/>
            <w:noWrap w:val="0"/>
            <w:vAlign w:val="center"/>
          </w:tcPr>
          <w:p w14:paraId="624976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Cs/>
                <w:sz w:val="22"/>
                <w:szCs w:val="22"/>
                <w:highlight w:val="none"/>
                <w:lang w:val="en-US" w:eastAsia="zh-CN"/>
              </w:rPr>
            </w:pPr>
            <w:r>
              <w:rPr>
                <w:rFonts w:hint="eastAsia" w:ascii="宋体" w:hAnsi="宋体" w:cs="宋体"/>
                <w:sz w:val="22"/>
                <w:szCs w:val="22"/>
                <w:vertAlign w:val="baseline"/>
                <w:lang w:val="en-US" w:eastAsia="zh-CN"/>
              </w:rPr>
              <w:t>...</w:t>
            </w:r>
          </w:p>
        </w:tc>
        <w:tc>
          <w:tcPr>
            <w:tcW w:w="907" w:type="dxa"/>
            <w:noWrap w:val="0"/>
            <w:vAlign w:val="center"/>
          </w:tcPr>
          <w:p w14:paraId="5C74CF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sz w:val="22"/>
                <w:szCs w:val="22"/>
                <w:vertAlign w:val="baseline"/>
                <w:lang w:val="en-US" w:eastAsia="zh-CN"/>
              </w:rPr>
              <w:t>...</w:t>
            </w:r>
          </w:p>
        </w:tc>
        <w:tc>
          <w:tcPr>
            <w:tcW w:w="1235" w:type="dxa"/>
            <w:noWrap w:val="0"/>
            <w:vAlign w:val="center"/>
          </w:tcPr>
          <w:p w14:paraId="368FD5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sz w:val="22"/>
                <w:szCs w:val="22"/>
                <w:vertAlign w:val="baseline"/>
                <w:lang w:val="en-US" w:eastAsia="zh-CN"/>
              </w:rPr>
              <w:t>...</w:t>
            </w:r>
          </w:p>
        </w:tc>
        <w:tc>
          <w:tcPr>
            <w:tcW w:w="1255" w:type="dxa"/>
            <w:noWrap w:val="0"/>
            <w:vAlign w:val="center"/>
          </w:tcPr>
          <w:p w14:paraId="50F517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sz w:val="22"/>
                <w:szCs w:val="22"/>
                <w:vertAlign w:val="baseline"/>
                <w:lang w:val="en-US" w:eastAsia="zh-CN"/>
              </w:rPr>
              <w:t>...</w:t>
            </w:r>
          </w:p>
        </w:tc>
        <w:tc>
          <w:tcPr>
            <w:tcW w:w="554" w:type="dxa"/>
            <w:noWrap w:val="0"/>
            <w:vAlign w:val="center"/>
          </w:tcPr>
          <w:p w14:paraId="062899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72E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shd w:val="clear" w:color="auto" w:fill="auto"/>
            <w:noWrap w:val="0"/>
            <w:vAlign w:val="center"/>
          </w:tcPr>
          <w:p w14:paraId="550912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bCs/>
                <w:kern w:val="2"/>
                <w:sz w:val="22"/>
                <w:szCs w:val="22"/>
                <w:highlight w:val="none"/>
                <w:lang w:val="en-US" w:eastAsia="zh-CN" w:bidi="ar-SA"/>
              </w:rPr>
            </w:pPr>
            <w:r>
              <w:rPr>
                <w:rFonts w:hint="eastAsia" w:ascii="宋体" w:hAnsi="宋体" w:cs="宋体"/>
                <w:bCs/>
                <w:sz w:val="22"/>
                <w:szCs w:val="22"/>
                <w:highlight w:val="none"/>
                <w:lang w:val="en-US" w:eastAsia="zh-CN"/>
              </w:rPr>
              <w:t>...</w:t>
            </w:r>
          </w:p>
        </w:tc>
        <w:tc>
          <w:tcPr>
            <w:tcW w:w="2145" w:type="dxa"/>
            <w:shd w:val="clear" w:color="auto" w:fill="auto"/>
            <w:noWrap w:val="0"/>
            <w:vAlign w:val="center"/>
          </w:tcPr>
          <w:p w14:paraId="6E90482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kern w:val="2"/>
                <w:sz w:val="22"/>
                <w:szCs w:val="22"/>
                <w:vertAlign w:val="baseline"/>
                <w:lang w:val="en-US" w:eastAsia="zh-CN" w:bidi="ar-SA"/>
              </w:rPr>
            </w:pPr>
            <w:r>
              <w:rPr>
                <w:rFonts w:hint="eastAsia" w:ascii="宋体" w:hAnsi="宋体" w:cs="宋体"/>
                <w:sz w:val="22"/>
                <w:szCs w:val="22"/>
                <w:vertAlign w:val="baseline"/>
                <w:lang w:val="en-US" w:eastAsia="zh-CN"/>
              </w:rPr>
              <w:t>...</w:t>
            </w:r>
          </w:p>
        </w:tc>
        <w:tc>
          <w:tcPr>
            <w:tcW w:w="625" w:type="dxa"/>
            <w:shd w:val="clear" w:color="auto" w:fill="auto"/>
            <w:noWrap w:val="0"/>
            <w:vAlign w:val="center"/>
          </w:tcPr>
          <w:p w14:paraId="377920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sz w:val="22"/>
                <w:szCs w:val="22"/>
                <w:vertAlign w:val="baseline"/>
                <w:lang w:val="en-US" w:eastAsia="zh-CN"/>
              </w:rPr>
              <w:t>...</w:t>
            </w:r>
          </w:p>
        </w:tc>
        <w:tc>
          <w:tcPr>
            <w:tcW w:w="650" w:type="dxa"/>
            <w:shd w:val="clear" w:color="auto" w:fill="auto"/>
            <w:noWrap w:val="0"/>
            <w:vAlign w:val="center"/>
          </w:tcPr>
          <w:p w14:paraId="2729B4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p>
        </w:tc>
        <w:tc>
          <w:tcPr>
            <w:tcW w:w="1073" w:type="dxa"/>
            <w:shd w:val="clear" w:color="auto" w:fill="auto"/>
            <w:noWrap w:val="0"/>
            <w:vAlign w:val="center"/>
          </w:tcPr>
          <w:p w14:paraId="6E808A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r>
              <w:rPr>
                <w:rFonts w:hint="eastAsia" w:ascii="宋体" w:hAnsi="宋体" w:cs="宋体"/>
                <w:sz w:val="22"/>
                <w:szCs w:val="22"/>
                <w:vertAlign w:val="baseline"/>
                <w:lang w:val="en-US" w:eastAsia="zh-CN"/>
              </w:rPr>
              <w:t>...</w:t>
            </w:r>
          </w:p>
        </w:tc>
        <w:tc>
          <w:tcPr>
            <w:tcW w:w="907" w:type="dxa"/>
            <w:shd w:val="clear" w:color="auto" w:fill="auto"/>
            <w:noWrap w:val="0"/>
            <w:vAlign w:val="center"/>
          </w:tcPr>
          <w:p w14:paraId="10DC7A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r>
              <w:rPr>
                <w:rFonts w:hint="eastAsia" w:ascii="宋体" w:hAnsi="宋体" w:cs="宋体"/>
                <w:sz w:val="22"/>
                <w:szCs w:val="22"/>
                <w:vertAlign w:val="baseline"/>
                <w:lang w:val="en-US" w:eastAsia="zh-CN"/>
              </w:rPr>
              <w:t>...</w:t>
            </w:r>
          </w:p>
        </w:tc>
        <w:tc>
          <w:tcPr>
            <w:tcW w:w="1235" w:type="dxa"/>
            <w:shd w:val="clear" w:color="auto" w:fill="auto"/>
            <w:noWrap w:val="0"/>
            <w:vAlign w:val="center"/>
          </w:tcPr>
          <w:p w14:paraId="2F8F9E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r>
              <w:rPr>
                <w:rFonts w:hint="eastAsia" w:ascii="宋体" w:hAnsi="宋体" w:cs="宋体"/>
                <w:sz w:val="22"/>
                <w:szCs w:val="22"/>
                <w:vertAlign w:val="baseline"/>
                <w:lang w:val="en-US" w:eastAsia="zh-CN"/>
              </w:rPr>
              <w:t>...</w:t>
            </w:r>
          </w:p>
        </w:tc>
        <w:tc>
          <w:tcPr>
            <w:tcW w:w="1255" w:type="dxa"/>
            <w:shd w:val="clear" w:color="auto" w:fill="auto"/>
            <w:noWrap w:val="0"/>
            <w:vAlign w:val="center"/>
          </w:tcPr>
          <w:p w14:paraId="3EDD00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kern w:val="2"/>
                <w:sz w:val="22"/>
                <w:szCs w:val="22"/>
                <w:highlight w:val="none"/>
                <w:lang w:val="en-US" w:eastAsia="zh-CN" w:bidi="ar-SA"/>
              </w:rPr>
            </w:pPr>
            <w:r>
              <w:rPr>
                <w:rFonts w:hint="eastAsia" w:ascii="宋体" w:hAnsi="宋体" w:cs="宋体"/>
                <w:sz w:val="22"/>
                <w:szCs w:val="22"/>
                <w:vertAlign w:val="baseline"/>
                <w:lang w:val="en-US" w:eastAsia="zh-CN"/>
              </w:rPr>
              <w:t>...</w:t>
            </w:r>
          </w:p>
        </w:tc>
        <w:tc>
          <w:tcPr>
            <w:tcW w:w="554" w:type="dxa"/>
            <w:noWrap w:val="0"/>
            <w:vAlign w:val="center"/>
          </w:tcPr>
          <w:p w14:paraId="34B67E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1A45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2ACDBAA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101</w:t>
            </w:r>
          </w:p>
        </w:tc>
        <w:tc>
          <w:tcPr>
            <w:tcW w:w="2145" w:type="dxa"/>
            <w:shd w:val="clear" w:color="auto" w:fill="auto"/>
            <w:noWrap w:val="0"/>
            <w:vAlign w:val="center"/>
          </w:tcPr>
          <w:p w14:paraId="4B604B2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双层平板工作台</w:t>
            </w:r>
            <w:r>
              <w:rPr>
                <w:rFonts w:hint="eastAsia" w:ascii="宋体" w:hAnsi="宋体" w:eastAsia="宋体" w:cs="宋体"/>
                <w:sz w:val="22"/>
                <w:szCs w:val="22"/>
                <w:vertAlign w:val="baseline"/>
                <w:lang w:val="en-US" w:eastAsia="zh-CN"/>
              </w:rPr>
              <w:t>1</w:t>
            </w:r>
          </w:p>
        </w:tc>
        <w:tc>
          <w:tcPr>
            <w:tcW w:w="625" w:type="dxa"/>
            <w:shd w:val="clear" w:color="auto" w:fill="auto"/>
            <w:noWrap w:val="0"/>
            <w:vAlign w:val="center"/>
          </w:tcPr>
          <w:p w14:paraId="0A4F65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台</w:t>
            </w:r>
          </w:p>
        </w:tc>
        <w:tc>
          <w:tcPr>
            <w:tcW w:w="650" w:type="dxa"/>
            <w:shd w:val="clear" w:color="auto" w:fill="auto"/>
            <w:noWrap w:val="0"/>
            <w:vAlign w:val="center"/>
          </w:tcPr>
          <w:p w14:paraId="577FC6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w:t>
            </w:r>
          </w:p>
        </w:tc>
        <w:tc>
          <w:tcPr>
            <w:tcW w:w="1073" w:type="dxa"/>
            <w:noWrap w:val="0"/>
            <w:vAlign w:val="center"/>
          </w:tcPr>
          <w:p w14:paraId="2F57EE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283817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61D58A4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10832B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2324EA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4BF0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73012E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102</w:t>
            </w:r>
          </w:p>
        </w:tc>
        <w:tc>
          <w:tcPr>
            <w:tcW w:w="2145" w:type="dxa"/>
            <w:shd w:val="clear" w:color="auto" w:fill="auto"/>
            <w:noWrap w:val="0"/>
            <w:vAlign w:val="center"/>
          </w:tcPr>
          <w:p w14:paraId="360AA7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highlight w:val="none"/>
                <w:vertAlign w:val="baseline"/>
              </w:rPr>
              <w:t>烟罩上封板</w:t>
            </w:r>
            <w:r>
              <w:rPr>
                <w:rFonts w:hint="eastAsia" w:ascii="宋体" w:hAnsi="宋体" w:eastAsia="宋体" w:cs="宋体"/>
                <w:sz w:val="22"/>
                <w:szCs w:val="22"/>
                <w:highlight w:val="none"/>
                <w:vertAlign w:val="baseline"/>
                <w:lang w:val="en-US" w:eastAsia="zh-CN"/>
              </w:rPr>
              <w:t>3</w:t>
            </w:r>
          </w:p>
        </w:tc>
        <w:tc>
          <w:tcPr>
            <w:tcW w:w="625" w:type="dxa"/>
            <w:shd w:val="clear" w:color="auto" w:fill="auto"/>
            <w:noWrap w:val="0"/>
            <w:vAlign w:val="center"/>
          </w:tcPr>
          <w:p w14:paraId="085740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批</w:t>
            </w:r>
          </w:p>
        </w:tc>
        <w:tc>
          <w:tcPr>
            <w:tcW w:w="650" w:type="dxa"/>
            <w:shd w:val="clear" w:color="auto" w:fill="auto"/>
            <w:noWrap w:val="0"/>
            <w:vAlign w:val="center"/>
          </w:tcPr>
          <w:p w14:paraId="397231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w:t>
            </w:r>
          </w:p>
        </w:tc>
        <w:tc>
          <w:tcPr>
            <w:tcW w:w="1073" w:type="dxa"/>
            <w:noWrap w:val="0"/>
            <w:vAlign w:val="center"/>
          </w:tcPr>
          <w:p w14:paraId="2E3EC7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6B127F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4915AB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14490F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3CC624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4C38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7A7937A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103</w:t>
            </w:r>
          </w:p>
        </w:tc>
        <w:tc>
          <w:tcPr>
            <w:tcW w:w="2145" w:type="dxa"/>
            <w:shd w:val="clear" w:color="auto" w:fill="auto"/>
            <w:noWrap w:val="0"/>
            <w:vAlign w:val="center"/>
          </w:tcPr>
          <w:p w14:paraId="7EA1D03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粘捕式灭蝇灯</w:t>
            </w:r>
          </w:p>
        </w:tc>
        <w:tc>
          <w:tcPr>
            <w:tcW w:w="625" w:type="dxa"/>
            <w:shd w:val="clear" w:color="auto" w:fill="auto"/>
            <w:noWrap w:val="0"/>
            <w:vAlign w:val="center"/>
          </w:tcPr>
          <w:p w14:paraId="1F678B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个</w:t>
            </w:r>
          </w:p>
        </w:tc>
        <w:tc>
          <w:tcPr>
            <w:tcW w:w="650" w:type="dxa"/>
            <w:shd w:val="clear" w:color="auto" w:fill="auto"/>
            <w:noWrap w:val="0"/>
            <w:vAlign w:val="center"/>
          </w:tcPr>
          <w:p w14:paraId="21179F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12</w:t>
            </w:r>
          </w:p>
        </w:tc>
        <w:tc>
          <w:tcPr>
            <w:tcW w:w="1073" w:type="dxa"/>
            <w:noWrap w:val="0"/>
            <w:vAlign w:val="center"/>
          </w:tcPr>
          <w:p w14:paraId="34B890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5CA6BC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1F80B2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261F1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2E12AF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2508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22D2EA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104</w:t>
            </w:r>
          </w:p>
        </w:tc>
        <w:tc>
          <w:tcPr>
            <w:tcW w:w="2145" w:type="dxa"/>
            <w:shd w:val="clear" w:color="auto" w:fill="auto"/>
            <w:noWrap w:val="0"/>
            <w:vAlign w:val="center"/>
          </w:tcPr>
          <w:p w14:paraId="3DB89C0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折叠式挡鼠板</w:t>
            </w:r>
            <w:r>
              <w:rPr>
                <w:rFonts w:hint="eastAsia" w:ascii="宋体" w:hAnsi="宋体" w:eastAsia="宋体" w:cs="宋体"/>
                <w:sz w:val="22"/>
                <w:szCs w:val="22"/>
                <w:vertAlign w:val="baseline"/>
                <w:lang w:val="en-US" w:eastAsia="zh-CN"/>
              </w:rPr>
              <w:t>1</w:t>
            </w:r>
          </w:p>
        </w:tc>
        <w:tc>
          <w:tcPr>
            <w:tcW w:w="625" w:type="dxa"/>
            <w:shd w:val="clear" w:color="auto" w:fill="auto"/>
            <w:noWrap w:val="0"/>
            <w:vAlign w:val="center"/>
          </w:tcPr>
          <w:p w14:paraId="5C7C64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块</w:t>
            </w:r>
          </w:p>
        </w:tc>
        <w:tc>
          <w:tcPr>
            <w:tcW w:w="650" w:type="dxa"/>
            <w:shd w:val="clear" w:color="auto" w:fill="auto"/>
            <w:noWrap w:val="0"/>
            <w:vAlign w:val="center"/>
          </w:tcPr>
          <w:p w14:paraId="07FCA3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1</w:t>
            </w:r>
          </w:p>
        </w:tc>
        <w:tc>
          <w:tcPr>
            <w:tcW w:w="1073" w:type="dxa"/>
            <w:noWrap w:val="0"/>
            <w:vAlign w:val="center"/>
          </w:tcPr>
          <w:p w14:paraId="4F8AE7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748169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0DE10C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5FC986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01C63E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2A27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14:paraId="47CDA2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105</w:t>
            </w:r>
          </w:p>
        </w:tc>
        <w:tc>
          <w:tcPr>
            <w:tcW w:w="2145" w:type="dxa"/>
            <w:shd w:val="clear" w:color="auto" w:fill="auto"/>
            <w:noWrap w:val="0"/>
            <w:vAlign w:val="center"/>
          </w:tcPr>
          <w:p w14:paraId="3D3C07E2">
            <w:pPr>
              <w:jc w:val="both"/>
              <w:rPr>
                <w:rFonts w:hint="eastAsia" w:ascii="Arial" w:hAnsi="Arial" w:eastAsia="宋体" w:cs="Arial"/>
                <w:b w:val="0"/>
                <w:bCs w:val="0"/>
                <w:color w:val="000000"/>
                <w:kern w:val="2"/>
                <w:sz w:val="22"/>
                <w:szCs w:val="22"/>
                <w:highlight w:val="none"/>
                <w:lang w:val="en-US" w:eastAsia="zh-CN" w:bidi="ar"/>
              </w:rPr>
            </w:pPr>
            <w:r>
              <w:rPr>
                <w:rFonts w:hint="eastAsia" w:ascii="宋体" w:hAnsi="宋体" w:eastAsia="宋体" w:cs="宋体"/>
                <w:sz w:val="22"/>
                <w:szCs w:val="22"/>
                <w:vertAlign w:val="baseline"/>
              </w:rPr>
              <w:t>折叠式挡鼠板</w:t>
            </w:r>
            <w:r>
              <w:rPr>
                <w:rFonts w:hint="eastAsia" w:ascii="宋体" w:hAnsi="宋体" w:eastAsia="宋体" w:cs="宋体"/>
                <w:sz w:val="22"/>
                <w:szCs w:val="22"/>
                <w:vertAlign w:val="baseline"/>
                <w:lang w:val="en-US" w:eastAsia="zh-CN"/>
              </w:rPr>
              <w:t>2</w:t>
            </w:r>
          </w:p>
        </w:tc>
        <w:tc>
          <w:tcPr>
            <w:tcW w:w="625" w:type="dxa"/>
            <w:shd w:val="clear" w:color="auto" w:fill="auto"/>
            <w:noWrap w:val="0"/>
            <w:vAlign w:val="center"/>
          </w:tcPr>
          <w:p w14:paraId="275855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块</w:t>
            </w:r>
          </w:p>
        </w:tc>
        <w:tc>
          <w:tcPr>
            <w:tcW w:w="650" w:type="dxa"/>
            <w:shd w:val="clear" w:color="auto" w:fill="auto"/>
            <w:noWrap w:val="0"/>
            <w:vAlign w:val="center"/>
          </w:tcPr>
          <w:p w14:paraId="10B616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kern w:val="2"/>
                <w:sz w:val="22"/>
                <w:szCs w:val="22"/>
                <w:highlight w:val="none"/>
                <w:lang w:val="en-US" w:eastAsia="zh-CN" w:bidi="ar"/>
              </w:rPr>
            </w:pPr>
            <w:r>
              <w:rPr>
                <w:rFonts w:hint="eastAsia" w:ascii="宋体" w:hAnsi="宋体" w:eastAsia="宋体" w:cs="宋体"/>
                <w:b w:val="0"/>
                <w:bCs w:val="0"/>
                <w:color w:val="000000"/>
                <w:kern w:val="2"/>
                <w:sz w:val="22"/>
                <w:szCs w:val="22"/>
                <w:highlight w:val="none"/>
                <w:lang w:val="en-US" w:eastAsia="zh-CN" w:bidi="ar"/>
              </w:rPr>
              <w:t>4</w:t>
            </w:r>
          </w:p>
        </w:tc>
        <w:tc>
          <w:tcPr>
            <w:tcW w:w="1073" w:type="dxa"/>
            <w:noWrap w:val="0"/>
            <w:vAlign w:val="center"/>
          </w:tcPr>
          <w:p w14:paraId="4CD7AC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907" w:type="dxa"/>
            <w:noWrap w:val="0"/>
            <w:vAlign w:val="center"/>
          </w:tcPr>
          <w:p w14:paraId="5A9525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35" w:type="dxa"/>
            <w:noWrap w:val="0"/>
            <w:vAlign w:val="center"/>
          </w:tcPr>
          <w:p w14:paraId="267A32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1255" w:type="dxa"/>
            <w:noWrap w:val="0"/>
            <w:vAlign w:val="center"/>
          </w:tcPr>
          <w:p w14:paraId="6B5BF7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c>
          <w:tcPr>
            <w:tcW w:w="554" w:type="dxa"/>
            <w:noWrap w:val="0"/>
            <w:vAlign w:val="center"/>
          </w:tcPr>
          <w:p w14:paraId="1646F6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r w14:paraId="5A73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gridSpan w:val="4"/>
            <w:noWrap w:val="0"/>
            <w:vAlign w:val="center"/>
          </w:tcPr>
          <w:p w14:paraId="1BEB27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r>
              <w:rPr>
                <w:rFonts w:hint="eastAsia" w:ascii="宋体" w:hAnsi="宋体" w:cs="宋体"/>
                <w:sz w:val="22"/>
                <w:szCs w:val="22"/>
                <w:highlight w:val="none"/>
              </w:rPr>
              <w:t>总计价</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人民币：元</w:t>
            </w:r>
            <w:r>
              <w:rPr>
                <w:rFonts w:hint="eastAsia" w:ascii="宋体" w:hAnsi="宋体" w:cs="宋体"/>
                <w:sz w:val="22"/>
                <w:szCs w:val="22"/>
                <w:highlight w:val="none"/>
                <w:lang w:eastAsia="zh-CN"/>
              </w:rPr>
              <w:t>）</w:t>
            </w:r>
          </w:p>
        </w:tc>
        <w:tc>
          <w:tcPr>
            <w:tcW w:w="5024" w:type="dxa"/>
            <w:gridSpan w:val="5"/>
            <w:noWrap w:val="0"/>
            <w:vAlign w:val="center"/>
          </w:tcPr>
          <w:p w14:paraId="57395B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bCs/>
                <w:sz w:val="22"/>
                <w:szCs w:val="22"/>
                <w:highlight w:val="none"/>
              </w:rPr>
            </w:pPr>
          </w:p>
        </w:tc>
      </w:tr>
    </w:tbl>
    <w:p w14:paraId="12767B7F">
      <w:pPr>
        <w:jc w:val="center"/>
        <w:rPr>
          <w:rFonts w:hint="eastAsia" w:ascii="宋体" w:hAnsi="宋体" w:cs="宋体"/>
          <w:color w:val="auto"/>
          <w:sz w:val="22"/>
          <w:szCs w:val="22"/>
          <w:highlight w:val="none"/>
        </w:rPr>
      </w:pPr>
    </w:p>
    <w:p w14:paraId="27221705">
      <w:pPr>
        <w:spacing w:line="360" w:lineRule="exact"/>
        <w:ind w:firstLine="331" w:firstLine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注：1. 供应商应根据本表中的各分项内容组成逐项罗列填写，“总计价”应与附件二“报价一览表”中的总报价相一致。</w:t>
      </w:r>
    </w:p>
    <w:p w14:paraId="12C5090D">
      <w:pPr>
        <w:numPr>
          <w:ilvl w:val="0"/>
          <w:numId w:val="5"/>
        </w:numPr>
        <w:spacing w:line="360" w:lineRule="exact"/>
        <w:ind w:firstLine="755" w:firstLineChars="3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如个别费用已包含在别的费用中请注明“含”，若免费请注明“免”, 若没有请注明“无”。</w:t>
      </w:r>
    </w:p>
    <w:p w14:paraId="45DF205F">
      <w:pPr>
        <w:numPr>
          <w:ilvl w:val="0"/>
          <w:numId w:val="5"/>
        </w:numPr>
        <w:spacing w:line="360" w:lineRule="exact"/>
        <w:ind w:firstLine="755" w:firstLineChars="342"/>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分项报价表中的报价与投标响应文件中相应内容不一致的，以分项报价表中合计报价为准 </w:t>
      </w:r>
      <w:r>
        <w:rPr>
          <w:rFonts w:hint="eastAsia" w:ascii="宋体" w:hAnsi="宋体" w:cs="宋体"/>
          <w:color w:val="auto"/>
          <w:sz w:val="22"/>
          <w:szCs w:val="22"/>
          <w:highlight w:val="none"/>
        </w:rPr>
        <w:t xml:space="preserve">      </w:t>
      </w:r>
    </w:p>
    <w:p w14:paraId="38521D20">
      <w:pPr>
        <w:spacing w:line="360" w:lineRule="exact"/>
        <w:ind w:firstLine="770" w:firstLineChars="350"/>
        <w:rPr>
          <w:rFonts w:hint="eastAsia" w:ascii="宋体" w:hAnsi="宋体" w:cs="宋体"/>
          <w:color w:val="auto"/>
          <w:sz w:val="22"/>
          <w:szCs w:val="22"/>
          <w:highlight w:val="none"/>
          <w:u w:val="single"/>
        </w:rPr>
      </w:pPr>
    </w:p>
    <w:p w14:paraId="39C28A9C">
      <w:pPr>
        <w:rPr>
          <w:rFonts w:hint="eastAsia" w:ascii="宋体" w:hAnsi="宋体" w:cs="宋体"/>
          <w:color w:val="auto"/>
          <w:highlight w:val="none"/>
        </w:rPr>
      </w:pPr>
    </w:p>
    <w:p w14:paraId="2C516A62">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065DF964">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30AE654C">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日 期：      年    月   日</w:t>
      </w:r>
    </w:p>
    <w:p w14:paraId="166A0893">
      <w:pPr>
        <w:spacing w:line="48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附件四  资格证明文件</w:t>
      </w:r>
      <w:bookmarkEnd w:id="82"/>
      <w:bookmarkEnd w:id="83"/>
    </w:p>
    <w:p w14:paraId="386BAAF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3557010F">
      <w:pPr>
        <w:spacing w:line="380" w:lineRule="exact"/>
        <w:jc w:val="center"/>
        <w:rPr>
          <w:rFonts w:hint="eastAsia" w:ascii="宋体" w:hAnsi="宋体" w:cs="宋体"/>
          <w:b/>
          <w:color w:val="auto"/>
          <w:sz w:val="24"/>
          <w:highlight w:val="none"/>
        </w:rPr>
      </w:pPr>
      <w:bookmarkStart w:id="86" w:name="_Toc228784317"/>
      <w:bookmarkStart w:id="87" w:name="_Toc212287212"/>
      <w:bookmarkStart w:id="88" w:name="_Toc202761489"/>
      <w:r>
        <w:rPr>
          <w:rFonts w:hint="eastAsia" w:ascii="宋体" w:hAnsi="宋体" w:cs="宋体"/>
          <w:b/>
          <w:color w:val="auto"/>
          <w:sz w:val="24"/>
          <w:highlight w:val="none"/>
        </w:rPr>
        <w:t>一、法定代表人身份证明</w:t>
      </w:r>
    </w:p>
    <w:p w14:paraId="124037FB">
      <w:pPr>
        <w:autoSpaceDE w:val="0"/>
        <w:autoSpaceDN w:val="0"/>
        <w:adjustRightInd w:val="0"/>
        <w:rPr>
          <w:rFonts w:hint="eastAsia" w:ascii="宋体" w:hAnsi="宋体" w:cs="宋体"/>
          <w:color w:val="auto"/>
          <w:kern w:val="0"/>
          <w:sz w:val="22"/>
          <w:szCs w:val="22"/>
          <w:highlight w:val="none"/>
        </w:rPr>
      </w:pPr>
    </w:p>
    <w:p w14:paraId="1CE76E7F">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w:t>
      </w:r>
      <w:r>
        <w:rPr>
          <w:rFonts w:hint="eastAsia" w:ascii="宋体" w:hAnsi="宋体" w:cs="宋体"/>
          <w:color w:val="auto"/>
          <w:kern w:val="0"/>
          <w:sz w:val="22"/>
          <w:szCs w:val="22"/>
          <w:highlight w:val="none"/>
          <w:u w:val="single"/>
        </w:rPr>
        <w:t xml:space="preserve">                            </w:t>
      </w:r>
    </w:p>
    <w:p w14:paraId="2BB8B52A">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单位性质： </w:t>
      </w:r>
      <w:r>
        <w:rPr>
          <w:rFonts w:hint="eastAsia" w:ascii="宋体" w:hAnsi="宋体" w:cs="宋体"/>
          <w:color w:val="auto"/>
          <w:kern w:val="0"/>
          <w:sz w:val="22"/>
          <w:szCs w:val="22"/>
          <w:highlight w:val="none"/>
          <w:u w:val="single"/>
        </w:rPr>
        <w:t xml:space="preserve">                                 </w:t>
      </w:r>
    </w:p>
    <w:p w14:paraId="0F5AE7A0">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u w:val="single"/>
        </w:rPr>
        <w:t xml:space="preserve">                                  </w:t>
      </w:r>
    </w:p>
    <w:p w14:paraId="2A0E05C1">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成立时间：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rPr>
        <w:tab/>
      </w:r>
    </w:p>
    <w:p w14:paraId="0AC27EB3">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经营期限：</w:t>
      </w:r>
      <w:r>
        <w:rPr>
          <w:rFonts w:hint="eastAsia" w:ascii="宋体" w:hAnsi="宋体" w:cs="宋体"/>
          <w:color w:val="auto"/>
          <w:kern w:val="0"/>
          <w:sz w:val="22"/>
          <w:szCs w:val="22"/>
          <w:highlight w:val="none"/>
          <w:u w:val="single"/>
        </w:rPr>
        <w:t xml:space="preserve">                                   </w:t>
      </w:r>
    </w:p>
    <w:p w14:paraId="512BD226">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姓    名：</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性别：</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职务：</w:t>
      </w:r>
      <w:r>
        <w:rPr>
          <w:rFonts w:hint="eastAsia" w:ascii="宋体" w:hAnsi="宋体" w:cs="宋体"/>
          <w:color w:val="auto"/>
          <w:kern w:val="0"/>
          <w:sz w:val="22"/>
          <w:szCs w:val="22"/>
          <w:highlight w:val="none"/>
          <w:u w:val="single"/>
        </w:rPr>
        <w:t xml:space="preserve">         </w:t>
      </w:r>
    </w:p>
    <w:p w14:paraId="22E951B3">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（供应商名称）的法定代表人</w:t>
      </w:r>
    </w:p>
    <w:p w14:paraId="2003207C">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特此证明</w:t>
      </w:r>
    </w:p>
    <w:p w14:paraId="6AFDC255">
      <w:pPr>
        <w:autoSpaceDE w:val="0"/>
        <w:autoSpaceDN w:val="0"/>
        <w:adjustRightInd w:val="0"/>
        <w:spacing w:line="440" w:lineRule="exact"/>
        <w:rPr>
          <w:rFonts w:hint="eastAsia" w:ascii="宋体" w:hAnsi="宋体" w:cs="宋体"/>
          <w:color w:val="auto"/>
          <w:kern w:val="0"/>
          <w:sz w:val="22"/>
          <w:szCs w:val="22"/>
          <w:highlight w:val="none"/>
        </w:rPr>
      </w:pPr>
    </w:p>
    <w:p w14:paraId="15EE54AF">
      <w:pPr>
        <w:autoSpaceDE w:val="0"/>
        <w:autoSpaceDN w:val="0"/>
        <w:adjustRightInd w:val="0"/>
        <w:spacing w:line="440" w:lineRule="exact"/>
        <w:rPr>
          <w:rFonts w:hint="eastAsia" w:ascii="宋体" w:hAnsi="宋体" w:cs="宋体"/>
          <w:color w:val="auto"/>
          <w:kern w:val="0"/>
          <w:sz w:val="22"/>
          <w:szCs w:val="22"/>
          <w:highlight w:val="none"/>
        </w:rPr>
      </w:pPr>
    </w:p>
    <w:p w14:paraId="6F87241A">
      <w:pPr>
        <w:autoSpaceDE w:val="0"/>
        <w:autoSpaceDN w:val="0"/>
        <w:adjustRightInd w:val="0"/>
        <w:spacing w:line="440" w:lineRule="exact"/>
        <w:rPr>
          <w:rFonts w:hint="eastAsia" w:ascii="宋体" w:hAnsi="宋体" w:cs="宋体"/>
          <w:color w:val="auto"/>
          <w:kern w:val="0"/>
          <w:sz w:val="22"/>
          <w:szCs w:val="22"/>
          <w:highlight w:val="none"/>
        </w:rPr>
      </w:pPr>
    </w:p>
    <w:p w14:paraId="2A505E7B">
      <w:pPr>
        <w:autoSpaceDE w:val="0"/>
        <w:autoSpaceDN w:val="0"/>
        <w:adjustRightInd w:val="0"/>
        <w:spacing w:line="440" w:lineRule="exact"/>
        <w:jc w:val="righ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（盖单位章）</w:t>
      </w:r>
    </w:p>
    <w:p w14:paraId="7360F118">
      <w:pPr>
        <w:wordWrap w:val="0"/>
        <w:autoSpaceDE w:val="0"/>
        <w:autoSpaceDN w:val="0"/>
        <w:adjustRightInd w:val="0"/>
        <w:spacing w:line="440" w:lineRule="exact"/>
        <w:ind w:firstLine="1650" w:firstLineChars="7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日期：        年      月       日</w:t>
      </w:r>
    </w:p>
    <w:p w14:paraId="2E26EB28">
      <w:pPr>
        <w:autoSpaceDE w:val="0"/>
        <w:autoSpaceDN w:val="0"/>
        <w:adjustRightInd w:val="0"/>
        <w:jc w:val="left"/>
        <w:rPr>
          <w:rFonts w:hint="eastAsia" w:ascii="宋体" w:hAnsi="宋体" w:cs="宋体"/>
          <w:color w:val="auto"/>
          <w:kern w:val="0"/>
          <w:sz w:val="22"/>
          <w:szCs w:val="22"/>
          <w:highlight w:val="none"/>
        </w:rPr>
      </w:pPr>
    </w:p>
    <w:p w14:paraId="677479CA">
      <w:pPr>
        <w:spacing w:line="380" w:lineRule="exact"/>
        <w:jc w:val="center"/>
        <w:rPr>
          <w:rFonts w:hint="eastAsia" w:ascii="宋体" w:hAnsi="宋体" w:cs="宋体"/>
          <w:b/>
          <w:color w:val="auto"/>
          <w:sz w:val="24"/>
          <w:highlight w:val="none"/>
        </w:rPr>
      </w:pPr>
    </w:p>
    <w:p w14:paraId="4B6212CE">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p w14:paraId="07E0A544">
      <w:pPr>
        <w:spacing w:line="380" w:lineRule="exact"/>
        <w:rPr>
          <w:rFonts w:hint="eastAsia" w:ascii="宋体" w:hAnsi="宋体" w:cs="宋体"/>
          <w:b/>
          <w:color w:val="auto"/>
          <w:sz w:val="24"/>
          <w:highlight w:val="none"/>
        </w:rPr>
      </w:pPr>
    </w:p>
    <w:tbl>
      <w:tblPr>
        <w:tblStyle w:val="39"/>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3D74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noWrap w:val="0"/>
            <w:vAlign w:val="top"/>
          </w:tcPr>
          <w:p w14:paraId="782FD8F4">
            <w:pPr>
              <w:spacing w:line="440" w:lineRule="exact"/>
              <w:rPr>
                <w:rFonts w:hint="eastAsia" w:ascii="宋体" w:hAnsi="宋体" w:cs="宋体"/>
                <w:color w:val="auto"/>
                <w:sz w:val="22"/>
                <w:szCs w:val="22"/>
                <w:highlight w:val="none"/>
              </w:rPr>
            </w:pPr>
          </w:p>
          <w:p w14:paraId="144C17F9">
            <w:pPr>
              <w:spacing w:line="440" w:lineRule="exact"/>
              <w:rPr>
                <w:rFonts w:hint="eastAsia" w:ascii="宋体" w:hAnsi="宋体" w:cs="宋体"/>
                <w:color w:val="auto"/>
                <w:sz w:val="22"/>
                <w:szCs w:val="22"/>
                <w:highlight w:val="none"/>
              </w:rPr>
            </w:pPr>
          </w:p>
          <w:p w14:paraId="6662A55F">
            <w:pPr>
              <w:spacing w:line="440" w:lineRule="exact"/>
              <w:rPr>
                <w:rFonts w:hint="eastAsia" w:ascii="宋体" w:hAnsi="宋体" w:cs="宋体"/>
                <w:color w:val="auto"/>
                <w:sz w:val="22"/>
                <w:szCs w:val="22"/>
                <w:highlight w:val="none"/>
              </w:rPr>
            </w:pPr>
          </w:p>
          <w:p w14:paraId="2CF7D53F">
            <w:pPr>
              <w:spacing w:line="440" w:lineRule="exact"/>
              <w:ind w:firstLine="1100" w:firstLineChars="5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法定代表人身份证复印件（粘贴处）</w:t>
            </w:r>
          </w:p>
        </w:tc>
      </w:tr>
    </w:tbl>
    <w:p w14:paraId="3516F683">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二、法定代表人授权书</w:t>
      </w:r>
    </w:p>
    <w:p w14:paraId="4598E469">
      <w:pPr>
        <w:spacing w:line="460" w:lineRule="exact"/>
        <w:rPr>
          <w:rFonts w:hint="eastAsia" w:ascii="宋体" w:hAnsi="宋体" w:cs="宋体"/>
          <w:color w:val="auto"/>
          <w:sz w:val="22"/>
          <w:szCs w:val="22"/>
          <w:highlight w:val="none"/>
        </w:rPr>
      </w:pPr>
    </w:p>
    <w:p w14:paraId="0C811F4F">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温州大学</w:t>
      </w:r>
      <w:r>
        <w:rPr>
          <w:rFonts w:hint="eastAsia" w:ascii="宋体" w:hAnsi="宋体" w:cs="宋体"/>
          <w:b/>
          <w:color w:val="auto"/>
          <w:sz w:val="24"/>
          <w:highlight w:val="none"/>
        </w:rPr>
        <w:t>：</w:t>
      </w:r>
    </w:p>
    <w:p w14:paraId="0F424E06">
      <w:pPr>
        <w:spacing w:line="440" w:lineRule="exact"/>
        <w:rPr>
          <w:rFonts w:hint="eastAsia" w:ascii="宋体" w:hAnsi="宋体" w:cs="宋体"/>
          <w:color w:val="auto"/>
          <w:sz w:val="22"/>
          <w:szCs w:val="22"/>
          <w:highlight w:val="none"/>
          <w:u w:val="single"/>
        </w:rPr>
      </w:pPr>
    </w:p>
    <w:p w14:paraId="581DDC6C">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（项目名称、编号）响应文件、签订合同和处理有关事宜，其法律后果由我方承担。</w:t>
      </w:r>
    </w:p>
    <w:p w14:paraId="40276946">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24F417E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66A8629E">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757ABDA">
      <w:pPr>
        <w:spacing w:line="440" w:lineRule="exact"/>
        <w:ind w:firstLine="4191" w:firstLineChars="19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w:t>
      </w:r>
    </w:p>
    <w:p w14:paraId="29206EC9">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供应商全称（电子签章）：</w:t>
      </w:r>
    </w:p>
    <w:p w14:paraId="664D350E">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5594ACF3">
      <w:pPr>
        <w:spacing w:line="440" w:lineRule="exact"/>
        <w:rPr>
          <w:rFonts w:hint="eastAsia" w:ascii="宋体" w:hAnsi="宋体" w:cs="宋体"/>
          <w:color w:val="auto"/>
          <w:sz w:val="22"/>
          <w:szCs w:val="22"/>
          <w:highlight w:val="none"/>
        </w:rPr>
      </w:pPr>
    </w:p>
    <w:p w14:paraId="2B3A6DBE">
      <w:pPr>
        <w:spacing w:line="440" w:lineRule="exact"/>
        <w:rPr>
          <w:rFonts w:hint="eastAsia" w:ascii="宋体" w:hAnsi="宋体" w:cs="宋体"/>
          <w:color w:val="auto"/>
          <w:sz w:val="22"/>
          <w:szCs w:val="22"/>
          <w:highlight w:val="none"/>
        </w:rPr>
      </w:pPr>
    </w:p>
    <w:p w14:paraId="7D9E6F3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4D8581FB">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授权代表姓名（签字）：</w:t>
      </w:r>
    </w:p>
    <w:p w14:paraId="35413CB7">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p>
    <w:p w14:paraId="51BA71BB">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p w14:paraId="12756D10">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77EF957D">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D2B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9854" w:type="dxa"/>
            <w:noWrap w:val="0"/>
            <w:vAlign w:val="center"/>
          </w:tcPr>
          <w:p w14:paraId="37A7BA30">
            <w:pPr>
              <w:spacing w:line="440" w:lineRule="exact"/>
              <w:jc w:val="center"/>
              <w:rPr>
                <w:rFonts w:hint="eastAsia" w:ascii="宋体" w:hAnsi="宋体" w:cs="宋体"/>
                <w:b/>
                <w:bCs/>
                <w:color w:val="auto"/>
                <w:sz w:val="22"/>
                <w:szCs w:val="22"/>
                <w:highlight w:val="none"/>
              </w:rPr>
            </w:pPr>
            <w:r>
              <w:rPr>
                <w:rFonts w:hint="eastAsia" w:ascii="宋体" w:hAnsi="宋体" w:cs="宋体"/>
                <w:color w:val="auto"/>
                <w:sz w:val="22"/>
                <w:szCs w:val="22"/>
                <w:highlight w:val="none"/>
              </w:rPr>
              <w:t>授权代表身份证复印件（粘贴处）</w:t>
            </w:r>
          </w:p>
        </w:tc>
      </w:tr>
    </w:tbl>
    <w:p w14:paraId="4A243B27">
      <w:pPr>
        <w:spacing w:line="440" w:lineRule="exact"/>
        <w:rPr>
          <w:rFonts w:hint="eastAsia" w:ascii="宋体" w:hAnsi="宋体" w:cs="宋体"/>
          <w:b/>
          <w:bCs/>
          <w:color w:val="auto"/>
          <w:sz w:val="22"/>
          <w:szCs w:val="22"/>
          <w:highlight w:val="none"/>
        </w:rPr>
      </w:pPr>
    </w:p>
    <w:p w14:paraId="7AA14DEE">
      <w:pPr>
        <w:spacing w:line="360" w:lineRule="auto"/>
        <w:jc w:val="center"/>
        <w:rPr>
          <w:rFonts w:hint="eastAsia" w:ascii="宋体" w:hAnsi="宋体" w:cs="宋体"/>
          <w:b/>
          <w:color w:val="auto"/>
          <w:sz w:val="24"/>
          <w:highlight w:val="none"/>
        </w:rPr>
      </w:pPr>
    </w:p>
    <w:p w14:paraId="15B065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三、有效的法人或者其他组织的营业执照等证明文件，自然人的身份证明（五选一）</w:t>
      </w:r>
    </w:p>
    <w:p w14:paraId="6D9038D8">
      <w:pPr>
        <w:spacing w:line="360" w:lineRule="auto"/>
        <w:rPr>
          <w:rFonts w:hint="eastAsia" w:ascii="宋体" w:hAnsi="宋体" w:cs="宋体"/>
          <w:b/>
          <w:color w:val="auto"/>
          <w:sz w:val="24"/>
          <w:highlight w:val="none"/>
        </w:rPr>
      </w:pPr>
    </w:p>
    <w:p w14:paraId="0FFEF1B1">
      <w:pPr>
        <w:spacing w:line="360" w:lineRule="auto"/>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说明：</w:t>
      </w:r>
    </w:p>
    <w:p w14:paraId="47314111">
      <w:pPr>
        <w:pStyle w:val="29"/>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1.如供应商是企业（包括合伙企业），提供有效“企业法人营业执照”或“营业执照”；</w:t>
      </w:r>
    </w:p>
    <w:p w14:paraId="78945041">
      <w:pPr>
        <w:pStyle w:val="29"/>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2.如供应商是事业单位，提供有效的“事业单位法人证书”；</w:t>
      </w:r>
    </w:p>
    <w:p w14:paraId="22C9B0D0">
      <w:pPr>
        <w:pStyle w:val="29"/>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3.如供应商是非企业专业服务机构的，提供执业许可证等证明文件；</w:t>
      </w:r>
    </w:p>
    <w:p w14:paraId="0C5248F5">
      <w:pPr>
        <w:pStyle w:val="29"/>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4.如供应商是个体工商户，提供有效的“个体工商户营业执照”；</w:t>
      </w:r>
    </w:p>
    <w:p w14:paraId="1E553FB0">
      <w:pPr>
        <w:pStyle w:val="29"/>
        <w:spacing w:line="360" w:lineRule="auto"/>
        <w:ind w:left="418" w:hanging="418"/>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14:paraId="37A70168">
      <w:pPr>
        <w:spacing w:line="400" w:lineRule="exact"/>
        <w:rPr>
          <w:rFonts w:hint="eastAsia" w:ascii="宋体" w:hAnsi="宋体" w:cs="宋体"/>
          <w:b/>
          <w:color w:val="auto"/>
          <w:sz w:val="24"/>
          <w:highlight w:val="none"/>
        </w:rPr>
      </w:pPr>
    </w:p>
    <w:p w14:paraId="21959255">
      <w:pPr>
        <w:spacing w:line="400" w:lineRule="exact"/>
        <w:rPr>
          <w:rFonts w:hint="eastAsia" w:ascii="宋体" w:hAnsi="宋体" w:cs="宋体"/>
          <w:b/>
          <w:color w:val="auto"/>
          <w:sz w:val="24"/>
          <w:highlight w:val="none"/>
        </w:rPr>
      </w:pPr>
    </w:p>
    <w:p w14:paraId="31A67752">
      <w:pPr>
        <w:spacing w:line="400" w:lineRule="exact"/>
        <w:rPr>
          <w:rFonts w:hint="eastAsia" w:ascii="宋体" w:hAnsi="宋体" w:cs="宋体"/>
          <w:b/>
          <w:color w:val="auto"/>
          <w:sz w:val="24"/>
          <w:highlight w:val="none"/>
        </w:rPr>
      </w:pPr>
    </w:p>
    <w:p w14:paraId="3EB13AC5">
      <w:pPr>
        <w:spacing w:line="400" w:lineRule="exact"/>
        <w:rPr>
          <w:rFonts w:hint="eastAsia" w:ascii="宋体" w:hAnsi="宋体" w:cs="宋体"/>
          <w:b/>
          <w:color w:val="auto"/>
          <w:sz w:val="24"/>
          <w:highlight w:val="none"/>
        </w:rPr>
      </w:pPr>
    </w:p>
    <w:p w14:paraId="0010EDDC">
      <w:pPr>
        <w:spacing w:line="400" w:lineRule="exact"/>
        <w:rPr>
          <w:rFonts w:hint="eastAsia" w:ascii="宋体" w:hAnsi="宋体" w:cs="宋体"/>
          <w:b/>
          <w:color w:val="auto"/>
          <w:sz w:val="24"/>
          <w:highlight w:val="none"/>
        </w:rPr>
      </w:pPr>
    </w:p>
    <w:p w14:paraId="10F8F79C">
      <w:pPr>
        <w:spacing w:line="400" w:lineRule="exact"/>
        <w:rPr>
          <w:rFonts w:hint="eastAsia" w:ascii="宋体" w:hAnsi="宋体" w:cs="宋体"/>
          <w:b/>
          <w:color w:val="auto"/>
          <w:sz w:val="24"/>
          <w:highlight w:val="none"/>
        </w:rPr>
      </w:pPr>
    </w:p>
    <w:p w14:paraId="3153FD47">
      <w:pPr>
        <w:spacing w:line="400" w:lineRule="exact"/>
        <w:rPr>
          <w:rFonts w:hint="eastAsia" w:ascii="宋体" w:hAnsi="宋体" w:cs="宋体"/>
          <w:b/>
          <w:color w:val="auto"/>
          <w:sz w:val="24"/>
          <w:highlight w:val="none"/>
        </w:rPr>
      </w:pPr>
    </w:p>
    <w:p w14:paraId="2AB08D6C">
      <w:pPr>
        <w:spacing w:line="400" w:lineRule="exact"/>
        <w:rPr>
          <w:rFonts w:hint="eastAsia" w:ascii="宋体" w:hAnsi="宋体" w:cs="宋体"/>
          <w:b/>
          <w:color w:val="auto"/>
          <w:sz w:val="24"/>
          <w:highlight w:val="none"/>
        </w:rPr>
      </w:pPr>
    </w:p>
    <w:p w14:paraId="27A0125E">
      <w:pPr>
        <w:spacing w:line="400" w:lineRule="exact"/>
        <w:rPr>
          <w:rFonts w:hint="eastAsia" w:ascii="宋体" w:hAnsi="宋体" w:cs="宋体"/>
          <w:b/>
          <w:color w:val="auto"/>
          <w:sz w:val="24"/>
          <w:highlight w:val="none"/>
        </w:rPr>
      </w:pPr>
    </w:p>
    <w:p w14:paraId="6F4B353A">
      <w:pPr>
        <w:spacing w:line="400" w:lineRule="exact"/>
        <w:rPr>
          <w:rFonts w:hint="eastAsia" w:ascii="宋体" w:hAnsi="宋体" w:cs="宋体"/>
          <w:b/>
          <w:color w:val="auto"/>
          <w:sz w:val="24"/>
          <w:highlight w:val="none"/>
        </w:rPr>
      </w:pPr>
    </w:p>
    <w:p w14:paraId="0E209056">
      <w:pPr>
        <w:spacing w:line="400" w:lineRule="exact"/>
        <w:rPr>
          <w:rFonts w:hint="eastAsia" w:ascii="宋体" w:hAnsi="宋体" w:cs="宋体"/>
          <w:b/>
          <w:color w:val="auto"/>
          <w:sz w:val="24"/>
          <w:highlight w:val="none"/>
        </w:rPr>
      </w:pPr>
    </w:p>
    <w:p w14:paraId="70DE2C7B">
      <w:pPr>
        <w:spacing w:line="400" w:lineRule="exact"/>
        <w:rPr>
          <w:rFonts w:hint="eastAsia" w:ascii="宋体" w:hAnsi="宋体" w:cs="宋体"/>
          <w:b/>
          <w:color w:val="auto"/>
          <w:sz w:val="24"/>
          <w:highlight w:val="none"/>
        </w:rPr>
      </w:pPr>
    </w:p>
    <w:p w14:paraId="554ADD22">
      <w:pPr>
        <w:spacing w:line="400" w:lineRule="exact"/>
        <w:rPr>
          <w:rFonts w:hint="eastAsia" w:ascii="宋体" w:hAnsi="宋体" w:cs="宋体"/>
          <w:b/>
          <w:color w:val="auto"/>
          <w:sz w:val="24"/>
          <w:highlight w:val="none"/>
        </w:rPr>
      </w:pPr>
    </w:p>
    <w:p w14:paraId="4313265C">
      <w:pPr>
        <w:spacing w:line="400" w:lineRule="exact"/>
        <w:rPr>
          <w:rFonts w:hint="eastAsia" w:ascii="宋体" w:hAnsi="宋体" w:cs="宋体"/>
          <w:b/>
          <w:color w:val="auto"/>
          <w:sz w:val="24"/>
          <w:highlight w:val="none"/>
        </w:rPr>
      </w:pPr>
    </w:p>
    <w:p w14:paraId="2CF3F69A">
      <w:pPr>
        <w:spacing w:line="400" w:lineRule="exact"/>
        <w:rPr>
          <w:rFonts w:hint="eastAsia" w:ascii="宋体" w:hAnsi="宋体" w:cs="宋体"/>
          <w:b/>
          <w:color w:val="auto"/>
          <w:sz w:val="24"/>
          <w:highlight w:val="none"/>
        </w:rPr>
      </w:pPr>
    </w:p>
    <w:p w14:paraId="64DF5F9D">
      <w:pPr>
        <w:spacing w:line="400" w:lineRule="exact"/>
        <w:rPr>
          <w:rFonts w:hint="eastAsia" w:ascii="宋体" w:hAnsi="宋体" w:cs="宋体"/>
          <w:b/>
          <w:color w:val="auto"/>
          <w:sz w:val="24"/>
          <w:highlight w:val="none"/>
        </w:rPr>
      </w:pPr>
    </w:p>
    <w:p w14:paraId="750B0005">
      <w:pPr>
        <w:spacing w:line="400" w:lineRule="exact"/>
        <w:rPr>
          <w:rFonts w:hint="eastAsia" w:ascii="宋体" w:hAnsi="宋体" w:cs="宋体"/>
          <w:b/>
          <w:color w:val="auto"/>
          <w:sz w:val="24"/>
          <w:highlight w:val="none"/>
        </w:rPr>
      </w:pPr>
    </w:p>
    <w:p w14:paraId="2B617EEA">
      <w:pPr>
        <w:spacing w:line="400" w:lineRule="exact"/>
        <w:rPr>
          <w:rFonts w:hint="eastAsia" w:ascii="宋体" w:hAnsi="宋体" w:cs="宋体"/>
          <w:b/>
          <w:color w:val="auto"/>
          <w:sz w:val="24"/>
          <w:highlight w:val="none"/>
        </w:rPr>
      </w:pPr>
    </w:p>
    <w:p w14:paraId="6370C277">
      <w:pPr>
        <w:spacing w:line="400" w:lineRule="exact"/>
        <w:rPr>
          <w:rFonts w:hint="eastAsia" w:ascii="宋体" w:hAnsi="宋体" w:cs="宋体"/>
          <w:b/>
          <w:color w:val="auto"/>
          <w:sz w:val="24"/>
          <w:highlight w:val="none"/>
        </w:rPr>
      </w:pPr>
    </w:p>
    <w:p w14:paraId="72CC74BB">
      <w:pPr>
        <w:spacing w:line="400" w:lineRule="exact"/>
        <w:rPr>
          <w:rFonts w:hint="eastAsia" w:ascii="宋体" w:hAnsi="宋体" w:cs="宋体"/>
          <w:b/>
          <w:color w:val="auto"/>
          <w:sz w:val="24"/>
          <w:highlight w:val="none"/>
        </w:rPr>
      </w:pPr>
    </w:p>
    <w:p w14:paraId="4774C083">
      <w:pPr>
        <w:pStyle w:val="20"/>
        <w:rPr>
          <w:rFonts w:hint="eastAsia" w:ascii="宋体" w:hAnsi="宋体" w:cs="宋体"/>
          <w:b/>
          <w:color w:val="auto"/>
          <w:sz w:val="24"/>
          <w:szCs w:val="24"/>
          <w:highlight w:val="none"/>
        </w:rPr>
      </w:pPr>
    </w:p>
    <w:p w14:paraId="032DED4C">
      <w:pPr>
        <w:rPr>
          <w:rFonts w:hint="eastAsia" w:ascii="宋体" w:hAnsi="宋体" w:cs="宋体"/>
          <w:b/>
          <w:color w:val="auto"/>
          <w:sz w:val="24"/>
          <w:highlight w:val="none"/>
        </w:rPr>
      </w:pPr>
    </w:p>
    <w:p w14:paraId="344CC236">
      <w:pPr>
        <w:pStyle w:val="20"/>
        <w:rPr>
          <w:rFonts w:hint="eastAsia" w:ascii="宋体" w:hAnsi="宋体" w:cs="宋体"/>
          <w:b/>
          <w:color w:val="auto"/>
          <w:sz w:val="24"/>
          <w:szCs w:val="24"/>
          <w:highlight w:val="none"/>
        </w:rPr>
      </w:pPr>
    </w:p>
    <w:p w14:paraId="0D056D38">
      <w:pPr>
        <w:rPr>
          <w:rFonts w:hint="eastAsia" w:ascii="宋体" w:hAnsi="宋体" w:cs="宋体"/>
          <w:b/>
          <w:color w:val="auto"/>
          <w:sz w:val="24"/>
          <w:highlight w:val="none"/>
        </w:rPr>
      </w:pPr>
    </w:p>
    <w:p w14:paraId="019A45A6">
      <w:pPr>
        <w:pStyle w:val="20"/>
        <w:rPr>
          <w:rFonts w:hint="eastAsia" w:ascii="宋体" w:hAnsi="宋体" w:cs="宋体"/>
          <w:b/>
          <w:color w:val="auto"/>
          <w:sz w:val="24"/>
          <w:szCs w:val="24"/>
          <w:highlight w:val="none"/>
        </w:rPr>
      </w:pPr>
    </w:p>
    <w:p w14:paraId="46BF8153">
      <w:pPr>
        <w:rPr>
          <w:rFonts w:hint="eastAsia" w:ascii="宋体" w:hAnsi="宋体" w:cs="宋体"/>
          <w:b/>
          <w:color w:val="auto"/>
          <w:sz w:val="24"/>
          <w:highlight w:val="none"/>
        </w:rPr>
      </w:pPr>
    </w:p>
    <w:p w14:paraId="2003FD6F">
      <w:pPr>
        <w:pStyle w:val="20"/>
        <w:rPr>
          <w:rFonts w:hint="eastAsia" w:ascii="宋体" w:hAnsi="宋体" w:cs="宋体"/>
          <w:b/>
          <w:color w:val="auto"/>
          <w:sz w:val="24"/>
          <w:szCs w:val="24"/>
          <w:highlight w:val="none"/>
        </w:rPr>
      </w:pPr>
    </w:p>
    <w:p w14:paraId="02304614">
      <w:pPr>
        <w:spacing w:before="240" w:beforeLines="100" w:after="240" w:afterLines="10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四、关于符合《中华人民共和国政府采购法》第二十二条规定的承诺函</w:t>
      </w:r>
    </w:p>
    <w:p w14:paraId="6157AACB">
      <w:pPr>
        <w:spacing w:before="240" w:beforeLines="100" w:after="240" w:afterLines="100" w:line="360" w:lineRule="auto"/>
        <w:rPr>
          <w:rFonts w:hint="eastAsia"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lang w:eastAsia="zh-CN"/>
        </w:rPr>
        <w:t>温州大学</w:t>
      </w:r>
      <w:r>
        <w:rPr>
          <w:rFonts w:hint="eastAsia" w:ascii="宋体" w:hAnsi="宋体" w:cs="宋体"/>
          <w:color w:val="auto"/>
          <w:sz w:val="22"/>
          <w:highlight w:val="none"/>
        </w:rPr>
        <w:t>、温州市圣励招标代理有限公司</w:t>
      </w:r>
      <w:r>
        <w:rPr>
          <w:rFonts w:hint="eastAsia" w:ascii="宋体" w:hAnsi="宋体" w:cs="宋体"/>
          <w:color w:val="auto"/>
          <w:spacing w:val="-6"/>
          <w:sz w:val="22"/>
          <w:highlight w:val="none"/>
        </w:rPr>
        <w:t>：</w:t>
      </w:r>
    </w:p>
    <w:p w14:paraId="6A4E3C3A">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1140DD57">
      <w:pPr>
        <w:pStyle w:val="34"/>
        <w:spacing w:before="0" w:beforeAutospacing="0" w:after="0" w:afterAutospacing="0" w:line="360" w:lineRule="auto"/>
        <w:ind w:firstLine="440" w:firstLineChars="200"/>
        <w:rPr>
          <w:rFonts w:hint="eastAsia"/>
          <w:bCs/>
          <w:color w:val="auto"/>
          <w:kern w:val="2"/>
          <w:sz w:val="22"/>
          <w:highlight w:val="none"/>
        </w:rPr>
      </w:pPr>
      <w:r>
        <w:rPr>
          <w:rFonts w:hint="eastAsia"/>
          <w:bCs/>
          <w:color w:val="auto"/>
          <w:kern w:val="2"/>
          <w:sz w:val="22"/>
          <w:highlight w:val="none"/>
        </w:rPr>
        <w:t>（一）具有独立承担民事责任的能力；</w:t>
      </w:r>
    </w:p>
    <w:p w14:paraId="0F196815">
      <w:pPr>
        <w:pStyle w:val="34"/>
        <w:spacing w:before="0" w:beforeAutospacing="0" w:after="0" w:afterAutospacing="0" w:line="360" w:lineRule="auto"/>
        <w:ind w:firstLine="440" w:firstLineChars="200"/>
        <w:rPr>
          <w:rFonts w:hint="eastAsia"/>
          <w:bCs/>
          <w:color w:val="auto"/>
          <w:kern w:val="2"/>
          <w:sz w:val="22"/>
          <w:highlight w:val="none"/>
        </w:rPr>
      </w:pPr>
      <w:r>
        <w:rPr>
          <w:rFonts w:hint="eastAsia"/>
          <w:bCs/>
          <w:color w:val="auto"/>
          <w:kern w:val="2"/>
          <w:sz w:val="22"/>
          <w:highlight w:val="none"/>
        </w:rPr>
        <w:t>（二）具有良好的商业信誉和健全的财务会计制度；</w:t>
      </w:r>
    </w:p>
    <w:p w14:paraId="1425DE9C">
      <w:pPr>
        <w:pStyle w:val="34"/>
        <w:spacing w:before="0" w:beforeAutospacing="0" w:after="0" w:afterAutospacing="0" w:line="360" w:lineRule="auto"/>
        <w:ind w:firstLine="440" w:firstLineChars="200"/>
        <w:rPr>
          <w:rFonts w:hint="eastAsia"/>
          <w:bCs/>
          <w:color w:val="auto"/>
          <w:kern w:val="2"/>
          <w:sz w:val="22"/>
          <w:highlight w:val="none"/>
        </w:rPr>
      </w:pPr>
      <w:r>
        <w:rPr>
          <w:rFonts w:hint="eastAsia"/>
          <w:bCs/>
          <w:color w:val="auto"/>
          <w:kern w:val="2"/>
          <w:sz w:val="22"/>
          <w:highlight w:val="none"/>
        </w:rPr>
        <w:t>（三）具有履行合同所必需的设备和专业技术能力；</w:t>
      </w:r>
    </w:p>
    <w:p w14:paraId="3D438D3C">
      <w:pPr>
        <w:pStyle w:val="34"/>
        <w:spacing w:before="0" w:beforeAutospacing="0" w:after="0" w:afterAutospacing="0" w:line="360" w:lineRule="auto"/>
        <w:ind w:firstLine="440" w:firstLineChars="200"/>
        <w:rPr>
          <w:rFonts w:hint="eastAsia"/>
          <w:bCs/>
          <w:color w:val="auto"/>
          <w:kern w:val="2"/>
          <w:sz w:val="22"/>
          <w:highlight w:val="none"/>
        </w:rPr>
      </w:pPr>
      <w:r>
        <w:rPr>
          <w:rFonts w:hint="eastAsia"/>
          <w:bCs/>
          <w:color w:val="auto"/>
          <w:kern w:val="2"/>
          <w:sz w:val="22"/>
          <w:highlight w:val="none"/>
        </w:rPr>
        <w:t>（四）有依法缴纳税收和社会保障资金的良好记录；</w:t>
      </w:r>
    </w:p>
    <w:p w14:paraId="479ED342">
      <w:pPr>
        <w:pStyle w:val="34"/>
        <w:spacing w:before="0" w:beforeAutospacing="0" w:after="0" w:afterAutospacing="0" w:line="360" w:lineRule="auto"/>
        <w:ind w:firstLine="440" w:firstLineChars="200"/>
        <w:rPr>
          <w:rFonts w:hint="eastAsia"/>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1C94B4D0">
      <w:pPr>
        <w:pStyle w:val="34"/>
        <w:spacing w:before="0" w:beforeAutospacing="0" w:after="0" w:afterAutospacing="0" w:line="360" w:lineRule="auto"/>
        <w:ind w:firstLine="440" w:firstLineChars="200"/>
        <w:rPr>
          <w:rFonts w:hint="eastAsia"/>
          <w:bCs/>
          <w:color w:val="auto"/>
          <w:kern w:val="2"/>
          <w:sz w:val="22"/>
          <w:highlight w:val="none"/>
        </w:rPr>
      </w:pPr>
      <w:r>
        <w:rPr>
          <w:rFonts w:hint="eastAsia"/>
          <w:bCs/>
          <w:color w:val="auto"/>
          <w:kern w:val="2"/>
          <w:sz w:val="22"/>
          <w:highlight w:val="none"/>
        </w:rPr>
        <w:t>（六）未被“信用中国”（www.creditchina.gov.cn）、中国政府采购网（www.ccgp.gov.cn）列入失信被执行人、</w:t>
      </w:r>
      <w:r>
        <w:rPr>
          <w:rFonts w:hint="eastAsia"/>
          <w:bCs/>
          <w:color w:val="auto"/>
          <w:kern w:val="2"/>
          <w:sz w:val="22"/>
          <w:highlight w:val="none"/>
          <w:lang w:eastAsia="zh-CN"/>
        </w:rPr>
        <w:t>重大税收违法失信主体</w:t>
      </w:r>
      <w:r>
        <w:rPr>
          <w:rFonts w:hint="eastAsia"/>
          <w:bCs/>
          <w:color w:val="auto"/>
          <w:kern w:val="2"/>
          <w:sz w:val="22"/>
          <w:highlight w:val="none"/>
        </w:rPr>
        <w:t>、政府采购严重违法失信行为记录名单：以采购代理机构在开标当日查询记录为准。</w:t>
      </w:r>
    </w:p>
    <w:p w14:paraId="49740840">
      <w:pPr>
        <w:pStyle w:val="34"/>
        <w:spacing w:before="0" w:beforeAutospacing="0" w:after="0" w:afterAutospacing="0" w:line="360" w:lineRule="auto"/>
        <w:ind w:firstLine="442" w:firstLineChars="200"/>
        <w:rPr>
          <w:rStyle w:val="95"/>
          <w:rFonts w:hint="eastAsia"/>
          <w:color w:val="auto"/>
          <w:sz w:val="22"/>
          <w:highlight w:val="none"/>
        </w:rPr>
      </w:pPr>
      <w:r>
        <w:rPr>
          <w:rStyle w:val="95"/>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95"/>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743AC8FD">
      <w:pPr>
        <w:pStyle w:val="34"/>
        <w:spacing w:before="0" w:beforeAutospacing="0" w:after="0" w:afterAutospacing="0" w:line="360" w:lineRule="auto"/>
        <w:ind w:firstLine="440" w:firstLineChars="200"/>
        <w:rPr>
          <w:rStyle w:val="95"/>
          <w:rFonts w:hint="eastAsia"/>
          <w:color w:val="auto"/>
          <w:sz w:val="22"/>
          <w:highlight w:val="none"/>
        </w:rPr>
      </w:pPr>
      <w:r>
        <w:rPr>
          <w:rStyle w:val="95"/>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95"/>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95"/>
          <w:rFonts w:hint="eastAsia"/>
          <w:color w:val="auto"/>
          <w:sz w:val="22"/>
          <w:highlight w:val="none"/>
        </w:rPr>
        <w:t>”标准高于200万元的，从其规定。</w:t>
      </w:r>
    </w:p>
    <w:p w14:paraId="6D8B6563">
      <w:pPr>
        <w:pStyle w:val="34"/>
        <w:spacing w:before="0" w:beforeAutospacing="0" w:after="0" w:afterAutospacing="0" w:line="360" w:lineRule="auto"/>
        <w:ind w:firstLine="440" w:firstLineChars="200"/>
        <w:rPr>
          <w:rStyle w:val="95"/>
          <w:rFonts w:hint="eastAsia"/>
          <w:color w:val="auto"/>
          <w:sz w:val="22"/>
          <w:highlight w:val="none"/>
        </w:rPr>
      </w:pPr>
      <w:r>
        <w:rPr>
          <w:rStyle w:val="95"/>
          <w:rFonts w:hint="eastAsia"/>
          <w:color w:val="auto"/>
          <w:sz w:val="22"/>
          <w:highlight w:val="none"/>
        </w:rPr>
        <w:t>我单位已知晓前述法律规定，对此无任何异议。</w:t>
      </w:r>
    </w:p>
    <w:p w14:paraId="2843B633">
      <w:pPr>
        <w:ind w:firstLine="442" w:firstLineChars="200"/>
        <w:rPr>
          <w:rFonts w:hint="eastAsia" w:ascii="宋体" w:hAnsi="宋体" w:cs="宋体"/>
          <w:color w:val="auto"/>
          <w:szCs w:val="21"/>
          <w:highlight w:val="none"/>
        </w:rPr>
      </w:pPr>
      <w:r>
        <w:rPr>
          <w:rStyle w:val="95"/>
          <w:rFonts w:hint="eastAsia" w:ascii="宋体" w:hAnsi="宋体" w:cs="宋体"/>
          <w:b/>
          <w:bCs/>
          <w:color w:val="auto"/>
          <w:sz w:val="22"/>
          <w:highlight w:val="none"/>
        </w:rPr>
        <w:t>注：</w:t>
      </w:r>
      <w:r>
        <w:rPr>
          <w:rStyle w:val="95"/>
          <w:rFonts w:hint="eastAsia" w:ascii="宋体" w:hAnsi="宋体" w:cs="宋体"/>
          <w:color w:val="auto"/>
          <w:sz w:val="22"/>
          <w:highlight w:val="none"/>
          <w:u w:val="single"/>
        </w:rPr>
        <w:t>▲</w:t>
      </w:r>
      <w:r>
        <w:rPr>
          <w:rStyle w:val="95"/>
          <w:rFonts w:hint="eastAsia" w:ascii="宋体" w:hAnsi="宋体" w:cs="宋体"/>
          <w:b/>
          <w:bCs/>
          <w:color w:val="auto"/>
          <w:sz w:val="22"/>
          <w:highlight w:val="none"/>
          <w:u w:val="single"/>
        </w:rPr>
        <w:t>本承诺函必须提供。</w:t>
      </w:r>
    </w:p>
    <w:p w14:paraId="63D8568C">
      <w:pPr>
        <w:spacing w:line="360" w:lineRule="auto"/>
        <w:ind w:left="4620" w:leftChars="2200"/>
        <w:rPr>
          <w:rFonts w:hint="eastAsia" w:ascii="宋体" w:hAnsi="宋体" w:cs="宋体"/>
          <w:color w:val="auto"/>
          <w:szCs w:val="21"/>
          <w:highlight w:val="none"/>
        </w:rPr>
      </w:pPr>
    </w:p>
    <w:p w14:paraId="4F2C4851">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767C0E47">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006B5C98">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日 期：      年    月   日</w:t>
      </w:r>
    </w:p>
    <w:p w14:paraId="1F71B28B">
      <w:pPr>
        <w:pStyle w:val="15"/>
        <w:rPr>
          <w:rFonts w:hint="eastAsia" w:ascii="宋体" w:hAnsi="宋体" w:cs="宋体"/>
          <w:color w:val="auto"/>
          <w:highlight w:val="none"/>
        </w:rPr>
      </w:pPr>
    </w:p>
    <w:p w14:paraId="5CF1E245">
      <w:pPr>
        <w:rPr>
          <w:rFonts w:hint="eastAsia" w:ascii="宋体" w:hAnsi="宋体" w:cs="宋体"/>
          <w:color w:val="auto"/>
          <w:highlight w:val="none"/>
        </w:rPr>
      </w:pPr>
    </w:p>
    <w:p w14:paraId="75CC2982">
      <w:pPr>
        <w:pStyle w:val="20"/>
        <w:rPr>
          <w:rFonts w:hint="eastAsia" w:ascii="宋体" w:hAnsi="宋体" w:cs="宋体"/>
          <w:color w:val="auto"/>
          <w:highlight w:val="none"/>
        </w:rPr>
      </w:pPr>
    </w:p>
    <w:p w14:paraId="7CDFE236">
      <w:pPr>
        <w:rPr>
          <w:rFonts w:hint="eastAsia" w:ascii="宋体" w:hAnsi="宋体" w:cs="宋体"/>
          <w:color w:val="auto"/>
          <w:highlight w:val="none"/>
        </w:rPr>
      </w:pPr>
    </w:p>
    <w:p w14:paraId="07E721DB">
      <w:pPr>
        <w:pStyle w:val="20"/>
        <w:rPr>
          <w:rFonts w:hint="eastAsia" w:ascii="宋体" w:hAnsi="宋体" w:cs="宋体"/>
          <w:color w:val="auto"/>
          <w:highlight w:val="none"/>
        </w:rPr>
      </w:pPr>
    </w:p>
    <w:p w14:paraId="2CD326AA">
      <w:pPr>
        <w:pStyle w:val="19"/>
        <w:spacing w:line="460" w:lineRule="exact"/>
        <w:rPr>
          <w:rFonts w:hint="eastAsia" w:hAnsi="宋体" w:cs="宋体"/>
          <w:color w:val="auto"/>
          <w:sz w:val="22"/>
          <w:szCs w:val="22"/>
          <w:highlight w:val="none"/>
        </w:rPr>
      </w:pPr>
    </w:p>
    <w:p w14:paraId="6FB18622">
      <w:pPr>
        <w:spacing w:line="460" w:lineRule="exact"/>
        <w:jc w:val="center"/>
        <w:rPr>
          <w:rFonts w:hint="eastAsia" w:ascii="宋体" w:hAnsi="宋体" w:cs="宋体"/>
          <w:b/>
          <w:color w:val="auto"/>
          <w:sz w:val="24"/>
          <w:highlight w:val="none"/>
        </w:rPr>
      </w:pPr>
      <w:r>
        <w:rPr>
          <w:rFonts w:hint="eastAsia" w:ascii="宋体" w:hAnsi="宋体" w:cs="宋体"/>
          <w:color w:val="auto"/>
          <w:sz w:val="22"/>
          <w:szCs w:val="22"/>
          <w:highlight w:val="none"/>
        </w:rPr>
        <w:br w:type="page"/>
      </w:r>
      <w:r>
        <w:rPr>
          <w:rFonts w:hint="eastAsia" w:ascii="宋体" w:hAnsi="宋体" w:cs="宋体"/>
          <w:b/>
          <w:color w:val="auto"/>
          <w:sz w:val="24"/>
          <w:highlight w:val="none"/>
        </w:rPr>
        <w:t>五、中小企业声明函（货物）</w:t>
      </w:r>
    </w:p>
    <w:p w14:paraId="47E566CF">
      <w:pPr>
        <w:pStyle w:val="13"/>
        <w:spacing w:line="440" w:lineRule="exact"/>
        <w:rPr>
          <w:rFonts w:hint="eastAsia" w:ascii="宋体" w:hAnsi="宋体" w:cs="宋体"/>
          <w:b/>
          <w:color w:val="auto"/>
          <w:sz w:val="22"/>
          <w:szCs w:val="22"/>
          <w:highlight w:val="none"/>
        </w:rPr>
      </w:pPr>
    </w:p>
    <w:p w14:paraId="0303A6A2">
      <w:pPr>
        <w:pStyle w:val="13"/>
        <w:spacing w:before="55" w:line="460" w:lineRule="exact"/>
        <w:ind w:right="-1"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采购活动，提供的货物全部由符合政策要求的中小企业制造。相关企业（含联合体中的中小企业、签订分包意向协议的中小企业）的具体情况如下：</w:t>
      </w:r>
    </w:p>
    <w:p w14:paraId="27CB67B6">
      <w:pPr>
        <w:tabs>
          <w:tab w:val="left" w:pos="1183"/>
          <w:tab w:val="left" w:pos="1484"/>
          <w:tab w:val="left" w:pos="3825"/>
        </w:tabs>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
          <w:bCs/>
          <w:color w:val="auto"/>
          <w:sz w:val="22"/>
          <w:szCs w:val="22"/>
          <w:highlight w:val="none"/>
          <w:u w:val="single"/>
        </w:rPr>
        <w:t>（</w:t>
      </w:r>
      <w:r>
        <w:rPr>
          <w:rFonts w:hint="eastAsia" w:ascii="宋体" w:hAnsi="宋体" w:eastAsia="宋体" w:cs="宋体"/>
          <w:b/>
          <w:bCs/>
          <w:sz w:val="22"/>
          <w:szCs w:val="22"/>
          <w:u w:val="single"/>
          <w:vertAlign w:val="baseline"/>
        </w:rPr>
        <w:t>18OO喷雾式冰台</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662F1E58">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b/>
          <w:bCs/>
          <w:color w:val="auto"/>
          <w:sz w:val="22"/>
          <w:szCs w:val="22"/>
          <w:highlight w:val="none"/>
          <w:u w:val="single"/>
        </w:rPr>
        <w:t>（</w:t>
      </w:r>
      <w:r>
        <w:rPr>
          <w:rFonts w:hint="eastAsia" w:ascii="宋体" w:hAnsi="宋体" w:eastAsia="宋体" w:cs="宋体"/>
          <w:b/>
          <w:bCs/>
          <w:sz w:val="22"/>
          <w:szCs w:val="22"/>
          <w:u w:val="single"/>
          <w:vertAlign w:val="baseline"/>
        </w:rPr>
        <w:t>300智能电磁炒菜机(自动投料+喷料)</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296EB290">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b/>
          <w:bCs/>
          <w:color w:val="auto"/>
          <w:sz w:val="22"/>
          <w:szCs w:val="22"/>
          <w:highlight w:val="none"/>
          <w:u w:val="single"/>
        </w:rPr>
        <w:t>（</w:t>
      </w:r>
      <w:r>
        <w:rPr>
          <w:rFonts w:hint="eastAsia" w:ascii="Arial" w:hAnsi="Arial" w:eastAsia="宋体" w:cs="Arial"/>
          <w:b/>
          <w:bCs/>
          <w:color w:val="000000"/>
          <w:kern w:val="2"/>
          <w:sz w:val="22"/>
          <w:szCs w:val="22"/>
          <w:highlight w:val="none"/>
          <w:u w:val="single"/>
          <w:lang w:val="en-US" w:eastAsia="zh-CN" w:bidi="ar"/>
        </w:rPr>
        <w:t>保温台</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75B8CEF4">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b/>
          <w:bCs/>
          <w:color w:val="auto"/>
          <w:sz w:val="22"/>
          <w:szCs w:val="22"/>
          <w:highlight w:val="none"/>
          <w:u w:val="single"/>
        </w:rPr>
        <w:t>（</w:t>
      </w:r>
      <w:r>
        <w:rPr>
          <w:rFonts w:hint="eastAsia" w:ascii="宋体" w:hAnsi="宋体" w:eastAsia="宋体" w:cs="宋体"/>
          <w:b/>
          <w:bCs/>
          <w:sz w:val="22"/>
          <w:szCs w:val="22"/>
          <w:u w:val="single"/>
          <w:vertAlign w:val="baseline"/>
        </w:rPr>
        <w:t>变频控制柜11KW</w:t>
      </w:r>
      <w:r>
        <w:rPr>
          <w:rFonts w:hint="eastAsia" w:ascii="宋体" w:hAnsi="宋体" w:eastAsia="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634D156E">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b/>
          <w:bCs/>
          <w:color w:val="auto"/>
          <w:sz w:val="22"/>
          <w:szCs w:val="22"/>
          <w:highlight w:val="none"/>
          <w:u w:val="single"/>
        </w:rPr>
        <w:t>（</w:t>
      </w:r>
      <w:r>
        <w:rPr>
          <w:rFonts w:hint="eastAsia" w:ascii="宋体" w:hAnsi="宋体" w:eastAsia="宋体" w:cs="宋体"/>
          <w:b/>
          <w:bCs/>
          <w:sz w:val="22"/>
          <w:szCs w:val="22"/>
          <w:u w:val="single"/>
          <w:vertAlign w:val="baseline"/>
        </w:rPr>
        <w:t>变频控制柜15KW</w:t>
      </w:r>
      <w:r>
        <w:rPr>
          <w:rFonts w:hint="eastAsia" w:ascii="宋体" w:hAnsi="宋体" w:eastAsia="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0F625D96">
      <w:pPr>
        <w:pStyle w:val="14"/>
        <w:spacing w:line="460" w:lineRule="exact"/>
        <w:ind w:firstLine="44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p w14:paraId="1B58A673">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101.</w:t>
      </w:r>
      <w:r>
        <w:rPr>
          <w:rFonts w:hint="eastAsia" w:ascii="宋体" w:hAnsi="宋体" w:cs="宋体"/>
          <w:b/>
          <w:bCs/>
          <w:color w:val="auto"/>
          <w:sz w:val="22"/>
          <w:szCs w:val="22"/>
          <w:highlight w:val="none"/>
          <w:u w:val="single"/>
        </w:rPr>
        <w:t>（</w:t>
      </w:r>
      <w:r>
        <w:rPr>
          <w:rFonts w:hint="eastAsia" w:ascii="Arial" w:hAnsi="Arial" w:cs="Arial"/>
          <w:b/>
          <w:bCs/>
          <w:color w:val="000000"/>
          <w:kern w:val="2"/>
          <w:sz w:val="22"/>
          <w:szCs w:val="22"/>
          <w:highlight w:val="none"/>
          <w:u w:val="single"/>
          <w:lang w:val="en-US" w:eastAsia="zh-CN" w:bidi="ar"/>
        </w:rPr>
        <w:t>双层平板工作台1</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7444A876">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102.</w:t>
      </w:r>
      <w:r>
        <w:rPr>
          <w:rFonts w:hint="eastAsia" w:ascii="宋体" w:hAnsi="宋体" w:cs="宋体"/>
          <w:b/>
          <w:bCs/>
          <w:color w:val="auto"/>
          <w:sz w:val="22"/>
          <w:szCs w:val="22"/>
          <w:highlight w:val="none"/>
          <w:u w:val="single"/>
        </w:rPr>
        <w:t>（</w:t>
      </w:r>
      <w:r>
        <w:rPr>
          <w:rFonts w:hint="eastAsia" w:ascii="Arial" w:hAnsi="Arial" w:cs="Arial"/>
          <w:b/>
          <w:bCs/>
          <w:color w:val="000000"/>
          <w:kern w:val="2"/>
          <w:sz w:val="22"/>
          <w:szCs w:val="22"/>
          <w:highlight w:val="none"/>
          <w:u w:val="single"/>
          <w:lang w:val="en-US" w:eastAsia="zh-CN" w:bidi="ar"/>
        </w:rPr>
        <w:t>烟罩上封板3</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7B082AAC">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103.</w:t>
      </w:r>
      <w:r>
        <w:rPr>
          <w:rFonts w:hint="eastAsia" w:ascii="宋体" w:hAnsi="宋体" w:cs="宋体"/>
          <w:b/>
          <w:bCs/>
          <w:color w:val="auto"/>
          <w:sz w:val="22"/>
          <w:szCs w:val="22"/>
          <w:highlight w:val="none"/>
          <w:u w:val="single"/>
        </w:rPr>
        <w:t>（</w:t>
      </w:r>
      <w:r>
        <w:rPr>
          <w:rFonts w:hint="eastAsia" w:ascii="Arial" w:hAnsi="Arial" w:cs="Arial"/>
          <w:b/>
          <w:bCs/>
          <w:color w:val="000000"/>
          <w:kern w:val="2"/>
          <w:sz w:val="22"/>
          <w:szCs w:val="22"/>
          <w:highlight w:val="none"/>
          <w:u w:val="single"/>
          <w:lang w:val="en-US" w:eastAsia="zh-CN" w:bidi="ar"/>
        </w:rPr>
        <w:t>粘捕式灭蝇灯</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22E85FFC">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104.</w:t>
      </w:r>
      <w:r>
        <w:rPr>
          <w:rFonts w:hint="eastAsia" w:ascii="宋体" w:hAnsi="宋体" w:cs="宋体"/>
          <w:b/>
          <w:bCs/>
          <w:color w:val="auto"/>
          <w:sz w:val="22"/>
          <w:szCs w:val="22"/>
          <w:highlight w:val="none"/>
          <w:u w:val="single"/>
        </w:rPr>
        <w:t>（</w:t>
      </w:r>
      <w:r>
        <w:rPr>
          <w:rFonts w:hint="eastAsia" w:ascii="Arial" w:hAnsi="Arial" w:cs="Arial"/>
          <w:b/>
          <w:bCs/>
          <w:color w:val="000000"/>
          <w:kern w:val="2"/>
          <w:sz w:val="22"/>
          <w:szCs w:val="22"/>
          <w:highlight w:val="none"/>
          <w:u w:val="single"/>
          <w:lang w:val="en-US" w:eastAsia="zh-CN" w:bidi="ar"/>
        </w:rPr>
        <w:t>折叠式挡鼠板1</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635D7DE1">
      <w:pPr>
        <w:pStyle w:val="14"/>
        <w:spacing w:line="4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105.</w:t>
      </w:r>
      <w:r>
        <w:rPr>
          <w:rFonts w:hint="eastAsia" w:ascii="宋体" w:hAnsi="宋体" w:cs="宋体"/>
          <w:b/>
          <w:bCs/>
          <w:color w:val="auto"/>
          <w:sz w:val="22"/>
          <w:szCs w:val="22"/>
          <w:highlight w:val="none"/>
          <w:u w:val="single"/>
        </w:rPr>
        <w:t>（</w:t>
      </w:r>
      <w:r>
        <w:rPr>
          <w:rFonts w:hint="eastAsia" w:ascii="Arial" w:hAnsi="Arial" w:cs="Arial"/>
          <w:b/>
          <w:bCs/>
          <w:color w:val="000000"/>
          <w:kern w:val="2"/>
          <w:sz w:val="22"/>
          <w:szCs w:val="22"/>
          <w:highlight w:val="none"/>
          <w:u w:val="single"/>
          <w:lang w:val="en-US" w:eastAsia="zh-CN" w:bidi="ar"/>
        </w:rPr>
        <w:t>折叠式挡鼠板2</w:t>
      </w:r>
      <w:r>
        <w:rPr>
          <w:rFonts w:hint="eastAsia" w:ascii="宋体" w:hAnsi="宋体" w:cs="宋体"/>
          <w:b/>
          <w:bCs/>
          <w:color w:val="auto"/>
          <w:sz w:val="22"/>
          <w:szCs w:val="22"/>
          <w:highlight w:val="none"/>
          <w:u w:val="single"/>
        </w:rPr>
        <w:t>）</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工业</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1AF6A89C">
      <w:pPr>
        <w:pStyle w:val="13"/>
        <w:spacing w:line="460" w:lineRule="exact"/>
        <w:ind w:left="860"/>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68783ECA">
      <w:pPr>
        <w:pStyle w:val="13"/>
        <w:spacing w:before="105" w:line="460" w:lineRule="exact"/>
        <w:ind w:right="417" w:firstLine="645"/>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254BCE87">
      <w:pPr>
        <w:pStyle w:val="13"/>
        <w:spacing w:before="0" w:line="460" w:lineRule="exact"/>
        <w:ind w:right="372" w:firstLine="645"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63379D8D">
      <w:pPr>
        <w:pStyle w:val="13"/>
        <w:spacing w:before="105" w:line="460" w:lineRule="exact"/>
        <w:ind w:right="417"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企业名称（电子签章）：</w:t>
      </w:r>
    </w:p>
    <w:p w14:paraId="56E341AB">
      <w:pPr>
        <w:pStyle w:val="13"/>
        <w:spacing w:before="105" w:line="460" w:lineRule="exact"/>
        <w:ind w:right="417"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587F9693">
      <w:pPr>
        <w:spacing w:line="440" w:lineRule="exact"/>
        <w:rPr>
          <w:rFonts w:hint="eastAsia" w:ascii="宋体" w:hAnsi="宋体" w:cs="宋体"/>
          <w:color w:val="auto"/>
          <w:highlight w:val="none"/>
        </w:rPr>
      </w:pPr>
    </w:p>
    <w:p w14:paraId="3B3214C4">
      <w:pPr>
        <w:spacing w:line="440" w:lineRule="exact"/>
        <w:rPr>
          <w:rFonts w:hint="eastAsia" w:ascii="宋体" w:hAnsi="宋体" w:cs="宋体"/>
          <w:color w:val="auto"/>
          <w:highlight w:val="none"/>
        </w:rPr>
      </w:pPr>
      <w:r>
        <w:rPr>
          <w:rFonts w:hint="eastAsia" w:ascii="宋体" w:hAnsi="宋体" w:cs="宋体"/>
          <w:color w:val="auto"/>
          <w:highlight w:val="none"/>
        </w:rPr>
        <w:t>说明：从业人员、营业收入、资产总额填报上一年度数据，无上一年度数据的新成立企业可不填报。</w:t>
      </w:r>
    </w:p>
    <w:p w14:paraId="026E78AC">
      <w:pPr>
        <w:spacing w:line="440" w:lineRule="exact"/>
        <w:jc w:val="center"/>
        <w:rPr>
          <w:rFonts w:hint="eastAsia"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六、残疾人福利性单位声明函</w:t>
      </w:r>
    </w:p>
    <w:p w14:paraId="476FAC0E">
      <w:pPr>
        <w:spacing w:line="460" w:lineRule="exact"/>
        <w:jc w:val="center"/>
        <w:rPr>
          <w:rFonts w:hint="eastAsia" w:ascii="宋体" w:hAnsi="宋体" w:cs="宋体"/>
          <w:b/>
          <w:color w:val="auto"/>
          <w:sz w:val="24"/>
          <w:highlight w:val="none"/>
        </w:rPr>
      </w:pPr>
    </w:p>
    <w:p w14:paraId="3E462F56">
      <w:pPr>
        <w:spacing w:line="588"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单位的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kern w:val="0"/>
          <w:sz w:val="22"/>
          <w:szCs w:val="22"/>
          <w:highlight w:val="none"/>
        </w:rPr>
        <w:t>）采购活动提供本单位制造的货物，或者提供其他残疾人福利性单位制造的货物（不包括使用非残疾人福利性单位注册商标的货物）。</w:t>
      </w:r>
    </w:p>
    <w:p w14:paraId="29F26087">
      <w:pPr>
        <w:spacing w:line="588"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本单位对上述声明的真实性负责。如有虚假，将依法承担相应责任。</w:t>
      </w:r>
    </w:p>
    <w:p w14:paraId="24AB0E54">
      <w:pPr>
        <w:spacing w:line="588" w:lineRule="exact"/>
        <w:ind w:firstLine="440" w:firstLineChars="200"/>
        <w:rPr>
          <w:rFonts w:hint="eastAsia" w:ascii="宋体" w:hAnsi="宋体" w:cs="宋体"/>
          <w:color w:val="auto"/>
          <w:kern w:val="0"/>
          <w:sz w:val="22"/>
          <w:szCs w:val="22"/>
          <w:highlight w:val="none"/>
        </w:rPr>
      </w:pPr>
    </w:p>
    <w:p w14:paraId="1092DBB8">
      <w:pPr>
        <w:spacing w:line="588" w:lineRule="exact"/>
        <w:ind w:firstLine="440" w:firstLineChars="200"/>
        <w:rPr>
          <w:rFonts w:hint="eastAsia" w:ascii="宋体" w:hAnsi="宋体" w:cs="宋体"/>
          <w:color w:val="auto"/>
          <w:kern w:val="0"/>
          <w:sz w:val="22"/>
          <w:szCs w:val="22"/>
          <w:highlight w:val="none"/>
        </w:rPr>
      </w:pPr>
    </w:p>
    <w:p w14:paraId="05017BCC">
      <w:pPr>
        <w:tabs>
          <w:tab w:val="left" w:pos="4860"/>
        </w:tabs>
        <w:spacing w:line="588" w:lineRule="exact"/>
        <w:ind w:right="1560" w:firstLine="440" w:firstLineChars="2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投标人全称（电子签章）：</w:t>
      </w:r>
    </w:p>
    <w:p w14:paraId="6076526A">
      <w:pPr>
        <w:widowControl/>
        <w:adjustRightInd w:val="0"/>
        <w:snapToGrid w:val="0"/>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日  期：      年    月     日</w:t>
      </w:r>
    </w:p>
    <w:p w14:paraId="09450515">
      <w:pPr>
        <w:pStyle w:val="13"/>
        <w:rPr>
          <w:rFonts w:hint="eastAsia" w:ascii="宋体" w:hAnsi="宋体" w:cs="宋体"/>
          <w:color w:val="auto"/>
          <w:highlight w:val="none"/>
        </w:rPr>
      </w:pPr>
    </w:p>
    <w:p w14:paraId="698208DE">
      <w:pPr>
        <w:pStyle w:val="13"/>
        <w:rPr>
          <w:rFonts w:hint="eastAsia" w:ascii="宋体" w:hAnsi="宋体" w:cs="宋体"/>
          <w:color w:val="auto"/>
          <w:highlight w:val="none"/>
        </w:rPr>
      </w:pPr>
    </w:p>
    <w:p w14:paraId="02E83AC7">
      <w:pPr>
        <w:spacing w:line="588"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备注说明：</w:t>
      </w:r>
    </w:p>
    <w:p w14:paraId="3B64447F">
      <w:pPr>
        <w:spacing w:line="588"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1、如中标，将在中标公告中将此残疾人福利性单位声明函予以公示，接受社会监督；</w:t>
      </w:r>
    </w:p>
    <w:p w14:paraId="5E29C6B9">
      <w:pPr>
        <w:spacing w:line="588"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2、供应商提供的《残疾人福利性单位声明函》与事实不符的，依照《政府采购法》第七十七条第一款的规定追究法律责任。</w:t>
      </w:r>
    </w:p>
    <w:p w14:paraId="760BEAE3">
      <w:pPr>
        <w:spacing w:line="460" w:lineRule="exact"/>
        <w:jc w:val="center"/>
        <w:rPr>
          <w:rFonts w:hint="eastAsia"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七、监狱企业声明函</w:t>
      </w:r>
    </w:p>
    <w:p w14:paraId="018F4899">
      <w:pPr>
        <w:snapToGrid w:val="0"/>
        <w:spacing w:line="460" w:lineRule="exact"/>
        <w:ind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3FB1143B">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34D4D2B8">
      <w:pPr>
        <w:snapToGrid w:val="0"/>
        <w:spacing w:line="460" w:lineRule="exact"/>
        <w:ind w:firstLine="464" w:firstLineChars="200"/>
        <w:jc w:val="left"/>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06521444">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本企业为参加（采购项目名称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）（采购编号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）采购活动并承担本项目。 </w:t>
      </w:r>
    </w:p>
    <w:p w14:paraId="0410CDF7">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01D9CDD9">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1E001C6E">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19107DD1">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6B22D9B">
      <w:pPr>
        <w:adjustRightInd w:val="0"/>
        <w:snapToGrid w:val="0"/>
        <w:spacing w:line="460" w:lineRule="exact"/>
        <w:ind w:firstLine="464" w:firstLineChars="200"/>
        <w:rPr>
          <w:rFonts w:hint="eastAsia"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E07AE5">
      <w:pPr>
        <w:spacing w:line="460" w:lineRule="exact"/>
        <w:rPr>
          <w:rFonts w:hint="eastAsia" w:ascii="宋体" w:hAnsi="宋体" w:cs="宋体"/>
          <w:color w:val="auto"/>
          <w:spacing w:val="20"/>
          <w:sz w:val="22"/>
          <w:szCs w:val="22"/>
          <w:highlight w:val="none"/>
        </w:rPr>
      </w:pPr>
    </w:p>
    <w:p w14:paraId="53E5B7D8">
      <w:pPr>
        <w:pStyle w:val="37"/>
        <w:spacing w:line="460" w:lineRule="exact"/>
        <w:rPr>
          <w:rFonts w:hint="eastAsia" w:ascii="宋体" w:hAnsi="宋体" w:cs="宋体"/>
          <w:color w:val="auto"/>
          <w:sz w:val="22"/>
          <w:szCs w:val="22"/>
          <w:highlight w:val="none"/>
        </w:rPr>
      </w:pPr>
    </w:p>
    <w:p w14:paraId="35FD77D5">
      <w:pPr>
        <w:pStyle w:val="37"/>
        <w:spacing w:line="460" w:lineRule="exact"/>
        <w:rPr>
          <w:rFonts w:hint="eastAsia" w:ascii="宋体" w:hAnsi="宋体" w:cs="宋体"/>
          <w:color w:val="auto"/>
          <w:sz w:val="22"/>
          <w:szCs w:val="22"/>
          <w:highlight w:val="none"/>
        </w:rPr>
      </w:pPr>
    </w:p>
    <w:p w14:paraId="1F080084">
      <w:pPr>
        <w:pStyle w:val="37"/>
        <w:spacing w:line="460" w:lineRule="exact"/>
        <w:ind w:firstLine="0"/>
        <w:rPr>
          <w:rFonts w:hint="eastAsia" w:ascii="宋体" w:hAnsi="宋体" w:cs="宋体"/>
          <w:color w:val="auto"/>
          <w:sz w:val="22"/>
          <w:szCs w:val="22"/>
          <w:highlight w:val="none"/>
        </w:rPr>
      </w:pPr>
    </w:p>
    <w:p w14:paraId="38B2BA44">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投标人全称（电子签章）：</w:t>
      </w:r>
    </w:p>
    <w:p w14:paraId="051F5335">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投标人代表（签字或盖章）：</w:t>
      </w:r>
    </w:p>
    <w:p w14:paraId="2BB435D6">
      <w:pPr>
        <w:rPr>
          <w:rFonts w:hint="eastAsia" w:ascii="宋体" w:hAnsi="宋体" w:cs="宋体"/>
          <w:color w:val="auto"/>
          <w:sz w:val="22"/>
          <w:szCs w:val="22"/>
          <w:highlight w:val="none"/>
        </w:rPr>
      </w:pPr>
    </w:p>
    <w:p w14:paraId="03A97C50">
      <w:pPr>
        <w:widowControl/>
        <w:spacing w:line="400" w:lineRule="exact"/>
        <w:rPr>
          <w:rFonts w:hint="eastAsia" w:ascii="宋体" w:hAnsi="宋体" w:cs="宋体"/>
          <w:color w:val="auto"/>
          <w:kern w:val="0"/>
          <w:sz w:val="22"/>
          <w:szCs w:val="22"/>
          <w:highlight w:val="none"/>
        </w:rPr>
      </w:pPr>
    </w:p>
    <w:p w14:paraId="297E62A5">
      <w:pPr>
        <w:pStyle w:val="37"/>
        <w:ind w:firstLine="321"/>
        <w:rPr>
          <w:rFonts w:ascii="宋体" w:hAnsi="宋体"/>
          <w:color w:val="auto"/>
          <w:highlight w:val="none"/>
        </w:rPr>
      </w:pPr>
    </w:p>
    <w:p w14:paraId="2C4DB4F0">
      <w:pPr>
        <w:spacing w:line="460" w:lineRule="exact"/>
        <w:jc w:val="center"/>
        <w:rPr>
          <w:rFonts w:hint="eastAsia" w:ascii="宋体" w:hAnsi="宋体" w:eastAsia="宋体" w:cs="宋体"/>
          <w:b/>
          <w:color w:val="auto"/>
          <w:sz w:val="24"/>
          <w:highlight w:val="none"/>
        </w:rPr>
      </w:pPr>
      <w:r>
        <w:rPr>
          <w:rFonts w:hint="eastAsia" w:ascii="宋体" w:hAnsi="宋体" w:cs="宋体"/>
          <w:color w:val="auto"/>
          <w:sz w:val="22"/>
          <w:szCs w:val="22"/>
          <w:highlight w:val="none"/>
        </w:rPr>
        <w:br w:type="page"/>
      </w: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联合体协议书（</w:t>
      </w:r>
      <w:bookmarkStart w:id="89" w:name="_Hlk113552869"/>
      <w:r>
        <w:rPr>
          <w:rFonts w:hint="eastAsia" w:ascii="宋体" w:hAnsi="宋体" w:eastAsia="宋体" w:cs="宋体"/>
          <w:b/>
          <w:color w:val="auto"/>
          <w:sz w:val="24"/>
          <w:highlight w:val="none"/>
        </w:rPr>
        <w:t>如为联合体投标，请提供</w:t>
      </w:r>
      <w:bookmarkEnd w:id="89"/>
      <w:r>
        <w:rPr>
          <w:rFonts w:hint="eastAsia" w:ascii="宋体" w:hAnsi="宋体" w:eastAsia="宋体" w:cs="宋体"/>
          <w:b/>
          <w:color w:val="auto"/>
          <w:sz w:val="24"/>
          <w:highlight w:val="none"/>
        </w:rPr>
        <w:t>）</w:t>
      </w:r>
    </w:p>
    <w:p w14:paraId="5D2D3F90">
      <w:pPr>
        <w:snapToGrid w:val="0"/>
        <w:spacing w:line="360" w:lineRule="auto"/>
        <w:rPr>
          <w:rFonts w:hint="eastAsia" w:ascii="宋体" w:hAnsi="宋体" w:cs="宋体"/>
          <w:sz w:val="22"/>
          <w:szCs w:val="22"/>
          <w:highlight w:val="none"/>
          <w:lang w:val="zh-CN"/>
        </w:rPr>
      </w:pPr>
      <w:r>
        <w:rPr>
          <w:rFonts w:hint="eastAsia" w:ascii="宋体" w:hAnsi="宋体" w:cs="宋体"/>
          <w:sz w:val="22"/>
          <w:szCs w:val="22"/>
          <w:highlight w:val="none"/>
          <w:u w:val="single"/>
        </w:rPr>
        <w:t>（联合体所有成员名称）</w:t>
      </w:r>
      <w:r>
        <w:rPr>
          <w:rFonts w:hint="eastAsia" w:ascii="宋体" w:hAnsi="宋体" w:cs="宋体"/>
          <w:sz w:val="22"/>
          <w:szCs w:val="22"/>
          <w:highlight w:val="none"/>
        </w:rPr>
        <w:t>自愿</w:t>
      </w:r>
      <w:r>
        <w:rPr>
          <w:rFonts w:hint="eastAsia" w:ascii="宋体" w:hAnsi="宋体" w:cs="宋体"/>
          <w:sz w:val="22"/>
          <w:szCs w:val="22"/>
          <w:highlight w:val="none"/>
          <w:lang w:val="zh-CN"/>
        </w:rPr>
        <w:t>组成一个联合体，以一个投标人的身份</w:t>
      </w:r>
      <w:r>
        <w:rPr>
          <w:rFonts w:hint="eastAsia" w:ascii="宋体" w:hAnsi="宋体" w:cs="宋体"/>
          <w:sz w:val="22"/>
          <w:szCs w:val="22"/>
          <w:highlight w:val="none"/>
        </w:rPr>
        <w:t>参加</w:t>
      </w:r>
      <w:r>
        <w:rPr>
          <w:rFonts w:hint="eastAsia" w:ascii="宋体" w:hAnsi="宋体" w:cs="宋体"/>
          <w:sz w:val="22"/>
          <w:szCs w:val="22"/>
          <w:highlight w:val="none"/>
          <w:u w:val="single"/>
        </w:rPr>
        <w:t xml:space="preserve">      项目【项目编号：      】</w:t>
      </w:r>
      <w:r>
        <w:rPr>
          <w:rFonts w:hint="eastAsia" w:ascii="宋体" w:hAnsi="宋体" w:cs="宋体"/>
          <w:sz w:val="22"/>
          <w:szCs w:val="22"/>
          <w:highlight w:val="none"/>
          <w:lang w:val="zh-CN"/>
        </w:rPr>
        <w:t xml:space="preserve">投标。 </w:t>
      </w:r>
    </w:p>
    <w:p w14:paraId="497A3897">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一、各方一致决定，</w:t>
      </w:r>
      <w:r>
        <w:rPr>
          <w:rFonts w:hint="eastAsia" w:ascii="宋体" w:hAnsi="宋体" w:cs="宋体"/>
          <w:sz w:val="22"/>
          <w:szCs w:val="22"/>
          <w:highlight w:val="none"/>
          <w:u w:val="single"/>
        </w:rPr>
        <w:t>（某联合体成员名称）</w:t>
      </w:r>
      <w:r>
        <w:rPr>
          <w:rFonts w:hint="eastAsia" w:ascii="宋体" w:hAnsi="宋体" w:cs="宋体"/>
          <w:sz w:val="22"/>
          <w:szCs w:val="22"/>
          <w:highlight w:val="none"/>
        </w:rPr>
        <w:t>为联合体</w:t>
      </w:r>
      <w:r>
        <w:rPr>
          <w:rFonts w:hint="eastAsia" w:ascii="宋体" w:hAnsi="宋体" w:cs="宋体"/>
          <w:sz w:val="22"/>
          <w:szCs w:val="22"/>
          <w:highlight w:val="none"/>
          <w:lang w:val="zh-CN"/>
        </w:rPr>
        <w:t>牵头人</w:t>
      </w:r>
      <w:r>
        <w:rPr>
          <w:rFonts w:hint="eastAsia" w:ascii="宋体" w:hAnsi="宋体" w:cs="宋体"/>
          <w:sz w:val="22"/>
          <w:szCs w:val="22"/>
          <w:highlight w:val="none"/>
        </w:rPr>
        <w:t>，代表所有联合体成员负责投标和合同实施阶段的主办、协调工作</w:t>
      </w:r>
      <w:r>
        <w:rPr>
          <w:rFonts w:hint="eastAsia" w:ascii="宋体" w:hAnsi="宋体" w:cs="宋体"/>
          <w:sz w:val="22"/>
          <w:szCs w:val="22"/>
          <w:highlight w:val="none"/>
          <w:lang w:val="zh-CN"/>
        </w:rPr>
        <w:t>。</w:t>
      </w:r>
    </w:p>
    <w:p w14:paraId="6877E485">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二、</w:t>
      </w:r>
      <w:r>
        <w:rPr>
          <w:rFonts w:hint="eastAsia" w:ascii="宋体" w:hAnsi="宋体" w:cs="宋体"/>
          <w:sz w:val="22"/>
          <w:szCs w:val="22"/>
          <w:highlight w:val="none"/>
        </w:rPr>
        <w:t>所有联合体成员各方签署授权书，授权书载明的</w:t>
      </w:r>
      <w:r>
        <w:rPr>
          <w:rFonts w:hint="eastAsia" w:ascii="宋体" w:hAnsi="宋体" w:cs="宋体"/>
          <w:sz w:val="22"/>
          <w:szCs w:val="22"/>
          <w:highlight w:val="none"/>
          <w:lang w:val="zh-CN"/>
        </w:rPr>
        <w:t>授权代表根据招标文件规定及投标内容而对采购人、采购代理机构所作的任何合法承诺，包括书面澄清及相应等均对联合投标各方产生约束力。</w:t>
      </w:r>
    </w:p>
    <w:p w14:paraId="7B7DEB0E">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三、本次联合投标中，分工如下：</w:t>
      </w:r>
    </w:p>
    <w:p w14:paraId="5C97A69A">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（联合体成员1）</w:t>
      </w:r>
      <w:r>
        <w:rPr>
          <w:rFonts w:hint="eastAsia" w:ascii="宋体" w:hAnsi="宋体" w:cs="宋体"/>
          <w:sz w:val="22"/>
          <w:szCs w:val="22"/>
          <w:highlight w:val="none"/>
          <w:lang w:val="zh-CN"/>
        </w:rPr>
        <w:t>承担的工作和义务为：</w:t>
      </w:r>
      <w:r>
        <w:rPr>
          <w:rFonts w:hint="eastAsia" w:ascii="宋体" w:hAnsi="宋体" w:cs="宋体"/>
          <w:sz w:val="22"/>
          <w:szCs w:val="22"/>
          <w:highlight w:val="none"/>
          <w:u w:val="single"/>
        </w:rPr>
        <w:t xml:space="preserve">             </w:t>
      </w:r>
      <w:r>
        <w:rPr>
          <w:rFonts w:hint="eastAsia" w:ascii="宋体" w:hAnsi="宋体" w:cs="宋体"/>
          <w:sz w:val="22"/>
          <w:szCs w:val="22"/>
          <w:highlight w:val="none"/>
          <w:lang w:val="zh-CN"/>
        </w:rPr>
        <w:t>；</w:t>
      </w:r>
    </w:p>
    <w:p w14:paraId="423653C9">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（联合体成员2）</w:t>
      </w:r>
      <w:r>
        <w:rPr>
          <w:rFonts w:hint="eastAsia" w:ascii="宋体" w:hAnsi="宋体" w:cs="宋体"/>
          <w:sz w:val="22"/>
          <w:szCs w:val="22"/>
          <w:highlight w:val="none"/>
          <w:lang w:val="zh-CN"/>
        </w:rPr>
        <w:t>承担的工作和义务为：</w:t>
      </w:r>
      <w:r>
        <w:rPr>
          <w:rFonts w:hint="eastAsia" w:ascii="宋体" w:hAnsi="宋体" w:cs="宋体"/>
          <w:sz w:val="22"/>
          <w:szCs w:val="22"/>
          <w:highlight w:val="none"/>
          <w:u w:val="single"/>
        </w:rPr>
        <w:t xml:space="preserve">             </w:t>
      </w:r>
      <w:r>
        <w:rPr>
          <w:rFonts w:hint="eastAsia" w:ascii="宋体" w:hAnsi="宋体" w:cs="宋体"/>
          <w:sz w:val="22"/>
          <w:szCs w:val="22"/>
          <w:highlight w:val="none"/>
          <w:lang w:val="zh-CN"/>
        </w:rPr>
        <w:t>；</w:t>
      </w:r>
    </w:p>
    <w:p w14:paraId="293ADE30">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w:t>
      </w:r>
    </w:p>
    <w:p w14:paraId="35C05C4D">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四、联合体成员中小企业合同份额。</w:t>
      </w:r>
    </w:p>
    <w:p w14:paraId="4A12ACD2">
      <w:pPr>
        <w:snapToGrid w:val="0"/>
        <w:spacing w:line="360" w:lineRule="auto"/>
        <w:ind w:firstLine="576"/>
        <w:rPr>
          <w:rFonts w:hint="eastAsia" w:ascii="宋体" w:hAnsi="宋体" w:cs="宋体"/>
          <w:b/>
          <w:sz w:val="22"/>
          <w:szCs w:val="22"/>
          <w:highlight w:val="none"/>
          <w:lang w:val="zh-CN"/>
        </w:rPr>
      </w:pPr>
      <w:r>
        <w:rPr>
          <w:rFonts w:hint="eastAsia" w:ascii="宋体" w:hAnsi="宋体" w:cs="宋体"/>
          <w:sz w:val="22"/>
          <w:szCs w:val="22"/>
          <w:highlight w:val="none"/>
          <w:lang w:val="zh-CN"/>
        </w:rPr>
        <w:t>1、</w:t>
      </w:r>
      <w:r>
        <w:rPr>
          <w:rFonts w:hint="eastAsia" w:ascii="宋体" w:hAnsi="宋体" w:cs="宋体"/>
          <w:sz w:val="22"/>
          <w:szCs w:val="22"/>
          <w:highlight w:val="none"/>
          <w:u w:val="single"/>
        </w:rPr>
        <w:t>（</w:t>
      </w:r>
      <w:bookmarkStart w:id="90" w:name="_Hlk101131882"/>
      <w:r>
        <w:rPr>
          <w:rFonts w:hint="eastAsia" w:ascii="宋体" w:hAnsi="宋体" w:cs="宋体"/>
          <w:sz w:val="22"/>
          <w:szCs w:val="22"/>
          <w:highlight w:val="none"/>
          <w:u w:val="single"/>
        </w:rPr>
        <w:t>联合体成员X,……</w:t>
      </w:r>
      <w:bookmarkEnd w:id="90"/>
      <w:r>
        <w:rPr>
          <w:rFonts w:hint="eastAsia" w:ascii="宋体" w:hAnsi="宋体" w:cs="宋体"/>
          <w:sz w:val="22"/>
          <w:szCs w:val="22"/>
          <w:highlight w:val="none"/>
          <w:u w:val="single"/>
        </w:rPr>
        <w:t>）</w:t>
      </w:r>
      <w:r>
        <w:rPr>
          <w:rFonts w:hint="eastAsia" w:ascii="宋体" w:hAnsi="宋体" w:cs="宋体"/>
          <w:sz w:val="22"/>
          <w:szCs w:val="22"/>
          <w:highlight w:val="none"/>
        </w:rPr>
        <w:t>提供的服务由小微企业承接，其合同份额占到合同总金额</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%以上</w:t>
      </w:r>
      <w:r>
        <w:rPr>
          <w:rFonts w:hint="eastAsia" w:ascii="宋体" w:hAnsi="宋体" w:cs="宋体"/>
          <w:sz w:val="22"/>
          <w:szCs w:val="22"/>
          <w:highlight w:val="none"/>
          <w:lang w:val="zh-CN"/>
        </w:rPr>
        <w:t>。</w:t>
      </w:r>
      <w:r>
        <w:rPr>
          <w:rFonts w:hint="eastAsia" w:ascii="宋体" w:hAnsi="宋体" w:cs="宋体"/>
          <w:b/>
          <w:sz w:val="22"/>
          <w:szCs w:val="22"/>
          <w:highlight w:val="none"/>
          <w:lang w:val="zh-CN"/>
        </w:rPr>
        <w:t>（</w:t>
      </w:r>
      <w:bookmarkStart w:id="91" w:name="_Hlk101133598"/>
      <w:r>
        <w:rPr>
          <w:rFonts w:hint="eastAsia" w:ascii="宋体" w:hAnsi="宋体" w:cs="宋体"/>
          <w:b/>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2"/>
          <w:szCs w:val="22"/>
          <w:highlight w:val="none"/>
        </w:rPr>
        <w:t>拟享受以上价格扣除政策的，填写有关内容。</w:t>
      </w:r>
      <w:bookmarkEnd w:id="91"/>
      <w:r>
        <w:rPr>
          <w:rFonts w:hint="eastAsia" w:ascii="宋体" w:hAnsi="宋体" w:cs="宋体"/>
          <w:b/>
          <w:sz w:val="22"/>
          <w:szCs w:val="22"/>
          <w:highlight w:val="none"/>
          <w:lang w:val="zh-CN"/>
        </w:rPr>
        <w:t>）</w:t>
      </w:r>
    </w:p>
    <w:p w14:paraId="49455A3E">
      <w:pPr>
        <w:spacing w:line="360" w:lineRule="auto"/>
        <w:ind w:firstLine="440" w:firstLineChars="200"/>
        <w:rPr>
          <w:rFonts w:hint="eastAsia" w:ascii="宋体" w:hAnsi="宋体" w:cs="宋体"/>
          <w:b/>
          <w:bCs/>
          <w:sz w:val="22"/>
          <w:szCs w:val="22"/>
          <w:highlight w:val="none"/>
          <w:lang w:val="zh-CN"/>
        </w:rPr>
      </w:pPr>
      <w:r>
        <w:rPr>
          <w:rFonts w:hint="eastAsia" w:ascii="宋体" w:hAnsi="宋体" w:cs="宋体"/>
          <w:sz w:val="22"/>
          <w:szCs w:val="22"/>
          <w:highlight w:val="none"/>
        </w:rPr>
        <w:t>2、</w:t>
      </w:r>
      <w:bookmarkStart w:id="92" w:name="_Hlk101133173"/>
      <w:r>
        <w:rPr>
          <w:rFonts w:hint="eastAsia" w:ascii="宋体" w:hAnsi="宋体" w:cs="宋体"/>
          <w:sz w:val="22"/>
          <w:szCs w:val="22"/>
          <w:highlight w:val="none"/>
        </w:rPr>
        <w:t>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sz w:val="22"/>
          <w:szCs w:val="22"/>
          <w:highlight w:val="none"/>
          <w:lang w:val="zh-CN"/>
        </w:rPr>
        <w:t>）</w:t>
      </w:r>
      <w:bookmarkEnd w:id="92"/>
    </w:p>
    <w:p w14:paraId="02140EBF">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五、如果中标，</w:t>
      </w:r>
      <w:r>
        <w:rPr>
          <w:rFonts w:hint="eastAsia" w:ascii="宋体" w:hAnsi="宋体" w:cs="宋体"/>
          <w:sz w:val="22"/>
          <w:szCs w:val="22"/>
          <w:highlight w:val="none"/>
        </w:rPr>
        <w:t>联合体各成员方共同与采购人签订合同，并就采购合同约定的事项对采购人承担连带责任。</w:t>
      </w:r>
    </w:p>
    <w:p w14:paraId="376EF3D4">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六、有关本次联合投标的其他事宜：</w:t>
      </w:r>
    </w:p>
    <w:p w14:paraId="4A454373">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1、联合体各方不再单独参加或者与其他供应商另外组成联合体参加同一合同项下的政府采购活动。</w:t>
      </w:r>
    </w:p>
    <w:p w14:paraId="5E29AA4A">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2、联合体中有同类资质的各方按照联合体分工承担相同工作的，按照资质等级较低的供应商确定资质等级。</w:t>
      </w:r>
    </w:p>
    <w:p w14:paraId="28DAECFB">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3、本协议提交采购人、采购代理机构后，联合体各方不得以任何形式对上述内容进行修改或撤销。</w:t>
      </w:r>
    </w:p>
    <w:p w14:paraId="421A150E">
      <w:pPr>
        <w:snapToGrid w:val="0"/>
        <w:spacing w:line="360" w:lineRule="auto"/>
        <w:ind w:firstLine="4620" w:firstLineChars="2100"/>
        <w:rPr>
          <w:rFonts w:hint="eastAsia" w:ascii="宋体" w:hAnsi="宋体" w:cs="宋体"/>
          <w:sz w:val="22"/>
          <w:szCs w:val="22"/>
          <w:highlight w:val="none"/>
          <w:lang w:val="zh-CN"/>
        </w:rPr>
      </w:pPr>
      <w:r>
        <w:rPr>
          <w:rFonts w:hint="eastAsia" w:ascii="宋体" w:hAnsi="宋体" w:cs="宋体"/>
          <w:sz w:val="22"/>
          <w:szCs w:val="22"/>
          <w:highlight w:val="none"/>
          <w:lang w:val="zh-CN"/>
        </w:rPr>
        <w:t>联合体成员名称(电子签名/公章)：</w:t>
      </w:r>
    </w:p>
    <w:p w14:paraId="2983348B">
      <w:pPr>
        <w:snapToGrid w:val="0"/>
        <w:spacing w:line="360" w:lineRule="auto"/>
        <w:ind w:firstLine="4620" w:firstLineChars="2100"/>
        <w:rPr>
          <w:rFonts w:hint="eastAsia" w:ascii="宋体" w:hAnsi="宋体" w:cs="宋体"/>
          <w:sz w:val="22"/>
          <w:szCs w:val="22"/>
          <w:highlight w:val="none"/>
          <w:lang w:val="zh-CN"/>
        </w:rPr>
      </w:pPr>
      <w:r>
        <w:rPr>
          <w:rFonts w:hint="eastAsia" w:ascii="宋体" w:hAnsi="宋体" w:cs="宋体"/>
          <w:sz w:val="22"/>
          <w:szCs w:val="22"/>
          <w:highlight w:val="none"/>
          <w:lang w:val="zh-CN"/>
        </w:rPr>
        <w:t>联合体成员名称(电子签名/公章)：</w:t>
      </w:r>
    </w:p>
    <w:p w14:paraId="20F0C8D1">
      <w:pPr>
        <w:snapToGrid w:val="0"/>
        <w:spacing w:line="360" w:lineRule="auto"/>
        <w:ind w:right="960"/>
        <w:jc w:val="center"/>
        <w:rPr>
          <w:rFonts w:hint="eastAsia" w:hAnsi="宋体"/>
          <w:sz w:val="24"/>
          <w:highlight w:val="none"/>
        </w:rPr>
      </w:pPr>
      <w:r>
        <w:rPr>
          <w:rFonts w:hint="eastAsia" w:ascii="宋体" w:hAnsi="宋体" w:cs="宋体"/>
          <w:sz w:val="22"/>
          <w:szCs w:val="22"/>
          <w:highlight w:val="none"/>
          <w:lang w:val="zh-CN"/>
        </w:rPr>
        <w:t xml:space="preserve">                 </w:t>
      </w:r>
      <w:r>
        <w:rPr>
          <w:rFonts w:hint="eastAsia" w:ascii="宋体" w:hAnsi="宋体" w:cs="宋体"/>
          <w:sz w:val="22"/>
          <w:szCs w:val="22"/>
          <w:highlight w:val="none"/>
        </w:rPr>
        <w:t xml:space="preserve">       </w:t>
      </w:r>
      <w:r>
        <w:rPr>
          <w:rFonts w:hint="eastAsia" w:ascii="宋体" w:hAnsi="宋体" w:cs="宋体"/>
          <w:sz w:val="22"/>
          <w:szCs w:val="22"/>
          <w:highlight w:val="none"/>
          <w:lang w:val="zh-CN"/>
        </w:rPr>
        <w:t>日期：  年  月   日</w:t>
      </w:r>
      <w:r>
        <w:rPr>
          <w:rFonts w:hint="eastAsia"/>
          <w:sz w:val="22"/>
          <w:szCs w:val="22"/>
          <w:highlight w:val="none"/>
        </w:rPr>
        <w:br w:type="page"/>
      </w:r>
    </w:p>
    <w:p w14:paraId="4F18123D">
      <w:pPr>
        <w:spacing w:line="4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分包意向协议（如有分包，请根据格式提供）</w:t>
      </w:r>
    </w:p>
    <w:p w14:paraId="32F64A71">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（投标人名称）</w:t>
      </w:r>
      <w:r>
        <w:rPr>
          <w:rFonts w:hint="eastAsia" w:ascii="宋体" w:hAnsi="宋体" w:cs="宋体"/>
          <w:sz w:val="22"/>
          <w:szCs w:val="22"/>
          <w:highlight w:val="none"/>
          <w:lang w:val="zh-CN"/>
        </w:rPr>
        <w:t>若成为</w:t>
      </w:r>
      <w:r>
        <w:rPr>
          <w:rFonts w:hint="eastAsia" w:ascii="宋体" w:hAnsi="宋体" w:cs="宋体"/>
          <w:sz w:val="22"/>
          <w:szCs w:val="22"/>
          <w:highlight w:val="none"/>
          <w:u w:val="single"/>
        </w:rPr>
        <w:t xml:space="preserve">      项目【项目编号：      】</w:t>
      </w:r>
      <w:r>
        <w:rPr>
          <w:rFonts w:hint="eastAsia" w:ascii="宋体" w:hAnsi="宋体" w:cs="宋体"/>
          <w:sz w:val="22"/>
          <w:szCs w:val="22"/>
          <w:highlight w:val="none"/>
          <w:lang w:val="zh-CN"/>
        </w:rPr>
        <w:t>的</w:t>
      </w:r>
      <w:r>
        <w:rPr>
          <w:rFonts w:hint="eastAsia" w:ascii="宋体" w:hAnsi="宋体" w:cs="宋体"/>
          <w:sz w:val="22"/>
          <w:szCs w:val="22"/>
          <w:highlight w:val="none"/>
        </w:rPr>
        <w:t>中标人</w:t>
      </w:r>
      <w:r>
        <w:rPr>
          <w:rFonts w:hint="eastAsia" w:ascii="宋体" w:hAnsi="宋体" w:cs="宋体"/>
          <w:sz w:val="22"/>
          <w:szCs w:val="22"/>
          <w:highlight w:val="none"/>
          <w:lang w:val="zh-CN"/>
        </w:rPr>
        <w:t>，将依法采取分包方式履行合同。</w:t>
      </w:r>
      <w:r>
        <w:rPr>
          <w:rFonts w:hint="eastAsia" w:ascii="宋体" w:hAnsi="宋体" w:cs="宋体"/>
          <w:sz w:val="22"/>
          <w:szCs w:val="22"/>
          <w:highlight w:val="none"/>
          <w:u w:val="single"/>
        </w:rPr>
        <w:t>（投标人名称）</w:t>
      </w:r>
      <w:r>
        <w:rPr>
          <w:rFonts w:hint="eastAsia" w:ascii="宋体" w:hAnsi="宋体" w:cs="宋体"/>
          <w:sz w:val="22"/>
          <w:szCs w:val="22"/>
          <w:highlight w:val="none"/>
        </w:rPr>
        <w:t>与</w:t>
      </w:r>
      <w:r>
        <w:rPr>
          <w:rFonts w:hint="eastAsia" w:ascii="宋体" w:hAnsi="宋体" w:cs="宋体"/>
          <w:sz w:val="22"/>
          <w:szCs w:val="22"/>
          <w:highlight w:val="none"/>
          <w:u w:val="single"/>
        </w:rPr>
        <w:t>（所有分包供应商名称）</w:t>
      </w:r>
      <w:r>
        <w:rPr>
          <w:rFonts w:hint="eastAsia" w:ascii="宋体" w:hAnsi="宋体" w:cs="宋体"/>
          <w:sz w:val="22"/>
          <w:szCs w:val="22"/>
          <w:highlight w:val="none"/>
        </w:rPr>
        <w:t>达成分包意向协议</w:t>
      </w:r>
      <w:r>
        <w:rPr>
          <w:rFonts w:hint="eastAsia" w:ascii="宋体" w:hAnsi="宋体" w:cs="宋体"/>
          <w:sz w:val="22"/>
          <w:szCs w:val="22"/>
          <w:highlight w:val="none"/>
          <w:lang w:val="zh-CN"/>
        </w:rPr>
        <w:t xml:space="preserve">。 </w:t>
      </w:r>
    </w:p>
    <w:p w14:paraId="27F28C89">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一、分包标的及数量</w:t>
      </w:r>
    </w:p>
    <w:p w14:paraId="73009BDC">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（投标人名称）</w:t>
      </w:r>
      <w:r>
        <w:rPr>
          <w:rFonts w:hint="eastAsia" w:ascii="宋体" w:hAnsi="宋体" w:cs="宋体"/>
          <w:sz w:val="22"/>
          <w:szCs w:val="22"/>
          <w:highlight w:val="none"/>
          <w:lang w:val="zh-CN"/>
        </w:rPr>
        <w:t>将</w:t>
      </w:r>
      <w:r>
        <w:rPr>
          <w:rFonts w:hint="eastAsia" w:ascii="宋体" w:hAnsi="宋体" w:cs="宋体"/>
          <w:sz w:val="22"/>
          <w:szCs w:val="22"/>
          <w:highlight w:val="none"/>
          <w:u w:val="single"/>
        </w:rPr>
        <w:t xml:space="preserve">   XX工作内容   </w:t>
      </w:r>
      <w:r>
        <w:rPr>
          <w:rFonts w:hint="eastAsia" w:ascii="宋体" w:hAnsi="宋体" w:cs="宋体"/>
          <w:sz w:val="22"/>
          <w:szCs w:val="22"/>
          <w:highlight w:val="none"/>
        </w:rPr>
        <w:t>分包给</w:t>
      </w:r>
      <w:r>
        <w:rPr>
          <w:rFonts w:hint="eastAsia" w:ascii="宋体" w:hAnsi="宋体" w:cs="宋体"/>
          <w:sz w:val="22"/>
          <w:szCs w:val="22"/>
          <w:highlight w:val="none"/>
          <w:u w:val="single"/>
        </w:rPr>
        <w:t>（分包供应商1名称）</w:t>
      </w:r>
      <w:r>
        <w:rPr>
          <w:rFonts w:hint="eastAsia" w:ascii="宋体" w:hAnsi="宋体" w:cs="宋体"/>
          <w:sz w:val="22"/>
          <w:szCs w:val="22"/>
          <w:highlight w:val="none"/>
          <w:lang w:val="zh-CN"/>
        </w:rPr>
        <w:t>，</w:t>
      </w:r>
      <w:r>
        <w:rPr>
          <w:rFonts w:hint="eastAsia" w:ascii="宋体" w:hAnsi="宋体" w:cs="宋体"/>
          <w:sz w:val="22"/>
          <w:szCs w:val="22"/>
          <w:highlight w:val="none"/>
          <w:u w:val="single"/>
        </w:rPr>
        <w:t>（分包供应商2名称），</w:t>
      </w:r>
      <w:r>
        <w:rPr>
          <w:rFonts w:hint="eastAsia" w:ascii="宋体" w:hAnsi="宋体" w:cs="宋体"/>
          <w:sz w:val="22"/>
          <w:szCs w:val="22"/>
          <w:highlight w:val="none"/>
          <w:lang w:val="zh-CN"/>
        </w:rPr>
        <w:t>具备承</w:t>
      </w:r>
      <w:r>
        <w:rPr>
          <w:rFonts w:hint="eastAsia" w:ascii="宋体" w:hAnsi="宋体" w:cs="宋体"/>
          <w:sz w:val="22"/>
          <w:szCs w:val="22"/>
          <w:highlight w:val="none"/>
        </w:rPr>
        <w:t>担</w:t>
      </w:r>
      <w:r>
        <w:rPr>
          <w:rFonts w:hint="eastAsia" w:ascii="宋体" w:hAnsi="宋体" w:cs="宋体"/>
          <w:sz w:val="22"/>
          <w:szCs w:val="22"/>
          <w:highlight w:val="none"/>
          <w:u w:val="single"/>
          <w:lang w:val="zh-CN"/>
        </w:rPr>
        <w:t>XX工作内容</w:t>
      </w:r>
      <w:r>
        <w:rPr>
          <w:rFonts w:hint="eastAsia" w:ascii="宋体" w:hAnsi="宋体" w:cs="宋体"/>
          <w:sz w:val="22"/>
          <w:szCs w:val="22"/>
          <w:highlight w:val="none"/>
          <w:lang w:val="zh-CN"/>
        </w:rPr>
        <w:t>相应资质条件且不得再次分包；</w:t>
      </w:r>
    </w:p>
    <w:p w14:paraId="53BD1349">
      <w:pPr>
        <w:rPr>
          <w:rFonts w:hint="eastAsia" w:ascii="宋体" w:hAnsi="宋体" w:cs="宋体"/>
          <w:sz w:val="22"/>
          <w:szCs w:val="22"/>
          <w:highlight w:val="none"/>
        </w:rPr>
      </w:pPr>
      <w:r>
        <w:rPr>
          <w:rFonts w:hint="eastAsia" w:ascii="宋体" w:hAnsi="宋体" w:cs="宋体"/>
          <w:sz w:val="22"/>
          <w:szCs w:val="22"/>
          <w:highlight w:val="none"/>
        </w:rPr>
        <w:t>……</w:t>
      </w:r>
    </w:p>
    <w:p w14:paraId="10CF9FF6">
      <w:pPr>
        <w:rPr>
          <w:rFonts w:hint="eastAsia" w:ascii="宋体" w:hAnsi="宋体" w:cs="宋体"/>
          <w:sz w:val="22"/>
          <w:szCs w:val="22"/>
          <w:highlight w:val="none"/>
        </w:rPr>
      </w:pPr>
      <w:r>
        <w:rPr>
          <w:rFonts w:hint="eastAsia" w:ascii="宋体" w:hAnsi="宋体" w:cs="宋体"/>
          <w:sz w:val="22"/>
          <w:szCs w:val="22"/>
          <w:highlight w:val="none"/>
          <w:lang w:val="zh-CN"/>
        </w:rPr>
        <w:t xml:space="preserve"> </w:t>
      </w:r>
    </w:p>
    <w:p w14:paraId="2C1DEE06">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二、分包供应商中小企业合同份额</w:t>
      </w:r>
    </w:p>
    <w:p w14:paraId="1C4AA77C">
      <w:pPr>
        <w:snapToGrid w:val="0"/>
        <w:spacing w:line="360" w:lineRule="auto"/>
        <w:ind w:firstLine="576"/>
        <w:rPr>
          <w:rFonts w:hint="eastAsia" w:ascii="宋体" w:hAnsi="宋体" w:cs="宋体"/>
          <w:b/>
          <w:sz w:val="22"/>
          <w:szCs w:val="22"/>
          <w:highlight w:val="none"/>
          <w:lang w:val="zh-CN"/>
        </w:rPr>
      </w:pPr>
      <w:r>
        <w:rPr>
          <w:rFonts w:hint="eastAsia" w:ascii="宋体" w:hAnsi="宋体" w:cs="宋体"/>
          <w:sz w:val="22"/>
          <w:szCs w:val="22"/>
          <w:highlight w:val="none"/>
        </w:rPr>
        <w:t>1、</w:t>
      </w:r>
      <w:r>
        <w:rPr>
          <w:rFonts w:hint="eastAsia" w:ascii="宋体" w:hAnsi="宋体" w:cs="宋体"/>
          <w:sz w:val="22"/>
          <w:szCs w:val="22"/>
          <w:highlight w:val="none"/>
          <w:u w:val="single"/>
        </w:rPr>
        <w:t>（分包供应商X,……）提供的服务全部由小微企业承接，</w:t>
      </w:r>
      <w:r>
        <w:rPr>
          <w:rFonts w:hint="eastAsia" w:ascii="宋体" w:hAnsi="宋体" w:cs="宋体"/>
          <w:sz w:val="22"/>
          <w:szCs w:val="22"/>
          <w:highlight w:val="none"/>
        </w:rPr>
        <w:t>其合同份额占到合同总金额</w:t>
      </w:r>
      <w:r>
        <w:rPr>
          <w:rFonts w:hint="eastAsia" w:ascii="宋体" w:hAnsi="宋体" w:cs="宋体"/>
          <w:sz w:val="22"/>
          <w:szCs w:val="22"/>
          <w:highlight w:val="none"/>
          <w:u w:val="single"/>
        </w:rPr>
        <w:t xml:space="preserve">     </w:t>
      </w:r>
      <w:r>
        <w:rPr>
          <w:rFonts w:hint="eastAsia" w:ascii="宋体" w:hAnsi="宋体" w:cs="宋体"/>
          <w:sz w:val="22"/>
          <w:szCs w:val="22"/>
          <w:highlight w:val="none"/>
        </w:rPr>
        <w:t>%以上。</w:t>
      </w:r>
      <w:r>
        <w:rPr>
          <w:rFonts w:hint="eastAsia" w:ascii="宋体" w:hAnsi="宋体" w:cs="宋体"/>
          <w:b/>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2"/>
          <w:szCs w:val="22"/>
          <w:highlight w:val="none"/>
        </w:rPr>
        <w:t>拟享受以上价格扣除政策的，填写有关内容。</w:t>
      </w:r>
      <w:r>
        <w:rPr>
          <w:rFonts w:hint="eastAsia" w:ascii="宋体" w:hAnsi="宋体" w:cs="宋体"/>
          <w:b/>
          <w:sz w:val="22"/>
          <w:szCs w:val="22"/>
          <w:highlight w:val="none"/>
          <w:lang w:val="zh-CN"/>
        </w:rPr>
        <w:t>）</w:t>
      </w:r>
    </w:p>
    <w:p w14:paraId="26F37C51">
      <w:pPr>
        <w:spacing w:line="360" w:lineRule="auto"/>
        <w:ind w:firstLine="440" w:firstLineChars="200"/>
        <w:rPr>
          <w:rFonts w:hint="eastAsia" w:ascii="宋体" w:hAnsi="宋体" w:cs="宋体"/>
          <w:b/>
          <w:bCs/>
          <w:sz w:val="22"/>
          <w:szCs w:val="22"/>
          <w:highlight w:val="none"/>
          <w:lang w:val="zh-CN"/>
        </w:rPr>
      </w:pPr>
      <w:r>
        <w:rPr>
          <w:rFonts w:hint="eastAsia" w:ascii="宋体" w:hAnsi="宋体" w:cs="宋体"/>
          <w:sz w:val="22"/>
          <w:szCs w:val="22"/>
          <w:highlight w:val="none"/>
        </w:rPr>
        <w:t>2、中小企业合同金额达到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rPr>
        <w:t>要求合同分包形式参加的项目或采购包，供应商按招标文件第一部分招标公告申请人的资格要求中规定的</w:t>
      </w:r>
      <w:r>
        <w:rPr>
          <w:rFonts w:hint="eastAsia" w:ascii="宋体" w:hAnsi="宋体" w:cs="宋体"/>
          <w:b/>
          <w:sz w:val="22"/>
          <w:szCs w:val="22"/>
          <w:highlight w:val="none"/>
          <w:lang w:val="zh-CN"/>
        </w:rPr>
        <w:t>分包意向协议</w:t>
      </w:r>
      <w:r>
        <w:rPr>
          <w:rFonts w:hint="eastAsia" w:ascii="宋体" w:hAnsi="宋体" w:cs="宋体"/>
          <w:b/>
          <w:bCs/>
          <w:sz w:val="22"/>
          <w:szCs w:val="22"/>
          <w:highlight w:val="none"/>
        </w:rPr>
        <w:t>中中小企业、小微企业合同金额应当达到的比例要求填写。</w:t>
      </w:r>
      <w:r>
        <w:rPr>
          <w:rFonts w:hint="eastAsia" w:ascii="宋体" w:hAnsi="宋体" w:cs="宋体"/>
          <w:b/>
          <w:bCs/>
          <w:sz w:val="22"/>
          <w:szCs w:val="22"/>
          <w:highlight w:val="none"/>
          <w:lang w:val="zh-CN"/>
        </w:rPr>
        <w:t>）</w:t>
      </w:r>
    </w:p>
    <w:p w14:paraId="42764294">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三、分包工作履行期限、地点、方式</w:t>
      </w:r>
    </w:p>
    <w:p w14:paraId="24572A6B">
      <w:pPr>
        <w:snapToGrid w:val="0"/>
        <w:spacing w:line="360" w:lineRule="auto"/>
        <w:ind w:firstLine="576"/>
        <w:rPr>
          <w:rFonts w:hint="eastAsia" w:ascii="宋体" w:hAnsi="宋体" w:cs="宋体"/>
          <w:sz w:val="22"/>
          <w:szCs w:val="22"/>
          <w:highlight w:val="none"/>
          <w:u w:val="single"/>
        </w:rPr>
      </w:pPr>
      <w:r>
        <w:rPr>
          <w:rFonts w:hint="eastAsia" w:ascii="宋体" w:hAnsi="宋体" w:cs="宋体"/>
          <w:sz w:val="22"/>
          <w:szCs w:val="22"/>
          <w:highlight w:val="none"/>
          <w:u w:val="single"/>
        </w:rPr>
        <w:t xml:space="preserve">                                                                                  </w:t>
      </w:r>
    </w:p>
    <w:p w14:paraId="6FA0F395">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四、质量</w:t>
      </w:r>
    </w:p>
    <w:p w14:paraId="5E252567">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1547E00D">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五、价款或者报酬</w:t>
      </w:r>
    </w:p>
    <w:p w14:paraId="13CC70FB">
      <w:pPr>
        <w:snapToGrid w:val="0"/>
        <w:spacing w:line="360" w:lineRule="auto"/>
        <w:ind w:left="573" w:leftChars="273"/>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05F0824A">
      <w:pPr>
        <w:snapToGrid w:val="0"/>
        <w:spacing w:line="360" w:lineRule="auto"/>
        <w:ind w:left="573" w:leftChars="273"/>
        <w:rPr>
          <w:rFonts w:hint="eastAsia" w:ascii="宋体" w:hAnsi="宋体" w:cs="宋体"/>
          <w:sz w:val="22"/>
          <w:szCs w:val="22"/>
          <w:highlight w:val="none"/>
          <w:lang w:val="zh-CN"/>
        </w:rPr>
      </w:pPr>
      <w:r>
        <w:rPr>
          <w:rFonts w:hint="eastAsia" w:ascii="宋体" w:hAnsi="宋体" w:cs="宋体"/>
          <w:sz w:val="22"/>
          <w:szCs w:val="22"/>
          <w:highlight w:val="none"/>
          <w:lang w:val="zh-CN"/>
        </w:rPr>
        <w:t>六、违约责任</w:t>
      </w:r>
    </w:p>
    <w:p w14:paraId="28C9D89C">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7260C073">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七、争议解决的办法</w:t>
      </w:r>
    </w:p>
    <w:p w14:paraId="354CED52">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u w:val="single"/>
        </w:rPr>
        <w:t xml:space="preserve">                                                                                  </w:t>
      </w:r>
    </w:p>
    <w:p w14:paraId="1C2B79AD">
      <w:pPr>
        <w:snapToGrid w:val="0"/>
        <w:spacing w:line="360" w:lineRule="auto"/>
        <w:ind w:firstLine="576"/>
        <w:rPr>
          <w:rFonts w:hint="eastAsia" w:ascii="宋体" w:hAnsi="宋体" w:cs="宋体"/>
          <w:sz w:val="22"/>
          <w:szCs w:val="22"/>
          <w:highlight w:val="none"/>
          <w:lang w:val="zh-CN"/>
        </w:rPr>
      </w:pPr>
      <w:r>
        <w:rPr>
          <w:rFonts w:hint="eastAsia" w:ascii="宋体" w:hAnsi="宋体" w:cs="宋体"/>
          <w:sz w:val="22"/>
          <w:szCs w:val="22"/>
          <w:highlight w:val="none"/>
          <w:lang w:val="zh-CN"/>
        </w:rPr>
        <w:t>八、其他</w:t>
      </w:r>
    </w:p>
    <w:p w14:paraId="5D000116">
      <w:pPr>
        <w:snapToGrid w:val="0"/>
        <w:spacing w:line="360" w:lineRule="auto"/>
        <w:ind w:left="5338" w:leftChars="342" w:hanging="4620" w:hangingChars="2100"/>
        <w:rPr>
          <w:rFonts w:hint="eastAsia" w:ascii="宋体" w:hAnsi="宋体" w:cs="宋体"/>
          <w:sz w:val="22"/>
          <w:szCs w:val="22"/>
          <w:highlight w:val="none"/>
          <w:lang w:val="zh-CN"/>
        </w:rPr>
      </w:pPr>
      <w:r>
        <w:rPr>
          <w:rFonts w:hint="eastAsia" w:ascii="宋体" w:hAnsi="宋体" w:cs="宋体"/>
          <w:sz w:val="22"/>
          <w:szCs w:val="22"/>
          <w:highlight w:val="none"/>
        </w:rPr>
        <w:t>中小企业合同金额达到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%，小微企业合同金额达到</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lang w:val="zh-CN"/>
        </w:rPr>
        <w:t xml:space="preserve">。 </w:t>
      </w:r>
    </w:p>
    <w:p w14:paraId="69E094C8">
      <w:pPr>
        <w:snapToGrid w:val="0"/>
        <w:spacing w:line="360" w:lineRule="auto"/>
        <w:ind w:left="5338" w:leftChars="342" w:hanging="4620" w:hangingChars="2100"/>
        <w:rPr>
          <w:rFonts w:hint="eastAsia" w:ascii="宋体" w:hAnsi="宋体" w:cs="宋体"/>
          <w:sz w:val="22"/>
          <w:szCs w:val="22"/>
          <w:highlight w:val="none"/>
          <w:lang w:val="zh-CN"/>
        </w:rPr>
      </w:pPr>
      <w:r>
        <w:rPr>
          <w:rFonts w:hint="eastAsia" w:ascii="宋体" w:hAnsi="宋体" w:cs="宋体"/>
          <w:sz w:val="22"/>
          <w:szCs w:val="22"/>
          <w:highlight w:val="none"/>
          <w:lang w:val="zh-CN"/>
        </w:rPr>
        <w:t xml:space="preserve">                                          投标人名称(电子签名)：</w:t>
      </w:r>
    </w:p>
    <w:p w14:paraId="17F22D59">
      <w:pPr>
        <w:snapToGrid w:val="0"/>
        <w:spacing w:line="360" w:lineRule="auto"/>
        <w:jc w:val="center"/>
        <w:rPr>
          <w:rFonts w:hint="eastAsia" w:ascii="宋体" w:hAnsi="宋体" w:cs="宋体"/>
          <w:sz w:val="22"/>
          <w:szCs w:val="22"/>
          <w:highlight w:val="none"/>
          <w:lang w:val="zh-CN"/>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分包供应商名称(电子签名/公章)：</w:t>
      </w:r>
    </w:p>
    <w:p w14:paraId="723E5FFF">
      <w:pPr>
        <w:snapToGrid w:val="0"/>
        <w:spacing w:line="360" w:lineRule="auto"/>
        <w:ind w:left="5338" w:leftChars="342" w:hanging="4620" w:hangingChars="2100"/>
        <w:rPr>
          <w:rFonts w:hint="eastAsia" w:ascii="宋体" w:hAnsi="宋体" w:cs="宋体"/>
          <w:sz w:val="22"/>
          <w:szCs w:val="22"/>
          <w:highlight w:val="none"/>
          <w:lang w:val="zh-CN"/>
        </w:rPr>
      </w:pPr>
      <w:r>
        <w:rPr>
          <w:rFonts w:hint="eastAsia" w:ascii="宋体" w:hAnsi="宋体" w:cs="宋体"/>
          <w:sz w:val="22"/>
          <w:szCs w:val="22"/>
          <w:highlight w:val="none"/>
          <w:lang w:val="zh-CN"/>
        </w:rPr>
        <w:t xml:space="preserve">                                        </w:t>
      </w:r>
      <w:r>
        <w:rPr>
          <w:rFonts w:hint="eastAsia" w:ascii="宋体" w:hAnsi="宋体" w:cs="宋体"/>
          <w:sz w:val="22"/>
          <w:szCs w:val="22"/>
          <w:highlight w:val="none"/>
        </w:rPr>
        <w:t xml:space="preserve">  </w:t>
      </w:r>
      <w:r>
        <w:rPr>
          <w:rFonts w:hint="eastAsia" w:ascii="宋体" w:hAnsi="宋体" w:cs="宋体"/>
          <w:sz w:val="22"/>
          <w:szCs w:val="22"/>
          <w:highlight w:val="none"/>
          <w:lang w:val="zh-CN"/>
        </w:rPr>
        <w:t>日期：  年  月   日</w:t>
      </w:r>
    </w:p>
    <w:p w14:paraId="4066DC93">
      <w:pPr>
        <w:rPr>
          <w:rFonts w:hint="eastAsia"/>
          <w:sz w:val="22"/>
          <w:szCs w:val="22"/>
          <w:highlight w:val="none"/>
        </w:rPr>
      </w:pPr>
    </w:p>
    <w:p w14:paraId="262CB9CD">
      <w:pPr>
        <w:spacing w:line="480" w:lineRule="exact"/>
        <w:outlineLvl w:val="1"/>
        <w:rPr>
          <w:rFonts w:hint="eastAsia" w:ascii="宋体" w:hAnsi="宋体" w:cs="宋体"/>
          <w:b/>
          <w:bCs/>
          <w:color w:val="auto"/>
          <w:sz w:val="24"/>
          <w:highlight w:val="none"/>
        </w:rPr>
      </w:pPr>
      <w:r>
        <w:rPr>
          <w:rFonts w:hint="eastAsia" w:ascii="宋体" w:hAnsi="宋体" w:cs="宋体"/>
          <w:color w:val="auto"/>
          <w:sz w:val="22"/>
          <w:szCs w:val="22"/>
          <w:highlight w:val="none"/>
        </w:rPr>
        <w:br w:type="page"/>
      </w:r>
      <w:r>
        <w:rPr>
          <w:rFonts w:hint="eastAsia" w:ascii="宋体" w:hAnsi="宋体" w:cs="宋体"/>
          <w:b/>
          <w:bCs/>
          <w:color w:val="auto"/>
          <w:sz w:val="24"/>
          <w:highlight w:val="none"/>
        </w:rPr>
        <w:t>附件五  商务条款、技术规格偏离表</w:t>
      </w:r>
    </w:p>
    <w:p w14:paraId="1F01FC2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商务条款、技术规格偏离表</w:t>
      </w:r>
    </w:p>
    <w:p w14:paraId="625190F7">
      <w:pPr>
        <w:spacing w:line="380" w:lineRule="exact"/>
        <w:rPr>
          <w:rFonts w:hint="eastAsia" w:ascii="宋体" w:hAnsi="宋体" w:cs="宋体"/>
          <w:b/>
          <w:color w:val="auto"/>
          <w:sz w:val="22"/>
          <w:highlight w:val="none"/>
        </w:rPr>
      </w:pPr>
      <w:r>
        <w:rPr>
          <w:rFonts w:hint="eastAsia" w:ascii="宋体" w:hAnsi="宋体" w:cs="宋体"/>
          <w:b/>
          <w:color w:val="auto"/>
          <w:sz w:val="22"/>
          <w:highlight w:val="none"/>
        </w:rPr>
        <w:t>项目名称：                                                  项目编号：</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6F94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noWrap w:val="0"/>
            <w:vAlign w:val="top"/>
          </w:tcPr>
          <w:p w14:paraId="4952F396">
            <w:pPr>
              <w:spacing w:line="380" w:lineRule="exact"/>
              <w:jc w:val="center"/>
              <w:rPr>
                <w:rFonts w:hint="eastAsia" w:ascii="宋体" w:hAnsi="宋体" w:cs="宋体"/>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78388D0F">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483175EC">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采购文件</w:t>
            </w:r>
          </w:p>
          <w:p w14:paraId="3EABE92C">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6A87CF4E">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采购文件</w:t>
            </w:r>
          </w:p>
          <w:p w14:paraId="32B8AA61">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064D6F89">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响应文件</w:t>
            </w:r>
          </w:p>
          <w:p w14:paraId="45DD961B">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19DE954D">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说明</w:t>
            </w:r>
          </w:p>
        </w:tc>
      </w:tr>
      <w:tr w14:paraId="0491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49B217C5">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技</w:t>
            </w:r>
          </w:p>
          <w:p w14:paraId="7AAEDF17">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术</w:t>
            </w:r>
          </w:p>
          <w:p w14:paraId="729EE38F">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规</w:t>
            </w:r>
          </w:p>
          <w:p w14:paraId="2B435599">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格</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192C76">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5E98F64">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5E98E5E">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389C45F6">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F2F6D44">
            <w:pPr>
              <w:spacing w:line="380" w:lineRule="exact"/>
              <w:jc w:val="center"/>
              <w:rPr>
                <w:rFonts w:hint="eastAsia" w:ascii="宋体" w:hAnsi="宋体" w:cs="宋体"/>
                <w:color w:val="auto"/>
                <w:sz w:val="22"/>
                <w:highlight w:val="none"/>
              </w:rPr>
            </w:pPr>
          </w:p>
        </w:tc>
      </w:tr>
      <w:tr w14:paraId="40F1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C16B143">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1B1A30D">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4B41FAC">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54B299E">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658BCE5F">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BE357BF">
            <w:pPr>
              <w:spacing w:line="380" w:lineRule="exact"/>
              <w:jc w:val="center"/>
              <w:rPr>
                <w:rFonts w:hint="eastAsia" w:ascii="宋体" w:hAnsi="宋体" w:cs="宋体"/>
                <w:color w:val="auto"/>
                <w:sz w:val="22"/>
                <w:highlight w:val="none"/>
              </w:rPr>
            </w:pPr>
          </w:p>
        </w:tc>
      </w:tr>
      <w:tr w14:paraId="5874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C7FE36F">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2D625A">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A3364BE">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74C286C">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60018AEB">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6E8A330">
            <w:pPr>
              <w:spacing w:line="380" w:lineRule="exact"/>
              <w:jc w:val="center"/>
              <w:rPr>
                <w:rFonts w:hint="eastAsia" w:ascii="宋体" w:hAnsi="宋体" w:cs="宋体"/>
                <w:color w:val="auto"/>
                <w:sz w:val="22"/>
                <w:highlight w:val="none"/>
              </w:rPr>
            </w:pPr>
          </w:p>
        </w:tc>
      </w:tr>
      <w:tr w14:paraId="0780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3A22036">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8469997">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57C74A25">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BEABA62">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5176141E">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DEDF603">
            <w:pPr>
              <w:spacing w:line="380" w:lineRule="exact"/>
              <w:jc w:val="center"/>
              <w:rPr>
                <w:rFonts w:hint="eastAsia" w:ascii="宋体" w:hAnsi="宋体" w:cs="宋体"/>
                <w:color w:val="auto"/>
                <w:sz w:val="22"/>
                <w:highlight w:val="none"/>
              </w:rPr>
            </w:pPr>
          </w:p>
        </w:tc>
      </w:tr>
      <w:tr w14:paraId="23E0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E6E60B1">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32595F">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DA563F8">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50983C4">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57BA0A07">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742FF27">
            <w:pPr>
              <w:spacing w:line="380" w:lineRule="exact"/>
              <w:jc w:val="center"/>
              <w:rPr>
                <w:rFonts w:hint="eastAsia" w:ascii="宋体" w:hAnsi="宋体" w:cs="宋体"/>
                <w:color w:val="auto"/>
                <w:sz w:val="22"/>
                <w:highlight w:val="none"/>
              </w:rPr>
            </w:pPr>
          </w:p>
        </w:tc>
      </w:tr>
      <w:tr w14:paraId="3258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64AFAF0A">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商</w:t>
            </w:r>
          </w:p>
          <w:p w14:paraId="2996CF6B">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务</w:t>
            </w:r>
          </w:p>
          <w:p w14:paraId="7C25FA75">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条</w:t>
            </w:r>
          </w:p>
          <w:p w14:paraId="3C9788A4">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款</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860FCA5">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CD0A003">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E9C4041">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110000B7">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4817AF6">
            <w:pPr>
              <w:spacing w:line="380" w:lineRule="exact"/>
              <w:jc w:val="center"/>
              <w:rPr>
                <w:rFonts w:hint="eastAsia" w:ascii="宋体" w:hAnsi="宋体" w:cs="宋体"/>
                <w:color w:val="auto"/>
                <w:sz w:val="22"/>
                <w:highlight w:val="none"/>
              </w:rPr>
            </w:pPr>
          </w:p>
        </w:tc>
      </w:tr>
      <w:tr w14:paraId="74D7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438ABFB">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AA76722">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7CB4CBC">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CB0B8F0">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3392BDCB">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3A2287E">
            <w:pPr>
              <w:spacing w:line="380" w:lineRule="exact"/>
              <w:jc w:val="center"/>
              <w:rPr>
                <w:rFonts w:hint="eastAsia" w:ascii="宋体" w:hAnsi="宋体" w:cs="宋体"/>
                <w:color w:val="auto"/>
                <w:sz w:val="22"/>
                <w:highlight w:val="none"/>
              </w:rPr>
            </w:pPr>
          </w:p>
        </w:tc>
      </w:tr>
      <w:tr w14:paraId="0E97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EFFD402">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43DD13C">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F88F65B">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99F5FD3">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5521DFA0">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D693B8D">
            <w:pPr>
              <w:spacing w:line="380" w:lineRule="exact"/>
              <w:jc w:val="center"/>
              <w:rPr>
                <w:rFonts w:hint="eastAsia" w:ascii="宋体" w:hAnsi="宋体" w:cs="宋体"/>
                <w:color w:val="auto"/>
                <w:sz w:val="22"/>
                <w:highlight w:val="none"/>
              </w:rPr>
            </w:pPr>
          </w:p>
        </w:tc>
      </w:tr>
      <w:tr w14:paraId="3E18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0ECC722">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AAFDC2E">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0DBB763">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6A36BA8">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5962F7D2">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024038B">
            <w:pPr>
              <w:spacing w:line="380" w:lineRule="exact"/>
              <w:jc w:val="center"/>
              <w:rPr>
                <w:rFonts w:hint="eastAsia" w:ascii="宋体" w:hAnsi="宋体" w:cs="宋体"/>
                <w:color w:val="auto"/>
                <w:sz w:val="22"/>
                <w:highlight w:val="none"/>
              </w:rPr>
            </w:pPr>
          </w:p>
        </w:tc>
      </w:tr>
      <w:tr w14:paraId="2ECA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E7D2CFD">
            <w:pPr>
              <w:widowControl/>
              <w:jc w:val="left"/>
              <w:rPr>
                <w:rFonts w:hint="eastAsia" w:ascii="宋体" w:hAnsi="宋体" w:cs="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187681">
            <w:pPr>
              <w:spacing w:line="380" w:lineRule="exact"/>
              <w:jc w:val="center"/>
              <w:rPr>
                <w:rFonts w:hint="eastAsia" w:ascii="宋体" w:hAnsi="宋体" w:cs="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072A3F1">
            <w:pPr>
              <w:spacing w:line="380" w:lineRule="exact"/>
              <w:jc w:val="center"/>
              <w:rPr>
                <w:rFonts w:hint="eastAsia" w:ascii="宋体" w:hAnsi="宋体" w:cs="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D41A30E">
            <w:pPr>
              <w:spacing w:line="380" w:lineRule="exact"/>
              <w:jc w:val="center"/>
              <w:rPr>
                <w:rFonts w:hint="eastAsia" w:ascii="宋体" w:hAnsi="宋体" w:cs="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5A19BECF">
            <w:pPr>
              <w:spacing w:line="380" w:lineRule="exact"/>
              <w:jc w:val="center"/>
              <w:rPr>
                <w:rFonts w:hint="eastAsia" w:ascii="宋体" w:hAnsi="宋体" w:cs="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AA9AF2A">
            <w:pPr>
              <w:spacing w:line="380" w:lineRule="exact"/>
              <w:jc w:val="center"/>
              <w:rPr>
                <w:rFonts w:hint="eastAsia" w:ascii="宋体" w:hAnsi="宋体" w:cs="宋体"/>
                <w:color w:val="auto"/>
                <w:sz w:val="22"/>
                <w:highlight w:val="none"/>
              </w:rPr>
            </w:pPr>
          </w:p>
        </w:tc>
      </w:tr>
    </w:tbl>
    <w:p w14:paraId="267C792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注：没有填写此表视为完全响应采购文件要求。</w:t>
      </w:r>
    </w:p>
    <w:p w14:paraId="1AA19DC1">
      <w:pPr>
        <w:spacing w:line="440" w:lineRule="exact"/>
        <w:ind w:firstLine="4400" w:firstLineChars="2000"/>
        <w:rPr>
          <w:rFonts w:hint="eastAsia" w:ascii="宋体" w:hAnsi="宋体" w:cs="宋体"/>
          <w:color w:val="auto"/>
          <w:sz w:val="22"/>
          <w:szCs w:val="22"/>
          <w:highlight w:val="none"/>
        </w:rPr>
      </w:pPr>
    </w:p>
    <w:p w14:paraId="796DD1D8">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63045173">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48598694">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日 期：      年    月   日</w:t>
      </w:r>
    </w:p>
    <w:p w14:paraId="7F0CB097">
      <w:pPr>
        <w:spacing w:line="440" w:lineRule="exact"/>
        <w:ind w:firstLine="4400" w:firstLineChars="2000"/>
        <w:rPr>
          <w:rFonts w:hint="eastAsia" w:ascii="宋体" w:hAnsi="宋体" w:cs="宋体"/>
          <w:color w:val="auto"/>
          <w:sz w:val="22"/>
          <w:szCs w:val="22"/>
          <w:highlight w:val="none"/>
        </w:rPr>
      </w:pPr>
    </w:p>
    <w:p w14:paraId="4A7C8433">
      <w:pPr>
        <w:rPr>
          <w:rFonts w:hint="eastAsia" w:ascii="宋体" w:hAnsi="宋体" w:cs="宋体"/>
          <w:color w:val="auto"/>
          <w:sz w:val="24"/>
          <w:highlight w:val="none"/>
        </w:rPr>
        <w:sectPr>
          <w:headerReference r:id="rId11" w:type="default"/>
          <w:footerReference r:id="rId12" w:type="default"/>
          <w:pgSz w:w="11906" w:h="16838"/>
          <w:pgMar w:top="1134" w:right="1134" w:bottom="1134" w:left="1134" w:header="851" w:footer="992" w:gutter="0"/>
          <w:pgNumType w:fmt="decimal"/>
          <w:cols w:space="720" w:num="1"/>
          <w:docGrid w:linePitch="312" w:charSpace="0"/>
        </w:sectPr>
      </w:pPr>
    </w:p>
    <w:p w14:paraId="7D93AEB0">
      <w:pPr>
        <w:spacing w:line="440" w:lineRule="exact"/>
        <w:jc w:val="left"/>
        <w:outlineLvl w:val="1"/>
        <w:rPr>
          <w:rFonts w:hint="eastAsia" w:ascii="宋体" w:hAnsi="宋体" w:cs="宋体"/>
          <w:b/>
          <w:bCs/>
          <w:color w:val="auto"/>
          <w:sz w:val="24"/>
          <w:highlight w:val="none"/>
        </w:rPr>
      </w:pPr>
      <w:r>
        <w:rPr>
          <w:rFonts w:hint="eastAsia" w:ascii="宋体" w:hAnsi="宋体" w:cs="宋体"/>
          <w:b/>
          <w:bCs/>
          <w:color w:val="auto"/>
          <w:sz w:val="24"/>
          <w:highlight w:val="none"/>
        </w:rPr>
        <w:t>附件六  货物供货清单（或详细配置清单）</w:t>
      </w:r>
    </w:p>
    <w:p w14:paraId="681A0683">
      <w:pPr>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一、货物供货清单（或详细配置清单）</w:t>
      </w:r>
    </w:p>
    <w:p w14:paraId="68C59D4F">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41C9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5F41F96F">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260" w:type="dxa"/>
            <w:shd w:val="clear" w:color="auto" w:fill="D9D9D9"/>
            <w:noWrap w:val="0"/>
            <w:vAlign w:val="center"/>
          </w:tcPr>
          <w:p w14:paraId="4CD8737F">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名  称</w:t>
            </w:r>
          </w:p>
        </w:tc>
        <w:tc>
          <w:tcPr>
            <w:tcW w:w="1980" w:type="dxa"/>
            <w:shd w:val="clear" w:color="auto" w:fill="D9D9D9"/>
            <w:noWrap w:val="0"/>
            <w:vAlign w:val="center"/>
          </w:tcPr>
          <w:p w14:paraId="38459F96">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品牌、规格型号</w:t>
            </w:r>
          </w:p>
        </w:tc>
        <w:tc>
          <w:tcPr>
            <w:tcW w:w="720" w:type="dxa"/>
            <w:shd w:val="clear" w:color="auto" w:fill="D9D9D9"/>
            <w:noWrap w:val="0"/>
            <w:vAlign w:val="center"/>
          </w:tcPr>
          <w:p w14:paraId="34264C5F">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单位</w:t>
            </w:r>
          </w:p>
        </w:tc>
        <w:tc>
          <w:tcPr>
            <w:tcW w:w="900" w:type="dxa"/>
            <w:shd w:val="clear" w:color="auto" w:fill="D9D9D9"/>
            <w:noWrap w:val="0"/>
            <w:vAlign w:val="center"/>
          </w:tcPr>
          <w:p w14:paraId="610D7A3D">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1440" w:type="dxa"/>
            <w:shd w:val="clear" w:color="auto" w:fill="D9D9D9"/>
            <w:noWrap w:val="0"/>
            <w:vAlign w:val="center"/>
          </w:tcPr>
          <w:p w14:paraId="0D49F790">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原产地</w:t>
            </w:r>
          </w:p>
        </w:tc>
        <w:tc>
          <w:tcPr>
            <w:tcW w:w="1440" w:type="dxa"/>
            <w:shd w:val="clear" w:color="auto" w:fill="D9D9D9"/>
            <w:noWrap w:val="0"/>
            <w:vAlign w:val="center"/>
          </w:tcPr>
          <w:p w14:paraId="424BACC1">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制造商</w:t>
            </w:r>
          </w:p>
        </w:tc>
        <w:tc>
          <w:tcPr>
            <w:tcW w:w="1080" w:type="dxa"/>
            <w:shd w:val="clear" w:color="auto" w:fill="D9D9D9"/>
            <w:noWrap w:val="0"/>
            <w:vAlign w:val="center"/>
          </w:tcPr>
          <w:p w14:paraId="00617AFA">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保修期</w:t>
            </w:r>
          </w:p>
        </w:tc>
      </w:tr>
      <w:tr w14:paraId="3887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92670B5">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0EB417AE">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58E39A66">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07CD5692">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134FC7DD">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5E474573">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3B330727">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4627E905">
            <w:pPr>
              <w:spacing w:line="380" w:lineRule="exact"/>
              <w:jc w:val="center"/>
              <w:rPr>
                <w:rFonts w:hint="eastAsia" w:ascii="宋体" w:hAnsi="宋体" w:cs="宋体"/>
                <w:b/>
                <w:bCs/>
                <w:color w:val="auto"/>
                <w:sz w:val="22"/>
                <w:szCs w:val="22"/>
                <w:highlight w:val="none"/>
              </w:rPr>
            </w:pPr>
          </w:p>
        </w:tc>
      </w:tr>
      <w:tr w14:paraId="5B2D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339F8B3">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501B0497">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5150370E">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503B9B53">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2FD9444A">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0BB9B89E">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4C56FFCA">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2A197D74">
            <w:pPr>
              <w:spacing w:line="380" w:lineRule="exact"/>
              <w:jc w:val="center"/>
              <w:rPr>
                <w:rFonts w:hint="eastAsia" w:ascii="宋体" w:hAnsi="宋体" w:cs="宋体"/>
                <w:b/>
                <w:bCs/>
                <w:color w:val="auto"/>
                <w:sz w:val="22"/>
                <w:szCs w:val="22"/>
                <w:highlight w:val="none"/>
              </w:rPr>
            </w:pPr>
          </w:p>
        </w:tc>
      </w:tr>
      <w:tr w14:paraId="3AA2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2E60773F">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145BE275">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396FC3B0">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6CB344E8">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0A6B3957">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43895580">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2858F572">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61FB3103">
            <w:pPr>
              <w:spacing w:line="380" w:lineRule="exact"/>
              <w:jc w:val="center"/>
              <w:rPr>
                <w:rFonts w:hint="eastAsia" w:ascii="宋体" w:hAnsi="宋体" w:cs="宋体"/>
                <w:b/>
                <w:bCs/>
                <w:color w:val="auto"/>
                <w:sz w:val="22"/>
                <w:szCs w:val="22"/>
                <w:highlight w:val="none"/>
              </w:rPr>
            </w:pPr>
          </w:p>
        </w:tc>
      </w:tr>
      <w:tr w14:paraId="186E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A075D5A">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6DE685CE">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64D682C1">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1B42153D">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2D22901C">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0F8F889C">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2A8E8224">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571A413B">
            <w:pPr>
              <w:spacing w:line="380" w:lineRule="exact"/>
              <w:jc w:val="center"/>
              <w:rPr>
                <w:rFonts w:hint="eastAsia" w:ascii="宋体" w:hAnsi="宋体" w:cs="宋体"/>
                <w:b/>
                <w:bCs/>
                <w:color w:val="auto"/>
                <w:sz w:val="22"/>
                <w:szCs w:val="22"/>
                <w:highlight w:val="none"/>
              </w:rPr>
            </w:pPr>
          </w:p>
        </w:tc>
      </w:tr>
      <w:tr w14:paraId="14C6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A7945CC">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538C2B47">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24FA5EDB">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6D7EBF66">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5B4BF791">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04799267">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4B12474C">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49BA551C">
            <w:pPr>
              <w:spacing w:line="380" w:lineRule="exact"/>
              <w:jc w:val="center"/>
              <w:rPr>
                <w:rFonts w:hint="eastAsia" w:ascii="宋体" w:hAnsi="宋体" w:cs="宋体"/>
                <w:b/>
                <w:bCs/>
                <w:color w:val="auto"/>
                <w:sz w:val="22"/>
                <w:szCs w:val="22"/>
                <w:highlight w:val="none"/>
              </w:rPr>
            </w:pPr>
          </w:p>
        </w:tc>
      </w:tr>
      <w:tr w14:paraId="59BC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22822721">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4ECCF659">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793C8162">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4D77BE36">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241CEFA8">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7A7CC37C">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39E7923D">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5DF2C249">
            <w:pPr>
              <w:spacing w:line="380" w:lineRule="exact"/>
              <w:jc w:val="center"/>
              <w:rPr>
                <w:rFonts w:hint="eastAsia" w:ascii="宋体" w:hAnsi="宋体" w:cs="宋体"/>
                <w:b/>
                <w:bCs/>
                <w:color w:val="auto"/>
                <w:sz w:val="22"/>
                <w:szCs w:val="22"/>
                <w:highlight w:val="none"/>
              </w:rPr>
            </w:pPr>
          </w:p>
        </w:tc>
      </w:tr>
      <w:tr w14:paraId="68A6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A9DF6F2">
            <w:pPr>
              <w:spacing w:line="380" w:lineRule="exact"/>
              <w:jc w:val="center"/>
              <w:rPr>
                <w:rFonts w:hint="eastAsia" w:ascii="宋体" w:hAnsi="宋体" w:cs="宋体"/>
                <w:b/>
                <w:bCs/>
                <w:color w:val="auto"/>
                <w:sz w:val="22"/>
                <w:szCs w:val="22"/>
                <w:highlight w:val="none"/>
              </w:rPr>
            </w:pPr>
          </w:p>
        </w:tc>
        <w:tc>
          <w:tcPr>
            <w:tcW w:w="1260" w:type="dxa"/>
            <w:noWrap w:val="0"/>
            <w:vAlign w:val="center"/>
          </w:tcPr>
          <w:p w14:paraId="3735FC09">
            <w:pPr>
              <w:spacing w:line="380" w:lineRule="exact"/>
              <w:jc w:val="center"/>
              <w:rPr>
                <w:rFonts w:hint="eastAsia" w:ascii="宋体" w:hAnsi="宋体" w:cs="宋体"/>
                <w:b/>
                <w:bCs/>
                <w:color w:val="auto"/>
                <w:sz w:val="22"/>
                <w:szCs w:val="22"/>
                <w:highlight w:val="none"/>
              </w:rPr>
            </w:pPr>
          </w:p>
        </w:tc>
        <w:tc>
          <w:tcPr>
            <w:tcW w:w="1980" w:type="dxa"/>
            <w:noWrap w:val="0"/>
            <w:vAlign w:val="center"/>
          </w:tcPr>
          <w:p w14:paraId="1FE10C3E">
            <w:pPr>
              <w:spacing w:line="380" w:lineRule="exact"/>
              <w:jc w:val="center"/>
              <w:rPr>
                <w:rFonts w:hint="eastAsia" w:ascii="宋体" w:hAnsi="宋体" w:cs="宋体"/>
                <w:b/>
                <w:bCs/>
                <w:color w:val="auto"/>
                <w:sz w:val="22"/>
                <w:szCs w:val="22"/>
                <w:highlight w:val="none"/>
              </w:rPr>
            </w:pPr>
          </w:p>
        </w:tc>
        <w:tc>
          <w:tcPr>
            <w:tcW w:w="720" w:type="dxa"/>
            <w:noWrap w:val="0"/>
            <w:vAlign w:val="center"/>
          </w:tcPr>
          <w:p w14:paraId="3FC58BEC">
            <w:pPr>
              <w:spacing w:line="380" w:lineRule="exact"/>
              <w:jc w:val="center"/>
              <w:rPr>
                <w:rFonts w:hint="eastAsia" w:ascii="宋体" w:hAnsi="宋体" w:cs="宋体"/>
                <w:b/>
                <w:bCs/>
                <w:color w:val="auto"/>
                <w:sz w:val="22"/>
                <w:szCs w:val="22"/>
                <w:highlight w:val="none"/>
              </w:rPr>
            </w:pPr>
          </w:p>
        </w:tc>
        <w:tc>
          <w:tcPr>
            <w:tcW w:w="900" w:type="dxa"/>
            <w:noWrap w:val="0"/>
            <w:vAlign w:val="center"/>
          </w:tcPr>
          <w:p w14:paraId="3875C822">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5ED45FE5">
            <w:pPr>
              <w:spacing w:line="380" w:lineRule="exact"/>
              <w:jc w:val="center"/>
              <w:rPr>
                <w:rFonts w:hint="eastAsia" w:ascii="宋体" w:hAnsi="宋体" w:cs="宋体"/>
                <w:b/>
                <w:bCs/>
                <w:color w:val="auto"/>
                <w:sz w:val="22"/>
                <w:szCs w:val="22"/>
                <w:highlight w:val="none"/>
              </w:rPr>
            </w:pPr>
          </w:p>
        </w:tc>
        <w:tc>
          <w:tcPr>
            <w:tcW w:w="1440" w:type="dxa"/>
            <w:noWrap w:val="0"/>
            <w:vAlign w:val="center"/>
          </w:tcPr>
          <w:p w14:paraId="692660F5">
            <w:pPr>
              <w:spacing w:line="380" w:lineRule="exact"/>
              <w:jc w:val="center"/>
              <w:rPr>
                <w:rFonts w:hint="eastAsia" w:ascii="宋体" w:hAnsi="宋体" w:cs="宋体"/>
                <w:b/>
                <w:bCs/>
                <w:color w:val="auto"/>
                <w:sz w:val="22"/>
                <w:szCs w:val="22"/>
                <w:highlight w:val="none"/>
              </w:rPr>
            </w:pPr>
          </w:p>
        </w:tc>
        <w:tc>
          <w:tcPr>
            <w:tcW w:w="1080" w:type="dxa"/>
            <w:noWrap w:val="0"/>
            <w:vAlign w:val="center"/>
          </w:tcPr>
          <w:p w14:paraId="59BB6EC6">
            <w:pPr>
              <w:spacing w:line="380" w:lineRule="exact"/>
              <w:jc w:val="center"/>
              <w:rPr>
                <w:rFonts w:hint="eastAsia" w:ascii="宋体" w:hAnsi="宋体" w:cs="宋体"/>
                <w:b/>
                <w:bCs/>
                <w:color w:val="auto"/>
                <w:sz w:val="22"/>
                <w:szCs w:val="22"/>
                <w:highlight w:val="none"/>
              </w:rPr>
            </w:pPr>
          </w:p>
        </w:tc>
      </w:tr>
    </w:tbl>
    <w:p w14:paraId="61EC8590">
      <w:pPr>
        <w:pStyle w:val="19"/>
        <w:spacing w:line="460" w:lineRule="exact"/>
        <w:rPr>
          <w:rFonts w:hint="eastAsia" w:hAnsi="宋体" w:cs="宋体"/>
          <w:b/>
          <w:color w:val="auto"/>
          <w:sz w:val="22"/>
          <w:szCs w:val="22"/>
          <w:highlight w:val="none"/>
        </w:rPr>
      </w:pPr>
      <w:r>
        <w:rPr>
          <w:rFonts w:hint="eastAsia" w:hAnsi="宋体" w:cs="宋体"/>
          <w:b/>
          <w:color w:val="auto"/>
          <w:sz w:val="22"/>
          <w:szCs w:val="22"/>
          <w:highlight w:val="none"/>
        </w:rPr>
        <w:t>注：货物供货清单（或详细配置清单）中品牌、规格型号、单位、数量、原产地、制造商、保修期等内容与投标响应文件中相应内容不一致的，以货物供货清单（或详细配置清单）为准</w:t>
      </w:r>
    </w:p>
    <w:p w14:paraId="3E5F1971">
      <w:pPr>
        <w:pStyle w:val="19"/>
        <w:spacing w:line="460" w:lineRule="exact"/>
        <w:ind w:firstLine="5458" w:firstLineChars="2481"/>
        <w:rPr>
          <w:rFonts w:hint="eastAsia" w:hAnsi="宋体" w:cs="宋体"/>
          <w:bCs/>
          <w:color w:val="auto"/>
          <w:sz w:val="22"/>
          <w:szCs w:val="22"/>
          <w:highlight w:val="none"/>
        </w:rPr>
      </w:pPr>
    </w:p>
    <w:p w14:paraId="351125C8">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3CC8A339">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228B3A45">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日 期：      年    月   日</w:t>
      </w:r>
    </w:p>
    <w:p w14:paraId="3F5FB392">
      <w:pPr>
        <w:rPr>
          <w:rFonts w:hint="eastAsia" w:ascii="宋体" w:hAnsi="宋体" w:cs="宋体"/>
          <w:color w:val="auto"/>
          <w:sz w:val="22"/>
          <w:szCs w:val="22"/>
          <w:highlight w:val="none"/>
        </w:rPr>
      </w:pPr>
    </w:p>
    <w:p w14:paraId="57790F95">
      <w:pPr>
        <w:pStyle w:val="20"/>
        <w:rPr>
          <w:rFonts w:hint="eastAsia" w:ascii="宋体" w:hAnsi="宋体" w:cs="宋体"/>
          <w:color w:val="auto"/>
          <w:sz w:val="22"/>
          <w:szCs w:val="22"/>
          <w:highlight w:val="none"/>
        </w:rPr>
      </w:pPr>
    </w:p>
    <w:p w14:paraId="01E8B58B">
      <w:pPr>
        <w:rPr>
          <w:rFonts w:hint="eastAsia" w:ascii="宋体" w:hAnsi="宋体" w:cs="宋体"/>
          <w:color w:val="auto"/>
          <w:highlight w:val="none"/>
        </w:rPr>
      </w:pPr>
    </w:p>
    <w:p w14:paraId="2FC4FF9F">
      <w:pPr>
        <w:rPr>
          <w:rFonts w:hint="eastAsia" w:ascii="宋体" w:hAnsi="宋体" w:cs="宋体"/>
          <w:color w:val="auto"/>
          <w:highlight w:val="none"/>
        </w:rPr>
      </w:pPr>
    </w:p>
    <w:p w14:paraId="10D42CBE">
      <w:pPr>
        <w:rPr>
          <w:rFonts w:hint="eastAsia" w:ascii="宋体" w:hAnsi="宋体" w:cs="宋体"/>
          <w:color w:val="auto"/>
          <w:highlight w:val="none"/>
        </w:rPr>
      </w:pPr>
      <w:r>
        <w:rPr>
          <w:rFonts w:hint="eastAsia" w:ascii="宋体" w:hAnsi="宋体" w:cs="宋体"/>
          <w:color w:val="auto"/>
          <w:highlight w:val="none"/>
        </w:rPr>
        <w:br w:type="page"/>
      </w:r>
    </w:p>
    <w:p w14:paraId="13FABD70">
      <w:pPr>
        <w:spacing w:line="440" w:lineRule="exact"/>
        <w:jc w:val="center"/>
        <w:rPr>
          <w:rFonts w:hint="eastAsia" w:ascii="宋体" w:hAnsi="宋体" w:cs="宋体"/>
          <w:b/>
          <w:bCs/>
          <w:color w:val="auto"/>
          <w:sz w:val="28"/>
          <w:szCs w:val="28"/>
          <w:highlight w:val="none"/>
        </w:rPr>
      </w:pPr>
      <w:bookmarkStart w:id="93" w:name="_Toc9956"/>
      <w:bookmarkStart w:id="94" w:name="_Toc30310"/>
      <w:r>
        <w:rPr>
          <w:rFonts w:hint="eastAsia" w:ascii="宋体" w:hAnsi="宋体" w:cs="宋体"/>
          <w:b/>
          <w:bCs/>
          <w:color w:val="auto"/>
          <w:sz w:val="28"/>
          <w:szCs w:val="28"/>
          <w:highlight w:val="none"/>
        </w:rPr>
        <w:t>二、备品备件、易损易耗件和专用工具清单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1376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4F36A134">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328" w:type="dxa"/>
            <w:noWrap w:val="0"/>
            <w:vAlign w:val="center"/>
          </w:tcPr>
          <w:p w14:paraId="40EFFD3E">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名  称</w:t>
            </w:r>
          </w:p>
        </w:tc>
        <w:tc>
          <w:tcPr>
            <w:tcW w:w="1470" w:type="dxa"/>
            <w:noWrap w:val="0"/>
            <w:vAlign w:val="center"/>
          </w:tcPr>
          <w:p w14:paraId="02D3225C">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型号规格</w:t>
            </w:r>
          </w:p>
        </w:tc>
        <w:tc>
          <w:tcPr>
            <w:tcW w:w="931" w:type="dxa"/>
            <w:noWrap w:val="0"/>
            <w:vAlign w:val="center"/>
          </w:tcPr>
          <w:p w14:paraId="292E75E8">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2340" w:type="dxa"/>
            <w:noWrap w:val="0"/>
            <w:vAlign w:val="center"/>
          </w:tcPr>
          <w:p w14:paraId="6365D2BD">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原产地/制造商</w:t>
            </w:r>
          </w:p>
        </w:tc>
        <w:tc>
          <w:tcPr>
            <w:tcW w:w="1570" w:type="dxa"/>
            <w:noWrap w:val="0"/>
            <w:vAlign w:val="center"/>
          </w:tcPr>
          <w:p w14:paraId="33A67B1B">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0255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2946A1CC">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57C52B45">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2895BD68">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2CAF8D49">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52316533">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3489DA52">
            <w:pPr>
              <w:spacing w:line="380" w:lineRule="exact"/>
              <w:jc w:val="center"/>
              <w:rPr>
                <w:rFonts w:hint="eastAsia" w:ascii="宋体" w:hAnsi="宋体" w:cs="宋体"/>
                <w:b/>
                <w:bCs/>
                <w:color w:val="auto"/>
                <w:sz w:val="22"/>
                <w:szCs w:val="22"/>
                <w:highlight w:val="none"/>
              </w:rPr>
            </w:pPr>
          </w:p>
        </w:tc>
      </w:tr>
      <w:tr w14:paraId="0135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4A9739CA">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11C123B7">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7D8ADBF2">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1932E60A">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6BB35BFF">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0D9C3267">
            <w:pPr>
              <w:spacing w:line="380" w:lineRule="exact"/>
              <w:jc w:val="center"/>
              <w:rPr>
                <w:rFonts w:hint="eastAsia" w:ascii="宋体" w:hAnsi="宋体" w:cs="宋体"/>
                <w:b/>
                <w:bCs/>
                <w:color w:val="auto"/>
                <w:sz w:val="22"/>
                <w:szCs w:val="22"/>
                <w:highlight w:val="none"/>
              </w:rPr>
            </w:pPr>
          </w:p>
        </w:tc>
      </w:tr>
      <w:tr w14:paraId="0278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47BAAC2A">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6442B04C">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2F6AA1F4">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7D8A8661">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298B3804">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18CC82B1">
            <w:pPr>
              <w:spacing w:line="380" w:lineRule="exact"/>
              <w:jc w:val="center"/>
              <w:rPr>
                <w:rFonts w:hint="eastAsia" w:ascii="宋体" w:hAnsi="宋体" w:cs="宋体"/>
                <w:b/>
                <w:bCs/>
                <w:color w:val="auto"/>
                <w:sz w:val="22"/>
                <w:szCs w:val="22"/>
                <w:highlight w:val="none"/>
              </w:rPr>
            </w:pPr>
          </w:p>
        </w:tc>
      </w:tr>
      <w:tr w14:paraId="5537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560A30E1">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35F491E3">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67E240D0">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6E1B4C83">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7C25B509">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7F8B52D9">
            <w:pPr>
              <w:spacing w:line="380" w:lineRule="exact"/>
              <w:jc w:val="center"/>
              <w:rPr>
                <w:rFonts w:hint="eastAsia" w:ascii="宋体" w:hAnsi="宋体" w:cs="宋体"/>
                <w:b/>
                <w:bCs/>
                <w:color w:val="auto"/>
                <w:sz w:val="22"/>
                <w:szCs w:val="22"/>
                <w:highlight w:val="none"/>
              </w:rPr>
            </w:pPr>
          </w:p>
        </w:tc>
      </w:tr>
      <w:tr w14:paraId="1C63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2665315D">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39BF420E">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67F801A1">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277818A7">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2A037BD5">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1E98F688">
            <w:pPr>
              <w:spacing w:line="380" w:lineRule="exact"/>
              <w:jc w:val="center"/>
              <w:rPr>
                <w:rFonts w:hint="eastAsia" w:ascii="宋体" w:hAnsi="宋体" w:cs="宋体"/>
                <w:b/>
                <w:bCs/>
                <w:color w:val="auto"/>
                <w:sz w:val="22"/>
                <w:szCs w:val="22"/>
                <w:highlight w:val="none"/>
              </w:rPr>
            </w:pPr>
          </w:p>
        </w:tc>
      </w:tr>
      <w:tr w14:paraId="0B70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2C4D1BDA">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73548409">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640CB42E">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5AFCDDFD">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49EFE00F">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4F84D383">
            <w:pPr>
              <w:spacing w:line="380" w:lineRule="exact"/>
              <w:jc w:val="center"/>
              <w:rPr>
                <w:rFonts w:hint="eastAsia" w:ascii="宋体" w:hAnsi="宋体" w:cs="宋体"/>
                <w:b/>
                <w:bCs/>
                <w:color w:val="auto"/>
                <w:sz w:val="22"/>
                <w:szCs w:val="22"/>
                <w:highlight w:val="none"/>
              </w:rPr>
            </w:pPr>
          </w:p>
        </w:tc>
      </w:tr>
      <w:tr w14:paraId="57D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08C705EB">
            <w:pPr>
              <w:spacing w:line="380" w:lineRule="exact"/>
              <w:jc w:val="center"/>
              <w:rPr>
                <w:rFonts w:hint="eastAsia" w:ascii="宋体" w:hAnsi="宋体" w:cs="宋体"/>
                <w:b/>
                <w:bCs/>
                <w:color w:val="auto"/>
                <w:sz w:val="22"/>
                <w:szCs w:val="22"/>
                <w:highlight w:val="none"/>
              </w:rPr>
            </w:pPr>
          </w:p>
        </w:tc>
        <w:tc>
          <w:tcPr>
            <w:tcW w:w="2328" w:type="dxa"/>
            <w:noWrap w:val="0"/>
            <w:vAlign w:val="center"/>
          </w:tcPr>
          <w:p w14:paraId="77AE0CA8">
            <w:pPr>
              <w:spacing w:line="380" w:lineRule="exact"/>
              <w:jc w:val="center"/>
              <w:rPr>
                <w:rFonts w:hint="eastAsia" w:ascii="宋体" w:hAnsi="宋体" w:cs="宋体"/>
                <w:b/>
                <w:bCs/>
                <w:color w:val="auto"/>
                <w:sz w:val="22"/>
                <w:szCs w:val="22"/>
                <w:highlight w:val="none"/>
              </w:rPr>
            </w:pPr>
          </w:p>
        </w:tc>
        <w:tc>
          <w:tcPr>
            <w:tcW w:w="1470" w:type="dxa"/>
            <w:noWrap w:val="0"/>
            <w:vAlign w:val="center"/>
          </w:tcPr>
          <w:p w14:paraId="509F5E34">
            <w:pPr>
              <w:spacing w:line="380" w:lineRule="exact"/>
              <w:jc w:val="center"/>
              <w:rPr>
                <w:rFonts w:hint="eastAsia" w:ascii="宋体" w:hAnsi="宋体" w:cs="宋体"/>
                <w:b/>
                <w:bCs/>
                <w:color w:val="auto"/>
                <w:sz w:val="22"/>
                <w:szCs w:val="22"/>
                <w:highlight w:val="none"/>
              </w:rPr>
            </w:pPr>
          </w:p>
        </w:tc>
        <w:tc>
          <w:tcPr>
            <w:tcW w:w="931" w:type="dxa"/>
            <w:noWrap w:val="0"/>
            <w:vAlign w:val="center"/>
          </w:tcPr>
          <w:p w14:paraId="6A7386BE">
            <w:pPr>
              <w:spacing w:line="380" w:lineRule="exact"/>
              <w:jc w:val="center"/>
              <w:rPr>
                <w:rFonts w:hint="eastAsia" w:ascii="宋体" w:hAnsi="宋体" w:cs="宋体"/>
                <w:b/>
                <w:bCs/>
                <w:color w:val="auto"/>
                <w:sz w:val="22"/>
                <w:szCs w:val="22"/>
                <w:highlight w:val="none"/>
              </w:rPr>
            </w:pPr>
          </w:p>
        </w:tc>
        <w:tc>
          <w:tcPr>
            <w:tcW w:w="2340" w:type="dxa"/>
            <w:noWrap w:val="0"/>
            <w:vAlign w:val="center"/>
          </w:tcPr>
          <w:p w14:paraId="5D201F61">
            <w:pPr>
              <w:spacing w:line="380" w:lineRule="exact"/>
              <w:jc w:val="center"/>
              <w:rPr>
                <w:rFonts w:hint="eastAsia" w:ascii="宋体" w:hAnsi="宋体" w:cs="宋体"/>
                <w:b/>
                <w:bCs/>
                <w:color w:val="auto"/>
                <w:sz w:val="22"/>
                <w:szCs w:val="22"/>
                <w:highlight w:val="none"/>
              </w:rPr>
            </w:pPr>
          </w:p>
        </w:tc>
        <w:tc>
          <w:tcPr>
            <w:tcW w:w="1570" w:type="dxa"/>
            <w:noWrap w:val="0"/>
            <w:vAlign w:val="center"/>
          </w:tcPr>
          <w:p w14:paraId="128C81CD">
            <w:pPr>
              <w:spacing w:line="380" w:lineRule="exact"/>
              <w:jc w:val="center"/>
              <w:rPr>
                <w:rFonts w:hint="eastAsia" w:ascii="宋体" w:hAnsi="宋体" w:cs="宋体"/>
                <w:b/>
                <w:bCs/>
                <w:color w:val="auto"/>
                <w:sz w:val="22"/>
                <w:szCs w:val="22"/>
                <w:highlight w:val="none"/>
              </w:rPr>
            </w:pPr>
          </w:p>
        </w:tc>
      </w:tr>
    </w:tbl>
    <w:p w14:paraId="3AAF734B">
      <w:pPr>
        <w:spacing w:line="44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注：供应商可按以上表格形式进行复制、附在响应文件内。</w:t>
      </w:r>
    </w:p>
    <w:p w14:paraId="1AC13A6D">
      <w:pPr>
        <w:spacing w:line="440" w:lineRule="exact"/>
        <w:jc w:val="left"/>
        <w:rPr>
          <w:rFonts w:hint="eastAsia" w:ascii="宋体" w:hAnsi="宋体" w:cs="宋体"/>
          <w:b/>
          <w:bCs/>
          <w:color w:val="auto"/>
          <w:sz w:val="22"/>
          <w:szCs w:val="22"/>
          <w:highlight w:val="none"/>
        </w:rPr>
      </w:pPr>
    </w:p>
    <w:p w14:paraId="21025F8C">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供应商全称（电子签章）：</w:t>
      </w:r>
    </w:p>
    <w:p w14:paraId="3334669E">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供应商代表（签字或盖章）：</w:t>
      </w:r>
    </w:p>
    <w:p w14:paraId="49030C1E">
      <w:pPr>
        <w:pStyle w:val="19"/>
        <w:spacing w:line="460" w:lineRule="exact"/>
        <w:ind w:firstLine="5060" w:firstLineChars="2300"/>
        <w:rPr>
          <w:rFonts w:hint="eastAsia" w:hAnsi="宋体" w:cs="宋体"/>
          <w:color w:val="auto"/>
          <w:sz w:val="22"/>
          <w:szCs w:val="22"/>
          <w:highlight w:val="none"/>
        </w:rPr>
      </w:pPr>
      <w:r>
        <w:rPr>
          <w:rFonts w:hint="eastAsia" w:hAnsi="宋体" w:cs="宋体"/>
          <w:color w:val="auto"/>
          <w:sz w:val="22"/>
          <w:szCs w:val="22"/>
          <w:highlight w:val="none"/>
        </w:rPr>
        <w:t>日 期：      年    月   日</w:t>
      </w:r>
    </w:p>
    <w:p w14:paraId="44E9FA04">
      <w:pPr>
        <w:spacing w:line="460" w:lineRule="exact"/>
        <w:ind w:firstLine="5458" w:firstLineChars="2481"/>
        <w:rPr>
          <w:rFonts w:hint="eastAsia" w:ascii="宋体" w:hAnsi="宋体" w:cs="宋体"/>
          <w:bCs/>
          <w:color w:val="auto"/>
          <w:sz w:val="22"/>
          <w:szCs w:val="22"/>
          <w:highlight w:val="none"/>
        </w:rPr>
      </w:pPr>
    </w:p>
    <w:bookmarkEnd w:id="86"/>
    <w:bookmarkEnd w:id="87"/>
    <w:bookmarkEnd w:id="88"/>
    <w:bookmarkEnd w:id="93"/>
    <w:bookmarkEnd w:id="94"/>
    <w:p w14:paraId="5BDED71E">
      <w:pPr>
        <w:pStyle w:val="19"/>
        <w:spacing w:line="460" w:lineRule="exact"/>
        <w:rPr>
          <w:rFonts w:hint="eastAsia" w:ascii="宋体" w:hAnsi="宋体" w:cs="宋体"/>
          <w:b/>
          <w:bCs/>
          <w:color w:val="auto"/>
          <w:sz w:val="24"/>
          <w:highlight w:val="none"/>
        </w:rPr>
      </w:pPr>
      <w:bookmarkStart w:id="95" w:name="_Toc19528"/>
      <w:bookmarkStart w:id="96" w:name="_Toc20246"/>
      <w:bookmarkStart w:id="97" w:name="_Toc13603237"/>
      <w:bookmarkStart w:id="98" w:name="_Toc46673443"/>
      <w:bookmarkStart w:id="99" w:name="_Toc469730741"/>
      <w:bookmarkStart w:id="100" w:name="_Toc480204650"/>
      <w:r>
        <w:rPr>
          <w:rFonts w:hint="eastAsia" w:ascii="宋体" w:hAnsi="宋体" w:cs="宋体"/>
          <w:color w:val="auto"/>
          <w:sz w:val="22"/>
          <w:szCs w:val="22"/>
          <w:highlight w:val="none"/>
        </w:rPr>
        <w:br w:type="page"/>
      </w:r>
      <w:bookmarkEnd w:id="95"/>
      <w:bookmarkEnd w:id="96"/>
      <w:bookmarkEnd w:id="97"/>
      <w:bookmarkEnd w:id="98"/>
      <w:bookmarkEnd w:id="99"/>
      <w:bookmarkEnd w:id="100"/>
      <w:bookmarkStart w:id="101" w:name="_Toc16713"/>
      <w:bookmarkStart w:id="102" w:name="_Toc7941"/>
      <w:r>
        <w:rPr>
          <w:rFonts w:hint="eastAsia" w:ascii="宋体" w:hAnsi="宋体" w:cs="宋体"/>
          <w:b/>
          <w:bCs/>
          <w:color w:val="auto"/>
          <w:sz w:val="24"/>
          <w:highlight w:val="none"/>
        </w:rPr>
        <w:t>附件</w:t>
      </w:r>
      <w:r>
        <w:rPr>
          <w:rFonts w:hint="eastAsia" w:hAnsi="宋体" w:cs="宋体"/>
          <w:b/>
          <w:bCs/>
          <w:color w:val="auto"/>
          <w:sz w:val="24"/>
          <w:highlight w:val="none"/>
          <w:lang w:val="en-US" w:eastAsia="zh-CN"/>
        </w:rPr>
        <w:t>七</w:t>
      </w:r>
      <w:r>
        <w:rPr>
          <w:rFonts w:hint="eastAsia" w:ascii="宋体" w:hAnsi="宋体" w:cs="宋体"/>
          <w:b/>
          <w:bCs/>
          <w:color w:val="auto"/>
          <w:sz w:val="24"/>
          <w:highlight w:val="none"/>
        </w:rPr>
        <w:t xml:space="preserve">  </w:t>
      </w:r>
      <w:bookmarkEnd w:id="101"/>
      <w:bookmarkEnd w:id="102"/>
      <w:r>
        <w:rPr>
          <w:rFonts w:hint="eastAsia" w:ascii="宋体" w:hAnsi="宋体" w:cs="宋体"/>
          <w:b/>
          <w:bCs/>
          <w:color w:val="auto"/>
          <w:sz w:val="24"/>
          <w:highlight w:val="none"/>
        </w:rPr>
        <w:t>节能环保</w:t>
      </w:r>
    </w:p>
    <w:p w14:paraId="447AA35C">
      <w:pPr>
        <w:spacing w:line="440" w:lineRule="exact"/>
        <w:ind w:left="708" w:hanging="708" w:hangingChars="294"/>
        <w:jc w:val="center"/>
        <w:rPr>
          <w:rFonts w:hint="eastAsia" w:ascii="宋体" w:hAnsi="宋体" w:cs="宋体"/>
          <w:b/>
          <w:color w:val="auto"/>
          <w:sz w:val="24"/>
          <w:highlight w:val="none"/>
        </w:rPr>
      </w:pPr>
      <w:r>
        <w:rPr>
          <w:rFonts w:hint="eastAsia" w:ascii="宋体" w:hAnsi="宋体" w:cs="宋体"/>
          <w:b/>
          <w:color w:val="auto"/>
          <w:sz w:val="24"/>
          <w:highlight w:val="none"/>
        </w:rPr>
        <w:t>节能、环保产品优先（强制）采购政策说明</w:t>
      </w:r>
    </w:p>
    <w:p w14:paraId="5843ACD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708BF9D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0C9B920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31FA5B9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3E51D8E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0F00DC5F">
      <w:pPr>
        <w:pStyle w:val="13"/>
        <w:rPr>
          <w:rFonts w:hint="eastAsia" w:ascii="宋体" w:hAnsi="宋体" w:cs="宋体"/>
          <w:color w:val="auto"/>
          <w:highlight w:val="none"/>
        </w:rPr>
      </w:pPr>
      <w:r>
        <w:rPr>
          <w:rFonts w:hint="eastAsia" w:ascii="宋体" w:hAnsi="宋体" w:cs="宋体"/>
          <w:color w:val="auto"/>
          <w:sz w:val="22"/>
          <w:szCs w:val="22"/>
          <w:highlight w:val="none"/>
        </w:rPr>
        <w:t>（五）关于印发环境标志产品政府采购品目清单</w:t>
      </w:r>
    </w:p>
    <w:p w14:paraId="4F4D5EE8">
      <w:pPr>
        <w:pStyle w:val="13"/>
        <w:rPr>
          <w:rFonts w:hint="eastAsia" w:ascii="宋体" w:hAnsi="宋体" w:cs="宋体"/>
          <w:color w:val="auto"/>
          <w:highlight w:val="none"/>
        </w:rPr>
      </w:pPr>
    </w:p>
    <w:p w14:paraId="09F83F4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的通知（财库〔2019〕18号）</w:t>
      </w:r>
    </w:p>
    <w:p w14:paraId="06675CF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7E609B9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45A689E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2397A534">
      <w:pPr>
        <w:pStyle w:val="13"/>
        <w:rPr>
          <w:rFonts w:hint="eastAsia" w:ascii="宋体" w:hAnsi="宋体" w:cs="宋体"/>
          <w:color w:val="auto"/>
          <w:highlight w:val="none"/>
        </w:rPr>
      </w:pPr>
    </w:p>
    <w:p w14:paraId="30CE3090">
      <w:pPr>
        <w:spacing w:line="380" w:lineRule="exact"/>
        <w:jc w:val="left"/>
        <w:rPr>
          <w:rFonts w:hint="eastAsia" w:ascii="宋体" w:hAnsi="宋体" w:cs="宋体"/>
          <w:color w:val="auto"/>
          <w:kern w:val="0"/>
          <w:sz w:val="22"/>
          <w:highlight w:val="none"/>
        </w:rPr>
      </w:pPr>
      <w:r>
        <w:rPr>
          <w:rFonts w:hint="eastAsia" w:ascii="宋体" w:hAnsi="宋体" w:cs="宋体"/>
          <w:color w:val="auto"/>
          <w:highlight w:val="none"/>
        </w:rPr>
        <w:br w:type="page"/>
      </w:r>
      <w:r>
        <w:rPr>
          <w:rFonts w:hint="eastAsia" w:ascii="宋体" w:hAnsi="宋体" w:cs="宋体"/>
          <w:color w:val="auto"/>
          <w:kern w:val="0"/>
          <w:sz w:val="22"/>
          <w:highlight w:val="none"/>
        </w:rPr>
        <w:t>附件1：</w:t>
      </w:r>
    </w:p>
    <w:p w14:paraId="454F111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节能环保产品声明函</w:t>
      </w:r>
    </w:p>
    <w:p w14:paraId="3C147A37">
      <w:pPr>
        <w:autoSpaceDE w:val="0"/>
        <w:autoSpaceDN w:val="0"/>
        <w:adjustRightInd w:val="0"/>
        <w:spacing w:line="460" w:lineRule="atLeast"/>
        <w:jc w:val="center"/>
        <w:rPr>
          <w:rFonts w:hint="eastAsia" w:ascii="宋体" w:hAnsi="宋体" w:cs="宋体"/>
          <w:color w:val="auto"/>
          <w:kern w:val="0"/>
          <w:sz w:val="36"/>
          <w:szCs w:val="20"/>
          <w:highlight w:val="none"/>
          <w:lang w:val="zh-CN"/>
        </w:rPr>
      </w:pPr>
      <w:r>
        <w:rPr>
          <w:rFonts w:hint="eastAsia" w:ascii="宋体" w:hAnsi="宋体" w:cs="宋体"/>
          <w:color w:val="auto"/>
          <w:kern w:val="0"/>
          <w:sz w:val="22"/>
          <w:highlight w:val="none"/>
        </w:rPr>
        <w:t>（如有则提供）</w:t>
      </w:r>
    </w:p>
    <w:p w14:paraId="6F7D345A">
      <w:pPr>
        <w:spacing w:line="460" w:lineRule="atLeast"/>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7B374514">
      <w:pPr>
        <w:spacing w:line="460" w:lineRule="atLeast"/>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1.本公司参加</w:t>
      </w:r>
      <w:r>
        <w:rPr>
          <w:rFonts w:hint="eastAsia" w:ascii="宋体" w:hAnsi="宋体" w:cs="宋体"/>
          <w:color w:val="auto"/>
          <w:kern w:val="0"/>
          <w:sz w:val="22"/>
          <w:highlight w:val="none"/>
          <w:u w:val="single"/>
        </w:rPr>
        <w:t>（采购项目名称，项目编号）</w:t>
      </w:r>
      <w:r>
        <w:rPr>
          <w:rFonts w:hint="eastAsia" w:ascii="宋体" w:hAnsi="宋体" w:cs="宋体"/>
          <w:color w:val="auto"/>
          <w:kern w:val="0"/>
          <w:sz w:val="22"/>
          <w:highlight w:val="none"/>
        </w:rPr>
        <w:t>的采购活动提供的产品已列入《节能产品政府采购品目清单》。</w:t>
      </w:r>
    </w:p>
    <w:p w14:paraId="7B6D57D7">
      <w:pPr>
        <w:spacing w:line="460" w:lineRule="atLeast"/>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2.本公司参加</w:t>
      </w:r>
      <w:r>
        <w:rPr>
          <w:rFonts w:hint="eastAsia" w:ascii="宋体" w:hAnsi="宋体" w:cs="宋体"/>
          <w:color w:val="auto"/>
          <w:kern w:val="0"/>
          <w:sz w:val="22"/>
          <w:highlight w:val="none"/>
          <w:u w:val="single"/>
        </w:rPr>
        <w:t>（采购项目名称，项目编号）</w:t>
      </w:r>
      <w:r>
        <w:rPr>
          <w:rFonts w:hint="eastAsia" w:ascii="宋体" w:hAnsi="宋体" w:cs="宋体"/>
          <w:color w:val="auto"/>
          <w:kern w:val="0"/>
          <w:sz w:val="22"/>
          <w:highlight w:val="none"/>
        </w:rPr>
        <w:t>的采购活动提供的产品已列入《环境标志产品政府采购品目清单》。</w:t>
      </w:r>
    </w:p>
    <w:p w14:paraId="3F8B8208">
      <w:pPr>
        <w:spacing w:line="460" w:lineRule="atLeast"/>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本公司对上述声明的真实性负责。如有虚假，将依法承担相应法律责任。</w:t>
      </w:r>
    </w:p>
    <w:p w14:paraId="1D593756">
      <w:pPr>
        <w:spacing w:line="460" w:lineRule="atLeast"/>
        <w:rPr>
          <w:rFonts w:hint="eastAsia" w:ascii="宋体" w:hAnsi="宋体" w:cs="宋体"/>
          <w:color w:val="auto"/>
          <w:kern w:val="0"/>
          <w:sz w:val="22"/>
          <w:highlight w:val="none"/>
        </w:rPr>
      </w:pPr>
    </w:p>
    <w:p w14:paraId="52EF7316">
      <w:pPr>
        <w:pStyle w:val="13"/>
        <w:rPr>
          <w:rFonts w:hint="eastAsia" w:ascii="宋体" w:hAnsi="宋体" w:cs="宋体"/>
          <w:color w:val="auto"/>
          <w:highlight w:val="none"/>
        </w:rPr>
      </w:pPr>
    </w:p>
    <w:p w14:paraId="497105A7">
      <w:pPr>
        <w:autoSpaceDE w:val="0"/>
        <w:autoSpaceDN w:val="0"/>
        <w:adjustRightInd w:val="0"/>
        <w:spacing w:line="460" w:lineRule="atLeast"/>
        <w:rPr>
          <w:rFonts w:hint="eastAsia" w:ascii="宋体" w:hAnsi="宋体" w:cs="宋体"/>
          <w:color w:val="auto"/>
          <w:kern w:val="0"/>
          <w:sz w:val="22"/>
          <w:szCs w:val="20"/>
          <w:highlight w:val="none"/>
          <w:lang w:val="zh-CN"/>
        </w:rPr>
      </w:pPr>
      <w:r>
        <w:rPr>
          <w:rFonts w:hint="eastAsia" w:ascii="宋体" w:hAnsi="宋体" w:cs="宋体"/>
          <w:color w:val="auto"/>
          <w:kern w:val="0"/>
          <w:sz w:val="22"/>
          <w:szCs w:val="20"/>
          <w:highlight w:val="none"/>
        </w:rPr>
        <w:t>投标人</w:t>
      </w:r>
      <w:r>
        <w:rPr>
          <w:rFonts w:hint="eastAsia" w:ascii="宋体" w:hAnsi="宋体" w:cs="宋体"/>
          <w:color w:val="auto"/>
          <w:kern w:val="0"/>
          <w:sz w:val="22"/>
          <w:szCs w:val="20"/>
          <w:highlight w:val="none"/>
          <w:lang w:val="zh-CN"/>
        </w:rPr>
        <w:t xml:space="preserve">盖章：        </w:t>
      </w:r>
    </w:p>
    <w:p w14:paraId="7980B344">
      <w:pPr>
        <w:spacing w:line="460" w:lineRule="atLeast"/>
        <w:rPr>
          <w:rFonts w:hint="eastAsia" w:ascii="宋体" w:hAnsi="宋体" w:cs="宋体"/>
          <w:color w:val="auto"/>
          <w:kern w:val="0"/>
          <w:sz w:val="28"/>
          <w:szCs w:val="28"/>
          <w:highlight w:val="none"/>
        </w:rPr>
      </w:pPr>
      <w:r>
        <w:rPr>
          <w:rFonts w:hint="eastAsia" w:ascii="宋体" w:hAnsi="宋体" w:cs="宋体"/>
          <w:color w:val="auto"/>
          <w:kern w:val="0"/>
          <w:sz w:val="22"/>
          <w:highlight w:val="none"/>
        </w:rPr>
        <w:t xml:space="preserve">日 期：                  </w:t>
      </w:r>
    </w:p>
    <w:p w14:paraId="46832410">
      <w:pPr>
        <w:spacing w:line="380" w:lineRule="exact"/>
        <w:jc w:val="left"/>
        <w:rPr>
          <w:rFonts w:hint="eastAsia" w:ascii="宋体" w:hAnsi="宋体" w:cs="宋体"/>
          <w:color w:val="auto"/>
          <w:kern w:val="0"/>
          <w:sz w:val="22"/>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2"/>
          <w:highlight w:val="none"/>
        </w:rPr>
        <w:t>附件2：</w:t>
      </w:r>
    </w:p>
    <w:p w14:paraId="25BC081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节能（环保）产品清单</w:t>
      </w:r>
    </w:p>
    <w:p w14:paraId="0B8B4500">
      <w:pPr>
        <w:autoSpaceDE w:val="0"/>
        <w:autoSpaceDN w:val="0"/>
        <w:adjustRightInd w:val="0"/>
        <w:spacing w:line="460" w:lineRule="atLeas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（如有则提供）</w:t>
      </w:r>
    </w:p>
    <w:p w14:paraId="6D39FF21">
      <w:pPr>
        <w:pStyle w:val="13"/>
        <w:rPr>
          <w:rFonts w:hint="eastAsia" w:ascii="宋体" w:hAnsi="宋体" w:cs="宋体"/>
          <w:color w:val="auto"/>
          <w:highlight w:val="none"/>
        </w:rPr>
      </w:pPr>
    </w:p>
    <w:p w14:paraId="06272A02">
      <w:pPr>
        <w:rPr>
          <w:rFonts w:hint="eastAsia" w:ascii="宋体" w:hAnsi="宋体" w:cs="宋体"/>
          <w:color w:val="auto"/>
          <w:kern w:val="0"/>
          <w:sz w:val="22"/>
          <w:highlight w:val="none"/>
        </w:rPr>
      </w:pPr>
      <w:r>
        <w:rPr>
          <w:rFonts w:hint="eastAsia" w:ascii="宋体" w:hAnsi="宋体" w:cs="宋体"/>
          <w:color w:val="auto"/>
          <w:kern w:val="0"/>
          <w:sz w:val="22"/>
          <w:highlight w:val="none"/>
        </w:rPr>
        <w:t>（1）所投产品中已列入《节能产品政府采购品目清单》明细</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D26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1D774A06">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69067F2">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576DEA2">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产品名称、</w:t>
            </w:r>
          </w:p>
          <w:p w14:paraId="2A184767">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277F1C">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7B04E9">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BA29BD">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4710D67">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认证机构名称</w:t>
            </w:r>
          </w:p>
        </w:tc>
      </w:tr>
      <w:tr w14:paraId="12D3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12A7D6E5">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C14428D">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1E04840">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0C66FCE">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F9BD73">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E76E298">
            <w:pPr>
              <w:spacing w:line="460" w:lineRule="exact"/>
              <w:rPr>
                <w:rFonts w:hint="eastAsia" w:ascii="宋体" w:hAnsi="宋体" w:cs="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5308AE1D">
            <w:pPr>
              <w:spacing w:line="460" w:lineRule="exact"/>
              <w:rPr>
                <w:rFonts w:hint="eastAsia" w:ascii="宋体" w:hAnsi="宋体" w:cs="宋体"/>
                <w:color w:val="auto"/>
                <w:kern w:val="0"/>
                <w:sz w:val="22"/>
                <w:szCs w:val="20"/>
                <w:highlight w:val="none"/>
              </w:rPr>
            </w:pPr>
          </w:p>
        </w:tc>
      </w:tr>
      <w:tr w14:paraId="4BA7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2D2A9043">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EC8C404">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B00CF77">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F66955F">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C17882F">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A9A255">
            <w:pPr>
              <w:spacing w:line="460" w:lineRule="exact"/>
              <w:rPr>
                <w:rFonts w:hint="eastAsia" w:ascii="宋体" w:hAnsi="宋体" w:cs="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27CD4650">
            <w:pPr>
              <w:spacing w:line="460" w:lineRule="exact"/>
              <w:rPr>
                <w:rFonts w:hint="eastAsia" w:ascii="宋体" w:hAnsi="宋体" w:cs="宋体"/>
                <w:color w:val="auto"/>
                <w:kern w:val="0"/>
                <w:sz w:val="22"/>
                <w:szCs w:val="20"/>
                <w:highlight w:val="none"/>
              </w:rPr>
            </w:pPr>
          </w:p>
        </w:tc>
      </w:tr>
      <w:tr w14:paraId="1A1D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793BA64C">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BBD5A6F">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5993C4A">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BDD5F5">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F297AB">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6FB0451">
            <w:pPr>
              <w:spacing w:line="460" w:lineRule="exact"/>
              <w:rPr>
                <w:rFonts w:hint="eastAsia" w:ascii="宋体" w:hAnsi="宋体" w:cs="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69181A55">
            <w:pPr>
              <w:spacing w:line="460" w:lineRule="exact"/>
              <w:rPr>
                <w:rFonts w:hint="eastAsia" w:ascii="宋体" w:hAnsi="宋体" w:cs="宋体"/>
                <w:color w:val="auto"/>
                <w:kern w:val="0"/>
                <w:sz w:val="22"/>
                <w:szCs w:val="20"/>
                <w:highlight w:val="none"/>
              </w:rPr>
            </w:pPr>
          </w:p>
        </w:tc>
      </w:tr>
      <w:tr w14:paraId="52E3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609CEABC">
            <w:pPr>
              <w:spacing w:line="460" w:lineRule="exact"/>
              <w:rPr>
                <w:rFonts w:hint="eastAsia" w:ascii="宋体" w:hAnsi="宋体" w:cs="宋体"/>
                <w:color w:val="auto"/>
                <w:kern w:val="0"/>
                <w:sz w:val="22"/>
                <w:szCs w:val="20"/>
                <w:highlight w:val="none"/>
              </w:rPr>
            </w:pPr>
          </w:p>
          <w:p w14:paraId="3D0D47AB">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EA8CC92">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ADA5E25">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3F9F280">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4C42C15">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4E020C8">
            <w:pPr>
              <w:spacing w:line="460" w:lineRule="exact"/>
              <w:rPr>
                <w:rFonts w:hint="eastAsia" w:ascii="宋体" w:hAnsi="宋体" w:cs="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66292DC2">
            <w:pPr>
              <w:spacing w:line="460" w:lineRule="exact"/>
              <w:rPr>
                <w:rFonts w:hint="eastAsia" w:ascii="宋体" w:hAnsi="宋体" w:cs="宋体"/>
                <w:color w:val="auto"/>
                <w:kern w:val="0"/>
                <w:sz w:val="22"/>
                <w:szCs w:val="20"/>
                <w:highlight w:val="none"/>
              </w:rPr>
            </w:pPr>
          </w:p>
        </w:tc>
      </w:tr>
    </w:tbl>
    <w:p w14:paraId="4A37582E">
      <w:pPr>
        <w:spacing w:line="4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（2）所投产品中已列入《环境标志产品政府采购品目清单》明细</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6A2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FBEC9E9">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0798BEF">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A77D225">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产品名称、</w:t>
            </w:r>
          </w:p>
          <w:p w14:paraId="1B7524CA">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A63B52">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8939315">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7E1394">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14:paraId="055BF7F2">
            <w:pPr>
              <w:spacing w:line="460" w:lineRule="exac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认证机构名称</w:t>
            </w:r>
          </w:p>
        </w:tc>
      </w:tr>
      <w:tr w14:paraId="6FC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503AE2D0">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B08CBBC">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A189356">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3D3765">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46D45E3">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29A551B">
            <w:pPr>
              <w:spacing w:line="460" w:lineRule="exact"/>
              <w:rPr>
                <w:rFonts w:hint="eastAsia" w:ascii="宋体" w:hAnsi="宋体" w:cs="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14:paraId="5EEA1FB6">
            <w:pPr>
              <w:spacing w:line="460" w:lineRule="exact"/>
              <w:rPr>
                <w:rFonts w:hint="eastAsia" w:ascii="宋体" w:hAnsi="宋体" w:cs="宋体"/>
                <w:color w:val="auto"/>
                <w:kern w:val="0"/>
                <w:sz w:val="22"/>
                <w:szCs w:val="20"/>
                <w:highlight w:val="none"/>
              </w:rPr>
            </w:pPr>
          </w:p>
        </w:tc>
      </w:tr>
      <w:tr w14:paraId="760D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7FF407E9">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C3788D9">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60DC0B6">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465122">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024710E">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173EE50">
            <w:pPr>
              <w:spacing w:line="460" w:lineRule="exact"/>
              <w:rPr>
                <w:rFonts w:hint="eastAsia" w:ascii="宋体" w:hAnsi="宋体" w:cs="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14:paraId="7AC5ABB1">
            <w:pPr>
              <w:spacing w:line="460" w:lineRule="exact"/>
              <w:rPr>
                <w:rFonts w:hint="eastAsia" w:ascii="宋体" w:hAnsi="宋体" w:cs="宋体"/>
                <w:color w:val="auto"/>
                <w:kern w:val="0"/>
                <w:sz w:val="22"/>
                <w:szCs w:val="20"/>
                <w:highlight w:val="none"/>
              </w:rPr>
            </w:pPr>
          </w:p>
        </w:tc>
      </w:tr>
      <w:tr w14:paraId="367D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2B49B61F">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6D50DA4">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E6206C4">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F071E67">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DA29BE7">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AEF8706">
            <w:pPr>
              <w:spacing w:line="460" w:lineRule="exact"/>
              <w:rPr>
                <w:rFonts w:hint="eastAsia" w:ascii="宋体" w:hAnsi="宋体" w:cs="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14:paraId="33170AF3">
            <w:pPr>
              <w:spacing w:line="460" w:lineRule="exact"/>
              <w:rPr>
                <w:rFonts w:hint="eastAsia" w:ascii="宋体" w:hAnsi="宋体" w:cs="宋体"/>
                <w:color w:val="auto"/>
                <w:kern w:val="0"/>
                <w:sz w:val="22"/>
                <w:szCs w:val="20"/>
                <w:highlight w:val="none"/>
              </w:rPr>
            </w:pPr>
          </w:p>
        </w:tc>
      </w:tr>
      <w:tr w14:paraId="76C8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3CCED220">
            <w:pPr>
              <w:spacing w:line="460" w:lineRule="exact"/>
              <w:rPr>
                <w:rFonts w:hint="eastAsia" w:ascii="宋体" w:hAnsi="宋体" w:cs="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F19B83F">
            <w:pPr>
              <w:spacing w:line="460" w:lineRule="exact"/>
              <w:rPr>
                <w:rFonts w:hint="eastAsia" w:ascii="宋体" w:hAnsi="宋体" w:cs="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3FDB4A7">
            <w:pPr>
              <w:spacing w:line="460" w:lineRule="exact"/>
              <w:rPr>
                <w:rFonts w:hint="eastAsia" w:ascii="宋体" w:hAnsi="宋体" w:cs="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B84A42">
            <w:pPr>
              <w:spacing w:line="460" w:lineRule="exact"/>
              <w:rPr>
                <w:rFonts w:hint="eastAsia" w:ascii="宋体" w:hAnsi="宋体" w:cs="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D2400B8">
            <w:pPr>
              <w:spacing w:line="460" w:lineRule="exact"/>
              <w:rPr>
                <w:rFonts w:hint="eastAsia" w:ascii="宋体" w:hAnsi="宋体" w:cs="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192AD6">
            <w:pPr>
              <w:spacing w:line="460" w:lineRule="exact"/>
              <w:rPr>
                <w:rFonts w:hint="eastAsia" w:ascii="宋体" w:hAnsi="宋体" w:cs="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14:paraId="340B8352">
            <w:pPr>
              <w:spacing w:line="460" w:lineRule="exact"/>
              <w:rPr>
                <w:rFonts w:hint="eastAsia" w:ascii="宋体" w:hAnsi="宋体" w:cs="宋体"/>
                <w:color w:val="auto"/>
                <w:kern w:val="0"/>
                <w:sz w:val="22"/>
                <w:szCs w:val="20"/>
                <w:highlight w:val="none"/>
              </w:rPr>
            </w:pPr>
          </w:p>
        </w:tc>
      </w:tr>
    </w:tbl>
    <w:p w14:paraId="2F137359">
      <w:pPr>
        <w:spacing w:line="460" w:lineRule="exact"/>
        <w:rPr>
          <w:rFonts w:hint="eastAsia" w:ascii="宋体" w:hAnsi="宋体" w:cs="宋体"/>
          <w:b/>
          <w:color w:val="auto"/>
          <w:kern w:val="0"/>
          <w:sz w:val="22"/>
          <w:highlight w:val="none"/>
        </w:rPr>
      </w:pPr>
      <w:r>
        <w:rPr>
          <w:rFonts w:hint="eastAsia" w:ascii="宋体" w:hAnsi="宋体" w:cs="宋体"/>
          <w:b/>
          <w:color w:val="auto"/>
          <w:kern w:val="0"/>
          <w:sz w:val="22"/>
          <w:highlight w:val="none"/>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2019〕19号）。</w:t>
      </w:r>
      <w:r>
        <w:rPr>
          <w:rFonts w:hint="eastAsia" w:ascii="宋体" w:hAnsi="宋体" w:cs="宋体"/>
          <w:b/>
          <w:color w:val="auto"/>
          <w:kern w:val="0"/>
          <w:sz w:val="22"/>
          <w:szCs w:val="20"/>
          <w:highlight w:val="none"/>
        </w:rPr>
        <w:t>投标响应文件中必须提供</w:t>
      </w:r>
      <w:r>
        <w:rPr>
          <w:rFonts w:hint="eastAsia" w:ascii="宋体" w:hAnsi="宋体" w:cs="宋体"/>
          <w:b/>
          <w:color w:val="auto"/>
          <w:kern w:val="0"/>
          <w:sz w:val="22"/>
          <w:highlight w:val="none"/>
        </w:rPr>
        <w:t>属于政府强制采购的节能产品</w:t>
      </w:r>
      <w:r>
        <w:rPr>
          <w:rFonts w:hint="eastAsia" w:ascii="宋体" w:hAnsi="宋体" w:cs="宋体"/>
          <w:b/>
          <w:color w:val="auto"/>
          <w:kern w:val="0"/>
          <w:sz w:val="22"/>
          <w:szCs w:val="20"/>
          <w:highlight w:val="none"/>
        </w:rPr>
        <w:t>的认证证书复印件或扫描件，否则不予认可。</w:t>
      </w:r>
    </w:p>
    <w:p w14:paraId="6527A98B">
      <w:pPr>
        <w:spacing w:line="460" w:lineRule="exact"/>
        <w:rPr>
          <w:rFonts w:hint="eastAsia" w:ascii="宋体" w:hAnsi="宋体" w:cs="宋体"/>
          <w:b/>
          <w:color w:val="auto"/>
          <w:kern w:val="0"/>
          <w:sz w:val="22"/>
          <w:highlight w:val="none"/>
        </w:rPr>
      </w:pPr>
      <w:r>
        <w:rPr>
          <w:rFonts w:hint="eastAsia" w:ascii="宋体" w:hAnsi="宋体" w:cs="宋体"/>
          <w:b/>
          <w:color w:val="auto"/>
          <w:kern w:val="0"/>
          <w:sz w:val="22"/>
          <w:highlight w:val="none"/>
        </w:rPr>
        <w:t>2、表格可以延续。</w:t>
      </w:r>
    </w:p>
    <w:p w14:paraId="021BE0D4">
      <w:pPr>
        <w:pStyle w:val="13"/>
        <w:rPr>
          <w:rFonts w:hint="eastAsia" w:ascii="宋体" w:hAnsi="宋体" w:cs="宋体"/>
          <w:color w:val="auto"/>
          <w:highlight w:val="none"/>
        </w:rPr>
      </w:pPr>
    </w:p>
    <w:p w14:paraId="0981F9C9">
      <w:pPr>
        <w:spacing w:line="440" w:lineRule="atLeast"/>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投标人全称（电子签章）：        </w:t>
      </w:r>
    </w:p>
    <w:p w14:paraId="2B66907F">
      <w:pPr>
        <w:pStyle w:val="13"/>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日 期：   </w:t>
      </w:r>
    </w:p>
    <w:p w14:paraId="28269850">
      <w:pPr>
        <w:pStyle w:val="13"/>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   </w:t>
      </w:r>
    </w:p>
    <w:p w14:paraId="06501CD0">
      <w:pPr>
        <w:pStyle w:val="37"/>
        <w:rPr>
          <w:rFonts w:hint="eastAsia"/>
          <w:color w:val="auto"/>
          <w:highlight w:val="none"/>
        </w:rPr>
      </w:pPr>
    </w:p>
    <w:p w14:paraId="6E0F3892">
      <w:pPr>
        <w:widowControl/>
        <w:snapToGrid w:val="0"/>
        <w:spacing w:before="120" w:after="120" w:line="500" w:lineRule="atLeast"/>
        <w:jc w:val="center"/>
        <w:rPr>
          <w:rFonts w:hint="eastAsia" w:ascii="宋体" w:hAnsi="宋体" w:cs="宋体"/>
          <w:b/>
          <w:color w:val="auto"/>
          <w:sz w:val="44"/>
          <w:szCs w:val="44"/>
          <w:highlight w:val="none"/>
        </w:rPr>
      </w:pPr>
      <w:bookmarkStart w:id="103" w:name="_Toc29350"/>
      <w:bookmarkStart w:id="104" w:name="_Toc20069"/>
      <w:r>
        <w:rPr>
          <w:rFonts w:hint="eastAsia" w:ascii="宋体" w:hAnsi="宋体" w:cs="宋体"/>
          <w:b/>
          <w:color w:val="auto"/>
          <w:sz w:val="44"/>
          <w:szCs w:val="44"/>
          <w:highlight w:val="none"/>
        </w:rPr>
        <w:t>政府采购活动现场确认声明书</w:t>
      </w:r>
      <w:bookmarkEnd w:id="103"/>
      <w:bookmarkEnd w:id="104"/>
    </w:p>
    <w:p w14:paraId="41172BCB">
      <w:pPr>
        <w:jc w:val="center"/>
        <w:rPr>
          <w:rFonts w:hint="eastAsia" w:ascii="宋体" w:hAnsi="宋体" w:cs="宋体"/>
          <w:b/>
          <w:color w:val="auto"/>
          <w:sz w:val="36"/>
          <w:szCs w:val="36"/>
          <w:highlight w:val="none"/>
        </w:rPr>
      </w:pPr>
    </w:p>
    <w:p w14:paraId="07020B8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温州市圣励招标代理有限公司：</w:t>
      </w:r>
    </w:p>
    <w:p w14:paraId="4C4D2C9B">
      <w:pPr>
        <w:spacing w:line="440" w:lineRule="exact"/>
        <w:ind w:firstLine="440" w:firstLineChars="200"/>
        <w:rPr>
          <w:rFonts w:hint="eastAsia" w:ascii="宋体" w:hAnsi="宋体" w:cs="宋体"/>
          <w:color w:val="auto"/>
          <w:sz w:val="22"/>
          <w:szCs w:val="22"/>
          <w:highlight w:val="none"/>
        </w:rPr>
      </w:pPr>
    </w:p>
    <w:p w14:paraId="3684475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本人经由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（供应商名称）负责人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（姓名）合法授权参加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项目（编号：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）政府采购活动，经与本单位法人代表（负责人）联系确认，现就有关公平竞争事项郑重声明如下：</w:t>
      </w:r>
    </w:p>
    <w:p w14:paraId="719F55CF">
      <w:pPr>
        <w:numPr>
          <w:ilvl w:val="0"/>
          <w:numId w:val="6"/>
        </w:numPr>
        <w:spacing w:line="440" w:lineRule="exact"/>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F86759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6D94139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w:t>
      </w:r>
      <w:r>
        <w:rPr>
          <w:rFonts w:hint="eastAsia" w:ascii="宋体" w:hAnsi="宋体" w:cs="宋体"/>
          <w:color w:val="auto"/>
          <w:sz w:val="22"/>
          <w:szCs w:val="22"/>
          <w:highlight w:val="none"/>
          <w:u w:val="single"/>
        </w:rPr>
        <w:t xml:space="preserve">（如有，请如实说明）                 </w:t>
      </w:r>
      <w:r>
        <w:rPr>
          <w:rFonts w:hint="eastAsia" w:ascii="宋体" w:hAnsi="宋体" w:cs="宋体"/>
          <w:color w:val="auto"/>
          <w:sz w:val="22"/>
          <w:szCs w:val="22"/>
          <w:highlight w:val="none"/>
        </w:rPr>
        <w:t>。</w:t>
      </w:r>
    </w:p>
    <w:p w14:paraId="34E102A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二、现已清楚知道参加本项目采购活动的其他所有供应商名称，本单位 □与其他所有供应商之间均不存在利害关系 □与</w:t>
      </w:r>
      <w:r>
        <w:rPr>
          <w:rFonts w:hint="eastAsia" w:ascii="宋体" w:hAnsi="宋体" w:cs="宋体"/>
          <w:color w:val="auto"/>
          <w:sz w:val="22"/>
          <w:szCs w:val="22"/>
          <w:highlight w:val="none"/>
          <w:u w:val="single"/>
        </w:rPr>
        <w:t xml:space="preserve">           （供应商名称）</w:t>
      </w:r>
      <w:r>
        <w:rPr>
          <w:rFonts w:hint="eastAsia" w:ascii="宋体" w:hAnsi="宋体" w:cs="宋体"/>
          <w:color w:val="auto"/>
          <w:sz w:val="22"/>
          <w:szCs w:val="22"/>
          <w:highlight w:val="none"/>
        </w:rPr>
        <w:t>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9EBFBE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51D4286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65E5529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041ACA1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5F076C7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34A29ED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2E339E7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25DE159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7606722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D9D5819">
      <w:pPr>
        <w:numPr>
          <w:ilvl w:val="0"/>
          <w:numId w:val="7"/>
        </w:numPr>
        <w:spacing w:line="440" w:lineRule="exact"/>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现已清楚知道并严格遵守政府采购法律法规和现场纪律。</w:t>
      </w:r>
    </w:p>
    <w:p w14:paraId="619576C9">
      <w:pPr>
        <w:numPr>
          <w:ilvl w:val="0"/>
          <w:numId w:val="7"/>
        </w:numPr>
        <w:spacing w:line="440" w:lineRule="exact"/>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和</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29A231B0">
      <w:pPr>
        <w:spacing w:line="440" w:lineRule="exact"/>
        <w:ind w:firstLine="4840" w:firstLineChars="2200"/>
        <w:rPr>
          <w:rFonts w:hint="eastAsia" w:ascii="宋体" w:hAnsi="宋体" w:cs="宋体"/>
          <w:color w:val="auto"/>
          <w:sz w:val="22"/>
          <w:szCs w:val="22"/>
          <w:highlight w:val="none"/>
        </w:rPr>
      </w:pPr>
    </w:p>
    <w:p w14:paraId="0C4862CF">
      <w:pPr>
        <w:spacing w:line="44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w:t>
      </w:r>
    </w:p>
    <w:p w14:paraId="58063445">
      <w:pPr>
        <w:tabs>
          <w:tab w:val="left" w:pos="4962"/>
          <w:tab w:val="left" w:pos="5103"/>
        </w:tabs>
        <w:spacing w:line="440" w:lineRule="exact"/>
        <w:ind w:right="1200"/>
        <w:jc w:val="right"/>
        <w:rPr>
          <w:rFonts w:hint="eastAsia" w:ascii="宋体" w:hAnsi="宋体" w:cs="宋体"/>
          <w:color w:val="auto"/>
          <w:sz w:val="22"/>
          <w:szCs w:val="22"/>
          <w:highlight w:val="none"/>
        </w:rPr>
      </w:pPr>
    </w:p>
    <w:p w14:paraId="7277265F">
      <w:pPr>
        <w:spacing w:line="440" w:lineRule="exac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C1055FC">
      <w:pPr>
        <w:pStyle w:val="2"/>
        <w:rPr>
          <w:rFonts w:hint="eastAsia"/>
          <w:highlight w:val="none"/>
        </w:rPr>
        <w:sectPr>
          <w:headerReference r:id="rId13" w:type="default"/>
          <w:footerReference r:id="rId14" w:type="default"/>
          <w:pgSz w:w="11906" w:h="16838"/>
          <w:pgMar w:top="1134" w:right="1134" w:bottom="1134" w:left="1134" w:header="851" w:footer="992" w:gutter="0"/>
          <w:pgNumType w:fmt="decimal"/>
          <w:cols w:space="720" w:num="1"/>
          <w:docGrid w:linePitch="312" w:charSpace="0"/>
        </w:sectPr>
      </w:pPr>
      <w:bookmarkStart w:id="105" w:name="_Toc10485"/>
      <w:bookmarkStart w:id="106" w:name="_Toc22957"/>
    </w:p>
    <w:p w14:paraId="275B8A6F">
      <w:pPr>
        <w:spacing w:line="420" w:lineRule="exact"/>
        <w:jc w:val="center"/>
        <w:outlineLvl w:val="0"/>
        <w:rPr>
          <w:rFonts w:hint="eastAsia" w:ascii="宋体" w:hAnsi="宋体" w:cs="宋体"/>
          <w:b/>
          <w:bCs/>
          <w:color w:val="auto"/>
          <w:sz w:val="32"/>
          <w:highlight w:val="none"/>
        </w:rPr>
      </w:pPr>
      <w:r>
        <w:rPr>
          <w:rFonts w:hint="eastAsia" w:ascii="宋体" w:hAnsi="宋体" w:cs="宋体"/>
          <w:b/>
          <w:bCs/>
          <w:color w:val="auto"/>
          <w:sz w:val="32"/>
          <w:highlight w:val="none"/>
        </w:rPr>
        <w:t>第五部分  采购需求</w:t>
      </w:r>
      <w:bookmarkEnd w:id="105"/>
      <w:bookmarkEnd w:id="106"/>
    </w:p>
    <w:p w14:paraId="0BAC87D8">
      <w:pPr>
        <w:snapToGrid w:val="0"/>
        <w:spacing w:line="460" w:lineRule="exact"/>
        <w:rPr>
          <w:rFonts w:hint="eastAsia" w:ascii="宋体" w:hAnsi="宋体" w:cs="宋体"/>
          <w:b/>
          <w:bCs/>
          <w:color w:val="auto"/>
          <w:spacing w:val="-6"/>
          <w:sz w:val="22"/>
          <w:szCs w:val="22"/>
          <w:highlight w:val="none"/>
        </w:rPr>
      </w:pPr>
      <w:bookmarkStart w:id="107" w:name="_Toc14651"/>
      <w:r>
        <w:rPr>
          <w:rFonts w:hint="eastAsia" w:ascii="宋体" w:hAnsi="宋体" w:cs="宋体"/>
          <w:b/>
          <w:bCs/>
          <w:color w:val="auto"/>
          <w:spacing w:val="-6"/>
          <w:sz w:val="22"/>
          <w:szCs w:val="22"/>
          <w:highlight w:val="none"/>
        </w:rPr>
        <w:t>一、采购内容及数量</w:t>
      </w:r>
      <w:bookmarkEnd w:id="107"/>
    </w:p>
    <w:tbl>
      <w:tblPr>
        <w:tblStyle w:val="3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4"/>
        <w:gridCol w:w="4208"/>
        <w:gridCol w:w="1272"/>
        <w:gridCol w:w="1613"/>
        <w:gridCol w:w="2077"/>
      </w:tblGrid>
      <w:tr w14:paraId="10E77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256" w:type="pct"/>
            <w:noWrap/>
            <w:tcMar>
              <w:top w:w="15" w:type="dxa"/>
              <w:left w:w="15" w:type="dxa"/>
              <w:right w:w="15" w:type="dxa"/>
            </w:tcMar>
            <w:vAlign w:val="center"/>
          </w:tcPr>
          <w:p w14:paraId="01D78E2F">
            <w:pPr>
              <w:widowControl/>
              <w:snapToGrid w:val="0"/>
              <w:spacing w:line="312" w:lineRule="auto"/>
              <w:jc w:val="center"/>
              <w:textAlignment w:val="center"/>
              <w:rPr>
                <w:rFonts w:hint="eastAsia" w:ascii="宋体" w:hAnsi="宋体" w:cs="宋体"/>
                <w:bCs/>
                <w:color w:val="auto"/>
                <w:sz w:val="22"/>
                <w:szCs w:val="22"/>
                <w:highlight w:val="none"/>
              </w:rPr>
            </w:pPr>
            <w:bookmarkStart w:id="108" w:name="_Toc28058"/>
            <w:r>
              <w:rPr>
                <w:rFonts w:hint="eastAsia" w:ascii="宋体" w:hAnsi="宋体" w:cs="宋体"/>
                <w:bCs/>
                <w:color w:val="auto"/>
                <w:kern w:val="0"/>
                <w:sz w:val="22"/>
                <w:szCs w:val="22"/>
                <w:highlight w:val="none"/>
                <w:lang w:bidi="ar"/>
              </w:rPr>
              <w:t>序号</w:t>
            </w:r>
          </w:p>
        </w:tc>
        <w:tc>
          <w:tcPr>
            <w:tcW w:w="2176" w:type="pct"/>
            <w:noWrap w:val="0"/>
            <w:tcMar>
              <w:top w:w="15" w:type="dxa"/>
              <w:left w:w="15" w:type="dxa"/>
              <w:right w:w="15" w:type="dxa"/>
            </w:tcMar>
            <w:vAlign w:val="center"/>
          </w:tcPr>
          <w:p w14:paraId="0F453CD8">
            <w:pPr>
              <w:widowControl/>
              <w:snapToGrid w:val="0"/>
              <w:spacing w:line="312" w:lineRule="auto"/>
              <w:jc w:val="center"/>
              <w:textAlignment w:val="center"/>
              <w:rPr>
                <w:rFonts w:hint="eastAsia" w:ascii="宋体" w:hAnsi="宋体" w:cs="宋体"/>
                <w:bCs/>
                <w:color w:val="auto"/>
                <w:sz w:val="22"/>
                <w:szCs w:val="22"/>
                <w:highlight w:val="none"/>
              </w:rPr>
            </w:pPr>
            <w:r>
              <w:rPr>
                <w:rFonts w:hint="eastAsia" w:ascii="宋体" w:hAnsi="宋体" w:cs="宋体"/>
                <w:bCs/>
                <w:color w:val="auto"/>
                <w:kern w:val="0"/>
                <w:sz w:val="22"/>
                <w:szCs w:val="22"/>
                <w:highlight w:val="none"/>
                <w:lang w:bidi="ar"/>
              </w:rPr>
              <w:t>名称</w:t>
            </w:r>
          </w:p>
        </w:tc>
        <w:tc>
          <w:tcPr>
            <w:tcW w:w="658" w:type="pct"/>
            <w:noWrap/>
            <w:tcMar>
              <w:top w:w="15" w:type="dxa"/>
              <w:left w:w="15" w:type="dxa"/>
              <w:right w:w="15" w:type="dxa"/>
            </w:tcMar>
            <w:vAlign w:val="center"/>
          </w:tcPr>
          <w:p w14:paraId="02969F8D">
            <w:pPr>
              <w:widowControl/>
              <w:wordWrap w:val="0"/>
              <w:snapToGrid w:val="0"/>
              <w:spacing w:line="312" w:lineRule="auto"/>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数量</w:t>
            </w:r>
          </w:p>
        </w:tc>
        <w:tc>
          <w:tcPr>
            <w:tcW w:w="834" w:type="pct"/>
            <w:noWrap/>
            <w:tcMar>
              <w:top w:w="15" w:type="dxa"/>
              <w:left w:w="15" w:type="dxa"/>
              <w:right w:w="15" w:type="dxa"/>
            </w:tcMar>
            <w:vAlign w:val="center"/>
          </w:tcPr>
          <w:p w14:paraId="64E16F71">
            <w:pPr>
              <w:widowControl/>
              <w:wordWrap w:val="0"/>
              <w:snapToGrid w:val="0"/>
              <w:spacing w:line="312" w:lineRule="auto"/>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单位</w:t>
            </w:r>
          </w:p>
        </w:tc>
        <w:tc>
          <w:tcPr>
            <w:tcW w:w="1074" w:type="pct"/>
            <w:noWrap/>
            <w:tcMar>
              <w:top w:w="15" w:type="dxa"/>
              <w:left w:w="15" w:type="dxa"/>
              <w:right w:w="15" w:type="dxa"/>
            </w:tcMar>
            <w:vAlign w:val="center"/>
          </w:tcPr>
          <w:p w14:paraId="072C5F0B">
            <w:pPr>
              <w:widowControl/>
              <w:wordWrap w:val="0"/>
              <w:snapToGrid w:val="0"/>
              <w:spacing w:line="312" w:lineRule="auto"/>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预算金额</w:t>
            </w:r>
          </w:p>
          <w:p w14:paraId="3BD9DFA0">
            <w:pPr>
              <w:widowControl/>
              <w:wordWrap w:val="0"/>
              <w:snapToGrid w:val="0"/>
              <w:spacing w:line="312" w:lineRule="auto"/>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bidi="ar"/>
              </w:rPr>
              <w:t>（元）</w:t>
            </w:r>
          </w:p>
        </w:tc>
      </w:tr>
      <w:tr w14:paraId="1D25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jc w:val="center"/>
        </w:trPr>
        <w:tc>
          <w:tcPr>
            <w:tcW w:w="256" w:type="pct"/>
            <w:noWrap/>
            <w:tcMar>
              <w:top w:w="15" w:type="dxa"/>
              <w:left w:w="15" w:type="dxa"/>
              <w:right w:w="15" w:type="dxa"/>
            </w:tcMar>
            <w:vAlign w:val="center"/>
          </w:tcPr>
          <w:p w14:paraId="64E2C6D7">
            <w:pPr>
              <w:widowControl/>
              <w:snapToGrid w:val="0"/>
              <w:spacing w:line="312" w:lineRule="auto"/>
              <w:jc w:val="center"/>
              <w:textAlignment w:val="center"/>
              <w:rPr>
                <w:rFonts w:hint="eastAsia" w:ascii="宋体" w:hAnsi="宋体" w:cs="宋体"/>
                <w:bCs/>
                <w:color w:val="auto"/>
                <w:sz w:val="22"/>
                <w:szCs w:val="22"/>
                <w:highlight w:val="none"/>
              </w:rPr>
            </w:pPr>
            <w:r>
              <w:rPr>
                <w:rFonts w:hint="eastAsia" w:ascii="宋体" w:hAnsi="宋体" w:cs="宋体"/>
                <w:bCs/>
                <w:color w:val="auto"/>
                <w:kern w:val="0"/>
                <w:sz w:val="22"/>
                <w:szCs w:val="22"/>
                <w:highlight w:val="none"/>
                <w:lang w:bidi="ar"/>
              </w:rPr>
              <w:t>1</w:t>
            </w:r>
          </w:p>
        </w:tc>
        <w:tc>
          <w:tcPr>
            <w:tcW w:w="2176" w:type="pct"/>
            <w:noWrap w:val="0"/>
            <w:tcMar>
              <w:top w:w="15" w:type="dxa"/>
              <w:left w:w="15" w:type="dxa"/>
              <w:right w:w="15" w:type="dxa"/>
            </w:tcMar>
            <w:vAlign w:val="center"/>
          </w:tcPr>
          <w:p w14:paraId="0B4815C2">
            <w:pPr>
              <w:widowControl/>
              <w:jc w:val="center"/>
              <w:textAlignment w:val="center"/>
              <w:rPr>
                <w:rFonts w:hint="eastAsia" w:ascii="宋体" w:hAnsi="宋体" w:eastAsia="宋体" w:cs="宋体"/>
                <w:bCs/>
                <w:color w:val="auto"/>
                <w:sz w:val="22"/>
                <w:szCs w:val="22"/>
                <w:highlight w:val="none"/>
                <w:lang w:eastAsia="zh-CN"/>
              </w:rPr>
            </w:pPr>
            <w:r>
              <w:rPr>
                <w:rFonts w:hint="eastAsia" w:ascii="宋体" w:hAnsi="宋体" w:cs="宋体"/>
                <w:bCs/>
                <w:color w:val="auto"/>
                <w:kern w:val="0"/>
                <w:sz w:val="22"/>
                <w:szCs w:val="22"/>
                <w:highlight w:val="none"/>
                <w:lang w:bidi="ar"/>
              </w:rPr>
              <w:t xml:space="preserve"> </w:t>
            </w:r>
            <w:r>
              <w:rPr>
                <w:rFonts w:hint="eastAsia" w:ascii="宋体" w:hAnsi="宋体" w:cs="宋体"/>
                <w:bCs/>
                <w:color w:val="auto"/>
                <w:kern w:val="0"/>
                <w:sz w:val="22"/>
                <w:szCs w:val="22"/>
                <w:highlight w:val="none"/>
                <w:lang w:eastAsia="zh-CN" w:bidi="ar"/>
              </w:rPr>
              <w:t>温州大学D区食堂一楼后厨设备</w:t>
            </w:r>
          </w:p>
        </w:tc>
        <w:tc>
          <w:tcPr>
            <w:tcW w:w="658" w:type="pct"/>
            <w:noWrap/>
            <w:tcMar>
              <w:top w:w="15" w:type="dxa"/>
              <w:left w:w="15" w:type="dxa"/>
              <w:right w:w="15" w:type="dxa"/>
            </w:tcMar>
            <w:vAlign w:val="center"/>
          </w:tcPr>
          <w:p w14:paraId="2B65F573">
            <w:pPr>
              <w:widowControl/>
              <w:jc w:val="center"/>
              <w:textAlignment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834" w:type="pct"/>
            <w:noWrap/>
            <w:tcMar>
              <w:top w:w="15" w:type="dxa"/>
              <w:left w:w="15" w:type="dxa"/>
              <w:right w:w="15" w:type="dxa"/>
            </w:tcMar>
            <w:vAlign w:val="center"/>
          </w:tcPr>
          <w:p w14:paraId="5FBE72FE">
            <w:pPr>
              <w:widowControl/>
              <w:jc w:val="center"/>
              <w:textAlignment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批</w:t>
            </w:r>
          </w:p>
        </w:tc>
        <w:tc>
          <w:tcPr>
            <w:tcW w:w="1074" w:type="pct"/>
            <w:noWrap/>
            <w:tcMar>
              <w:top w:w="15" w:type="dxa"/>
              <w:left w:w="15" w:type="dxa"/>
              <w:right w:w="15" w:type="dxa"/>
            </w:tcMar>
            <w:vAlign w:val="center"/>
          </w:tcPr>
          <w:p w14:paraId="6632B7D4">
            <w:pPr>
              <w:widowControl/>
              <w:jc w:val="center"/>
              <w:textAlignment w:val="center"/>
              <w:rPr>
                <w:rFonts w:hint="eastAsia" w:ascii="宋体" w:hAnsi="宋体" w:cs="宋体"/>
                <w:bCs/>
                <w:color w:val="auto"/>
                <w:kern w:val="0"/>
                <w:sz w:val="22"/>
                <w:szCs w:val="22"/>
                <w:highlight w:val="none"/>
                <w:lang w:bidi="ar"/>
              </w:rPr>
            </w:pPr>
            <w:r>
              <w:rPr>
                <w:rFonts w:hint="eastAsia" w:ascii="宋体" w:hAnsi="宋体" w:cs="宋体"/>
                <w:bCs/>
                <w:color w:val="auto"/>
                <w:kern w:val="0"/>
                <w:sz w:val="22"/>
                <w:szCs w:val="22"/>
                <w:highlight w:val="none"/>
                <w:lang w:eastAsia="zh-CN" w:bidi="ar"/>
              </w:rPr>
              <w:t>1624748</w:t>
            </w:r>
            <w:r>
              <w:rPr>
                <w:rFonts w:hint="eastAsia" w:ascii="宋体" w:hAnsi="宋体" w:cs="宋体"/>
                <w:bCs/>
                <w:color w:val="auto"/>
                <w:kern w:val="0"/>
                <w:sz w:val="22"/>
                <w:szCs w:val="22"/>
                <w:highlight w:val="none"/>
                <w:lang w:bidi="ar"/>
              </w:rPr>
              <w:t xml:space="preserve">  </w:t>
            </w:r>
          </w:p>
        </w:tc>
      </w:tr>
    </w:tbl>
    <w:p w14:paraId="2C79BFB6">
      <w:pPr>
        <w:spacing w:line="460" w:lineRule="exact"/>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rPr>
        <w:t>二、</w:t>
      </w:r>
      <w:r>
        <w:rPr>
          <w:rFonts w:hint="eastAsia" w:ascii="宋体" w:hAnsi="宋体" w:cs="宋体"/>
          <w:b/>
          <w:bCs/>
          <w:color w:val="auto"/>
          <w:sz w:val="22"/>
          <w:szCs w:val="22"/>
          <w:highlight w:val="none"/>
        </w:rPr>
        <w:t>为落实政府采购政策需满足的要求：</w:t>
      </w:r>
      <w:bookmarkEnd w:id="108"/>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550"/>
        <w:gridCol w:w="6644"/>
      </w:tblGrid>
      <w:tr w14:paraId="15E2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noWrap w:val="0"/>
            <w:vAlign w:val="center"/>
          </w:tcPr>
          <w:p w14:paraId="30BEB629">
            <w:pPr>
              <w:widowControl/>
              <w:spacing w:line="42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294" w:type="pct"/>
            <w:noWrap w:val="0"/>
            <w:vAlign w:val="center"/>
          </w:tcPr>
          <w:p w14:paraId="3E5AEEC1">
            <w:pPr>
              <w:widowControl/>
              <w:spacing w:line="42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政策名称</w:t>
            </w:r>
          </w:p>
        </w:tc>
        <w:tc>
          <w:tcPr>
            <w:tcW w:w="3371" w:type="pct"/>
            <w:noWrap w:val="0"/>
            <w:vAlign w:val="center"/>
          </w:tcPr>
          <w:p w14:paraId="29C44B50">
            <w:pPr>
              <w:widowControl/>
              <w:spacing w:line="42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内容</w:t>
            </w:r>
          </w:p>
        </w:tc>
      </w:tr>
      <w:tr w14:paraId="06E8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noWrap w:val="0"/>
            <w:vAlign w:val="center"/>
          </w:tcPr>
          <w:p w14:paraId="57DFD960">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294" w:type="pct"/>
            <w:noWrap w:val="0"/>
            <w:vAlign w:val="center"/>
          </w:tcPr>
          <w:p w14:paraId="3CEED305">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政府采购促进中小企业发展</w:t>
            </w:r>
          </w:p>
        </w:tc>
        <w:tc>
          <w:tcPr>
            <w:tcW w:w="3371" w:type="pct"/>
            <w:noWrap w:val="0"/>
            <w:vAlign w:val="center"/>
          </w:tcPr>
          <w:p w14:paraId="17FFAD06">
            <w:pPr>
              <w:widowControl/>
              <w:spacing w:line="42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提供材料详见采购文件第四部分附件</w:t>
            </w:r>
          </w:p>
        </w:tc>
      </w:tr>
      <w:tr w14:paraId="7503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noWrap w:val="0"/>
            <w:vAlign w:val="center"/>
          </w:tcPr>
          <w:p w14:paraId="61553841">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294" w:type="pct"/>
            <w:noWrap w:val="0"/>
            <w:vAlign w:val="center"/>
          </w:tcPr>
          <w:p w14:paraId="613BBB98">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政府采购支持监狱企业发展</w:t>
            </w:r>
          </w:p>
        </w:tc>
        <w:tc>
          <w:tcPr>
            <w:tcW w:w="3371" w:type="pct"/>
            <w:noWrap w:val="0"/>
            <w:vAlign w:val="center"/>
          </w:tcPr>
          <w:p w14:paraId="77CE610B">
            <w:pPr>
              <w:widowControl/>
              <w:spacing w:line="42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提供材料详见采购文件第四部分附件</w:t>
            </w:r>
          </w:p>
        </w:tc>
      </w:tr>
      <w:tr w14:paraId="03E9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noWrap w:val="0"/>
            <w:vAlign w:val="center"/>
          </w:tcPr>
          <w:p w14:paraId="4C60A1FD">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294" w:type="pct"/>
            <w:noWrap w:val="0"/>
            <w:vAlign w:val="center"/>
          </w:tcPr>
          <w:p w14:paraId="2AB7B94E">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政府采购促进残疾人就业</w:t>
            </w:r>
          </w:p>
        </w:tc>
        <w:tc>
          <w:tcPr>
            <w:tcW w:w="3371" w:type="pct"/>
            <w:noWrap w:val="0"/>
            <w:vAlign w:val="center"/>
          </w:tcPr>
          <w:p w14:paraId="4DCB57D0">
            <w:pPr>
              <w:widowControl/>
              <w:spacing w:line="42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提供材料详见采购文件第四部分附件</w:t>
            </w:r>
          </w:p>
        </w:tc>
      </w:tr>
      <w:tr w14:paraId="56B1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noWrap w:val="0"/>
            <w:vAlign w:val="center"/>
          </w:tcPr>
          <w:p w14:paraId="0DF8CCE0">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294" w:type="pct"/>
            <w:noWrap w:val="0"/>
            <w:vAlign w:val="center"/>
          </w:tcPr>
          <w:p w14:paraId="77F79CFE">
            <w:pPr>
              <w:spacing w:line="420" w:lineRule="exact"/>
              <w:jc w:val="center"/>
              <w:rPr>
                <w:rFonts w:hint="eastAsia" w:ascii="宋体" w:hAnsi="宋体" w:cs="宋体"/>
                <w:color w:val="auto"/>
                <w:kern w:val="0"/>
                <w:sz w:val="22"/>
                <w:szCs w:val="22"/>
                <w:highlight w:val="none"/>
              </w:rPr>
            </w:pPr>
            <w:r>
              <w:rPr>
                <w:rFonts w:hint="eastAsia" w:ascii="宋体" w:hAnsi="宋体" w:cs="宋体"/>
                <w:color w:val="auto"/>
                <w:sz w:val="22"/>
                <w:highlight w:val="none"/>
              </w:rPr>
              <w:t>政府采购节能环保产品</w:t>
            </w:r>
          </w:p>
        </w:tc>
        <w:tc>
          <w:tcPr>
            <w:tcW w:w="3371" w:type="pct"/>
            <w:noWrap w:val="0"/>
            <w:vAlign w:val="center"/>
          </w:tcPr>
          <w:p w14:paraId="681A5DE4">
            <w:pPr>
              <w:spacing w:line="420" w:lineRule="exact"/>
              <w:rPr>
                <w:rFonts w:hint="eastAsia" w:ascii="宋体" w:hAnsi="宋体" w:cs="宋体"/>
                <w:color w:val="auto"/>
                <w:sz w:val="22"/>
                <w:highlight w:val="none"/>
              </w:rPr>
            </w:pPr>
            <w:r>
              <w:rPr>
                <w:rFonts w:hint="eastAsia" w:ascii="宋体" w:hAnsi="宋体" w:cs="宋体"/>
                <w:color w:val="auto"/>
                <w:sz w:val="22"/>
                <w:highlight w:val="none"/>
              </w:rPr>
              <w:t>1、《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按照</w:t>
            </w:r>
            <w:r>
              <w:rPr>
                <w:rFonts w:hint="eastAsia" w:ascii="宋体" w:hAnsi="宋体" w:cs="宋体"/>
                <w:color w:val="auto"/>
                <w:kern w:val="0"/>
                <w:sz w:val="22"/>
                <w:szCs w:val="22"/>
                <w:highlight w:val="none"/>
              </w:rPr>
              <w:t>采购文件第四部分</w:t>
            </w:r>
            <w:r>
              <w:rPr>
                <w:rFonts w:hint="eastAsia" w:ascii="宋体" w:hAnsi="宋体" w:cs="宋体"/>
                <w:color w:val="auto"/>
                <w:sz w:val="22"/>
                <w:highlight w:val="none"/>
              </w:rPr>
              <w:t>附件要求提供“投标产品经国家确定的认证机构出具的处于有效期之内的节能产品、环境标志产品认证证书”或“投标产品在‘中国政府采购网’上节能产品或环境标志产品查询截图”。</w:t>
            </w:r>
          </w:p>
          <w:p w14:paraId="74271192">
            <w:pPr>
              <w:spacing w:line="420" w:lineRule="exact"/>
              <w:rPr>
                <w:rFonts w:hint="eastAsia" w:ascii="宋体" w:hAnsi="宋体" w:cs="宋体"/>
                <w:color w:val="auto"/>
                <w:kern w:val="0"/>
                <w:sz w:val="22"/>
                <w:szCs w:val="22"/>
                <w:highlight w:val="none"/>
              </w:rPr>
            </w:pPr>
            <w:r>
              <w:rPr>
                <w:rFonts w:hint="eastAsia" w:ascii="宋体" w:hAnsi="宋体" w:cs="宋体"/>
                <w:color w:val="auto"/>
                <w:sz w:val="22"/>
                <w:highlight w:val="none"/>
                <w:u w:val="none"/>
              </w:rPr>
              <w:t>2、采购需求中要求提供的产品属于节能产品政府采购品目清单中强制采购的，供应商须提供该清单内产品，并按上款要求提供节能产品认证证书或规定网站证书查询截图，否则其投标无效。</w:t>
            </w:r>
          </w:p>
        </w:tc>
      </w:tr>
      <w:tr w14:paraId="6FFF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noWrap w:val="0"/>
            <w:vAlign w:val="center"/>
          </w:tcPr>
          <w:p w14:paraId="19249F57">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294" w:type="pct"/>
            <w:noWrap w:val="0"/>
            <w:vAlign w:val="center"/>
          </w:tcPr>
          <w:p w14:paraId="57E99AAC">
            <w:pPr>
              <w:widowControl/>
              <w:spacing w:line="42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政府采购进口产品</w:t>
            </w:r>
          </w:p>
        </w:tc>
        <w:tc>
          <w:tcPr>
            <w:tcW w:w="3371" w:type="pct"/>
            <w:noWrap w:val="0"/>
            <w:vAlign w:val="center"/>
          </w:tcPr>
          <w:p w14:paraId="42547EE7">
            <w:pPr>
              <w:widowControl/>
              <w:spacing w:line="42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不允许</w:t>
            </w:r>
          </w:p>
        </w:tc>
      </w:tr>
    </w:tbl>
    <w:p w14:paraId="3B4F19A9">
      <w:pPr>
        <w:snapToGrid w:val="0"/>
        <w:spacing w:line="460" w:lineRule="exact"/>
        <w:rPr>
          <w:rFonts w:hint="eastAsia" w:ascii="宋体" w:hAnsi="宋体" w:cs="宋体"/>
          <w:b/>
          <w:color w:val="auto"/>
          <w:spacing w:val="-6"/>
          <w:sz w:val="22"/>
          <w:szCs w:val="22"/>
          <w:highlight w:val="none"/>
        </w:rPr>
      </w:pPr>
      <w:bookmarkStart w:id="109" w:name="_Toc28884"/>
      <w:r>
        <w:rPr>
          <w:rFonts w:hint="eastAsia" w:ascii="宋体" w:hAnsi="宋体" w:cs="宋体"/>
          <w:b/>
          <w:bCs/>
          <w:color w:val="auto"/>
          <w:kern w:val="0"/>
          <w:sz w:val="22"/>
          <w:szCs w:val="22"/>
          <w:highlight w:val="none"/>
        </w:rPr>
        <w:t>三、</w:t>
      </w:r>
      <w:r>
        <w:rPr>
          <w:rFonts w:hint="eastAsia" w:ascii="宋体" w:hAnsi="宋体" w:cs="宋体"/>
          <w:b/>
          <w:color w:val="auto"/>
          <w:spacing w:val="-6"/>
          <w:sz w:val="22"/>
          <w:szCs w:val="22"/>
          <w:highlight w:val="none"/>
        </w:rPr>
        <w:t>商务要求</w:t>
      </w:r>
      <w:bookmarkEnd w:id="109"/>
    </w:p>
    <w:tbl>
      <w:tblPr>
        <w:tblStyle w:val="3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5"/>
        <w:gridCol w:w="8855"/>
      </w:tblGrid>
      <w:tr w14:paraId="51EF2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37088604">
            <w:pPr>
              <w:spacing w:line="42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4494" w:type="pct"/>
            <w:tcBorders>
              <w:top w:val="single" w:color="auto" w:sz="4" w:space="0"/>
              <w:left w:val="single" w:color="auto" w:sz="4" w:space="0"/>
              <w:bottom w:val="single" w:color="auto" w:sz="4" w:space="0"/>
              <w:right w:val="single" w:color="auto" w:sz="4" w:space="0"/>
            </w:tcBorders>
            <w:noWrap w:val="0"/>
            <w:vAlign w:val="center"/>
          </w:tcPr>
          <w:p w14:paraId="48BFC972">
            <w:pPr>
              <w:pStyle w:val="12"/>
              <w:widowControl/>
              <w:adjustRightInd w:val="0"/>
              <w:snapToGrid w:val="0"/>
              <w:spacing w:line="360" w:lineRule="exact"/>
              <w:rPr>
                <w:rFonts w:ascii="宋体" w:hAnsi="宋体" w:cs="宋体"/>
                <w:b/>
                <w:bCs/>
                <w:sz w:val="22"/>
                <w:highlight w:val="none"/>
                <w:u w:val="single"/>
              </w:rPr>
            </w:pPr>
            <w:r>
              <w:rPr>
                <w:rFonts w:hint="eastAsia" w:ascii="宋体" w:hAnsi="宋体" w:cs="宋体"/>
                <w:color w:val="auto"/>
                <w:sz w:val="22"/>
                <w:szCs w:val="22"/>
                <w:highlight w:val="none"/>
                <w:u w:val="single"/>
              </w:rPr>
              <w:t>▲</w:t>
            </w:r>
            <w:r>
              <w:rPr>
                <w:rFonts w:hint="eastAsia" w:ascii="宋体" w:hAnsi="宋体" w:cs="宋体"/>
                <w:b/>
                <w:bCs/>
                <w:color w:val="auto"/>
                <w:sz w:val="22"/>
                <w:szCs w:val="22"/>
                <w:highlight w:val="none"/>
                <w:u w:val="single"/>
              </w:rPr>
              <w:t>履约保证金</w:t>
            </w:r>
            <w:r>
              <w:rPr>
                <w:rFonts w:hint="eastAsia" w:ascii="宋体" w:hAnsi="宋体" w:cs="宋体"/>
                <w:b/>
                <w:bCs/>
                <w:color w:val="auto"/>
                <w:sz w:val="22"/>
                <w:szCs w:val="22"/>
                <w:highlight w:val="none"/>
                <w:u w:val="single"/>
                <w:lang w:eastAsia="zh-CN"/>
              </w:rPr>
              <w:t>：</w:t>
            </w:r>
            <w:r>
              <w:rPr>
                <w:rFonts w:hint="eastAsia" w:ascii="宋体" w:hAnsi="宋体" w:cs="宋体"/>
                <w:b/>
                <w:bCs/>
                <w:sz w:val="22"/>
                <w:highlight w:val="none"/>
                <w:u w:val="single"/>
              </w:rPr>
              <w:t>合同签订后，乙方5个工作日内支付合同金额的1%保函作为履约保证金，履约保证金自项目验收合格之日起无质量问题，甲方按程序在7个工作日内无息退还或退还保函。</w:t>
            </w:r>
          </w:p>
          <w:p w14:paraId="39CFE81A">
            <w:pPr>
              <w:spacing w:line="460" w:lineRule="exact"/>
              <w:rPr>
                <w:rFonts w:hint="eastAsia" w:ascii="Times New Roman" w:hAnsi="Times New Roman" w:eastAsia="新宋体" w:cs="Times New Roman"/>
                <w:b/>
                <w:bCs/>
                <w:color w:val="auto"/>
                <w:sz w:val="22"/>
                <w:szCs w:val="22"/>
                <w:highlight w:val="none"/>
                <w:u w:val="single"/>
                <w:lang w:val="en-US" w:eastAsia="zh-CN"/>
              </w:rPr>
            </w:pPr>
            <w:r>
              <w:rPr>
                <w:rFonts w:hint="eastAsia" w:ascii="宋体" w:hAnsi="宋体" w:cs="宋体"/>
                <w:color w:val="auto"/>
                <w:sz w:val="22"/>
                <w:szCs w:val="22"/>
                <w:highlight w:val="none"/>
                <w:u w:val="single"/>
              </w:rPr>
              <w:t>▲</w:t>
            </w:r>
            <w:r>
              <w:rPr>
                <w:rFonts w:hint="eastAsia" w:ascii="Times New Roman" w:hAnsi="Times New Roman" w:eastAsia="新宋体" w:cs="Times New Roman"/>
                <w:b/>
                <w:bCs/>
                <w:color w:val="auto"/>
                <w:sz w:val="22"/>
                <w:szCs w:val="22"/>
                <w:highlight w:val="none"/>
                <w:u w:val="single"/>
                <w:lang w:val="en-US" w:eastAsia="zh-CN"/>
              </w:rPr>
              <w:t>合同生效、待财政资金下达、采购人收到中标人出具的合同金额 40 %保函以及具备实施条件后7个工作日内，向中标人支付合同总额 40 %的预付款，中标人完成全部供货、安装、调试等工作，采购人验收合格入库并收到中标人出具全额增值税发票后7个工作日内，采购人支付剩余的合同款并退还保函。</w:t>
            </w:r>
          </w:p>
          <w:p w14:paraId="57AE18D6">
            <w:pPr>
              <w:spacing w:line="460" w:lineRule="exact"/>
              <w:rPr>
                <w:rFonts w:hint="eastAsia" w:ascii="宋体" w:hAnsi="宋体" w:cs="宋体"/>
                <w:color w:val="auto"/>
                <w:sz w:val="22"/>
                <w:szCs w:val="22"/>
                <w:highlight w:val="none"/>
              </w:rPr>
            </w:pPr>
            <w:r>
              <w:rPr>
                <w:rFonts w:hint="eastAsia" w:eastAsia="新宋体" w:cs="Times New Roman"/>
                <w:b/>
                <w:bCs/>
                <w:color w:val="auto"/>
                <w:sz w:val="22"/>
                <w:szCs w:val="22"/>
                <w:highlight w:val="none"/>
                <w:u w:val="single"/>
                <w:lang w:val="en-US" w:eastAsia="zh-CN"/>
              </w:rPr>
              <w:t>注：</w:t>
            </w:r>
            <w:r>
              <w:rPr>
                <w:rFonts w:hint="eastAsia" w:ascii="Times New Roman" w:hAnsi="Times New Roman" w:eastAsia="新宋体" w:cs="Times New Roman"/>
                <w:b/>
                <w:bCs/>
                <w:color w:val="auto"/>
                <w:sz w:val="22"/>
                <w:szCs w:val="22"/>
                <w:highlight w:val="none"/>
                <w:u w:val="single"/>
                <w:lang w:val="en-US" w:eastAsia="zh-CN"/>
              </w:rPr>
              <w:t>在合同签订时，中标人明确表示无需预付款或未提供保函，中标人完成全部供货、安装、调试等工作，采购人验收合格入库并收到中标人出具全额增值税发票后7个工作日内，采购人支付合同全款。</w:t>
            </w:r>
          </w:p>
        </w:tc>
      </w:tr>
      <w:tr w14:paraId="6442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473A4B">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质保期</w:t>
            </w:r>
          </w:p>
        </w:tc>
        <w:tc>
          <w:tcPr>
            <w:tcW w:w="449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007ABF">
            <w:pPr>
              <w:spacing w:line="360" w:lineRule="exact"/>
              <w:rPr>
                <w:rFonts w:hint="eastAsia" w:ascii="宋体" w:hAnsi="宋体" w:cs="宋体"/>
                <w:b/>
                <w:bCs/>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b/>
                <w:bCs/>
                <w:color w:val="auto"/>
                <w:spacing w:val="-6"/>
                <w:sz w:val="22"/>
                <w:szCs w:val="22"/>
                <w:highlight w:val="none"/>
                <w:u w:val="single"/>
                <w:lang w:val="en-US" w:eastAsia="zh-CN"/>
              </w:rPr>
              <w:t>本项目整体</w:t>
            </w:r>
            <w:r>
              <w:rPr>
                <w:rFonts w:hint="eastAsia" w:ascii="宋体" w:hAnsi="宋体" w:cs="宋体"/>
                <w:b/>
                <w:bCs/>
                <w:color w:val="auto"/>
                <w:spacing w:val="-6"/>
                <w:sz w:val="22"/>
                <w:szCs w:val="22"/>
                <w:highlight w:val="none"/>
                <w:u w:val="single"/>
              </w:rPr>
              <w:t>提供</w:t>
            </w:r>
            <w:r>
              <w:rPr>
                <w:rFonts w:hint="eastAsia" w:ascii="宋体" w:hAnsi="宋体" w:cs="宋体"/>
                <w:b/>
                <w:bCs/>
                <w:color w:val="auto"/>
                <w:spacing w:val="-6"/>
                <w:sz w:val="22"/>
                <w:szCs w:val="22"/>
                <w:highlight w:val="none"/>
                <w:u w:val="single"/>
                <w:lang w:val="en-US" w:eastAsia="zh-CN"/>
              </w:rPr>
              <w:t>3</w:t>
            </w:r>
            <w:r>
              <w:rPr>
                <w:rFonts w:hint="eastAsia" w:ascii="宋体" w:hAnsi="宋体" w:cs="宋体"/>
                <w:b/>
                <w:bCs/>
                <w:color w:val="auto"/>
                <w:spacing w:val="-6"/>
                <w:sz w:val="22"/>
                <w:szCs w:val="22"/>
                <w:highlight w:val="none"/>
                <w:u w:val="single"/>
              </w:rPr>
              <w:t>年质保服务。质保期内免费维护升级，质保期结束后供应方应保证相关设备（软件）现有功能正常使用</w:t>
            </w:r>
            <w:r>
              <w:rPr>
                <w:rFonts w:hint="eastAsia" w:ascii="宋体" w:hAnsi="宋体" w:cs="宋体"/>
                <w:b/>
                <w:bCs/>
                <w:color w:val="auto"/>
                <w:sz w:val="22"/>
                <w:szCs w:val="22"/>
                <w:highlight w:val="none"/>
                <w:u w:val="single"/>
              </w:rPr>
              <w:t>。</w:t>
            </w:r>
          </w:p>
        </w:tc>
      </w:tr>
      <w:tr w14:paraId="59588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BE1EDC">
            <w:pPr>
              <w:spacing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交付时间</w:t>
            </w:r>
          </w:p>
        </w:tc>
        <w:tc>
          <w:tcPr>
            <w:tcW w:w="449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D717AE">
            <w:pPr>
              <w:pStyle w:val="12"/>
              <w:spacing w:line="360" w:lineRule="exact"/>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u w:val="single"/>
              </w:rPr>
              <w:t>▲</w:t>
            </w:r>
            <w:r>
              <w:rPr>
                <w:rFonts w:hint="eastAsia" w:ascii="宋体" w:hAnsi="宋体" w:cs="宋体"/>
                <w:b/>
                <w:bCs/>
                <w:color w:val="auto"/>
                <w:spacing w:val="-6"/>
                <w:sz w:val="22"/>
                <w:szCs w:val="22"/>
                <w:highlight w:val="none"/>
                <w:u w:val="single"/>
                <w:lang w:val="en-US" w:eastAsia="zh-CN"/>
              </w:rPr>
              <w:t>中标人</w:t>
            </w:r>
            <w:r>
              <w:rPr>
                <w:rFonts w:hint="eastAsia" w:ascii="宋体" w:hAnsi="宋体" w:cs="宋体"/>
                <w:b/>
                <w:bCs/>
                <w:color w:val="auto"/>
                <w:sz w:val="22"/>
                <w:szCs w:val="22"/>
                <w:highlight w:val="none"/>
                <w:u w:val="single"/>
              </w:rPr>
              <w:t>接到采购人书面通知后</w:t>
            </w:r>
            <w:r>
              <w:rPr>
                <w:rFonts w:hint="eastAsia" w:ascii="宋体" w:hAnsi="宋体" w:cs="宋体"/>
                <w:b/>
                <w:bCs/>
                <w:color w:val="auto"/>
                <w:sz w:val="22"/>
                <w:szCs w:val="22"/>
                <w:highlight w:val="none"/>
                <w:u w:val="single"/>
                <w:lang w:val="en-US" w:eastAsia="zh-CN"/>
              </w:rPr>
              <w:t>30</w:t>
            </w:r>
            <w:r>
              <w:rPr>
                <w:rFonts w:hint="eastAsia" w:ascii="宋体" w:hAnsi="宋体" w:cs="宋体"/>
                <w:b/>
                <w:bCs/>
                <w:color w:val="auto"/>
                <w:sz w:val="22"/>
                <w:szCs w:val="22"/>
                <w:highlight w:val="none"/>
                <w:u w:val="single"/>
              </w:rPr>
              <w:t>个日历天内完成全部设备的运输、安装、调试，由</w:t>
            </w:r>
            <w:r>
              <w:rPr>
                <w:rFonts w:hint="eastAsia" w:ascii="宋体" w:hAnsi="宋体" w:cs="宋体"/>
                <w:b/>
                <w:bCs/>
                <w:color w:val="auto"/>
                <w:sz w:val="22"/>
                <w:szCs w:val="22"/>
                <w:highlight w:val="none"/>
                <w:u w:val="single"/>
                <w:lang w:val="en-US" w:eastAsia="zh-CN"/>
              </w:rPr>
              <w:t>采购人或</w:t>
            </w:r>
            <w:r>
              <w:rPr>
                <w:rFonts w:hint="eastAsia" w:ascii="宋体" w:hAnsi="宋体" w:cs="宋体"/>
                <w:b/>
                <w:bCs/>
                <w:color w:val="auto"/>
                <w:sz w:val="22"/>
                <w:szCs w:val="22"/>
                <w:highlight w:val="none"/>
                <w:u w:val="single"/>
              </w:rPr>
              <w:t>采购代理机构组织进行验收</w:t>
            </w:r>
            <w:r>
              <w:rPr>
                <w:rFonts w:hint="eastAsia" w:ascii="宋体" w:hAnsi="宋体" w:cs="宋体"/>
                <w:b/>
                <w:bCs/>
                <w:color w:val="auto"/>
                <w:sz w:val="22"/>
                <w:highlight w:val="none"/>
                <w:u w:val="single"/>
              </w:rPr>
              <w:t>。</w:t>
            </w:r>
          </w:p>
        </w:tc>
      </w:tr>
      <w:tr w14:paraId="76B25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296F4DD6">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交付地点</w:t>
            </w:r>
          </w:p>
        </w:tc>
        <w:tc>
          <w:tcPr>
            <w:tcW w:w="4494" w:type="pct"/>
            <w:tcBorders>
              <w:top w:val="single" w:color="auto" w:sz="4" w:space="0"/>
              <w:left w:val="single" w:color="auto" w:sz="4" w:space="0"/>
              <w:bottom w:val="single" w:color="auto" w:sz="4" w:space="0"/>
              <w:right w:val="single" w:color="auto" w:sz="4" w:space="0"/>
            </w:tcBorders>
            <w:noWrap w:val="0"/>
            <w:vAlign w:val="center"/>
          </w:tcPr>
          <w:p w14:paraId="07FAF3C6">
            <w:pPr>
              <w:pStyle w:val="12"/>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14:paraId="75B67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A023ECF">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服务标准</w:t>
            </w:r>
          </w:p>
        </w:tc>
        <w:tc>
          <w:tcPr>
            <w:tcW w:w="4494" w:type="pct"/>
            <w:tcBorders>
              <w:top w:val="single" w:color="auto" w:sz="4" w:space="0"/>
              <w:left w:val="single" w:color="auto" w:sz="4" w:space="0"/>
              <w:bottom w:val="single" w:color="auto" w:sz="4" w:space="0"/>
              <w:right w:val="single" w:color="auto" w:sz="4" w:space="0"/>
            </w:tcBorders>
            <w:noWrap w:val="0"/>
            <w:vAlign w:val="center"/>
          </w:tcPr>
          <w:p w14:paraId="29C4B0F2">
            <w:pPr>
              <w:pStyle w:val="12"/>
              <w:numPr>
                <w:ilvl w:val="0"/>
                <w:numId w:val="8"/>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质保期内因不能排除的故障而影响工作的情况每发生一次，其质保期相应延长60天，质保期内因设备本身缺陷造成各种故障应由供应商免费予以技术服务和维修（如有必要可进行更换），否则中标人应在违约发生之日起7日内向采购人支付合同金额0.5%的违约赔偿金。</w:t>
            </w:r>
          </w:p>
          <w:p w14:paraId="64E3D280">
            <w:pPr>
              <w:pStyle w:val="12"/>
              <w:numPr>
                <w:ilvl w:val="0"/>
                <w:numId w:val="8"/>
              </w:numPr>
              <w:spacing w:line="360" w:lineRule="exact"/>
              <w:rPr>
                <w:rFonts w:hint="eastAsia" w:ascii="宋体" w:hAnsi="宋体" w:cs="宋体"/>
                <w:color w:val="auto"/>
                <w:sz w:val="22"/>
                <w:highlight w:val="none"/>
              </w:rPr>
            </w:pPr>
            <w:r>
              <w:rPr>
                <w:rFonts w:hint="eastAsia" w:ascii="宋体" w:hAnsi="宋体" w:cs="宋体"/>
                <w:color w:val="auto"/>
                <w:sz w:val="22"/>
                <w:szCs w:val="22"/>
                <w:highlight w:val="none"/>
              </w:rPr>
              <w:t>在质保期内的工作应包括对所有机组系统常规检查、调整和润滑等。</w:t>
            </w:r>
          </w:p>
          <w:p w14:paraId="6F05F195">
            <w:pPr>
              <w:widowControl/>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szCs w:val="22"/>
                <w:highlight w:val="none"/>
              </w:rPr>
              <w:t>在质保期内中标人须自行付费负责修理和更换任何由于设备自身的质量问题造成的损坏及故障，修好后，中标人需一式两份报告给采购人，包括故障原因，解决措施，完成修理所需时间及恢复正常运行日期。</w:t>
            </w:r>
          </w:p>
          <w:p w14:paraId="1BC3F3D8">
            <w:pPr>
              <w:widowControl/>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4.在保证期满时，工程师和采购人代表将对机组进行另一次测试，任何故障须由中标人自费解决并取得采购人的认可。</w:t>
            </w:r>
          </w:p>
          <w:p w14:paraId="1B1A4211">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5.质保期满后，仅收取设备维修的材料和零配件成本费用，免人工费、差旅费，所涉及软件保证使用期间正常使用。</w:t>
            </w:r>
          </w:p>
        </w:tc>
      </w:tr>
      <w:tr w14:paraId="48B35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69E39BE9">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服务效率</w:t>
            </w:r>
          </w:p>
        </w:tc>
        <w:tc>
          <w:tcPr>
            <w:tcW w:w="4494" w:type="pct"/>
            <w:tcBorders>
              <w:top w:val="single" w:color="auto" w:sz="4" w:space="0"/>
              <w:left w:val="single" w:color="auto" w:sz="4" w:space="0"/>
              <w:bottom w:val="single" w:color="auto" w:sz="4" w:space="0"/>
              <w:right w:val="single" w:color="auto" w:sz="4" w:space="0"/>
            </w:tcBorders>
            <w:noWrap w:val="0"/>
            <w:vAlign w:val="center"/>
          </w:tcPr>
          <w:p w14:paraId="05627FE7">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供应商提供7×24小时技术支持，接到采购人报修电话后，4小时内响应，2 个工作日内上门解决问题，若</w:t>
            </w:r>
            <w:r>
              <w:rPr>
                <w:rFonts w:hint="eastAsia" w:ascii="宋体" w:hAnsi="宋体" w:cs="宋体"/>
                <w:color w:val="auto"/>
                <w:sz w:val="22"/>
                <w:szCs w:val="22"/>
                <w:highlight w:val="none"/>
                <w:u w:val="none"/>
              </w:rPr>
              <w:t xml:space="preserve"> 7 个</w:t>
            </w:r>
            <w:r>
              <w:rPr>
                <w:rFonts w:hint="eastAsia" w:ascii="宋体" w:hAnsi="宋体" w:cs="宋体"/>
                <w:color w:val="auto"/>
                <w:sz w:val="22"/>
                <w:szCs w:val="22"/>
                <w:highlight w:val="none"/>
              </w:rPr>
              <w:t>工作日内无法解决问题，需免费提供更换备品备件以供正常教学。</w:t>
            </w:r>
          </w:p>
        </w:tc>
      </w:tr>
      <w:tr w14:paraId="3F5EF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9"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6F3F9AEF">
            <w:pPr>
              <w:widowControl/>
              <w:adjustRightInd w:val="0"/>
              <w:snapToGrid w:val="0"/>
              <w:spacing w:line="42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4494" w:type="pct"/>
            <w:tcBorders>
              <w:top w:val="single" w:color="auto" w:sz="4" w:space="0"/>
              <w:left w:val="single" w:color="auto" w:sz="4" w:space="0"/>
              <w:bottom w:val="single" w:color="auto" w:sz="4" w:space="0"/>
              <w:right w:val="single" w:color="auto" w:sz="4" w:space="0"/>
            </w:tcBorders>
            <w:noWrap w:val="0"/>
            <w:vAlign w:val="center"/>
          </w:tcPr>
          <w:p w14:paraId="37996C9E">
            <w:pPr>
              <w:pStyle w:val="12"/>
              <w:widowControl/>
              <w:adjustRightInd w:val="0"/>
              <w:snapToGrid w:val="0"/>
              <w:spacing w:line="420" w:lineRule="exact"/>
              <w:rPr>
                <w:rFonts w:hint="eastAsia" w:ascii="宋体" w:hAnsi="宋体" w:cs="宋体"/>
                <w:color w:val="auto"/>
                <w:sz w:val="22"/>
                <w:szCs w:val="22"/>
                <w:highlight w:val="none"/>
              </w:rPr>
            </w:pPr>
            <w:r>
              <w:rPr>
                <w:rFonts w:hint="eastAsia" w:ascii="宋体" w:hAnsi="宋体" w:cs="宋体"/>
                <w:sz w:val="22"/>
                <w:highlight w:val="none"/>
              </w:rPr>
              <w:t>合同履约验收参照《温州市政府采购履约验收办法》(温财采[2020]6号)相关规定。合同履约达到验收条件时，</w:t>
            </w:r>
            <w:r>
              <w:rPr>
                <w:rFonts w:hint="eastAsia" w:ascii="宋体" w:hAnsi="宋体" w:cs="宋体"/>
                <w:sz w:val="22"/>
                <w:highlight w:val="none"/>
                <w:lang w:val="en-US" w:eastAsia="zh-CN"/>
              </w:rPr>
              <w:t>中标人</w:t>
            </w:r>
            <w:r>
              <w:rPr>
                <w:rFonts w:hint="eastAsia" w:ascii="宋体" w:hAnsi="宋体" w:cs="宋体"/>
                <w:sz w:val="22"/>
                <w:highlight w:val="none"/>
              </w:rPr>
              <w:t>向</w:t>
            </w:r>
            <w:r>
              <w:rPr>
                <w:rFonts w:hint="eastAsia" w:ascii="宋体" w:hAnsi="宋体" w:cs="宋体"/>
                <w:sz w:val="22"/>
                <w:highlight w:val="none"/>
                <w:lang w:val="en-US" w:eastAsia="zh-CN"/>
              </w:rPr>
              <w:t>采购人</w:t>
            </w:r>
            <w:r>
              <w:rPr>
                <w:rFonts w:hint="eastAsia" w:ascii="宋体" w:hAnsi="宋体" w:cs="宋体"/>
                <w:sz w:val="22"/>
                <w:highlight w:val="none"/>
              </w:rPr>
              <w:t>书面发起验收申请，</w:t>
            </w:r>
            <w:r>
              <w:rPr>
                <w:rFonts w:hint="eastAsia" w:ascii="宋体" w:hAnsi="宋体" w:cs="宋体"/>
                <w:sz w:val="22"/>
                <w:highlight w:val="none"/>
                <w:lang w:val="en-US" w:eastAsia="zh-CN"/>
              </w:rPr>
              <w:t>采购人</w:t>
            </w:r>
            <w:r>
              <w:rPr>
                <w:rFonts w:hint="eastAsia" w:ascii="宋体" w:hAnsi="宋体" w:cs="宋体"/>
                <w:sz w:val="22"/>
                <w:highlight w:val="none"/>
              </w:rPr>
              <w:t>或者其委托的采购代理机构在收到</w:t>
            </w:r>
            <w:r>
              <w:rPr>
                <w:rFonts w:hint="eastAsia" w:ascii="宋体" w:hAnsi="宋体" w:cs="宋体"/>
                <w:sz w:val="22"/>
                <w:highlight w:val="none"/>
                <w:lang w:val="en-US" w:eastAsia="zh-CN"/>
              </w:rPr>
              <w:t>中标人</w:t>
            </w:r>
            <w:r>
              <w:rPr>
                <w:rFonts w:hint="eastAsia" w:ascii="宋体" w:hAnsi="宋体" w:cs="宋体"/>
                <w:sz w:val="22"/>
                <w:highlight w:val="none"/>
              </w:rPr>
              <w:t>验收申请五个工作日内启动项目验收。按照采购合同、投标文件、采购文件等约定的质量、数量、技术指标或者服务要求设验收指标及其标准。</w:t>
            </w:r>
            <w:r>
              <w:rPr>
                <w:rFonts w:hint="eastAsia" w:ascii="宋体" w:hAnsi="宋体" w:cs="宋体"/>
                <w:color w:val="auto"/>
                <w:sz w:val="22"/>
                <w:szCs w:val="22"/>
                <w:highlight w:val="none"/>
              </w:rPr>
              <w:t>验收费用由中标人承担。</w:t>
            </w:r>
          </w:p>
        </w:tc>
      </w:tr>
      <w:tr w14:paraId="68038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14:paraId="40DDACD8">
            <w:pPr>
              <w:widowControl/>
              <w:adjustRightInd w:val="0"/>
              <w:snapToGrid w:val="0"/>
              <w:spacing w:line="42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其他技术、服务要求</w:t>
            </w:r>
          </w:p>
        </w:tc>
        <w:tc>
          <w:tcPr>
            <w:tcW w:w="4494" w:type="pct"/>
            <w:tcBorders>
              <w:top w:val="single" w:color="auto" w:sz="4" w:space="0"/>
              <w:left w:val="single" w:color="auto" w:sz="4" w:space="0"/>
              <w:bottom w:val="single" w:color="auto" w:sz="4" w:space="0"/>
              <w:right w:val="single" w:color="auto" w:sz="4" w:space="0"/>
            </w:tcBorders>
            <w:noWrap w:val="0"/>
            <w:vAlign w:val="center"/>
          </w:tcPr>
          <w:p w14:paraId="3379262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1.技术支持：</w:t>
            </w:r>
          </w:p>
          <w:p w14:paraId="3178DEC6">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中标人应及时免费提供合同货物软件的升级，免费提供合同货物新功能和应用的资料。</w:t>
            </w:r>
          </w:p>
          <w:p w14:paraId="37A5B86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2.安装调试（若需要安装调试）：</w:t>
            </w:r>
          </w:p>
          <w:p w14:paraId="07FB5E36">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2.1 安装地点：采购人指定地点。</w:t>
            </w:r>
          </w:p>
          <w:p w14:paraId="18690A5A">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2.2供应商提供仪器的免费现场安装调试，并同时在现场对用户进行操作及维护培训。供应商需提供整套纸质和电子培训资料（包含但不限于生产线整套电气原理图、机械图纸、生产线程序注释、生产线操作手册、维护保养手册等）。</w:t>
            </w:r>
          </w:p>
          <w:p w14:paraId="08AEC59B">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2.3 安装标准：符合我国国家有关技术规范要求和技术标准，所有的货物必须保证安装到位。</w:t>
            </w:r>
          </w:p>
          <w:p w14:paraId="49D873FE">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2.4 中标人免费提供合同货物的安装服务。</w:t>
            </w:r>
          </w:p>
          <w:p w14:paraId="2B079CA4">
            <w:pPr>
              <w:pStyle w:val="12"/>
              <w:widowControl/>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2.5中标人在投标文件中应提供安装调试计划、对安装场地和环境的要求。</w:t>
            </w:r>
          </w:p>
        </w:tc>
      </w:tr>
    </w:tbl>
    <w:p w14:paraId="414A599A">
      <w:pPr>
        <w:numPr>
          <w:ilvl w:val="0"/>
          <w:numId w:val="0"/>
        </w:numPr>
        <w:snapToGrid w:val="0"/>
        <w:spacing w:line="460" w:lineRule="exact"/>
        <w:rPr>
          <w:rFonts w:hint="eastAsia"/>
          <w:highlight w:val="none"/>
          <w:lang w:val="en-US" w:eastAsia="zh-CN"/>
        </w:rPr>
      </w:pPr>
      <w:bookmarkStart w:id="110" w:name="_Toc22099"/>
      <w:r>
        <w:rPr>
          <w:rFonts w:hint="eastAsia"/>
          <w:highlight w:val="none"/>
        </w:rPr>
        <w:br w:type="page"/>
      </w:r>
      <w:r>
        <w:rPr>
          <w:rFonts w:hint="eastAsia"/>
          <w:b/>
          <w:bCs/>
          <w:sz w:val="22"/>
          <w:szCs w:val="22"/>
          <w:highlight w:val="none"/>
          <w:lang w:val="en-US" w:eastAsia="zh-CN"/>
        </w:rPr>
        <w:t>四、</w:t>
      </w:r>
      <w:r>
        <w:rPr>
          <w:rFonts w:hint="eastAsia" w:ascii="宋体" w:hAnsi="宋体" w:cs="宋体"/>
          <w:b/>
          <w:bCs/>
          <w:color w:val="auto"/>
          <w:spacing w:val="-6"/>
          <w:sz w:val="22"/>
          <w:szCs w:val="22"/>
          <w:highlight w:val="none"/>
        </w:rPr>
        <w:t>技术</w:t>
      </w:r>
      <w:r>
        <w:rPr>
          <w:rFonts w:hint="eastAsia" w:ascii="宋体" w:hAnsi="宋体" w:cs="宋体"/>
          <w:b/>
          <w:bCs/>
          <w:color w:val="auto"/>
          <w:spacing w:val="-6"/>
          <w:sz w:val="22"/>
          <w:szCs w:val="22"/>
          <w:highlight w:val="none"/>
          <w:lang w:val="en-US" w:eastAsia="zh-CN"/>
        </w:rPr>
        <w:t>参数</w:t>
      </w:r>
      <w:r>
        <w:rPr>
          <w:rFonts w:hint="eastAsia" w:ascii="宋体" w:hAnsi="宋体" w:cs="宋体"/>
          <w:b/>
          <w:bCs/>
          <w:color w:val="auto"/>
          <w:spacing w:val="-6"/>
          <w:sz w:val="22"/>
          <w:szCs w:val="22"/>
          <w:highlight w:val="none"/>
        </w:rPr>
        <w:t>要求</w:t>
      </w:r>
      <w:r>
        <w:rPr>
          <w:rFonts w:hint="eastAsia"/>
          <w:b/>
          <w:bCs/>
          <w:sz w:val="22"/>
          <w:szCs w:val="22"/>
          <w:highlight w:val="none"/>
          <w:lang w:val="en-US" w:eastAsia="zh-CN"/>
        </w:rPr>
        <w:t>（核心产品：</w:t>
      </w:r>
      <w:r>
        <w:rPr>
          <w:rFonts w:hint="eastAsia" w:ascii="宋体" w:hAnsi="宋体" w:eastAsia="宋体" w:cs="宋体"/>
          <w:b/>
          <w:bCs/>
          <w:color w:val="auto"/>
          <w:kern w:val="2"/>
          <w:sz w:val="22"/>
          <w:szCs w:val="22"/>
          <w:highlight w:val="none"/>
          <w:lang w:val="en-US" w:eastAsia="zh-CN" w:bidi="ar-SA"/>
        </w:rPr>
        <w:t>电磁自动摇摆汤炉（提供样品）</w:t>
      </w:r>
      <w:r>
        <w:rPr>
          <w:rFonts w:hint="eastAsia"/>
          <w:b/>
          <w:bCs/>
          <w:sz w:val="22"/>
          <w:szCs w:val="22"/>
          <w:highlight w:val="none"/>
          <w:lang w:val="en-US" w:eastAsia="zh-CN"/>
        </w:rPr>
        <w:t>）</w:t>
      </w:r>
    </w:p>
    <w:tbl>
      <w:tblPr>
        <w:tblStyle w:val="40"/>
        <w:tblW w:w="5446" w:type="pct"/>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50"/>
        <w:gridCol w:w="1350"/>
        <w:gridCol w:w="4529"/>
        <w:gridCol w:w="435"/>
        <w:gridCol w:w="546"/>
        <w:gridCol w:w="1973"/>
      </w:tblGrid>
      <w:tr w14:paraId="77EC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8D67B69">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535" w:type="pct"/>
            <w:vAlign w:val="center"/>
          </w:tcPr>
          <w:p w14:paraId="06B85ACC">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产品名称</w:t>
            </w:r>
          </w:p>
        </w:tc>
        <w:tc>
          <w:tcPr>
            <w:tcW w:w="628" w:type="pct"/>
            <w:vAlign w:val="center"/>
          </w:tcPr>
          <w:p w14:paraId="49237C59">
            <w:pPr>
              <w:jc w:val="center"/>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规格</w:t>
            </w:r>
          </w:p>
        </w:tc>
        <w:tc>
          <w:tcPr>
            <w:tcW w:w="2109" w:type="pct"/>
            <w:vAlign w:val="center"/>
          </w:tcPr>
          <w:p w14:paraId="5F3ACA2D">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技术参数要求</w:t>
            </w:r>
          </w:p>
        </w:tc>
        <w:tc>
          <w:tcPr>
            <w:tcW w:w="202" w:type="pct"/>
            <w:vAlign w:val="center"/>
          </w:tcPr>
          <w:p w14:paraId="15A8281D">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单位</w:t>
            </w:r>
          </w:p>
        </w:tc>
        <w:tc>
          <w:tcPr>
            <w:tcW w:w="254" w:type="pct"/>
            <w:vAlign w:val="center"/>
          </w:tcPr>
          <w:p w14:paraId="001A434D">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数量</w:t>
            </w:r>
          </w:p>
        </w:tc>
        <w:tc>
          <w:tcPr>
            <w:tcW w:w="919" w:type="pct"/>
            <w:vAlign w:val="center"/>
          </w:tcPr>
          <w:p w14:paraId="37346D28">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参考图片</w:t>
            </w:r>
          </w:p>
        </w:tc>
      </w:tr>
      <w:tr w14:paraId="4ABF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07615C48">
            <w:pPr>
              <w:jc w:val="center"/>
              <w:rPr>
                <w:rFonts w:hint="eastAsia" w:ascii="宋体" w:hAnsi="宋体" w:eastAsia="宋体" w:cs="宋体"/>
                <w:sz w:val="22"/>
                <w:szCs w:val="22"/>
                <w:vertAlign w:val="baseline"/>
                <w:lang w:val="en-US" w:eastAsia="zh-CN"/>
              </w:rPr>
            </w:pPr>
            <w:r>
              <w:rPr>
                <w:rFonts w:hint="eastAsia" w:ascii="宋体" w:hAnsi="宋体" w:eastAsia="宋体" w:cs="宋体"/>
                <w:b/>
                <w:bCs/>
                <w:sz w:val="28"/>
                <w:szCs w:val="28"/>
                <w:vertAlign w:val="baseline"/>
                <w:lang w:val="en-US" w:eastAsia="zh-CN"/>
              </w:rPr>
              <w:t>设备类</w:t>
            </w:r>
          </w:p>
        </w:tc>
      </w:tr>
      <w:tr w14:paraId="684B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74BD07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535" w:type="pct"/>
            <w:vAlign w:val="center"/>
          </w:tcPr>
          <w:p w14:paraId="2B8EC91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18OO喷雾式冰台</w:t>
            </w:r>
          </w:p>
        </w:tc>
        <w:tc>
          <w:tcPr>
            <w:tcW w:w="628" w:type="pct"/>
            <w:shd w:val="clear" w:color="auto" w:fill="auto"/>
            <w:vAlign w:val="center"/>
          </w:tcPr>
          <w:p w14:paraId="3BD5707D">
            <w:pPr>
              <w:jc w:val="center"/>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sz w:val="22"/>
                <w:szCs w:val="22"/>
                <w:vertAlign w:val="baseline"/>
                <w:lang w:val="en-US" w:eastAsia="zh-CN"/>
              </w:rPr>
              <w:t>1800×750×990mm(±5%)</w:t>
            </w:r>
          </w:p>
        </w:tc>
        <w:tc>
          <w:tcPr>
            <w:tcW w:w="2109" w:type="pct"/>
            <w:shd w:val="clear" w:color="auto" w:fill="auto"/>
            <w:vAlign w:val="center"/>
          </w:tcPr>
          <w:p w14:paraId="0347DB6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单机单温，箱体的材料是彩钢钣、烤漆钣制作，内胆材料为压花铝胆，门采用双层中空钢化玻璃，自动回归门，采用优质高品质国产压缩机组，聚胺脂一次发泡成型，全铜管冷凝器、蒸发器。</w:t>
            </w:r>
          </w:p>
          <w:p w14:paraId="3EA0D39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冷藏温度：+8～0℃；</w:t>
            </w:r>
          </w:p>
        </w:tc>
        <w:tc>
          <w:tcPr>
            <w:tcW w:w="202" w:type="pct"/>
            <w:vAlign w:val="center"/>
          </w:tcPr>
          <w:p w14:paraId="379B29E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CEEF78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2</w:t>
            </w:r>
          </w:p>
        </w:tc>
        <w:tc>
          <w:tcPr>
            <w:tcW w:w="919" w:type="pct"/>
            <w:vAlign w:val="center"/>
          </w:tcPr>
          <w:p w14:paraId="69F88927">
            <w:pPr>
              <w:jc w:val="center"/>
              <w:rPr>
                <w:rFonts w:hint="eastAsia" w:ascii="宋体" w:hAnsi="宋体" w:eastAsia="宋体" w:cs="宋体"/>
                <w:sz w:val="22"/>
                <w:szCs w:val="22"/>
                <w:vertAlign w:val="baseline"/>
              </w:rPr>
            </w:pPr>
            <w:r>
              <w:rPr>
                <w:rFonts w:hint="eastAsia" w:ascii="黑体" w:hAnsi="黑体" w:eastAsia="黑体" w:cs="黑体"/>
                <w:b w:val="0"/>
                <w:bCs w:val="0"/>
                <w:color w:val="auto"/>
                <w:kern w:val="2"/>
                <w:sz w:val="22"/>
                <w:szCs w:val="22"/>
                <w:highlight w:val="none"/>
                <w:lang w:val="en-US" w:eastAsia="zh-CN" w:bidi="ar-SA"/>
              </w:rPr>
              <w:drawing>
                <wp:inline distT="0" distB="0" distL="114300" distR="114300">
                  <wp:extent cx="634365" cy="454025"/>
                  <wp:effectExtent l="0" t="0" r="13335" b="3175"/>
                  <wp:docPr id="71" name="图片 172" descr="微信截图_2025021410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72" descr="微信截图_20250214104914"/>
                          <pic:cNvPicPr>
                            <a:picLocks noChangeAspect="1"/>
                          </pic:cNvPicPr>
                        </pic:nvPicPr>
                        <pic:blipFill>
                          <a:blip r:embed="rId16"/>
                          <a:stretch>
                            <a:fillRect/>
                          </a:stretch>
                        </pic:blipFill>
                        <pic:spPr>
                          <a:xfrm>
                            <a:off x="0" y="0"/>
                            <a:ext cx="634365" cy="454025"/>
                          </a:xfrm>
                          <a:prstGeom prst="rect">
                            <a:avLst/>
                          </a:prstGeom>
                          <a:noFill/>
                          <a:ln>
                            <a:noFill/>
                          </a:ln>
                        </pic:spPr>
                      </pic:pic>
                    </a:graphicData>
                  </a:graphic>
                </wp:inline>
              </w:drawing>
            </w:r>
          </w:p>
        </w:tc>
      </w:tr>
      <w:tr w14:paraId="7DE0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3F655D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535" w:type="pct"/>
            <w:vAlign w:val="center"/>
          </w:tcPr>
          <w:p w14:paraId="117E543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300智能电磁炒菜机(自动投料+喷料)</w:t>
            </w:r>
          </w:p>
        </w:tc>
        <w:tc>
          <w:tcPr>
            <w:tcW w:w="628" w:type="pct"/>
            <w:vAlign w:val="center"/>
          </w:tcPr>
          <w:p w14:paraId="7D0C7EF4">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700×830×1410mm(±5%)</w:t>
            </w:r>
          </w:p>
        </w:tc>
        <w:tc>
          <w:tcPr>
            <w:tcW w:w="2109" w:type="pct"/>
            <w:vAlign w:val="center"/>
          </w:tcPr>
          <w:p w14:paraId="75A8448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整机外壳不锈钢材质</w:t>
            </w:r>
          </w:p>
          <w:p w14:paraId="62CDAD3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锅体规格：球釜型锅≥Φ300*H300</w:t>
            </w:r>
          </w:p>
          <w:p w14:paraId="3E69EBD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炒菜容量：4-6L（倾角30 °有效容量）</w:t>
            </w:r>
          </w:p>
          <w:p w14:paraId="116EB55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锅体材质：铁锅/SUS430不锈钢不粘锅</w:t>
            </w:r>
          </w:p>
          <w:p w14:paraId="60E181B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显示屏：7寸多功能触模显示屏</w:t>
            </w:r>
          </w:p>
          <w:p w14:paraId="5133076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翻锅方式： 电控翻锅（无极多角度）</w:t>
            </w:r>
          </w:p>
          <w:p w14:paraId="387C8C8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安全防护：带急停功能</w:t>
            </w:r>
          </w:p>
          <w:p w14:paraId="6557882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菜单：存储800个菜谱（智能学习功能）</w:t>
            </w:r>
          </w:p>
          <w:p w14:paraId="6BA33DF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语音：智能实时语音播报功能</w:t>
            </w:r>
          </w:p>
          <w:p w14:paraId="7EDA79D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喷料：带4路自动喷料口，自动定量加料</w:t>
            </w:r>
          </w:p>
          <w:p w14:paraId="0AD638E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投料：一组共4个投料盒，自动投放</w:t>
            </w:r>
          </w:p>
          <w:p w14:paraId="5045979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接料盘：接料台+排水池+可提冲孔隔渣网</w:t>
            </w:r>
          </w:p>
          <w:p w14:paraId="29C5645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清洗：一键式自动清洗模式，水枪辅助清洗                                                                                                                                                                                                                                                                                                   </w:t>
            </w:r>
          </w:p>
          <w:p w14:paraId="17E95E8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电量：5kw</w:t>
            </w:r>
          </w:p>
        </w:tc>
        <w:tc>
          <w:tcPr>
            <w:tcW w:w="202" w:type="pct"/>
            <w:vAlign w:val="center"/>
          </w:tcPr>
          <w:p w14:paraId="345D289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7483D50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447B5F2">
            <w:pPr>
              <w:jc w:val="center"/>
              <w:rPr>
                <w:rFonts w:hint="eastAsia" w:ascii="宋体" w:hAnsi="宋体" w:eastAsia="宋体" w:cs="宋体"/>
                <w:sz w:val="22"/>
                <w:szCs w:val="22"/>
                <w:vertAlign w:val="baseline"/>
              </w:rPr>
            </w:pPr>
            <w:r>
              <w:rPr>
                <w:b w:val="0"/>
                <w:bCs w:val="0"/>
                <w:sz w:val="22"/>
                <w:szCs w:val="22"/>
                <w:highlight w:val="none"/>
              </w:rPr>
              <w:drawing>
                <wp:inline distT="0" distB="0" distL="114300" distR="114300">
                  <wp:extent cx="553720" cy="687070"/>
                  <wp:effectExtent l="0" t="0" r="17780" b="17780"/>
                  <wp:docPr id="30"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1"/>
                          <pic:cNvPicPr>
                            <a:picLocks noChangeAspect="1"/>
                          </pic:cNvPicPr>
                        </pic:nvPicPr>
                        <pic:blipFill>
                          <a:blip r:embed="rId17"/>
                          <a:stretch>
                            <a:fillRect/>
                          </a:stretch>
                        </pic:blipFill>
                        <pic:spPr>
                          <a:xfrm>
                            <a:off x="0" y="0"/>
                            <a:ext cx="553720" cy="687070"/>
                          </a:xfrm>
                          <a:prstGeom prst="rect">
                            <a:avLst/>
                          </a:prstGeom>
                          <a:noFill/>
                          <a:ln>
                            <a:noFill/>
                          </a:ln>
                        </pic:spPr>
                      </pic:pic>
                    </a:graphicData>
                  </a:graphic>
                </wp:inline>
              </w:drawing>
            </w:r>
          </w:p>
        </w:tc>
      </w:tr>
      <w:tr w14:paraId="6BEA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9A5003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535" w:type="pct"/>
            <w:vAlign w:val="center"/>
          </w:tcPr>
          <w:p w14:paraId="08D32186">
            <w:pPr>
              <w:jc w:val="center"/>
              <w:rPr>
                <w:rFonts w:hint="eastAsia" w:ascii="宋体" w:hAnsi="宋体" w:eastAsia="宋体" w:cs="宋体"/>
                <w:sz w:val="22"/>
                <w:szCs w:val="22"/>
                <w:vertAlign w:val="baseline"/>
              </w:rPr>
            </w:pPr>
            <w:r>
              <w:rPr>
                <w:rFonts w:hint="eastAsia" w:ascii="Arial" w:hAnsi="Arial" w:eastAsia="宋体" w:cs="Arial"/>
                <w:b w:val="0"/>
                <w:bCs w:val="0"/>
                <w:color w:val="000000"/>
                <w:kern w:val="2"/>
                <w:sz w:val="22"/>
                <w:szCs w:val="22"/>
                <w:highlight w:val="none"/>
                <w:lang w:val="en-US" w:eastAsia="zh-CN" w:bidi="ar"/>
              </w:rPr>
              <w:t>保温台</w:t>
            </w:r>
          </w:p>
        </w:tc>
        <w:tc>
          <w:tcPr>
            <w:tcW w:w="628" w:type="pct"/>
            <w:vAlign w:val="center"/>
          </w:tcPr>
          <w:p w14:paraId="1E45A2EC">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1500×800×(800+30) mm(±5%)  </w:t>
            </w:r>
          </w:p>
        </w:tc>
        <w:tc>
          <w:tcPr>
            <w:tcW w:w="2109" w:type="pct"/>
            <w:vAlign w:val="center"/>
          </w:tcPr>
          <w:p w14:paraId="404CDF7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选用SUS304-2B优质不锈钢板制作，台面δ≥1.1mm。加强筋δ≥0.9mm，横通25×38×δ≥0.9mm；脚φ38×δ≥0.9mm；（配有可调子弹脚）。</w:t>
            </w:r>
          </w:p>
          <w:p w14:paraId="79FD3461">
            <w:pPr>
              <w:jc w:val="center"/>
              <w:rPr>
                <w:rFonts w:hint="eastAsia" w:ascii="宋体" w:hAnsi="宋体" w:eastAsia="宋体" w:cs="宋体"/>
                <w:sz w:val="22"/>
                <w:szCs w:val="22"/>
                <w:vertAlign w:val="baseline"/>
              </w:rPr>
            </w:pPr>
          </w:p>
        </w:tc>
        <w:tc>
          <w:tcPr>
            <w:tcW w:w="202" w:type="pct"/>
            <w:shd w:val="clear" w:color="auto" w:fill="auto"/>
            <w:vAlign w:val="center"/>
          </w:tcPr>
          <w:p w14:paraId="570059C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2BD8C538">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vAlign w:val="center"/>
          </w:tcPr>
          <w:p w14:paraId="21C3D61F">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776605" cy="553720"/>
                  <wp:effectExtent l="0" t="0" r="4445" b="17780"/>
                  <wp:docPr id="62"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63"/>
                          <pic:cNvPicPr>
                            <a:picLocks noChangeAspect="1"/>
                          </pic:cNvPicPr>
                        </pic:nvPicPr>
                        <pic:blipFill>
                          <a:blip r:embed="rId18"/>
                          <a:stretch>
                            <a:fillRect/>
                          </a:stretch>
                        </pic:blipFill>
                        <pic:spPr>
                          <a:xfrm>
                            <a:off x="0" y="0"/>
                            <a:ext cx="776605" cy="553720"/>
                          </a:xfrm>
                          <a:prstGeom prst="rect">
                            <a:avLst/>
                          </a:prstGeom>
                          <a:noFill/>
                          <a:ln>
                            <a:noFill/>
                          </a:ln>
                        </pic:spPr>
                      </pic:pic>
                    </a:graphicData>
                  </a:graphic>
                </wp:inline>
              </w:drawing>
            </w:r>
          </w:p>
        </w:tc>
      </w:tr>
      <w:tr w14:paraId="5CE4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D71F21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535" w:type="pct"/>
            <w:vAlign w:val="center"/>
          </w:tcPr>
          <w:p w14:paraId="45F613E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变频控制柜11KW</w:t>
            </w:r>
          </w:p>
        </w:tc>
        <w:tc>
          <w:tcPr>
            <w:tcW w:w="628" w:type="pct"/>
            <w:vAlign w:val="center"/>
          </w:tcPr>
          <w:p w14:paraId="488A06BC">
            <w:pPr>
              <w:jc w:val="center"/>
              <w:rPr>
                <w:rFonts w:hint="eastAsia" w:ascii="宋体" w:hAnsi="宋体" w:eastAsia="宋体" w:cs="宋体"/>
                <w:sz w:val="22"/>
                <w:szCs w:val="22"/>
                <w:vertAlign w:val="baseline"/>
              </w:rPr>
            </w:pPr>
          </w:p>
        </w:tc>
        <w:tc>
          <w:tcPr>
            <w:tcW w:w="2109" w:type="pct"/>
            <w:vAlign w:val="center"/>
          </w:tcPr>
          <w:p w14:paraId="0865B2F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en-US" w:bidi="ar"/>
              </w:rPr>
            </w:pPr>
            <w:r>
              <w:rPr>
                <w:rFonts w:hint="eastAsia" w:ascii="宋体" w:hAnsi="宋体" w:eastAsia="宋体" w:cs="宋体"/>
                <w:b w:val="0"/>
                <w:bCs w:val="0"/>
                <w:color w:val="auto"/>
                <w:kern w:val="2"/>
                <w:sz w:val="22"/>
                <w:szCs w:val="22"/>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6A7BB337">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en-US" w:bidi="ar"/>
              </w:rPr>
              <w:t>电量：</w:t>
            </w:r>
            <w:r>
              <w:rPr>
                <w:rFonts w:hint="eastAsia" w:ascii="宋体" w:hAnsi="宋体" w:eastAsia="宋体" w:cs="宋体"/>
                <w:b w:val="0"/>
                <w:bCs w:val="0"/>
                <w:color w:val="auto"/>
                <w:kern w:val="2"/>
                <w:sz w:val="22"/>
                <w:szCs w:val="22"/>
                <w:highlight w:val="none"/>
                <w:lang w:val="en-US" w:eastAsia="zh-CN" w:bidi="ar"/>
              </w:rPr>
              <w:t>11</w:t>
            </w:r>
            <w:r>
              <w:rPr>
                <w:rFonts w:hint="eastAsia" w:ascii="宋体" w:hAnsi="宋体" w:eastAsia="宋体" w:cs="宋体"/>
                <w:b w:val="0"/>
                <w:bCs w:val="0"/>
                <w:color w:val="auto"/>
                <w:kern w:val="2"/>
                <w:sz w:val="22"/>
                <w:szCs w:val="22"/>
                <w:highlight w:val="none"/>
                <w:lang w:val="en-US" w:eastAsia="en-US" w:bidi="ar"/>
              </w:rPr>
              <w:t>KW/380V；</w:t>
            </w:r>
          </w:p>
        </w:tc>
        <w:tc>
          <w:tcPr>
            <w:tcW w:w="202" w:type="pct"/>
            <w:shd w:val="clear" w:color="auto" w:fill="auto"/>
            <w:vAlign w:val="center"/>
          </w:tcPr>
          <w:p w14:paraId="79B5526A">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2E9E822F">
            <w:pPr>
              <w:jc w:val="center"/>
              <w:rPr>
                <w:rFonts w:hint="eastAsia" w:ascii="宋体" w:hAnsi="宋体" w:eastAsia="宋体" w:cs="宋体"/>
                <w:kern w:val="2"/>
                <w:sz w:val="22"/>
                <w:szCs w:val="22"/>
                <w:vertAlign w:val="baseline"/>
                <w:lang w:val="en-US" w:eastAsia="zh-CN" w:bidi="ar-SA"/>
              </w:rPr>
            </w:pPr>
            <w:r>
              <w:rPr>
                <w:rFonts w:hint="eastAsia" w:ascii="宋体" w:hAnsi="宋体" w:cs="宋体"/>
                <w:sz w:val="22"/>
                <w:szCs w:val="22"/>
                <w:vertAlign w:val="baseline"/>
                <w:lang w:val="en-US" w:eastAsia="zh-CN"/>
              </w:rPr>
              <w:t>2</w:t>
            </w:r>
          </w:p>
        </w:tc>
        <w:tc>
          <w:tcPr>
            <w:tcW w:w="919" w:type="pct"/>
            <w:vAlign w:val="center"/>
          </w:tcPr>
          <w:p w14:paraId="103474FA">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lang w:eastAsia="en-US"/>
              </w:rPr>
              <w:drawing>
                <wp:inline distT="0" distB="0" distL="114300" distR="114300">
                  <wp:extent cx="317500" cy="448945"/>
                  <wp:effectExtent l="0" t="0" r="6350" b="8255"/>
                  <wp:docPr id="11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11"/>
                          <pic:cNvPicPr>
                            <a:picLocks noChangeAspect="1"/>
                          </pic:cNvPicPr>
                        </pic:nvPicPr>
                        <pic:blipFill>
                          <a:blip r:embed="rId19"/>
                          <a:stretch>
                            <a:fillRect/>
                          </a:stretch>
                        </pic:blipFill>
                        <pic:spPr>
                          <a:xfrm>
                            <a:off x="0" y="0"/>
                            <a:ext cx="317500" cy="448945"/>
                          </a:xfrm>
                          <a:prstGeom prst="rect">
                            <a:avLst/>
                          </a:prstGeom>
                          <a:noFill/>
                          <a:ln>
                            <a:noFill/>
                          </a:ln>
                        </pic:spPr>
                      </pic:pic>
                    </a:graphicData>
                  </a:graphic>
                </wp:inline>
              </w:drawing>
            </w:r>
          </w:p>
        </w:tc>
      </w:tr>
      <w:tr w14:paraId="6142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DF9854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535" w:type="pct"/>
            <w:vAlign w:val="center"/>
          </w:tcPr>
          <w:p w14:paraId="140BA30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变频控制柜15KW</w:t>
            </w:r>
          </w:p>
        </w:tc>
        <w:tc>
          <w:tcPr>
            <w:tcW w:w="628" w:type="pct"/>
            <w:vAlign w:val="center"/>
          </w:tcPr>
          <w:p w14:paraId="5659F88B">
            <w:pPr>
              <w:jc w:val="center"/>
              <w:rPr>
                <w:rFonts w:hint="eastAsia" w:ascii="宋体" w:hAnsi="宋体" w:eastAsia="宋体" w:cs="宋体"/>
                <w:sz w:val="22"/>
                <w:szCs w:val="22"/>
                <w:vertAlign w:val="baseline"/>
              </w:rPr>
            </w:pPr>
          </w:p>
        </w:tc>
        <w:tc>
          <w:tcPr>
            <w:tcW w:w="2109" w:type="pct"/>
            <w:vAlign w:val="center"/>
          </w:tcPr>
          <w:p w14:paraId="40D8CDA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en-US" w:bidi="ar"/>
              </w:rPr>
            </w:pPr>
            <w:r>
              <w:rPr>
                <w:rFonts w:hint="eastAsia" w:ascii="宋体" w:hAnsi="宋体" w:eastAsia="宋体" w:cs="宋体"/>
                <w:b w:val="0"/>
                <w:bCs w:val="0"/>
                <w:color w:val="auto"/>
                <w:kern w:val="2"/>
                <w:sz w:val="22"/>
                <w:szCs w:val="22"/>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7A6330EC">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en-US" w:bidi="ar"/>
              </w:rPr>
              <w:t>电量：</w:t>
            </w:r>
            <w:r>
              <w:rPr>
                <w:rFonts w:hint="eastAsia" w:ascii="宋体" w:hAnsi="宋体" w:eastAsia="宋体" w:cs="宋体"/>
                <w:b w:val="0"/>
                <w:bCs w:val="0"/>
                <w:color w:val="auto"/>
                <w:kern w:val="2"/>
                <w:sz w:val="22"/>
                <w:szCs w:val="22"/>
                <w:highlight w:val="none"/>
                <w:lang w:val="en-US" w:eastAsia="zh-CN" w:bidi="ar"/>
              </w:rPr>
              <w:t>15</w:t>
            </w:r>
            <w:r>
              <w:rPr>
                <w:rFonts w:hint="eastAsia" w:ascii="宋体" w:hAnsi="宋体" w:eastAsia="宋体" w:cs="宋体"/>
                <w:b w:val="0"/>
                <w:bCs w:val="0"/>
                <w:color w:val="auto"/>
                <w:kern w:val="2"/>
                <w:sz w:val="22"/>
                <w:szCs w:val="22"/>
                <w:highlight w:val="none"/>
                <w:lang w:val="en-US" w:eastAsia="en-US" w:bidi="ar"/>
              </w:rPr>
              <w:t>KW/380V；</w:t>
            </w:r>
          </w:p>
        </w:tc>
        <w:tc>
          <w:tcPr>
            <w:tcW w:w="202" w:type="pct"/>
            <w:shd w:val="clear" w:color="auto" w:fill="auto"/>
            <w:vAlign w:val="center"/>
          </w:tcPr>
          <w:p w14:paraId="6AC8A14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29EF3DE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vAlign w:val="center"/>
          </w:tcPr>
          <w:p w14:paraId="1232B632">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lang w:eastAsia="en-US"/>
              </w:rPr>
              <w:drawing>
                <wp:inline distT="0" distB="0" distL="114300" distR="114300">
                  <wp:extent cx="317500" cy="448945"/>
                  <wp:effectExtent l="0" t="0" r="6350" b="8255"/>
                  <wp:docPr id="1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1"/>
                          <pic:cNvPicPr>
                            <a:picLocks noChangeAspect="1"/>
                          </pic:cNvPicPr>
                        </pic:nvPicPr>
                        <pic:blipFill>
                          <a:blip r:embed="rId19"/>
                          <a:stretch>
                            <a:fillRect/>
                          </a:stretch>
                        </pic:blipFill>
                        <pic:spPr>
                          <a:xfrm>
                            <a:off x="0" y="0"/>
                            <a:ext cx="317500" cy="448945"/>
                          </a:xfrm>
                          <a:prstGeom prst="rect">
                            <a:avLst/>
                          </a:prstGeom>
                          <a:noFill/>
                          <a:ln>
                            <a:noFill/>
                          </a:ln>
                        </pic:spPr>
                      </pic:pic>
                    </a:graphicData>
                  </a:graphic>
                </wp:inline>
              </w:drawing>
            </w:r>
          </w:p>
        </w:tc>
      </w:tr>
      <w:tr w14:paraId="56C2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2AA70F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535" w:type="pct"/>
            <w:vAlign w:val="center"/>
          </w:tcPr>
          <w:p w14:paraId="76795C9E">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变频控制柜3KW</w:t>
            </w:r>
          </w:p>
        </w:tc>
        <w:tc>
          <w:tcPr>
            <w:tcW w:w="628" w:type="pct"/>
            <w:vAlign w:val="center"/>
          </w:tcPr>
          <w:p w14:paraId="5F98EB38">
            <w:pPr>
              <w:jc w:val="center"/>
              <w:rPr>
                <w:rFonts w:hint="eastAsia" w:ascii="宋体" w:hAnsi="宋体" w:eastAsia="宋体" w:cs="宋体"/>
                <w:sz w:val="22"/>
                <w:szCs w:val="22"/>
                <w:vertAlign w:val="baseline"/>
              </w:rPr>
            </w:pPr>
          </w:p>
        </w:tc>
        <w:tc>
          <w:tcPr>
            <w:tcW w:w="2109" w:type="pct"/>
            <w:vAlign w:val="center"/>
          </w:tcPr>
          <w:p w14:paraId="0E38A80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en-US" w:bidi="ar"/>
              </w:rPr>
            </w:pPr>
            <w:r>
              <w:rPr>
                <w:rFonts w:hint="eastAsia" w:ascii="宋体" w:hAnsi="宋体" w:eastAsia="宋体" w:cs="宋体"/>
                <w:b w:val="0"/>
                <w:bCs w:val="0"/>
                <w:color w:val="auto"/>
                <w:kern w:val="2"/>
                <w:sz w:val="22"/>
                <w:szCs w:val="22"/>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0E3E6075">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en-US" w:bidi="ar"/>
              </w:rPr>
              <w:t>电量：</w:t>
            </w:r>
            <w:r>
              <w:rPr>
                <w:rFonts w:hint="eastAsia" w:ascii="宋体" w:hAnsi="宋体" w:eastAsia="宋体" w:cs="宋体"/>
                <w:b w:val="0"/>
                <w:bCs w:val="0"/>
                <w:color w:val="auto"/>
                <w:kern w:val="2"/>
                <w:sz w:val="22"/>
                <w:szCs w:val="22"/>
                <w:highlight w:val="none"/>
                <w:lang w:val="en-US" w:eastAsia="zh-CN" w:bidi="ar"/>
              </w:rPr>
              <w:t>3</w:t>
            </w:r>
            <w:r>
              <w:rPr>
                <w:rFonts w:hint="eastAsia" w:ascii="宋体" w:hAnsi="宋体" w:eastAsia="宋体" w:cs="宋体"/>
                <w:b w:val="0"/>
                <w:bCs w:val="0"/>
                <w:color w:val="auto"/>
                <w:kern w:val="2"/>
                <w:sz w:val="22"/>
                <w:szCs w:val="22"/>
                <w:highlight w:val="none"/>
                <w:lang w:val="en-US" w:eastAsia="en-US" w:bidi="ar"/>
              </w:rPr>
              <w:t>KW/380V；</w:t>
            </w:r>
          </w:p>
        </w:tc>
        <w:tc>
          <w:tcPr>
            <w:tcW w:w="202" w:type="pct"/>
            <w:shd w:val="clear" w:color="auto" w:fill="auto"/>
            <w:vAlign w:val="center"/>
          </w:tcPr>
          <w:p w14:paraId="1207CB40">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67F03992">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vAlign w:val="center"/>
          </w:tcPr>
          <w:p w14:paraId="5536A372">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lang w:eastAsia="en-US"/>
              </w:rPr>
              <w:drawing>
                <wp:inline distT="0" distB="0" distL="114300" distR="114300">
                  <wp:extent cx="317500" cy="448945"/>
                  <wp:effectExtent l="0" t="0" r="6350" b="8255"/>
                  <wp:docPr id="2"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1"/>
                          <pic:cNvPicPr>
                            <a:picLocks noChangeAspect="1"/>
                          </pic:cNvPicPr>
                        </pic:nvPicPr>
                        <pic:blipFill>
                          <a:blip r:embed="rId19"/>
                          <a:stretch>
                            <a:fillRect/>
                          </a:stretch>
                        </pic:blipFill>
                        <pic:spPr>
                          <a:xfrm>
                            <a:off x="0" y="0"/>
                            <a:ext cx="317500" cy="448945"/>
                          </a:xfrm>
                          <a:prstGeom prst="rect">
                            <a:avLst/>
                          </a:prstGeom>
                          <a:noFill/>
                          <a:ln>
                            <a:noFill/>
                          </a:ln>
                        </pic:spPr>
                      </pic:pic>
                    </a:graphicData>
                  </a:graphic>
                </wp:inline>
              </w:drawing>
            </w:r>
          </w:p>
        </w:tc>
      </w:tr>
      <w:tr w14:paraId="3123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10B32D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535" w:type="pct"/>
            <w:vAlign w:val="center"/>
          </w:tcPr>
          <w:p w14:paraId="537FCF6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变频控制柜5.5KW</w:t>
            </w:r>
          </w:p>
        </w:tc>
        <w:tc>
          <w:tcPr>
            <w:tcW w:w="628" w:type="pct"/>
            <w:vAlign w:val="center"/>
          </w:tcPr>
          <w:p w14:paraId="72C2AD2F">
            <w:pPr>
              <w:jc w:val="center"/>
              <w:rPr>
                <w:rFonts w:hint="eastAsia" w:ascii="宋体" w:hAnsi="宋体" w:eastAsia="宋体" w:cs="宋体"/>
                <w:sz w:val="22"/>
                <w:szCs w:val="22"/>
                <w:vertAlign w:val="baseline"/>
              </w:rPr>
            </w:pPr>
          </w:p>
        </w:tc>
        <w:tc>
          <w:tcPr>
            <w:tcW w:w="2109" w:type="pct"/>
            <w:vAlign w:val="center"/>
          </w:tcPr>
          <w:p w14:paraId="6E0900E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en-US" w:bidi="ar"/>
              </w:rPr>
            </w:pPr>
            <w:r>
              <w:rPr>
                <w:rFonts w:hint="eastAsia" w:ascii="宋体" w:hAnsi="宋体" w:eastAsia="宋体" w:cs="宋体"/>
                <w:b w:val="0"/>
                <w:bCs w:val="0"/>
                <w:color w:val="auto"/>
                <w:kern w:val="2"/>
                <w:sz w:val="22"/>
                <w:szCs w:val="22"/>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0084694A">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en-US" w:bidi="ar"/>
              </w:rPr>
              <w:t>电量：</w:t>
            </w:r>
            <w:r>
              <w:rPr>
                <w:rFonts w:hint="eastAsia" w:ascii="宋体" w:hAnsi="宋体" w:eastAsia="宋体" w:cs="宋体"/>
                <w:b w:val="0"/>
                <w:bCs w:val="0"/>
                <w:color w:val="auto"/>
                <w:kern w:val="2"/>
                <w:sz w:val="22"/>
                <w:szCs w:val="22"/>
                <w:highlight w:val="none"/>
                <w:lang w:val="en-US" w:eastAsia="zh-CN" w:bidi="ar"/>
              </w:rPr>
              <w:t>5.5</w:t>
            </w:r>
            <w:r>
              <w:rPr>
                <w:rFonts w:hint="eastAsia" w:ascii="宋体" w:hAnsi="宋体" w:eastAsia="宋体" w:cs="宋体"/>
                <w:b w:val="0"/>
                <w:bCs w:val="0"/>
                <w:color w:val="auto"/>
                <w:kern w:val="2"/>
                <w:sz w:val="22"/>
                <w:szCs w:val="22"/>
                <w:highlight w:val="none"/>
                <w:lang w:val="en-US" w:eastAsia="en-US" w:bidi="ar"/>
              </w:rPr>
              <w:t>KW/380V；</w:t>
            </w:r>
          </w:p>
        </w:tc>
        <w:tc>
          <w:tcPr>
            <w:tcW w:w="202" w:type="pct"/>
            <w:shd w:val="clear" w:color="auto" w:fill="auto"/>
            <w:vAlign w:val="center"/>
          </w:tcPr>
          <w:p w14:paraId="2ED8117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410D74AC">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vAlign w:val="center"/>
          </w:tcPr>
          <w:p w14:paraId="4DAC4F37">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lang w:eastAsia="en-US"/>
              </w:rPr>
              <w:drawing>
                <wp:inline distT="0" distB="0" distL="114300" distR="114300">
                  <wp:extent cx="317500" cy="448945"/>
                  <wp:effectExtent l="0" t="0" r="6350" b="8255"/>
                  <wp:docPr id="3"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1"/>
                          <pic:cNvPicPr>
                            <a:picLocks noChangeAspect="1"/>
                          </pic:cNvPicPr>
                        </pic:nvPicPr>
                        <pic:blipFill>
                          <a:blip r:embed="rId19"/>
                          <a:stretch>
                            <a:fillRect/>
                          </a:stretch>
                        </pic:blipFill>
                        <pic:spPr>
                          <a:xfrm>
                            <a:off x="0" y="0"/>
                            <a:ext cx="317500" cy="448945"/>
                          </a:xfrm>
                          <a:prstGeom prst="rect">
                            <a:avLst/>
                          </a:prstGeom>
                          <a:noFill/>
                          <a:ln>
                            <a:noFill/>
                          </a:ln>
                        </pic:spPr>
                      </pic:pic>
                    </a:graphicData>
                  </a:graphic>
                </wp:inline>
              </w:drawing>
            </w:r>
          </w:p>
        </w:tc>
      </w:tr>
      <w:tr w14:paraId="3964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87F844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535" w:type="pct"/>
            <w:vAlign w:val="center"/>
          </w:tcPr>
          <w:p w14:paraId="2576491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变频控制柜7.5KW</w:t>
            </w:r>
          </w:p>
        </w:tc>
        <w:tc>
          <w:tcPr>
            <w:tcW w:w="628" w:type="pct"/>
            <w:vAlign w:val="center"/>
          </w:tcPr>
          <w:p w14:paraId="776D81EF">
            <w:pPr>
              <w:jc w:val="center"/>
              <w:rPr>
                <w:rFonts w:hint="eastAsia" w:ascii="宋体" w:hAnsi="宋体" w:eastAsia="宋体" w:cs="宋体"/>
                <w:sz w:val="22"/>
                <w:szCs w:val="22"/>
                <w:vertAlign w:val="baseline"/>
              </w:rPr>
            </w:pPr>
          </w:p>
        </w:tc>
        <w:tc>
          <w:tcPr>
            <w:tcW w:w="2109" w:type="pct"/>
            <w:vAlign w:val="center"/>
          </w:tcPr>
          <w:p w14:paraId="6DE16CE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en-US" w:bidi="ar"/>
              </w:rPr>
            </w:pPr>
            <w:r>
              <w:rPr>
                <w:rFonts w:hint="eastAsia" w:ascii="宋体" w:hAnsi="宋体" w:eastAsia="宋体" w:cs="宋体"/>
                <w:b w:val="0"/>
                <w:bCs w:val="0"/>
                <w:color w:val="auto"/>
                <w:kern w:val="2"/>
                <w:sz w:val="22"/>
                <w:szCs w:val="22"/>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07C25D8E">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en-US" w:bidi="ar"/>
              </w:rPr>
              <w:t>电量：</w:t>
            </w:r>
            <w:r>
              <w:rPr>
                <w:rFonts w:hint="eastAsia" w:ascii="宋体" w:hAnsi="宋体" w:eastAsia="宋体" w:cs="宋体"/>
                <w:b w:val="0"/>
                <w:bCs w:val="0"/>
                <w:color w:val="auto"/>
                <w:kern w:val="2"/>
                <w:sz w:val="22"/>
                <w:szCs w:val="22"/>
                <w:highlight w:val="none"/>
                <w:lang w:val="en-US" w:eastAsia="zh-CN" w:bidi="ar"/>
              </w:rPr>
              <w:t>7.5</w:t>
            </w:r>
            <w:r>
              <w:rPr>
                <w:rFonts w:hint="eastAsia" w:ascii="宋体" w:hAnsi="宋体" w:eastAsia="宋体" w:cs="宋体"/>
                <w:b w:val="0"/>
                <w:bCs w:val="0"/>
                <w:color w:val="auto"/>
                <w:kern w:val="2"/>
                <w:sz w:val="22"/>
                <w:szCs w:val="22"/>
                <w:highlight w:val="none"/>
                <w:lang w:val="en-US" w:eastAsia="en-US" w:bidi="ar"/>
              </w:rPr>
              <w:t>KW/380V；</w:t>
            </w:r>
          </w:p>
        </w:tc>
        <w:tc>
          <w:tcPr>
            <w:tcW w:w="202" w:type="pct"/>
            <w:shd w:val="clear" w:color="auto" w:fill="auto"/>
            <w:vAlign w:val="center"/>
          </w:tcPr>
          <w:p w14:paraId="5EBA8D6A">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447B7EE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vAlign w:val="center"/>
          </w:tcPr>
          <w:p w14:paraId="2AC0ECC8">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lang w:eastAsia="en-US"/>
              </w:rPr>
              <w:drawing>
                <wp:inline distT="0" distB="0" distL="114300" distR="114300">
                  <wp:extent cx="317500" cy="448945"/>
                  <wp:effectExtent l="0" t="0" r="6350" b="8255"/>
                  <wp:docPr id="4"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1"/>
                          <pic:cNvPicPr>
                            <a:picLocks noChangeAspect="1"/>
                          </pic:cNvPicPr>
                        </pic:nvPicPr>
                        <pic:blipFill>
                          <a:blip r:embed="rId19"/>
                          <a:stretch>
                            <a:fillRect/>
                          </a:stretch>
                        </pic:blipFill>
                        <pic:spPr>
                          <a:xfrm>
                            <a:off x="0" y="0"/>
                            <a:ext cx="317500" cy="448945"/>
                          </a:xfrm>
                          <a:prstGeom prst="rect">
                            <a:avLst/>
                          </a:prstGeom>
                          <a:noFill/>
                          <a:ln>
                            <a:noFill/>
                          </a:ln>
                        </pic:spPr>
                      </pic:pic>
                    </a:graphicData>
                  </a:graphic>
                </wp:inline>
              </w:drawing>
            </w:r>
          </w:p>
        </w:tc>
      </w:tr>
      <w:tr w14:paraId="76B1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2D0309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535" w:type="pct"/>
            <w:vAlign w:val="center"/>
          </w:tcPr>
          <w:p w14:paraId="5336E315">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不锈钢排烟管</w:t>
            </w:r>
          </w:p>
        </w:tc>
        <w:tc>
          <w:tcPr>
            <w:tcW w:w="628" w:type="pct"/>
            <w:vAlign w:val="center"/>
          </w:tcPr>
          <w:p w14:paraId="4E0A628D">
            <w:pPr>
              <w:jc w:val="center"/>
              <w:rPr>
                <w:rFonts w:hint="eastAsia" w:ascii="宋体" w:hAnsi="宋体" w:eastAsia="宋体" w:cs="宋体"/>
                <w:sz w:val="22"/>
                <w:szCs w:val="22"/>
                <w:vertAlign w:val="baseline"/>
              </w:rPr>
            </w:pPr>
          </w:p>
        </w:tc>
        <w:tc>
          <w:tcPr>
            <w:tcW w:w="2109" w:type="pct"/>
            <w:vAlign w:val="center"/>
          </w:tcPr>
          <w:p w14:paraId="0825A57C">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采用优质不锈钢板制作，δ≥0.90mm，配A3钢法兰，变径、大小口按展开面积1：2计算。(按实际面积计算)。</w:t>
            </w:r>
          </w:p>
        </w:tc>
        <w:tc>
          <w:tcPr>
            <w:tcW w:w="202" w:type="pct"/>
            <w:vAlign w:val="center"/>
          </w:tcPr>
          <w:p w14:paraId="11B0ED0D">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m²</w:t>
            </w:r>
          </w:p>
        </w:tc>
        <w:tc>
          <w:tcPr>
            <w:tcW w:w="254" w:type="pct"/>
            <w:vAlign w:val="center"/>
          </w:tcPr>
          <w:p w14:paraId="17061EE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563</w:t>
            </w:r>
          </w:p>
        </w:tc>
        <w:tc>
          <w:tcPr>
            <w:tcW w:w="919" w:type="pct"/>
            <w:vAlign w:val="center"/>
          </w:tcPr>
          <w:p w14:paraId="6DBDD85A">
            <w:pPr>
              <w:jc w:val="center"/>
              <w:rPr>
                <w:rFonts w:hint="eastAsia" w:ascii="宋体" w:hAnsi="宋体" w:eastAsia="宋体" w:cs="宋体"/>
                <w:sz w:val="22"/>
                <w:szCs w:val="22"/>
                <w:vertAlign w:val="baseline"/>
              </w:rPr>
            </w:pPr>
            <w:r>
              <w:rPr>
                <w:rFonts w:hint="eastAsia" w:ascii="黑体" w:hAnsi="黑体" w:eastAsia="黑体" w:cs="黑体"/>
                <w:b w:val="0"/>
                <w:bCs w:val="0"/>
                <w:sz w:val="22"/>
                <w:szCs w:val="22"/>
                <w:highlight w:val="none"/>
              </w:rPr>
              <w:drawing>
                <wp:inline distT="0" distB="0" distL="114300" distR="114300">
                  <wp:extent cx="390525" cy="395605"/>
                  <wp:effectExtent l="0" t="0" r="9525" b="4445"/>
                  <wp:docPr id="100"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01"/>
                          <pic:cNvPicPr>
                            <a:picLocks noChangeAspect="1"/>
                          </pic:cNvPicPr>
                        </pic:nvPicPr>
                        <pic:blipFill>
                          <a:blip r:embed="rId20"/>
                          <a:stretch>
                            <a:fillRect/>
                          </a:stretch>
                        </pic:blipFill>
                        <pic:spPr>
                          <a:xfrm>
                            <a:off x="0" y="0"/>
                            <a:ext cx="390525" cy="395605"/>
                          </a:xfrm>
                          <a:prstGeom prst="rect">
                            <a:avLst/>
                          </a:prstGeom>
                          <a:noFill/>
                          <a:ln>
                            <a:noFill/>
                          </a:ln>
                        </pic:spPr>
                      </pic:pic>
                    </a:graphicData>
                  </a:graphic>
                </wp:inline>
              </w:drawing>
            </w:r>
          </w:p>
        </w:tc>
      </w:tr>
      <w:tr w14:paraId="12A4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369489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535" w:type="pct"/>
            <w:vAlign w:val="center"/>
          </w:tcPr>
          <w:p w14:paraId="1E943D6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步入组装式冷藏库</w:t>
            </w:r>
          </w:p>
        </w:tc>
        <w:tc>
          <w:tcPr>
            <w:tcW w:w="628" w:type="pct"/>
            <w:vAlign w:val="center"/>
          </w:tcPr>
          <w:p w14:paraId="718A5BE8">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4500×3300×2600mm(±5%)</w:t>
            </w:r>
          </w:p>
        </w:tc>
        <w:tc>
          <w:tcPr>
            <w:tcW w:w="2109" w:type="pct"/>
            <w:vAlign w:val="center"/>
          </w:tcPr>
          <w:p w14:paraId="6BC5201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嵌地式安装，温度：+2～-5℃，库体采用优质双面不锈钢板；保温层采用δ≥100mm厚聚氨酯发泡料；地坪用δ≥100厚聚氨酯光板保温，配自动回归门，自动除霜功能。</w:t>
            </w:r>
          </w:p>
          <w:p w14:paraId="091A4D16">
            <w:pPr>
              <w:jc w:val="center"/>
              <w:rPr>
                <w:rFonts w:hint="eastAsia" w:ascii="宋体" w:hAnsi="宋体" w:eastAsia="宋体" w:cs="宋体"/>
                <w:sz w:val="22"/>
                <w:szCs w:val="22"/>
                <w:vertAlign w:val="baseline"/>
              </w:rPr>
            </w:pPr>
          </w:p>
        </w:tc>
        <w:tc>
          <w:tcPr>
            <w:tcW w:w="202" w:type="pct"/>
            <w:vAlign w:val="center"/>
          </w:tcPr>
          <w:p w14:paraId="6D2486F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4DA76FB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1B3528B">
            <w:pPr>
              <w:jc w:val="center"/>
              <w:rPr>
                <w:rFonts w:hint="eastAsia" w:ascii="宋体" w:hAnsi="宋体" w:eastAsia="宋体" w:cs="宋体"/>
                <w:sz w:val="22"/>
                <w:szCs w:val="22"/>
                <w:vertAlign w:val="baseline"/>
              </w:rPr>
            </w:pPr>
            <w:r>
              <w:rPr>
                <w:b w:val="0"/>
                <w:bCs w:val="0"/>
                <w:color w:val="auto"/>
                <w:sz w:val="22"/>
                <w:szCs w:val="22"/>
                <w:highlight w:val="none"/>
              </w:rPr>
              <w:drawing>
                <wp:inline distT="0" distB="0" distL="114300" distR="114300">
                  <wp:extent cx="567055" cy="785495"/>
                  <wp:effectExtent l="0" t="0" r="4445" b="14605"/>
                  <wp:docPr id="26" name="图片 127" descr="PRE.jpg"/>
                  <wp:cNvGraphicFramePr/>
                  <a:graphic xmlns:a="http://schemas.openxmlformats.org/drawingml/2006/main">
                    <a:graphicData uri="http://schemas.openxmlformats.org/drawingml/2006/picture">
                      <pic:pic xmlns:pic="http://schemas.openxmlformats.org/drawingml/2006/picture">
                        <pic:nvPicPr>
                          <pic:cNvPr id="26" name="图片 127" descr="PRE.jpg"/>
                          <pic:cNvPicPr/>
                        </pic:nvPicPr>
                        <pic:blipFill>
                          <a:blip r:embed="rId21"/>
                          <a:stretch>
                            <a:fillRect/>
                          </a:stretch>
                        </pic:blipFill>
                        <pic:spPr>
                          <a:xfrm>
                            <a:off x="0" y="0"/>
                            <a:ext cx="567055" cy="785495"/>
                          </a:xfrm>
                          <a:prstGeom prst="rect">
                            <a:avLst/>
                          </a:prstGeom>
                          <a:noFill/>
                          <a:ln>
                            <a:noFill/>
                          </a:ln>
                        </pic:spPr>
                      </pic:pic>
                    </a:graphicData>
                  </a:graphic>
                </wp:inline>
              </w:drawing>
            </w:r>
          </w:p>
        </w:tc>
      </w:tr>
      <w:tr w14:paraId="7FA9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091137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11</w:t>
            </w:r>
          </w:p>
        </w:tc>
        <w:tc>
          <w:tcPr>
            <w:tcW w:w="535" w:type="pct"/>
            <w:vAlign w:val="center"/>
          </w:tcPr>
          <w:p w14:paraId="69B47E2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步入组装式冷冻库</w:t>
            </w:r>
          </w:p>
        </w:tc>
        <w:tc>
          <w:tcPr>
            <w:tcW w:w="628" w:type="pct"/>
            <w:vAlign w:val="center"/>
          </w:tcPr>
          <w:p w14:paraId="3C443446">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2600×3300×2600mm(±5%)</w:t>
            </w:r>
          </w:p>
        </w:tc>
        <w:tc>
          <w:tcPr>
            <w:tcW w:w="2109" w:type="pct"/>
            <w:vAlign w:val="center"/>
          </w:tcPr>
          <w:p w14:paraId="7B1952C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嵌地式安装，温度温度-3～-18℃，库体采用优质双面不锈钢板；保温层采用δ≥100mm厚聚氨酯发泡料；地坪用δ≥100厚聚氨酯光板保温，配自动回归门，自动除霜功能。</w:t>
            </w:r>
          </w:p>
        </w:tc>
        <w:tc>
          <w:tcPr>
            <w:tcW w:w="202" w:type="pct"/>
            <w:shd w:val="clear" w:color="auto" w:fill="auto"/>
            <w:vAlign w:val="center"/>
          </w:tcPr>
          <w:p w14:paraId="40EC5BC7">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批</w:t>
            </w:r>
          </w:p>
        </w:tc>
        <w:tc>
          <w:tcPr>
            <w:tcW w:w="254" w:type="pct"/>
            <w:shd w:val="clear" w:color="auto" w:fill="auto"/>
            <w:vAlign w:val="center"/>
          </w:tcPr>
          <w:p w14:paraId="78333F83">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vAlign w:val="center"/>
          </w:tcPr>
          <w:p w14:paraId="6E79F9A1">
            <w:pPr>
              <w:jc w:val="center"/>
              <w:rPr>
                <w:rFonts w:hint="eastAsia" w:ascii="宋体" w:hAnsi="宋体" w:eastAsia="宋体" w:cs="宋体"/>
                <w:sz w:val="22"/>
                <w:szCs w:val="22"/>
                <w:vertAlign w:val="baseline"/>
              </w:rPr>
            </w:pPr>
            <w:r>
              <w:rPr>
                <w:b w:val="0"/>
                <w:bCs w:val="0"/>
                <w:color w:val="auto"/>
                <w:sz w:val="22"/>
                <w:szCs w:val="22"/>
                <w:highlight w:val="none"/>
              </w:rPr>
              <w:drawing>
                <wp:inline distT="0" distB="0" distL="114300" distR="114300">
                  <wp:extent cx="567055" cy="785495"/>
                  <wp:effectExtent l="0" t="0" r="4445" b="14605"/>
                  <wp:docPr id="5" name="图片 127" descr="PRE.jpg"/>
                  <wp:cNvGraphicFramePr/>
                  <a:graphic xmlns:a="http://schemas.openxmlformats.org/drawingml/2006/main">
                    <a:graphicData uri="http://schemas.openxmlformats.org/drawingml/2006/picture">
                      <pic:pic xmlns:pic="http://schemas.openxmlformats.org/drawingml/2006/picture">
                        <pic:nvPicPr>
                          <pic:cNvPr id="5" name="图片 127" descr="PRE.jpg"/>
                          <pic:cNvPicPr/>
                        </pic:nvPicPr>
                        <pic:blipFill>
                          <a:blip r:embed="rId21"/>
                          <a:stretch>
                            <a:fillRect/>
                          </a:stretch>
                        </pic:blipFill>
                        <pic:spPr>
                          <a:xfrm>
                            <a:off x="0" y="0"/>
                            <a:ext cx="567055" cy="785495"/>
                          </a:xfrm>
                          <a:prstGeom prst="rect">
                            <a:avLst/>
                          </a:prstGeom>
                          <a:noFill/>
                          <a:ln>
                            <a:noFill/>
                          </a:ln>
                        </pic:spPr>
                      </pic:pic>
                    </a:graphicData>
                  </a:graphic>
                </wp:inline>
              </w:drawing>
            </w:r>
          </w:p>
        </w:tc>
      </w:tr>
      <w:tr w14:paraId="2657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A21FDE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12</w:t>
            </w:r>
          </w:p>
        </w:tc>
        <w:tc>
          <w:tcPr>
            <w:tcW w:w="535" w:type="pct"/>
            <w:vAlign w:val="center"/>
          </w:tcPr>
          <w:p w14:paraId="0E0190C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超声波浸泡池</w:t>
            </w:r>
          </w:p>
        </w:tc>
        <w:tc>
          <w:tcPr>
            <w:tcW w:w="628" w:type="pct"/>
            <w:vAlign w:val="center"/>
          </w:tcPr>
          <w:p w14:paraId="768DED11">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1500×800×800mm(±5%)</w:t>
            </w:r>
          </w:p>
        </w:tc>
        <w:tc>
          <w:tcPr>
            <w:tcW w:w="2109" w:type="pct"/>
            <w:vAlign w:val="center"/>
          </w:tcPr>
          <w:p w14:paraId="042814B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超声波主控制器、超声波主控制器具有频率纠正追踪系统，时刻保持最佳清洗效果，并能显示技术参数，超声波清洗通过水来传导声波，清洗时水必须浸没工件，当工件传送进入超声波过程中经过超声波爆破、破坏油脂表层来达到去油效果。</w:t>
            </w:r>
          </w:p>
          <w:p w14:paraId="587F02F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洗涤温度：55-60℃</w:t>
            </w:r>
          </w:p>
          <w:p w14:paraId="51A6FF6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漂洗温度：82℃超声波</w:t>
            </w:r>
          </w:p>
          <w:p w14:paraId="136F1F1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电加热功率：6.8KW/380V/3PH；</w:t>
            </w:r>
          </w:p>
        </w:tc>
        <w:tc>
          <w:tcPr>
            <w:tcW w:w="202" w:type="pct"/>
            <w:vAlign w:val="center"/>
          </w:tcPr>
          <w:p w14:paraId="1DFC7C7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44260FE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7062226">
            <w:pPr>
              <w:jc w:val="center"/>
              <w:rPr>
                <w:rFonts w:hint="eastAsia" w:ascii="宋体" w:hAnsi="宋体" w:eastAsia="宋体" w:cs="宋体"/>
                <w:sz w:val="22"/>
                <w:szCs w:val="22"/>
                <w:vertAlign w:val="baseline"/>
              </w:rPr>
            </w:pPr>
            <w:r>
              <w:rPr>
                <w:rFonts w:hint="eastAsia" w:ascii="黑体" w:hAnsi="黑体" w:eastAsia="黑体" w:cs="黑体"/>
                <w:b w:val="0"/>
                <w:bCs w:val="0"/>
                <w:color w:val="auto"/>
                <w:kern w:val="2"/>
                <w:sz w:val="22"/>
                <w:szCs w:val="22"/>
                <w:highlight w:val="none"/>
                <w:lang w:val="en-US" w:eastAsia="zh-CN" w:bidi="ar-SA"/>
              </w:rPr>
              <w:drawing>
                <wp:inline distT="0" distB="0" distL="114300" distR="114300">
                  <wp:extent cx="507365" cy="341630"/>
                  <wp:effectExtent l="0" t="0" r="6985" b="1270"/>
                  <wp:docPr id="76" name="图片 177" descr="92dccc778ddda0142e669c4cf3e5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77" descr="92dccc778ddda0142e669c4cf3e57f1"/>
                          <pic:cNvPicPr>
                            <a:picLocks noChangeAspect="1"/>
                          </pic:cNvPicPr>
                        </pic:nvPicPr>
                        <pic:blipFill>
                          <a:blip r:embed="rId22"/>
                          <a:stretch>
                            <a:fillRect/>
                          </a:stretch>
                        </pic:blipFill>
                        <pic:spPr>
                          <a:xfrm>
                            <a:off x="0" y="0"/>
                            <a:ext cx="507365" cy="341630"/>
                          </a:xfrm>
                          <a:prstGeom prst="rect">
                            <a:avLst/>
                          </a:prstGeom>
                          <a:noFill/>
                          <a:ln>
                            <a:noFill/>
                          </a:ln>
                        </pic:spPr>
                      </pic:pic>
                    </a:graphicData>
                  </a:graphic>
                </wp:inline>
              </w:drawing>
            </w:r>
          </w:p>
        </w:tc>
      </w:tr>
      <w:tr w14:paraId="3BDF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8929CC5">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13</w:t>
            </w:r>
          </w:p>
        </w:tc>
        <w:tc>
          <w:tcPr>
            <w:tcW w:w="535" w:type="pct"/>
            <w:vAlign w:val="center"/>
          </w:tcPr>
          <w:p w14:paraId="5894340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炊用燃气大锅灶(800双头)</w:t>
            </w:r>
          </w:p>
        </w:tc>
        <w:tc>
          <w:tcPr>
            <w:tcW w:w="628" w:type="pct"/>
            <w:vAlign w:val="center"/>
          </w:tcPr>
          <w:p w14:paraId="24D2F58A">
            <w:pPr>
              <w:jc w:val="center"/>
              <w:rPr>
                <w:rFonts w:hint="eastAsia" w:ascii="宋体" w:hAnsi="宋体" w:eastAsia="宋体" w:cs="宋体"/>
                <w:sz w:val="22"/>
                <w:szCs w:val="22"/>
                <w:vertAlign w:val="baseline"/>
              </w:rPr>
            </w:pPr>
            <w:r>
              <w:rPr>
                <w:rFonts w:hint="eastAsia" w:ascii="宋体" w:hAnsi="宋体" w:eastAsia="宋体" w:cs="宋体"/>
                <w:color w:val="auto"/>
                <w:sz w:val="22"/>
                <w:szCs w:val="22"/>
                <w:highlight w:val="none"/>
                <w:lang w:bidi="ar"/>
              </w:rPr>
              <w:t>2000×1200×（800 +450）</w:t>
            </w:r>
          </w:p>
        </w:tc>
        <w:tc>
          <w:tcPr>
            <w:tcW w:w="2109" w:type="pct"/>
            <w:shd w:val="clear" w:color="auto" w:fill="auto"/>
            <w:vAlign w:val="center"/>
          </w:tcPr>
          <w:p w14:paraId="134FE3D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1、额定电压：AC220V-240V，额定频率：50/60Hz，额定热负荷：35kW*2，额定功率：110W，额定气压：2.0kPa，进气口：DN20，进水管：DN15，排水管：DN25；</w:t>
            </w:r>
          </w:p>
          <w:p w14:paraId="22B44A6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2、优质SUS304-2B不锈钢板制造，面板、前脸板厚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1.2mm,台面一次压制成型；外旁板、后立板201J1/J4，板厚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1.0mm,龙骨架国标不锈钢方管25*38</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1.2mm；衬板电解镀锌钢板厚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1.2mm,灶身双层热轧钢板，隔热层</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40,炉膛</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50厚耐高温材料；</w:t>
            </w:r>
          </w:p>
          <w:p w14:paraId="04D8D48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3、炉膛采用不锈钢合金材料，一次成型，厚度2.0内配稀土贵金属聚能网；配全预混式节能炉头，36V42W直流风机 ，一键启动；</w:t>
            </w:r>
            <w:r>
              <w:rPr>
                <w:rFonts w:hint="eastAsia" w:ascii="宋体" w:hAnsi="宋体" w:eastAsia="宋体" w:cs="宋体"/>
                <w:color w:val="auto"/>
                <w:sz w:val="22"/>
                <w:szCs w:val="22"/>
                <w:highlight w:val="none"/>
                <w:lang w:val="en-US" w:eastAsia="zh-CN" w:bidi="ar"/>
              </w:rPr>
              <w:t>配备三角阀，进水软管</w:t>
            </w:r>
            <w:r>
              <w:rPr>
                <w:rFonts w:hint="eastAsia" w:ascii="宋体" w:hAnsi="宋体" w:eastAsia="宋体" w:cs="宋体"/>
                <w:color w:val="auto"/>
                <w:sz w:val="22"/>
                <w:szCs w:val="22"/>
                <w:highlight w:val="none"/>
                <w:lang w:bidi="ar"/>
              </w:rPr>
              <w:t>；</w:t>
            </w:r>
          </w:p>
          <w:p w14:paraId="4AEC42E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4、产品符合GB35848-2024《商用燃气燃烧器具》要求；所投设备额定热负荷35KW*2，热负荷准确度±10%以内，能源合理利用率76%以上；</w:t>
            </w:r>
          </w:p>
          <w:p w14:paraId="278D5F4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5、所投设备有主板保护功能（主板具有自动检测温度并保护功能，当温度大于设定值时切断气阀并报警，显示屏显示故障代码）；</w:t>
            </w:r>
          </w:p>
          <w:p w14:paraId="2703EBB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6、所投设备有无线链接功能（通过与手机蓝牙联接，无线控制进行灶具参数设定和灶具控制板程序升级功能）；</w:t>
            </w:r>
          </w:p>
          <w:p w14:paraId="2B16A48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7、所投设备有燃气泄漏模块（通过燃气泄漏模块检测漏气，检测到产品内部燃气泄漏后停止工作，电磁阀关闭，并且通过手机发送短信通知）；</w:t>
            </w:r>
          </w:p>
          <w:p w14:paraId="7042007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8、所投设备有风机功率调节及转速显示功能（通过设定风机的转速的数值，可自由调节每一档风机的功率，通过主板的风机模块检测风机转速数值，在显示屏或小程序上显示）。</w:t>
            </w:r>
          </w:p>
          <w:p w14:paraId="440025F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9、设备有火力功率调节及火力显示功能(通过设定比例阀的数值，可自由调节每一档的火力功率，通过主档位开关检测，在显示屏或小程序上显示当前火力档位。)</w:t>
            </w:r>
          </w:p>
          <w:p w14:paraId="104C61B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（检测依据：GB 35848-2024《商用燃气燃烧器具》、GB/T25000.51-2016：《系统与软件工程系统与软件质量要求和评价（SQuaRE）第51部分：就绪可用软件产品（RUSP）的质量要求和测试细则》、《商用燃气燃烧器具产品评价技术规范》）        </w:t>
            </w:r>
          </w:p>
          <w:p w14:paraId="636EC93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上述4、5、6、7、8、9条须提供第三方检测机构出具的具有CMA或CNAS认证资质的整机检测报告复印件</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sz w:val="22"/>
                <w:szCs w:val="22"/>
                <w:highlight w:val="none"/>
                <w:lang w:bidi="ar"/>
              </w:rPr>
              <w:t>；</w:t>
            </w:r>
          </w:p>
          <w:p w14:paraId="04E24D8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p>
        </w:tc>
        <w:tc>
          <w:tcPr>
            <w:tcW w:w="202" w:type="pct"/>
            <w:vAlign w:val="center"/>
          </w:tcPr>
          <w:p w14:paraId="7D1ABF3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535BAAF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9D7A9FB">
            <w:pPr>
              <w:jc w:val="center"/>
              <w:rPr>
                <w:rFonts w:hint="eastAsia" w:ascii="宋体" w:hAnsi="宋体" w:eastAsia="宋体" w:cs="宋体"/>
                <w:sz w:val="22"/>
                <w:szCs w:val="22"/>
                <w:vertAlign w:val="baseline"/>
              </w:rPr>
            </w:pPr>
            <w:r>
              <w:rPr>
                <w:b w:val="0"/>
                <w:bCs w:val="0"/>
                <w:color w:val="auto"/>
                <w:sz w:val="22"/>
                <w:szCs w:val="22"/>
                <w:highlight w:val="none"/>
              </w:rPr>
              <w:drawing>
                <wp:inline distT="0" distB="0" distL="114300" distR="114300">
                  <wp:extent cx="612775" cy="908685"/>
                  <wp:effectExtent l="0" t="0" r="15875" b="5715"/>
                  <wp:docPr id="28"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9"/>
                          <pic:cNvPicPr>
                            <a:picLocks noChangeAspect="1"/>
                          </pic:cNvPicPr>
                        </pic:nvPicPr>
                        <pic:blipFill>
                          <a:blip r:embed="rId23"/>
                          <a:stretch>
                            <a:fillRect/>
                          </a:stretch>
                        </pic:blipFill>
                        <pic:spPr>
                          <a:xfrm>
                            <a:off x="0" y="0"/>
                            <a:ext cx="612775" cy="908685"/>
                          </a:xfrm>
                          <a:prstGeom prst="rect">
                            <a:avLst/>
                          </a:prstGeom>
                          <a:noFill/>
                          <a:ln>
                            <a:noFill/>
                          </a:ln>
                        </pic:spPr>
                      </pic:pic>
                    </a:graphicData>
                  </a:graphic>
                </wp:inline>
              </w:drawing>
            </w:r>
          </w:p>
        </w:tc>
      </w:tr>
      <w:tr w14:paraId="0CA9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507B22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14</w:t>
            </w:r>
          </w:p>
        </w:tc>
        <w:tc>
          <w:tcPr>
            <w:tcW w:w="535" w:type="pct"/>
            <w:vAlign w:val="center"/>
          </w:tcPr>
          <w:p w14:paraId="6FE4900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大</w:t>
            </w:r>
            <w:r>
              <w:rPr>
                <w:rFonts w:hint="eastAsia" w:ascii="宋体" w:hAnsi="宋体" w:eastAsia="宋体" w:cs="宋体"/>
                <w:sz w:val="22"/>
                <w:szCs w:val="22"/>
                <w:vertAlign w:val="baseline"/>
              </w:rPr>
              <w:t>单星盆台</w:t>
            </w:r>
            <w:r>
              <w:rPr>
                <w:rFonts w:hint="eastAsia" w:ascii="宋体" w:hAnsi="宋体" w:eastAsia="宋体" w:cs="宋体"/>
                <w:sz w:val="22"/>
                <w:szCs w:val="22"/>
                <w:vertAlign w:val="baseline"/>
                <w:lang w:val="en-US" w:eastAsia="zh-CN"/>
              </w:rPr>
              <w:t>1</w:t>
            </w:r>
          </w:p>
        </w:tc>
        <w:tc>
          <w:tcPr>
            <w:tcW w:w="628" w:type="pct"/>
            <w:vAlign w:val="center"/>
          </w:tcPr>
          <w:p w14:paraId="5CA26CC5">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1000×700×(800+150)mm(±5%)</w:t>
            </w:r>
          </w:p>
        </w:tc>
        <w:tc>
          <w:tcPr>
            <w:tcW w:w="2109" w:type="pct"/>
            <w:vAlign w:val="center"/>
          </w:tcPr>
          <w:p w14:paraId="239AA2F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p w14:paraId="4354EBCC">
            <w:pPr>
              <w:jc w:val="center"/>
              <w:rPr>
                <w:rFonts w:hint="eastAsia" w:ascii="宋体" w:hAnsi="宋体" w:eastAsia="宋体" w:cs="宋体"/>
                <w:sz w:val="22"/>
                <w:szCs w:val="22"/>
                <w:vertAlign w:val="baseline"/>
              </w:rPr>
            </w:pPr>
          </w:p>
        </w:tc>
        <w:tc>
          <w:tcPr>
            <w:tcW w:w="202" w:type="pct"/>
            <w:vAlign w:val="center"/>
          </w:tcPr>
          <w:p w14:paraId="0C76885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6A5D6C7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919" w:type="pct"/>
            <w:vAlign w:val="center"/>
          </w:tcPr>
          <w:p w14:paraId="051BE20C">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32460" cy="578485"/>
                  <wp:effectExtent l="0" t="0" r="15240" b="12065"/>
                  <wp:docPr id="79"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80"/>
                          <pic:cNvPicPr>
                            <a:picLocks noChangeAspect="1"/>
                          </pic:cNvPicPr>
                        </pic:nvPicPr>
                        <pic:blipFill>
                          <a:blip r:embed="rId24"/>
                          <a:stretch>
                            <a:fillRect/>
                          </a:stretch>
                        </pic:blipFill>
                        <pic:spPr>
                          <a:xfrm>
                            <a:off x="0" y="0"/>
                            <a:ext cx="632460" cy="578485"/>
                          </a:xfrm>
                          <a:prstGeom prst="rect">
                            <a:avLst/>
                          </a:prstGeom>
                          <a:noFill/>
                          <a:ln>
                            <a:noFill/>
                          </a:ln>
                        </pic:spPr>
                      </pic:pic>
                    </a:graphicData>
                  </a:graphic>
                </wp:inline>
              </w:drawing>
            </w:r>
          </w:p>
        </w:tc>
      </w:tr>
      <w:tr w14:paraId="7782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26E6A3E">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15</w:t>
            </w:r>
          </w:p>
        </w:tc>
        <w:tc>
          <w:tcPr>
            <w:tcW w:w="535" w:type="pct"/>
            <w:vAlign w:val="center"/>
          </w:tcPr>
          <w:p w14:paraId="6A0F459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大单星盆台</w:t>
            </w:r>
            <w:r>
              <w:rPr>
                <w:rFonts w:hint="eastAsia" w:ascii="宋体" w:hAnsi="宋体" w:eastAsia="宋体" w:cs="宋体"/>
                <w:sz w:val="22"/>
                <w:szCs w:val="22"/>
                <w:vertAlign w:val="baseline"/>
                <w:lang w:val="en-US" w:eastAsia="zh-CN"/>
              </w:rPr>
              <w:t>2</w:t>
            </w:r>
          </w:p>
        </w:tc>
        <w:tc>
          <w:tcPr>
            <w:tcW w:w="628" w:type="pct"/>
            <w:vAlign w:val="center"/>
          </w:tcPr>
          <w:p w14:paraId="1F107C54">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1200×800×(800+150)mm</w:t>
            </w:r>
            <w:r>
              <w:rPr>
                <w:rFonts w:hint="eastAsia" w:ascii="宋体" w:hAnsi="宋体" w:eastAsia="宋体" w:cs="宋体"/>
                <w:color w:val="auto"/>
                <w:kern w:val="2"/>
                <w:sz w:val="22"/>
                <w:szCs w:val="22"/>
                <w:highlight w:val="none"/>
                <w:lang w:val="en-US" w:eastAsia="zh-CN" w:bidi="ar"/>
              </w:rPr>
              <w:t>(±5%)</w:t>
            </w:r>
          </w:p>
        </w:tc>
        <w:tc>
          <w:tcPr>
            <w:tcW w:w="2109" w:type="pct"/>
            <w:vAlign w:val="center"/>
          </w:tcPr>
          <w:p w14:paraId="10E1D09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4DC930C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AED692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18045434">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32460" cy="578485"/>
                  <wp:effectExtent l="0" t="0" r="15240" b="12065"/>
                  <wp:docPr id="6"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0"/>
                          <pic:cNvPicPr>
                            <a:picLocks noChangeAspect="1"/>
                          </pic:cNvPicPr>
                        </pic:nvPicPr>
                        <pic:blipFill>
                          <a:blip r:embed="rId24"/>
                          <a:stretch>
                            <a:fillRect/>
                          </a:stretch>
                        </pic:blipFill>
                        <pic:spPr>
                          <a:xfrm>
                            <a:off x="0" y="0"/>
                            <a:ext cx="632460" cy="578485"/>
                          </a:xfrm>
                          <a:prstGeom prst="rect">
                            <a:avLst/>
                          </a:prstGeom>
                          <a:noFill/>
                          <a:ln>
                            <a:noFill/>
                          </a:ln>
                        </pic:spPr>
                      </pic:pic>
                    </a:graphicData>
                  </a:graphic>
                </wp:inline>
              </w:drawing>
            </w:r>
          </w:p>
        </w:tc>
      </w:tr>
      <w:tr w14:paraId="52DE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8936BA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w:t>
            </w:r>
          </w:p>
        </w:tc>
        <w:tc>
          <w:tcPr>
            <w:tcW w:w="535" w:type="pct"/>
            <w:vAlign w:val="center"/>
          </w:tcPr>
          <w:p w14:paraId="7EE5B89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大单星盆台</w:t>
            </w:r>
            <w:r>
              <w:rPr>
                <w:rFonts w:hint="eastAsia" w:ascii="宋体" w:hAnsi="宋体" w:eastAsia="宋体" w:cs="宋体"/>
                <w:sz w:val="22"/>
                <w:szCs w:val="22"/>
                <w:vertAlign w:val="baseline"/>
                <w:lang w:val="en-US" w:eastAsia="zh-CN"/>
              </w:rPr>
              <w:t>3</w:t>
            </w:r>
          </w:p>
        </w:tc>
        <w:tc>
          <w:tcPr>
            <w:tcW w:w="628" w:type="pct"/>
            <w:vAlign w:val="center"/>
          </w:tcPr>
          <w:p w14:paraId="47CE3C54">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1200×800×(800+150)mm(±5%)</w:t>
            </w:r>
          </w:p>
        </w:tc>
        <w:tc>
          <w:tcPr>
            <w:tcW w:w="2109" w:type="pct"/>
            <w:vAlign w:val="center"/>
          </w:tcPr>
          <w:p w14:paraId="291E980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w:t>
            </w:r>
          </w:p>
          <w:p w14:paraId="0A332731">
            <w:pPr>
              <w:jc w:val="center"/>
              <w:rPr>
                <w:rFonts w:hint="eastAsia" w:ascii="宋体" w:hAnsi="宋体" w:eastAsia="宋体" w:cs="宋体"/>
                <w:sz w:val="22"/>
                <w:szCs w:val="22"/>
                <w:vertAlign w:val="baseline"/>
              </w:rPr>
            </w:pPr>
          </w:p>
        </w:tc>
        <w:tc>
          <w:tcPr>
            <w:tcW w:w="202" w:type="pct"/>
            <w:vAlign w:val="center"/>
          </w:tcPr>
          <w:p w14:paraId="69749EF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5282AB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F0E87DA">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32460" cy="578485"/>
                  <wp:effectExtent l="0" t="0" r="15240" b="12065"/>
                  <wp:docPr id="7"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0"/>
                          <pic:cNvPicPr>
                            <a:picLocks noChangeAspect="1"/>
                          </pic:cNvPicPr>
                        </pic:nvPicPr>
                        <pic:blipFill>
                          <a:blip r:embed="rId24"/>
                          <a:stretch>
                            <a:fillRect/>
                          </a:stretch>
                        </pic:blipFill>
                        <pic:spPr>
                          <a:xfrm>
                            <a:off x="0" y="0"/>
                            <a:ext cx="632460" cy="578485"/>
                          </a:xfrm>
                          <a:prstGeom prst="rect">
                            <a:avLst/>
                          </a:prstGeom>
                          <a:noFill/>
                          <a:ln>
                            <a:noFill/>
                          </a:ln>
                        </pic:spPr>
                      </pic:pic>
                    </a:graphicData>
                  </a:graphic>
                </wp:inline>
              </w:drawing>
            </w:r>
          </w:p>
        </w:tc>
      </w:tr>
      <w:tr w14:paraId="6ED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D598C9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17</w:t>
            </w:r>
          </w:p>
        </w:tc>
        <w:tc>
          <w:tcPr>
            <w:tcW w:w="535" w:type="pct"/>
            <w:vAlign w:val="center"/>
          </w:tcPr>
          <w:p w14:paraId="0449229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大单星盆台</w:t>
            </w:r>
            <w:r>
              <w:rPr>
                <w:rFonts w:hint="eastAsia" w:ascii="宋体" w:hAnsi="宋体" w:eastAsia="宋体" w:cs="宋体"/>
                <w:sz w:val="22"/>
                <w:szCs w:val="22"/>
                <w:vertAlign w:val="baseline"/>
                <w:lang w:val="en-US" w:eastAsia="zh-CN"/>
              </w:rPr>
              <w:t>4</w:t>
            </w:r>
          </w:p>
        </w:tc>
        <w:tc>
          <w:tcPr>
            <w:tcW w:w="628" w:type="pct"/>
            <w:vAlign w:val="center"/>
          </w:tcPr>
          <w:p w14:paraId="3B02172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1500×800×(800+150)mm</w:t>
            </w:r>
            <w:r>
              <w:rPr>
                <w:rFonts w:hint="eastAsia" w:ascii="宋体" w:hAnsi="宋体" w:eastAsia="宋体" w:cs="宋体"/>
                <w:color w:val="auto"/>
                <w:kern w:val="2"/>
                <w:sz w:val="22"/>
                <w:szCs w:val="22"/>
                <w:highlight w:val="none"/>
                <w:lang w:val="en-US" w:eastAsia="zh-CN" w:bidi="ar"/>
              </w:rPr>
              <w:t>(±5%)</w:t>
            </w:r>
          </w:p>
        </w:tc>
        <w:tc>
          <w:tcPr>
            <w:tcW w:w="2109" w:type="pct"/>
            <w:vAlign w:val="center"/>
          </w:tcPr>
          <w:p w14:paraId="1809739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50829CD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BF89DF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62C6E443">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32460" cy="578485"/>
                  <wp:effectExtent l="0" t="0" r="15240" b="12065"/>
                  <wp:docPr id="8"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0"/>
                          <pic:cNvPicPr>
                            <a:picLocks noChangeAspect="1"/>
                          </pic:cNvPicPr>
                        </pic:nvPicPr>
                        <pic:blipFill>
                          <a:blip r:embed="rId24"/>
                          <a:stretch>
                            <a:fillRect/>
                          </a:stretch>
                        </pic:blipFill>
                        <pic:spPr>
                          <a:xfrm>
                            <a:off x="0" y="0"/>
                            <a:ext cx="632460" cy="578485"/>
                          </a:xfrm>
                          <a:prstGeom prst="rect">
                            <a:avLst/>
                          </a:prstGeom>
                          <a:noFill/>
                          <a:ln>
                            <a:noFill/>
                          </a:ln>
                        </pic:spPr>
                      </pic:pic>
                    </a:graphicData>
                  </a:graphic>
                </wp:inline>
              </w:drawing>
            </w:r>
          </w:p>
        </w:tc>
      </w:tr>
      <w:tr w14:paraId="59D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842C97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18</w:t>
            </w:r>
          </w:p>
        </w:tc>
        <w:tc>
          <w:tcPr>
            <w:tcW w:w="535" w:type="pct"/>
            <w:vAlign w:val="center"/>
          </w:tcPr>
          <w:p w14:paraId="484B54D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大型热风循步入组装式消毒库</w:t>
            </w:r>
          </w:p>
        </w:tc>
        <w:tc>
          <w:tcPr>
            <w:tcW w:w="628" w:type="pct"/>
            <w:vAlign w:val="center"/>
          </w:tcPr>
          <w:p w14:paraId="5C1EAAD5">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5000×4000×2700mm(±5%)</w:t>
            </w:r>
          </w:p>
        </w:tc>
        <w:tc>
          <w:tcPr>
            <w:tcW w:w="2109" w:type="pct"/>
            <w:vAlign w:val="center"/>
          </w:tcPr>
          <w:p w14:paraId="051412E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一、消毒温度：50~105℃可调           </w:t>
            </w:r>
          </w:p>
          <w:p w14:paraId="1C255D7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消毒器具：不锈钢厨具、陶瓷碗碟、菜板、刀具等。     </w:t>
            </w:r>
          </w:p>
          <w:p w14:paraId="0D35B05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消毒性质：高温物理消毒 </w:t>
            </w:r>
          </w:p>
          <w:p w14:paraId="6254AF9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库体材质：消毒房主体内、外壁SUS304-2B优质发纹贴塑不锈钢板制作，房体为50mm厚密胺脂高压发泡板。内配防水、防潮、耐高温灯。</w:t>
            </w:r>
          </w:p>
          <w:p w14:paraId="2E80422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主控制箱可为微电脑智能控制。</w:t>
            </w:r>
          </w:p>
          <w:p w14:paraId="2B9C4F9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采用105℃高温对餐具进行消毒，360度环绕，杀菌效果显著。</w:t>
            </w:r>
          </w:p>
          <w:p w14:paraId="61A0A4C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二、1、热风循环，柜内温度均衡，杀菌效果更好，蒸汽温度可达105℃，让细菌无处可逃，健康有保障。</w:t>
            </w:r>
          </w:p>
          <w:p w14:paraId="3651065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2、拼装安装方式，无需考虑消毒房体积大进入用户室内问题，遇到高层楼房也不需要吊车，只需要货梯或楼梯即可。</w:t>
            </w:r>
          </w:p>
          <w:p w14:paraId="19AB295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3、特大消毒、储物空间，尺寸可根据用户场地订制（可设置前后门，方便使用），且可根据用户需求，设计针对不同餐具的推车，同时可容纳如：快餐盘、汤桶、份数盘、菜板、刀具等不同餐具。</w:t>
            </w:r>
          </w:p>
          <w:p w14:paraId="0A998E7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4、应用范围广，可适用于宾馆、餐馆、学校、部队、食堂等各种场所。</w:t>
            </w:r>
          </w:p>
          <w:p w14:paraId="5F6939D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5、微电脑控制系统，智能控制，预约功能，温度时间双屏显示，温度调节范围50-105℃，数码显示屏，触摸式按键，LED动态灯+报警灯提示，一键启/停，操作方便，简单易学。</w:t>
            </w:r>
          </w:p>
          <w:p w14:paraId="24445D8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6、能源节约：消毒房控制系统具有预约功能，利用峰谷分时电价政策，预约消毒房自动启动，大大的节约了电费支出。</w:t>
            </w:r>
          </w:p>
          <w:p w14:paraId="3F665D4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电量：45KW/280V；</w:t>
            </w:r>
          </w:p>
        </w:tc>
        <w:tc>
          <w:tcPr>
            <w:tcW w:w="202" w:type="pct"/>
            <w:vAlign w:val="center"/>
          </w:tcPr>
          <w:p w14:paraId="6BC3E36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立方</w:t>
            </w:r>
          </w:p>
        </w:tc>
        <w:tc>
          <w:tcPr>
            <w:tcW w:w="254" w:type="pct"/>
            <w:vAlign w:val="center"/>
          </w:tcPr>
          <w:p w14:paraId="4200ABF4">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54</w:t>
            </w:r>
          </w:p>
        </w:tc>
        <w:tc>
          <w:tcPr>
            <w:tcW w:w="919" w:type="pct"/>
            <w:vAlign w:val="center"/>
          </w:tcPr>
          <w:p w14:paraId="29FEA3AD">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eastAsia="zh-CN"/>
              </w:rPr>
              <w:drawing>
                <wp:inline distT="0" distB="0" distL="114300" distR="114300">
                  <wp:extent cx="655320" cy="1088390"/>
                  <wp:effectExtent l="0" t="0" r="12065" b="0"/>
                  <wp:docPr id="80" name="图片 181" descr="微信图片_2019120413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81" descr="微信图片_20191204135332"/>
                          <pic:cNvPicPr>
                            <a:picLocks noChangeAspect="1"/>
                          </pic:cNvPicPr>
                        </pic:nvPicPr>
                        <pic:blipFill>
                          <a:blip r:embed="rId25"/>
                          <a:stretch>
                            <a:fillRect/>
                          </a:stretch>
                        </pic:blipFill>
                        <pic:spPr>
                          <a:xfrm>
                            <a:off x="0" y="0"/>
                            <a:ext cx="655320" cy="1088390"/>
                          </a:xfrm>
                          <a:prstGeom prst="rect">
                            <a:avLst/>
                          </a:prstGeom>
                          <a:noFill/>
                          <a:ln>
                            <a:noFill/>
                          </a:ln>
                        </pic:spPr>
                      </pic:pic>
                    </a:graphicData>
                  </a:graphic>
                </wp:inline>
              </w:drawing>
            </w:r>
          </w:p>
        </w:tc>
      </w:tr>
      <w:tr w14:paraId="3451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6D7AB2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19</w:t>
            </w:r>
          </w:p>
        </w:tc>
        <w:tc>
          <w:tcPr>
            <w:tcW w:w="535" w:type="pct"/>
            <w:vAlign w:val="center"/>
          </w:tcPr>
          <w:p w14:paraId="06177CE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单通工作台</w:t>
            </w:r>
            <w:r>
              <w:rPr>
                <w:rFonts w:hint="eastAsia" w:ascii="宋体" w:hAnsi="宋体" w:eastAsia="宋体" w:cs="宋体"/>
                <w:sz w:val="22"/>
                <w:szCs w:val="22"/>
                <w:vertAlign w:val="baseline"/>
                <w:lang w:val="en-US" w:eastAsia="zh-CN"/>
              </w:rPr>
              <w:t>1</w:t>
            </w:r>
          </w:p>
        </w:tc>
        <w:tc>
          <w:tcPr>
            <w:tcW w:w="628" w:type="pct"/>
            <w:vAlign w:val="center"/>
          </w:tcPr>
          <w:p w14:paraId="37671256">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1200×700×(800+150)mm(±5%)</w:t>
            </w:r>
          </w:p>
        </w:tc>
        <w:tc>
          <w:tcPr>
            <w:tcW w:w="2109" w:type="pct"/>
            <w:vAlign w:val="center"/>
          </w:tcPr>
          <w:p w14:paraId="421C9D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采用SUS304-2B优质发纹贴塑不锈钢板制作，台面δ≥1.1mm（下衬12mm防潮板减噪）。其他采用δ≥0.9mm不锈钢板，加强筋采用δ≥0.9mm不锈钢板,单侧单移门，内分两层，重力脚φ50×150×δ≥1.1mm；</w:t>
            </w:r>
          </w:p>
          <w:p w14:paraId="050625A2">
            <w:pPr>
              <w:jc w:val="center"/>
              <w:rPr>
                <w:rFonts w:hint="eastAsia" w:ascii="宋体" w:hAnsi="宋体" w:eastAsia="宋体" w:cs="宋体"/>
                <w:sz w:val="22"/>
                <w:szCs w:val="22"/>
                <w:vertAlign w:val="baseline"/>
              </w:rPr>
            </w:pPr>
          </w:p>
        </w:tc>
        <w:tc>
          <w:tcPr>
            <w:tcW w:w="202" w:type="pct"/>
            <w:vAlign w:val="center"/>
          </w:tcPr>
          <w:p w14:paraId="5F09D90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04476DE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48DE9AB">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73"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016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624696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w:t>
            </w:r>
          </w:p>
        </w:tc>
        <w:tc>
          <w:tcPr>
            <w:tcW w:w="535" w:type="pct"/>
            <w:vAlign w:val="center"/>
          </w:tcPr>
          <w:p w14:paraId="2D8606B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w:t>
            </w:r>
            <w:r>
              <w:rPr>
                <w:rFonts w:hint="eastAsia" w:ascii="宋体" w:hAnsi="宋体" w:eastAsia="宋体" w:cs="宋体"/>
                <w:sz w:val="22"/>
                <w:szCs w:val="22"/>
                <w:vertAlign w:val="baseline"/>
              </w:rPr>
              <w:t>通工作台</w:t>
            </w:r>
            <w:r>
              <w:rPr>
                <w:rFonts w:hint="eastAsia" w:ascii="宋体" w:hAnsi="宋体" w:eastAsia="宋体" w:cs="宋体"/>
                <w:sz w:val="22"/>
                <w:szCs w:val="22"/>
                <w:vertAlign w:val="baseline"/>
                <w:lang w:val="en-US" w:eastAsia="zh-CN"/>
              </w:rPr>
              <w:t>2</w:t>
            </w:r>
          </w:p>
        </w:tc>
        <w:tc>
          <w:tcPr>
            <w:tcW w:w="628" w:type="pct"/>
            <w:vAlign w:val="center"/>
          </w:tcPr>
          <w:p w14:paraId="676A82C6">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1500×700×(800+150)mm(±5%)</w:t>
            </w:r>
          </w:p>
        </w:tc>
        <w:tc>
          <w:tcPr>
            <w:tcW w:w="2109" w:type="pct"/>
            <w:vAlign w:val="center"/>
          </w:tcPr>
          <w:p w14:paraId="4FC2DB3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采用SUS304-2B优质发纹贴塑不锈钢板制作，台面δ≥1.1mm（下衬12mm防潮板减噪）。其他采用δ≥0.9mm不锈钢板，加强筋采用δ≥0.9mm不锈钢板,单侧单移门，内分两层，重力脚φ50×150×δ≥1.1mm；</w:t>
            </w:r>
          </w:p>
          <w:p w14:paraId="028AAB38">
            <w:pPr>
              <w:jc w:val="center"/>
              <w:rPr>
                <w:rFonts w:hint="eastAsia" w:ascii="宋体" w:hAnsi="宋体" w:eastAsia="宋体" w:cs="宋体"/>
                <w:sz w:val="22"/>
                <w:szCs w:val="22"/>
                <w:vertAlign w:val="baseline"/>
              </w:rPr>
            </w:pPr>
          </w:p>
        </w:tc>
        <w:tc>
          <w:tcPr>
            <w:tcW w:w="202" w:type="pct"/>
            <w:vAlign w:val="center"/>
          </w:tcPr>
          <w:p w14:paraId="1A4750D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368D47D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10195CCA">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9"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74B4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F0D15F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21</w:t>
            </w:r>
          </w:p>
        </w:tc>
        <w:tc>
          <w:tcPr>
            <w:tcW w:w="535" w:type="pct"/>
            <w:vAlign w:val="center"/>
          </w:tcPr>
          <w:p w14:paraId="13FF9AF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单通工作台</w:t>
            </w:r>
            <w:r>
              <w:rPr>
                <w:rFonts w:hint="eastAsia" w:ascii="宋体" w:hAnsi="宋体" w:eastAsia="宋体" w:cs="宋体"/>
                <w:sz w:val="22"/>
                <w:szCs w:val="22"/>
                <w:vertAlign w:val="baseline"/>
                <w:lang w:val="en-US" w:eastAsia="zh-CN"/>
              </w:rPr>
              <w:t>3</w:t>
            </w:r>
          </w:p>
        </w:tc>
        <w:tc>
          <w:tcPr>
            <w:tcW w:w="628" w:type="pct"/>
            <w:vAlign w:val="center"/>
          </w:tcPr>
          <w:p w14:paraId="2E794794">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1500×700×800mm(±5%)</w:t>
            </w:r>
          </w:p>
        </w:tc>
        <w:tc>
          <w:tcPr>
            <w:tcW w:w="2109" w:type="pct"/>
            <w:vAlign w:val="center"/>
          </w:tcPr>
          <w:p w14:paraId="5997AAD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采用SUS304-2B优质发纹贴塑不锈钢板制作，台面δ≥1.1mm（下衬12mm防潮板减噪）。其他采用δ≥0.9mm不锈钢板，加强筋采用δ≥0.9mm不锈钢板,单侧单移门，内分两层，重力脚φ50×150×δ≥1.1mm；</w:t>
            </w:r>
          </w:p>
          <w:p w14:paraId="4C71C7C6">
            <w:pPr>
              <w:jc w:val="center"/>
              <w:rPr>
                <w:rFonts w:hint="eastAsia" w:ascii="宋体" w:hAnsi="宋体" w:eastAsia="宋体" w:cs="宋体"/>
                <w:sz w:val="22"/>
                <w:szCs w:val="22"/>
                <w:vertAlign w:val="baseline"/>
              </w:rPr>
            </w:pPr>
          </w:p>
        </w:tc>
        <w:tc>
          <w:tcPr>
            <w:tcW w:w="202" w:type="pct"/>
            <w:vAlign w:val="center"/>
          </w:tcPr>
          <w:p w14:paraId="51FDD38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6807601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1C2E438D">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11"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1114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0BDC7C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22</w:t>
            </w:r>
          </w:p>
        </w:tc>
        <w:tc>
          <w:tcPr>
            <w:tcW w:w="535" w:type="pct"/>
            <w:vAlign w:val="center"/>
          </w:tcPr>
          <w:p w14:paraId="18CD246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w:t>
            </w:r>
            <w:r>
              <w:rPr>
                <w:rFonts w:hint="eastAsia" w:ascii="宋体" w:hAnsi="宋体" w:eastAsia="宋体" w:cs="宋体"/>
                <w:sz w:val="22"/>
                <w:szCs w:val="22"/>
                <w:vertAlign w:val="baseline"/>
              </w:rPr>
              <w:t>通工作台</w:t>
            </w:r>
            <w:r>
              <w:rPr>
                <w:rFonts w:hint="eastAsia" w:ascii="宋体" w:hAnsi="宋体" w:eastAsia="宋体" w:cs="宋体"/>
                <w:sz w:val="22"/>
                <w:szCs w:val="22"/>
                <w:vertAlign w:val="baseline"/>
                <w:lang w:val="en-US" w:eastAsia="zh-CN"/>
              </w:rPr>
              <w:t>4</w:t>
            </w:r>
          </w:p>
        </w:tc>
        <w:tc>
          <w:tcPr>
            <w:tcW w:w="628" w:type="pct"/>
            <w:vAlign w:val="center"/>
          </w:tcPr>
          <w:p w14:paraId="113A2B31">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1500×750×800mm(±5%)</w:t>
            </w:r>
          </w:p>
        </w:tc>
        <w:tc>
          <w:tcPr>
            <w:tcW w:w="2109" w:type="pct"/>
            <w:vAlign w:val="center"/>
          </w:tcPr>
          <w:p w14:paraId="29FD16C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采用SUS304-2B优质发纹贴塑不锈钢板制作，台面δ≥1.1mm（下衬12mm防潮板减噪）。其他采用δ≥0.9mm不锈钢板，加强筋采用δ≥0.9mm不锈钢板,单侧单移门，内分两层，重力脚φ50×150×δ≥1.1mm；</w:t>
            </w:r>
          </w:p>
          <w:p w14:paraId="78C13AD5">
            <w:pPr>
              <w:jc w:val="center"/>
              <w:rPr>
                <w:rFonts w:hint="eastAsia" w:ascii="宋体" w:hAnsi="宋体" w:eastAsia="宋体" w:cs="宋体"/>
                <w:sz w:val="22"/>
                <w:szCs w:val="22"/>
                <w:vertAlign w:val="baseline"/>
              </w:rPr>
            </w:pPr>
          </w:p>
        </w:tc>
        <w:tc>
          <w:tcPr>
            <w:tcW w:w="202" w:type="pct"/>
            <w:vAlign w:val="center"/>
          </w:tcPr>
          <w:p w14:paraId="6DC0C43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6DA67B3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2E26208">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12"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29EC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921264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23</w:t>
            </w:r>
          </w:p>
        </w:tc>
        <w:tc>
          <w:tcPr>
            <w:tcW w:w="535" w:type="pct"/>
            <w:vAlign w:val="center"/>
          </w:tcPr>
          <w:p w14:paraId="1DF911B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单通工作台</w:t>
            </w:r>
            <w:r>
              <w:rPr>
                <w:rFonts w:hint="eastAsia" w:ascii="宋体" w:hAnsi="宋体" w:eastAsia="宋体" w:cs="宋体"/>
                <w:sz w:val="22"/>
                <w:szCs w:val="22"/>
                <w:vertAlign w:val="baseline"/>
                <w:lang w:val="en-US" w:eastAsia="zh-CN"/>
              </w:rPr>
              <w:t>5</w:t>
            </w:r>
          </w:p>
        </w:tc>
        <w:tc>
          <w:tcPr>
            <w:tcW w:w="628" w:type="pct"/>
            <w:vAlign w:val="center"/>
          </w:tcPr>
          <w:p w14:paraId="56599B20">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1650×700×800mm(±5%)</w:t>
            </w:r>
          </w:p>
        </w:tc>
        <w:tc>
          <w:tcPr>
            <w:tcW w:w="2109" w:type="pct"/>
            <w:vAlign w:val="center"/>
          </w:tcPr>
          <w:p w14:paraId="73A335D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采用SUS304-2B优质发纹贴塑不锈钢板制作，台面δ≥1.1mm（下衬12mm防潮板减噪）。其他采用δ≥0.9mm；不锈钢板，加强筋采用δ≥0.9mm不锈钢板,双侧双移门，内分两层，重力脚φ50×150×δ≥1.1mm；。</w:t>
            </w:r>
          </w:p>
          <w:p w14:paraId="068446B3">
            <w:pPr>
              <w:jc w:val="center"/>
              <w:rPr>
                <w:rFonts w:hint="eastAsia" w:ascii="宋体" w:hAnsi="宋体" w:eastAsia="宋体" w:cs="宋体"/>
                <w:sz w:val="22"/>
                <w:szCs w:val="22"/>
                <w:vertAlign w:val="baseline"/>
              </w:rPr>
            </w:pPr>
          </w:p>
        </w:tc>
        <w:tc>
          <w:tcPr>
            <w:tcW w:w="202" w:type="pct"/>
            <w:vAlign w:val="center"/>
          </w:tcPr>
          <w:p w14:paraId="4E08E8C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5856995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3573F9BB">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13"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2B4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819C17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24</w:t>
            </w:r>
          </w:p>
        </w:tc>
        <w:tc>
          <w:tcPr>
            <w:tcW w:w="535" w:type="pct"/>
            <w:vAlign w:val="center"/>
          </w:tcPr>
          <w:p w14:paraId="2160A1A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单通工作台</w:t>
            </w:r>
            <w:r>
              <w:rPr>
                <w:rFonts w:hint="eastAsia" w:ascii="宋体" w:hAnsi="宋体" w:eastAsia="宋体" w:cs="宋体"/>
                <w:sz w:val="22"/>
                <w:szCs w:val="22"/>
                <w:vertAlign w:val="baseline"/>
                <w:lang w:val="en-US" w:eastAsia="zh-CN"/>
              </w:rPr>
              <w:t>6</w:t>
            </w:r>
          </w:p>
        </w:tc>
        <w:tc>
          <w:tcPr>
            <w:tcW w:w="628" w:type="pct"/>
            <w:vAlign w:val="center"/>
          </w:tcPr>
          <w:p w14:paraId="24E391B2">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1800×700×(800+150)mm(±5%)</w:t>
            </w:r>
          </w:p>
        </w:tc>
        <w:tc>
          <w:tcPr>
            <w:tcW w:w="2109" w:type="pct"/>
            <w:vAlign w:val="center"/>
          </w:tcPr>
          <w:p w14:paraId="7C26D2A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采用SUS304-2B优质发纹贴塑不锈钢板制作，台面δ≥1.1mm（下衬12mm防潮板减噪）。其他采用δ≥0.9mm不锈钢板，加强筋采用δ≥0.9mm不锈钢板,双侧双移门，内分两层，重力脚φ50×150×δ≥1.1mm；</w:t>
            </w:r>
          </w:p>
        </w:tc>
        <w:tc>
          <w:tcPr>
            <w:tcW w:w="202" w:type="pct"/>
            <w:vAlign w:val="center"/>
          </w:tcPr>
          <w:p w14:paraId="6309B56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F719F4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1E31E9D1">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1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6E5C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1D57A8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25</w:t>
            </w:r>
          </w:p>
        </w:tc>
        <w:tc>
          <w:tcPr>
            <w:tcW w:w="535" w:type="pct"/>
            <w:vAlign w:val="center"/>
          </w:tcPr>
          <w:p w14:paraId="2743893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w:t>
            </w:r>
            <w:r>
              <w:rPr>
                <w:rFonts w:hint="eastAsia" w:ascii="宋体" w:hAnsi="宋体" w:eastAsia="宋体" w:cs="宋体"/>
                <w:sz w:val="22"/>
                <w:szCs w:val="22"/>
                <w:vertAlign w:val="baseline"/>
              </w:rPr>
              <w:t>通工作台</w:t>
            </w:r>
            <w:r>
              <w:rPr>
                <w:rFonts w:hint="eastAsia" w:ascii="宋体" w:hAnsi="宋体" w:eastAsia="宋体" w:cs="宋体"/>
                <w:sz w:val="22"/>
                <w:szCs w:val="22"/>
                <w:vertAlign w:val="baseline"/>
                <w:lang w:val="en-US" w:eastAsia="zh-CN"/>
              </w:rPr>
              <w:t>7</w:t>
            </w:r>
          </w:p>
        </w:tc>
        <w:tc>
          <w:tcPr>
            <w:tcW w:w="628" w:type="pct"/>
            <w:vAlign w:val="center"/>
          </w:tcPr>
          <w:p w14:paraId="6BFC7DD2">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1800×700×800mm(±5%)</w:t>
            </w:r>
          </w:p>
        </w:tc>
        <w:tc>
          <w:tcPr>
            <w:tcW w:w="2109" w:type="pct"/>
            <w:vAlign w:val="center"/>
          </w:tcPr>
          <w:p w14:paraId="589A82C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采用SUS304-2B优质发纹贴塑不锈钢板制作，台面δ≥1.1mm（下衬12mm防潮板减噪）。其他采用δ≥0.9mm；不锈钢板，加强筋采用δ≥0.9mm不锈钢板,双侧双移门，内分两层，重力脚φ50×150×δ≥1.1mm；</w:t>
            </w:r>
          </w:p>
          <w:p w14:paraId="5A9885EA">
            <w:pPr>
              <w:jc w:val="center"/>
              <w:rPr>
                <w:rFonts w:hint="eastAsia" w:ascii="宋体" w:hAnsi="宋体" w:eastAsia="宋体" w:cs="宋体"/>
                <w:sz w:val="22"/>
                <w:szCs w:val="22"/>
                <w:vertAlign w:val="baseline"/>
              </w:rPr>
            </w:pPr>
          </w:p>
        </w:tc>
        <w:tc>
          <w:tcPr>
            <w:tcW w:w="202" w:type="pct"/>
            <w:vAlign w:val="center"/>
          </w:tcPr>
          <w:p w14:paraId="4F55AFF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69AE6C5">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5B92EA94">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15"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4"/>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39BC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5CB6F8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26</w:t>
            </w:r>
          </w:p>
        </w:tc>
        <w:tc>
          <w:tcPr>
            <w:tcW w:w="535" w:type="pct"/>
            <w:vAlign w:val="center"/>
          </w:tcPr>
          <w:p w14:paraId="0F46176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单头电磁低汤炉</w:t>
            </w:r>
          </w:p>
        </w:tc>
        <w:tc>
          <w:tcPr>
            <w:tcW w:w="628" w:type="pct"/>
            <w:vAlign w:val="center"/>
          </w:tcPr>
          <w:p w14:paraId="3159F299">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650×750×(550+700)mm(±5%)</w:t>
            </w:r>
          </w:p>
        </w:tc>
        <w:tc>
          <w:tcPr>
            <w:tcW w:w="2109" w:type="pct"/>
            <w:vAlign w:val="center"/>
          </w:tcPr>
          <w:p w14:paraId="68329CD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1、配500*500三层复合底汤桶，汤桶通过国家食品安全标准接触用金属材料及制品，全不锈钢水龙头。</w:t>
            </w:r>
          </w:p>
          <w:p w14:paraId="454E78E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2、采用≥6mm厚≥Φ430耐高温防撞击抛光平面微晶玻璃，玻璃表面体现使用、注意安全事项。</w:t>
            </w:r>
          </w:p>
          <w:p w14:paraId="06ECB77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3、采用锌合金双八档旋转开关及一键启停电源开关，方便离岗关机并准确无误停止加热。</w:t>
            </w:r>
          </w:p>
          <w:p w14:paraId="79940C6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4、机芯核心部件采用不同导热特殊材料灌封，散热的同时又能达到防水，防潮效果。</w:t>
            </w:r>
          </w:p>
          <w:p w14:paraId="5DE7586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5、采用识字量运算控制，智能调节算法真正实现对功率、频率、温度、电源、电压、电流、相位、频率等参数的数字化控制。</w:t>
            </w:r>
          </w:p>
          <w:p w14:paraId="41F45ED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6、采用变频送风技术，同步感应追踪多路工作点温度，大大增加散热系统使用寿命，有效防止散热系统堵塞。</w:t>
            </w:r>
          </w:p>
          <w:p w14:paraId="2E01B6D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7、线盘采用耐高温高频线制作锅底发热均匀无盲区同时提高有效热能降低用电成本。</w:t>
            </w:r>
          </w:p>
          <w:p w14:paraId="190D1FB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8、显示器体现公司名称、400电话、累计用电量、当前档位及当前功率、动态加热火苗、中文故障显示，便捷操作及售后管理。</w:t>
            </w:r>
            <w:r>
              <w:rPr>
                <w:rFonts w:hint="eastAsia" w:ascii="宋体" w:hAnsi="宋体" w:eastAsia="宋体" w:cs="宋体"/>
                <w:color w:val="auto"/>
                <w:sz w:val="22"/>
                <w:szCs w:val="22"/>
                <w:highlight w:val="none"/>
                <w:lang w:val="en-US" w:eastAsia="zh-CN" w:bidi="ar"/>
              </w:rPr>
              <w:t>配备三角阀，进水软管</w:t>
            </w:r>
            <w:r>
              <w:rPr>
                <w:rFonts w:hint="eastAsia" w:ascii="宋体" w:hAnsi="宋体" w:eastAsia="宋体" w:cs="宋体"/>
                <w:color w:val="auto"/>
                <w:kern w:val="2"/>
                <w:sz w:val="22"/>
                <w:szCs w:val="22"/>
                <w:highlight w:val="none"/>
                <w:lang w:val="en-US" w:eastAsia="zh-CN" w:bidi="ar"/>
              </w:rPr>
              <w:t>。</w:t>
            </w:r>
          </w:p>
          <w:p w14:paraId="0D6F55D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9、电量：15kw/380v</w:t>
            </w:r>
          </w:p>
        </w:tc>
        <w:tc>
          <w:tcPr>
            <w:tcW w:w="202" w:type="pct"/>
            <w:vAlign w:val="center"/>
          </w:tcPr>
          <w:p w14:paraId="29FD19E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DD63A5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9AAEBA4">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18490" cy="924560"/>
                  <wp:effectExtent l="0" t="0" r="10160" b="8890"/>
                  <wp:docPr id="65" name="图片 166" descr="DSC_01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6" descr="DSC_0183-3.png"/>
                          <pic:cNvPicPr>
                            <a:picLocks noChangeAspect="1"/>
                          </pic:cNvPicPr>
                        </pic:nvPicPr>
                        <pic:blipFill>
                          <a:blip r:embed="rId27"/>
                          <a:stretch>
                            <a:fillRect/>
                          </a:stretch>
                        </pic:blipFill>
                        <pic:spPr>
                          <a:xfrm>
                            <a:off x="0" y="0"/>
                            <a:ext cx="618490" cy="924560"/>
                          </a:xfrm>
                          <a:prstGeom prst="rect">
                            <a:avLst/>
                          </a:prstGeom>
                          <a:noFill/>
                          <a:ln>
                            <a:noFill/>
                          </a:ln>
                        </pic:spPr>
                      </pic:pic>
                    </a:graphicData>
                  </a:graphic>
                </wp:inline>
              </w:drawing>
            </w:r>
          </w:p>
        </w:tc>
      </w:tr>
      <w:tr w14:paraId="379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CAB970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27</w:t>
            </w:r>
          </w:p>
        </w:tc>
        <w:tc>
          <w:tcPr>
            <w:tcW w:w="535" w:type="pct"/>
            <w:vAlign w:val="center"/>
          </w:tcPr>
          <w:p w14:paraId="4BC7B2A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单星连盆台</w:t>
            </w:r>
          </w:p>
        </w:tc>
        <w:tc>
          <w:tcPr>
            <w:tcW w:w="628" w:type="pct"/>
            <w:vAlign w:val="center"/>
          </w:tcPr>
          <w:p w14:paraId="57343DB1">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1200×700×(800+150) mm(±5%)</w:t>
            </w:r>
          </w:p>
        </w:tc>
        <w:tc>
          <w:tcPr>
            <w:tcW w:w="2109" w:type="pct"/>
            <w:vAlign w:val="center"/>
          </w:tcPr>
          <w:p w14:paraId="33B2796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p w14:paraId="012C263E">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 xml:space="preserve">     </w:t>
            </w:r>
          </w:p>
        </w:tc>
        <w:tc>
          <w:tcPr>
            <w:tcW w:w="202" w:type="pct"/>
            <w:vAlign w:val="center"/>
          </w:tcPr>
          <w:p w14:paraId="770804A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26A3A55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65B9F4A">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0875" cy="625475"/>
                  <wp:effectExtent l="0" t="0" r="15875" b="3175"/>
                  <wp:docPr id="16"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7"/>
                          <pic:cNvPicPr>
                            <a:picLocks noChangeAspect="1"/>
                          </pic:cNvPicPr>
                        </pic:nvPicPr>
                        <pic:blipFill>
                          <a:blip r:embed="rId28"/>
                          <a:stretch>
                            <a:fillRect/>
                          </a:stretch>
                        </pic:blipFill>
                        <pic:spPr>
                          <a:xfrm>
                            <a:off x="0" y="0"/>
                            <a:ext cx="650875" cy="625475"/>
                          </a:xfrm>
                          <a:prstGeom prst="rect">
                            <a:avLst/>
                          </a:prstGeom>
                          <a:noFill/>
                          <a:ln>
                            <a:noFill/>
                          </a:ln>
                        </pic:spPr>
                      </pic:pic>
                    </a:graphicData>
                  </a:graphic>
                </wp:inline>
              </w:drawing>
            </w:r>
          </w:p>
        </w:tc>
      </w:tr>
      <w:tr w14:paraId="5133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E37090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28</w:t>
            </w:r>
          </w:p>
        </w:tc>
        <w:tc>
          <w:tcPr>
            <w:tcW w:w="535" w:type="pct"/>
            <w:vAlign w:val="center"/>
          </w:tcPr>
          <w:p w14:paraId="4FE7958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单星盆台</w:t>
            </w:r>
            <w:r>
              <w:rPr>
                <w:rFonts w:hint="eastAsia" w:ascii="宋体" w:hAnsi="宋体" w:eastAsia="宋体" w:cs="宋体"/>
                <w:sz w:val="22"/>
                <w:szCs w:val="22"/>
                <w:vertAlign w:val="baseline"/>
                <w:lang w:val="en-US" w:eastAsia="zh-CN"/>
              </w:rPr>
              <w:t>1</w:t>
            </w:r>
          </w:p>
        </w:tc>
        <w:tc>
          <w:tcPr>
            <w:tcW w:w="628" w:type="pct"/>
            <w:vAlign w:val="center"/>
          </w:tcPr>
          <w:p w14:paraId="496BE47B">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600×750×800mm(±5%)</w:t>
            </w:r>
          </w:p>
        </w:tc>
        <w:tc>
          <w:tcPr>
            <w:tcW w:w="2109" w:type="pct"/>
            <w:vAlign w:val="center"/>
          </w:tcPr>
          <w:p w14:paraId="71CC3A7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45E2E40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617A272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307C78F5">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0875" cy="625475"/>
                  <wp:effectExtent l="0" t="0" r="15875" b="3175"/>
                  <wp:docPr id="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7"/>
                          <pic:cNvPicPr>
                            <a:picLocks noChangeAspect="1"/>
                          </pic:cNvPicPr>
                        </pic:nvPicPr>
                        <pic:blipFill>
                          <a:blip r:embed="rId28"/>
                          <a:stretch>
                            <a:fillRect/>
                          </a:stretch>
                        </pic:blipFill>
                        <pic:spPr>
                          <a:xfrm>
                            <a:off x="0" y="0"/>
                            <a:ext cx="650875" cy="625475"/>
                          </a:xfrm>
                          <a:prstGeom prst="rect">
                            <a:avLst/>
                          </a:prstGeom>
                          <a:noFill/>
                          <a:ln>
                            <a:noFill/>
                          </a:ln>
                        </pic:spPr>
                      </pic:pic>
                    </a:graphicData>
                  </a:graphic>
                </wp:inline>
              </w:drawing>
            </w:r>
          </w:p>
        </w:tc>
      </w:tr>
      <w:tr w14:paraId="48EE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80BDD6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29</w:t>
            </w:r>
          </w:p>
        </w:tc>
        <w:tc>
          <w:tcPr>
            <w:tcW w:w="535" w:type="pct"/>
            <w:vAlign w:val="center"/>
          </w:tcPr>
          <w:p w14:paraId="640044C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单星盆台</w:t>
            </w:r>
            <w:r>
              <w:rPr>
                <w:rFonts w:hint="eastAsia" w:ascii="宋体" w:hAnsi="宋体" w:eastAsia="宋体" w:cs="宋体"/>
                <w:sz w:val="22"/>
                <w:szCs w:val="22"/>
                <w:vertAlign w:val="baseline"/>
                <w:lang w:val="en-US" w:eastAsia="zh-CN"/>
              </w:rPr>
              <w:t>2</w:t>
            </w:r>
          </w:p>
        </w:tc>
        <w:tc>
          <w:tcPr>
            <w:tcW w:w="628" w:type="pct"/>
            <w:vAlign w:val="center"/>
          </w:tcPr>
          <w:p w14:paraId="5FAAA079">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700×700×(800+150)mm(±5%)</w:t>
            </w:r>
          </w:p>
        </w:tc>
        <w:tc>
          <w:tcPr>
            <w:tcW w:w="2109" w:type="pct"/>
            <w:vAlign w:val="center"/>
          </w:tcPr>
          <w:p w14:paraId="4E2E34A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p w14:paraId="78CE5A7B">
            <w:pPr>
              <w:jc w:val="center"/>
              <w:rPr>
                <w:rFonts w:hint="eastAsia" w:ascii="宋体" w:hAnsi="宋体" w:eastAsia="宋体" w:cs="宋体"/>
                <w:sz w:val="22"/>
                <w:szCs w:val="22"/>
                <w:vertAlign w:val="baseline"/>
              </w:rPr>
            </w:pPr>
          </w:p>
        </w:tc>
        <w:tc>
          <w:tcPr>
            <w:tcW w:w="202" w:type="pct"/>
            <w:vAlign w:val="center"/>
          </w:tcPr>
          <w:p w14:paraId="7C1B90AC">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5F0EED1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3C6BBCF">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0875" cy="625475"/>
                  <wp:effectExtent l="0" t="0" r="15875" b="3175"/>
                  <wp:docPr id="18"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7"/>
                          <pic:cNvPicPr>
                            <a:picLocks noChangeAspect="1"/>
                          </pic:cNvPicPr>
                        </pic:nvPicPr>
                        <pic:blipFill>
                          <a:blip r:embed="rId28"/>
                          <a:stretch>
                            <a:fillRect/>
                          </a:stretch>
                        </pic:blipFill>
                        <pic:spPr>
                          <a:xfrm>
                            <a:off x="0" y="0"/>
                            <a:ext cx="650875" cy="625475"/>
                          </a:xfrm>
                          <a:prstGeom prst="rect">
                            <a:avLst/>
                          </a:prstGeom>
                          <a:noFill/>
                          <a:ln>
                            <a:noFill/>
                          </a:ln>
                        </pic:spPr>
                      </pic:pic>
                    </a:graphicData>
                  </a:graphic>
                </wp:inline>
              </w:drawing>
            </w:r>
          </w:p>
        </w:tc>
      </w:tr>
      <w:tr w14:paraId="358E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59CD7F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30</w:t>
            </w:r>
          </w:p>
        </w:tc>
        <w:tc>
          <w:tcPr>
            <w:tcW w:w="535" w:type="pct"/>
            <w:vAlign w:val="center"/>
          </w:tcPr>
          <w:p w14:paraId="6D56560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单星盆台</w:t>
            </w:r>
            <w:r>
              <w:rPr>
                <w:rFonts w:hint="eastAsia" w:ascii="宋体" w:hAnsi="宋体" w:eastAsia="宋体" w:cs="宋体"/>
                <w:sz w:val="22"/>
                <w:szCs w:val="22"/>
                <w:vertAlign w:val="baseline"/>
                <w:lang w:val="en-US" w:eastAsia="zh-CN"/>
              </w:rPr>
              <w:t>3</w:t>
            </w:r>
          </w:p>
        </w:tc>
        <w:tc>
          <w:tcPr>
            <w:tcW w:w="628" w:type="pct"/>
            <w:vAlign w:val="center"/>
          </w:tcPr>
          <w:p w14:paraId="1F0AE7CC">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800×700×(800+150)mm(±5%)</w:t>
            </w:r>
          </w:p>
        </w:tc>
        <w:tc>
          <w:tcPr>
            <w:tcW w:w="2109" w:type="pct"/>
            <w:vAlign w:val="center"/>
          </w:tcPr>
          <w:p w14:paraId="1F3F36C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p w14:paraId="224979CA">
            <w:pPr>
              <w:jc w:val="center"/>
              <w:rPr>
                <w:rFonts w:hint="eastAsia" w:ascii="宋体" w:hAnsi="宋体" w:eastAsia="宋体" w:cs="宋体"/>
                <w:sz w:val="22"/>
                <w:szCs w:val="22"/>
                <w:vertAlign w:val="baseline"/>
              </w:rPr>
            </w:pPr>
          </w:p>
        </w:tc>
        <w:tc>
          <w:tcPr>
            <w:tcW w:w="202" w:type="pct"/>
            <w:vAlign w:val="center"/>
          </w:tcPr>
          <w:p w14:paraId="69D0BABE">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10D7911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AE069C5">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0875" cy="625475"/>
                  <wp:effectExtent l="0" t="0" r="15875" b="3175"/>
                  <wp:docPr id="19"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7"/>
                          <pic:cNvPicPr>
                            <a:picLocks noChangeAspect="1"/>
                          </pic:cNvPicPr>
                        </pic:nvPicPr>
                        <pic:blipFill>
                          <a:blip r:embed="rId28"/>
                          <a:stretch>
                            <a:fillRect/>
                          </a:stretch>
                        </pic:blipFill>
                        <pic:spPr>
                          <a:xfrm>
                            <a:off x="0" y="0"/>
                            <a:ext cx="650875" cy="625475"/>
                          </a:xfrm>
                          <a:prstGeom prst="rect">
                            <a:avLst/>
                          </a:prstGeom>
                          <a:noFill/>
                          <a:ln>
                            <a:noFill/>
                          </a:ln>
                        </pic:spPr>
                      </pic:pic>
                    </a:graphicData>
                  </a:graphic>
                </wp:inline>
              </w:drawing>
            </w:r>
          </w:p>
        </w:tc>
      </w:tr>
      <w:tr w14:paraId="366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CC36F8D">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31</w:t>
            </w:r>
          </w:p>
        </w:tc>
        <w:tc>
          <w:tcPr>
            <w:tcW w:w="535" w:type="pct"/>
            <w:vAlign w:val="center"/>
          </w:tcPr>
          <w:p w14:paraId="681098B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单星盆台</w:t>
            </w:r>
            <w:r>
              <w:rPr>
                <w:rFonts w:hint="eastAsia" w:ascii="宋体" w:hAnsi="宋体" w:eastAsia="宋体" w:cs="宋体"/>
                <w:sz w:val="22"/>
                <w:szCs w:val="22"/>
                <w:vertAlign w:val="baseline"/>
                <w:lang w:val="en-US" w:eastAsia="zh-CN"/>
              </w:rPr>
              <w:t>4</w:t>
            </w:r>
          </w:p>
        </w:tc>
        <w:tc>
          <w:tcPr>
            <w:tcW w:w="628" w:type="pct"/>
            <w:vAlign w:val="center"/>
          </w:tcPr>
          <w:p w14:paraId="60092B74">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800×700×800mm(±5%)</w:t>
            </w:r>
          </w:p>
        </w:tc>
        <w:tc>
          <w:tcPr>
            <w:tcW w:w="2109" w:type="pct"/>
            <w:vAlign w:val="center"/>
          </w:tcPr>
          <w:p w14:paraId="211D861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p w14:paraId="687F891E">
            <w:pPr>
              <w:jc w:val="center"/>
              <w:rPr>
                <w:rFonts w:hint="eastAsia" w:ascii="宋体" w:hAnsi="宋体" w:eastAsia="宋体" w:cs="宋体"/>
                <w:sz w:val="22"/>
                <w:szCs w:val="22"/>
                <w:vertAlign w:val="baseline"/>
              </w:rPr>
            </w:pPr>
          </w:p>
        </w:tc>
        <w:tc>
          <w:tcPr>
            <w:tcW w:w="202" w:type="pct"/>
            <w:vAlign w:val="center"/>
          </w:tcPr>
          <w:p w14:paraId="3E5A73F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1BB9361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45D9EC4">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67995" cy="427990"/>
                  <wp:effectExtent l="0" t="0" r="8255" b="10160"/>
                  <wp:docPr id="53"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4"/>
                          <pic:cNvPicPr>
                            <a:picLocks noChangeAspect="1"/>
                          </pic:cNvPicPr>
                        </pic:nvPicPr>
                        <pic:blipFill>
                          <a:blip r:embed="rId24"/>
                          <a:stretch>
                            <a:fillRect/>
                          </a:stretch>
                        </pic:blipFill>
                        <pic:spPr>
                          <a:xfrm>
                            <a:off x="0" y="0"/>
                            <a:ext cx="467995" cy="427990"/>
                          </a:xfrm>
                          <a:prstGeom prst="rect">
                            <a:avLst/>
                          </a:prstGeom>
                          <a:noFill/>
                          <a:ln>
                            <a:noFill/>
                          </a:ln>
                        </pic:spPr>
                      </pic:pic>
                    </a:graphicData>
                  </a:graphic>
                </wp:inline>
              </w:drawing>
            </w:r>
          </w:p>
        </w:tc>
      </w:tr>
      <w:tr w14:paraId="069F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9093654">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32</w:t>
            </w:r>
          </w:p>
        </w:tc>
        <w:tc>
          <w:tcPr>
            <w:tcW w:w="535" w:type="pct"/>
            <w:shd w:val="clear" w:color="auto" w:fill="auto"/>
            <w:vAlign w:val="center"/>
          </w:tcPr>
          <w:p w14:paraId="1EE4A29B">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电磁单炒单尾小炒炉</w:t>
            </w:r>
          </w:p>
        </w:tc>
        <w:tc>
          <w:tcPr>
            <w:tcW w:w="628" w:type="pct"/>
            <w:vAlign w:val="center"/>
          </w:tcPr>
          <w:p w14:paraId="7EB2461E">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1000×1100×(800+450)mm(±5%)</w:t>
            </w:r>
          </w:p>
        </w:tc>
        <w:tc>
          <w:tcPr>
            <w:tcW w:w="2109" w:type="pct"/>
            <w:shd w:val="clear" w:color="auto" w:fill="auto"/>
            <w:vAlign w:val="center"/>
          </w:tcPr>
          <w:p w14:paraId="08CEA5D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1、材质：采用SUS304-2B优质发纹贴塑不锈钢板制作，厚δ≥1.35mm；侧板厚δ≥0.9mm；</w:t>
            </w:r>
          </w:p>
          <w:p w14:paraId="050F673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2、面板两侧宽30mm直边 前高40mm后高70，形成坡形状方便清洁无积水及两侧溢水。</w:t>
            </w:r>
          </w:p>
          <w:p w14:paraId="54CEE2E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3、锅厚通过国家食品安全标准接触用金属材料及制品，全不锈钢水龙头。</w:t>
            </w:r>
          </w:p>
          <w:p w14:paraId="4C5A941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4、采用≥6mm厚≥Φ400耐高温防撞击抛光凹面微晶玻璃，玻璃表面体现使用、注意安全事项。</w:t>
            </w:r>
          </w:p>
          <w:p w14:paraId="772F988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5、采用锌合金双八档旋转开关及一键启停电源开关，方便离岗关机并准确无误停止加热。</w:t>
            </w:r>
          </w:p>
          <w:p w14:paraId="6D4F025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6、机芯核心部件采用不同导热特殊材料灌封，散热的同时又能达到防水，防潮效果。</w:t>
            </w:r>
          </w:p>
          <w:p w14:paraId="7C04BD1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7、采用识字量运算控制，智能调节算法真正实现对功率、频率、温度、电源、电压、电流、相位、频率等参数的数字化控制。</w:t>
            </w:r>
          </w:p>
          <w:p w14:paraId="4566A5E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8、采用变频送风技术，同步感应追踪多路工作点温度，大大增加散热系统使用寿命，有效防止散热系统堵塞。</w:t>
            </w:r>
          </w:p>
          <w:p w14:paraId="209D452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9、线盘采用耐高温高频线制作锅底发热均匀无盲区同时提高有效热能降低用电成本。</w:t>
            </w:r>
          </w:p>
          <w:p w14:paraId="38AD58C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10、抛锅零等待技术自动跟踪抛锅高度调节功率，功率变化无延时，真正实现明火抛锅、翻炒的效果</w:t>
            </w:r>
          </w:p>
          <w:p w14:paraId="307DBC8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11、显示器体现公司名称、400电话、累计用电量、当前档位及当前功率、动态加热火苗、中文故障显示，便捷操作及售后管理。</w:t>
            </w:r>
            <w:r>
              <w:rPr>
                <w:rFonts w:hint="eastAsia" w:ascii="宋体" w:hAnsi="宋体" w:eastAsia="宋体" w:cs="宋体"/>
                <w:color w:val="auto"/>
                <w:sz w:val="22"/>
                <w:szCs w:val="22"/>
                <w:highlight w:val="none"/>
                <w:lang w:val="en-US" w:eastAsia="zh-CN" w:bidi="ar"/>
              </w:rPr>
              <w:t>配备三角阀，进水软管</w:t>
            </w:r>
          </w:p>
          <w:p w14:paraId="2A5A3B5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12、★提供炒炉带CNAS或CMA标识的检测报告</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，产品满足GB/T 4208-2017标准检测，①灰尘无法进入产品内部，直径1mm的金属试验线无法进入壳内合格；②水深：2米、时间：30分钟状态下水无法进入产品内部合格；提供防护等级≥IP67检测报告扫描件，不提供或不满足视为负偏离。</w:t>
            </w:r>
          </w:p>
          <w:p w14:paraId="3F6FCBC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13、★提供电磁炒炉整机带CNAS或CMA标识的检测报告</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满足GB4343.1-2018标准，辐射骚扰检测合格且整机具有离人感应安全保护功能，可以设定监测距离和报警时间。人员在离开设定距离时并且达到报警时间，设备就会发出警报声音并立即停止加热。当人员回到设定距离以内会立即自动恢复加热。</w:t>
            </w:r>
          </w:p>
          <w:p w14:paraId="3623CE7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电量：15kw/380v</w:t>
            </w:r>
          </w:p>
        </w:tc>
        <w:tc>
          <w:tcPr>
            <w:tcW w:w="202" w:type="pct"/>
            <w:vAlign w:val="center"/>
          </w:tcPr>
          <w:p w14:paraId="31F6B4D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116E0EC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0E00ED81">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83260" cy="828040"/>
                  <wp:effectExtent l="0" t="0" r="0" b="10160"/>
                  <wp:docPr id="64" name="图片 165" descr="单头单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65" descr="单头单尾.png"/>
                          <pic:cNvPicPr>
                            <a:picLocks noChangeAspect="1"/>
                          </pic:cNvPicPr>
                        </pic:nvPicPr>
                        <pic:blipFill>
                          <a:blip r:embed="rId29"/>
                          <a:stretch>
                            <a:fillRect/>
                          </a:stretch>
                        </pic:blipFill>
                        <pic:spPr>
                          <a:xfrm>
                            <a:off x="0" y="0"/>
                            <a:ext cx="683260" cy="828040"/>
                          </a:xfrm>
                          <a:prstGeom prst="rect">
                            <a:avLst/>
                          </a:prstGeom>
                          <a:noFill/>
                          <a:ln>
                            <a:noFill/>
                          </a:ln>
                        </pic:spPr>
                      </pic:pic>
                    </a:graphicData>
                  </a:graphic>
                </wp:inline>
              </w:drawing>
            </w:r>
          </w:p>
        </w:tc>
      </w:tr>
      <w:tr w14:paraId="44D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B0BC5E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33</w:t>
            </w:r>
          </w:p>
        </w:tc>
        <w:tc>
          <w:tcPr>
            <w:tcW w:w="535" w:type="pct"/>
            <w:shd w:val="clear" w:color="auto" w:fill="auto"/>
            <w:vAlign w:val="center"/>
          </w:tcPr>
          <w:p w14:paraId="6145C11B">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电磁九头煮面炉</w:t>
            </w:r>
          </w:p>
        </w:tc>
        <w:tc>
          <w:tcPr>
            <w:tcW w:w="628" w:type="pct"/>
            <w:vAlign w:val="center"/>
          </w:tcPr>
          <w:p w14:paraId="67A3BBA9">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800×800×(800+30) mm(±5%)</w:t>
            </w:r>
          </w:p>
        </w:tc>
        <w:tc>
          <w:tcPr>
            <w:tcW w:w="2109" w:type="pct"/>
            <w:shd w:val="clear" w:color="auto" w:fill="auto"/>
            <w:vAlign w:val="center"/>
          </w:tcPr>
          <w:p w14:paraId="3B1FA41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1、材质：采用SUS304-2B优质发纹贴塑不锈钢板制作，厚δ≥1.35mm；侧板厚δ≥0.9mm；</w:t>
            </w:r>
          </w:p>
          <w:p w14:paraId="1559169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2、面板采用一体冲压成型挡水边，方便清洁无积水及两侧溢水。</w:t>
            </w:r>
          </w:p>
          <w:p w14:paraId="7BCC912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3、水箱采用304#不锈钢食品接触金属材料标准制作，配万向不锈钢水龙头。</w:t>
            </w:r>
          </w:p>
          <w:p w14:paraId="6C92850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4、采用锌合金双八档旋转开关及一键启停电源开关，方便离岗关机并准确无误停止加热。</w:t>
            </w:r>
          </w:p>
          <w:p w14:paraId="3F9D228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5、机芯核心部件采用不同导热特殊材料灌封，散热的同时又能达到防水，防潮效果。</w:t>
            </w:r>
          </w:p>
          <w:p w14:paraId="05346FD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6、采用识字量运算控制，智能调节算法真正实现对功率、频率、温度、电源、电压、电流、相位、频率等参数的数字化控制。</w:t>
            </w:r>
          </w:p>
          <w:p w14:paraId="7A14571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7、采用变频送风技术，同步感应追踪多路工作点温度，大大增加散热系统使用寿命，有效防止散热系统堵塞。</w:t>
            </w:r>
          </w:p>
          <w:p w14:paraId="43579D2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8、线盘采用耐高温高频线制作锅底发热均匀无盲区同时提高有效热能降低用电成本。</w:t>
            </w:r>
          </w:p>
          <w:p w14:paraId="6BDC5C1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9、显示器体现公司名称、400电话、累计用电量、当前档位及当前功率、动态加热火苗、中文故障显示，便捷操作及售后管理。</w:t>
            </w:r>
            <w:r>
              <w:rPr>
                <w:rFonts w:hint="eastAsia" w:ascii="宋体" w:hAnsi="宋体" w:eastAsia="宋体" w:cs="宋体"/>
                <w:color w:val="auto"/>
                <w:sz w:val="22"/>
                <w:szCs w:val="22"/>
                <w:highlight w:val="none"/>
                <w:lang w:val="en-US" w:eastAsia="zh-CN" w:bidi="ar"/>
              </w:rPr>
              <w:t>配备三角阀，进水软管</w:t>
            </w:r>
          </w:p>
          <w:p w14:paraId="3AB5B91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10、★提供电磁煮面炉灶整机带CNAS或CMA标识的检测报告</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满足GB4343.1-2018标准，辐射骚扰检测合格且整机具有离人感应安全保护功能，可以设定监测距离和报警时间。人员在离开设定距离时并且达到报警时间，设备就会发出警报声音并立即停止加热。当人员回到设定距离以内会立即自动恢复加热。不提供或不满足视为负偏离。</w:t>
            </w:r>
          </w:p>
          <w:p w14:paraId="6BE2A8D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电量：15KW/380V</w:t>
            </w:r>
          </w:p>
        </w:tc>
        <w:tc>
          <w:tcPr>
            <w:tcW w:w="202" w:type="pct"/>
            <w:vAlign w:val="center"/>
          </w:tcPr>
          <w:p w14:paraId="2EF93BC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BCEAB0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1CB0EAF7">
            <w:pPr>
              <w:jc w:val="center"/>
              <w:rPr>
                <w:rFonts w:hint="eastAsia" w:ascii="宋体" w:hAnsi="宋体" w:eastAsia="宋体" w:cs="宋体"/>
                <w:sz w:val="22"/>
                <w:szCs w:val="22"/>
                <w:vertAlign w:val="baseline"/>
              </w:rPr>
            </w:pPr>
            <w:r>
              <w:rPr>
                <w:rFonts w:hint="eastAsia" w:ascii="黑体" w:hAnsi="黑体" w:eastAsia="黑体" w:cs="黑体"/>
                <w:b w:val="0"/>
                <w:bCs w:val="0"/>
                <w:sz w:val="22"/>
                <w:szCs w:val="22"/>
                <w:highlight w:val="none"/>
              </w:rPr>
              <w:drawing>
                <wp:inline distT="0" distB="0" distL="114300" distR="114300">
                  <wp:extent cx="570865" cy="751205"/>
                  <wp:effectExtent l="0" t="0" r="635" b="10795"/>
                  <wp:docPr id="60" name="图片 161" descr="9头煮面炉装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61" descr="9头煮面炉装配"/>
                          <pic:cNvPicPr>
                            <a:picLocks noChangeAspect="1"/>
                          </pic:cNvPicPr>
                        </pic:nvPicPr>
                        <pic:blipFill>
                          <a:blip r:embed="rId30"/>
                          <a:stretch>
                            <a:fillRect/>
                          </a:stretch>
                        </pic:blipFill>
                        <pic:spPr>
                          <a:xfrm>
                            <a:off x="0" y="0"/>
                            <a:ext cx="570865" cy="751205"/>
                          </a:xfrm>
                          <a:prstGeom prst="rect">
                            <a:avLst/>
                          </a:prstGeom>
                          <a:noFill/>
                          <a:ln>
                            <a:noFill/>
                          </a:ln>
                        </pic:spPr>
                      </pic:pic>
                    </a:graphicData>
                  </a:graphic>
                </wp:inline>
              </w:drawing>
            </w:r>
          </w:p>
        </w:tc>
      </w:tr>
      <w:tr w14:paraId="5D4C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C872C95">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34</w:t>
            </w:r>
          </w:p>
        </w:tc>
        <w:tc>
          <w:tcPr>
            <w:tcW w:w="535" w:type="pct"/>
            <w:shd w:val="clear" w:color="auto" w:fill="auto"/>
            <w:vAlign w:val="center"/>
          </w:tcPr>
          <w:p w14:paraId="051FE502">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电磁蒸炉</w:t>
            </w:r>
          </w:p>
        </w:tc>
        <w:tc>
          <w:tcPr>
            <w:tcW w:w="628" w:type="pct"/>
            <w:vAlign w:val="center"/>
          </w:tcPr>
          <w:p w14:paraId="4EA061FA">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 xml:space="preserve">800×800×(800+30) mm(±5%) </w:t>
            </w:r>
          </w:p>
        </w:tc>
        <w:tc>
          <w:tcPr>
            <w:tcW w:w="2109" w:type="pct"/>
            <w:shd w:val="clear" w:color="auto" w:fill="auto"/>
            <w:vAlign w:val="center"/>
          </w:tcPr>
          <w:p w14:paraId="48F1645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1、材质：采用SUS304-2B优质发纹贴塑不锈钢板制作，厚δ≥1.35mm；侧板厚δ≥0.9mm；</w:t>
            </w:r>
          </w:p>
          <w:p w14:paraId="3AEB42B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2、面板采用一体冲压成型挡水炮台凸出炉面高55mm，炮台直径550mm。</w:t>
            </w:r>
          </w:p>
          <w:p w14:paraId="4DB5B31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3、采用活动锅桶方便清洁，汤桶直径560mm，深度320mm。配万向不锈钢水龙头。</w:t>
            </w:r>
          </w:p>
          <w:p w14:paraId="6F16075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4、采用锌合金双八档旋转开关及一键启停电源开关，方便离岗关机并准确无误停止加热。</w:t>
            </w:r>
          </w:p>
          <w:p w14:paraId="50500EC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5、机芯核心部件采用不同导热特殊材料灌封，散热的同时又能达到防水，防潮效果。</w:t>
            </w:r>
          </w:p>
          <w:p w14:paraId="1E63AE2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6、采用识字量运算控制，智能调节算法真正实现对功率、频率、温度、电源、电压、电流、相位、频率等参数的数字化控制。</w:t>
            </w:r>
          </w:p>
          <w:p w14:paraId="10DF24E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7、采用变频送风技术，同步感应追踪多路工作点温度，大大增加散热系统使用寿命，有效防止散热系统堵塞。</w:t>
            </w:r>
          </w:p>
          <w:p w14:paraId="654C62E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8、线盘采用耐高温高频线制作锅底发热均匀无盲区同时提高有效热能降低用电成本。</w:t>
            </w:r>
          </w:p>
          <w:p w14:paraId="3074480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9、显示器体现公司名称、400电话、累计用电量、当前档位及当前功率、动态加热火苗、中文故障显示，便捷操作及售后管理。</w:t>
            </w:r>
            <w:r>
              <w:rPr>
                <w:rFonts w:hint="eastAsia" w:ascii="宋体" w:hAnsi="宋体" w:eastAsia="宋体" w:cs="宋体"/>
                <w:color w:val="auto"/>
                <w:sz w:val="22"/>
                <w:szCs w:val="22"/>
                <w:highlight w:val="none"/>
                <w:lang w:val="en-US" w:eastAsia="zh-CN" w:bidi="ar"/>
              </w:rPr>
              <w:t>配备三角阀，进水软管</w:t>
            </w:r>
          </w:p>
          <w:p w14:paraId="00712EE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10、★所投电磁蒸炉整机提供带CNAS或CMA标识的检测报告</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，产品满足GB/T 4208-2017标准检测，①灰尘无法进入产品内部，直径 1mm 的金属试验线无法进入壳内合格；②水深：2米、时间：30分钟状态下水无法进入产品内部合格；提供防护等级≥IP67检测报告扫描件</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，不提供或不满足视为负偏离。</w:t>
            </w:r>
          </w:p>
          <w:p w14:paraId="20856D5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电量：12kw/380v</w:t>
            </w:r>
          </w:p>
        </w:tc>
        <w:tc>
          <w:tcPr>
            <w:tcW w:w="202" w:type="pct"/>
            <w:vAlign w:val="center"/>
          </w:tcPr>
          <w:p w14:paraId="2142B48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5649AD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7024255F">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77520" cy="525780"/>
                  <wp:effectExtent l="0" t="0" r="17780" b="7620"/>
                  <wp:docPr id="59" name="图片 160" descr="DSC_001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0" descr="DSC_0010 (2).png"/>
                          <pic:cNvPicPr>
                            <a:picLocks noChangeAspect="1"/>
                          </pic:cNvPicPr>
                        </pic:nvPicPr>
                        <pic:blipFill>
                          <a:blip r:embed="rId31"/>
                          <a:stretch>
                            <a:fillRect/>
                          </a:stretch>
                        </pic:blipFill>
                        <pic:spPr>
                          <a:xfrm>
                            <a:off x="0" y="0"/>
                            <a:ext cx="477520" cy="525780"/>
                          </a:xfrm>
                          <a:prstGeom prst="rect">
                            <a:avLst/>
                          </a:prstGeom>
                          <a:noFill/>
                          <a:ln>
                            <a:noFill/>
                          </a:ln>
                        </pic:spPr>
                      </pic:pic>
                    </a:graphicData>
                  </a:graphic>
                </wp:inline>
              </w:drawing>
            </w:r>
          </w:p>
        </w:tc>
      </w:tr>
      <w:tr w14:paraId="5D2B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EE9F18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35</w:t>
            </w:r>
          </w:p>
        </w:tc>
        <w:tc>
          <w:tcPr>
            <w:tcW w:w="535" w:type="pct"/>
            <w:shd w:val="clear" w:color="auto" w:fill="auto"/>
            <w:vAlign w:val="center"/>
          </w:tcPr>
          <w:p w14:paraId="23932DFF">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电磁自动摇摆汤炉</w:t>
            </w:r>
          </w:p>
        </w:tc>
        <w:tc>
          <w:tcPr>
            <w:tcW w:w="628" w:type="pct"/>
            <w:vAlign w:val="center"/>
          </w:tcPr>
          <w:p w14:paraId="4D64CDE3">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SA"/>
              </w:rPr>
              <w:t>1350</w:t>
            </w:r>
            <w:r>
              <w:rPr>
                <w:rFonts w:hint="eastAsia" w:ascii="宋体" w:hAnsi="宋体" w:eastAsia="宋体" w:cs="宋体"/>
                <w:color w:val="auto"/>
                <w:kern w:val="2"/>
                <w:sz w:val="22"/>
                <w:szCs w:val="22"/>
                <w:highlight w:val="none"/>
                <w:lang w:val="en-US" w:eastAsia="zh-CN" w:bidi="ar"/>
              </w:rPr>
              <w:t>mm×</w:t>
            </w:r>
            <w:r>
              <w:rPr>
                <w:rFonts w:hint="eastAsia" w:ascii="宋体" w:hAnsi="宋体" w:eastAsia="宋体" w:cs="宋体"/>
                <w:b w:val="0"/>
                <w:bCs w:val="0"/>
                <w:color w:val="auto"/>
                <w:kern w:val="2"/>
                <w:sz w:val="22"/>
                <w:szCs w:val="22"/>
                <w:highlight w:val="none"/>
                <w:lang w:val="en-US" w:eastAsia="zh-CN" w:bidi="ar-SA"/>
              </w:rPr>
              <w:t>900</w:t>
            </w:r>
            <w:r>
              <w:rPr>
                <w:rFonts w:hint="eastAsia" w:ascii="宋体" w:hAnsi="宋体" w:eastAsia="宋体" w:cs="宋体"/>
                <w:color w:val="auto"/>
                <w:kern w:val="2"/>
                <w:sz w:val="22"/>
                <w:szCs w:val="22"/>
                <w:highlight w:val="none"/>
                <w:lang w:val="en-US" w:eastAsia="zh-CN" w:bidi="ar"/>
              </w:rPr>
              <w:t>mm×</w:t>
            </w:r>
            <w:r>
              <w:rPr>
                <w:rFonts w:hint="eastAsia" w:ascii="宋体" w:hAnsi="宋体" w:eastAsia="宋体" w:cs="宋体"/>
                <w:b w:val="0"/>
                <w:bCs w:val="0"/>
                <w:color w:val="auto"/>
                <w:kern w:val="2"/>
                <w:sz w:val="22"/>
                <w:szCs w:val="22"/>
                <w:highlight w:val="none"/>
                <w:lang w:val="en-US" w:eastAsia="zh-CN" w:bidi="ar-SA"/>
              </w:rPr>
              <w:t>1000</w:t>
            </w:r>
            <w:r>
              <w:rPr>
                <w:rFonts w:hint="eastAsia" w:ascii="宋体" w:hAnsi="宋体" w:eastAsia="宋体" w:cs="宋体"/>
                <w:color w:val="auto"/>
                <w:kern w:val="2"/>
                <w:sz w:val="22"/>
                <w:szCs w:val="22"/>
                <w:highlight w:val="none"/>
                <w:lang w:val="en-US" w:eastAsia="zh-CN" w:bidi="ar"/>
              </w:rPr>
              <w:t>mm</w:t>
            </w:r>
          </w:p>
        </w:tc>
        <w:tc>
          <w:tcPr>
            <w:tcW w:w="2109" w:type="pct"/>
            <w:shd w:val="clear" w:color="auto" w:fill="auto"/>
            <w:vAlign w:val="center"/>
          </w:tcPr>
          <w:p w14:paraId="61978A0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1、采用通过食品接触产品安全及产品卫生认证304#复合底加厚锅，卤肉，炖汤，煲稀饭不变味不变色不糊底。</w:t>
            </w:r>
          </w:p>
          <w:p w14:paraId="4783F3D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2、采用双色亮灯倾斜复位开关，汤桶一键倾斜到90°及180°复位。</w:t>
            </w:r>
          </w:p>
          <w:p w14:paraId="43161E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3、采用锌合金开关及一键防勿动开关，紧急情况能准确无误停止设备运行。</w:t>
            </w:r>
          </w:p>
          <w:p w14:paraId="5C0B3EC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4、采用双层汤桶盖，智能辨别锅盖位置，锅盖在闭合状态下汤桶无法实现动态位移工作。</w:t>
            </w:r>
          </w:p>
          <w:p w14:paraId="19212D2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5、机芯核心部件采用不同导热特殊材料灌封，散热的同时又能达到防水，防潮效果。</w:t>
            </w:r>
          </w:p>
          <w:p w14:paraId="03E3BE1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6、采用识字量运算控制，智能调节算法真正实现对功率、频率、温度、电源、电压、电流、相位、频率等参数的数字化控制。</w:t>
            </w:r>
          </w:p>
          <w:p w14:paraId="013ECA4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7、采用变频送风技术，同步感应追踪多路工作点温度，大大增加散热系统使用寿命，有效防止散热系统堵塞。</w:t>
            </w:r>
          </w:p>
          <w:p w14:paraId="461CC34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8、线盘采用耐高温高频线制作锅底发热均匀无盲区同时提高有效热能降低用电成本。</w:t>
            </w:r>
          </w:p>
          <w:p w14:paraId="5C1C75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9、显示器体现公司名称、400电话、累计用电量、当前档位及当前功率、动态加热火苗、中文故障显示，便捷操作及售后管理。</w:t>
            </w:r>
          </w:p>
          <w:p w14:paraId="0FCE6DF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10、具备雷达探测仪360°全方位实时探测操作员长时间离岗自动关机杜绝一切安全隐患（选型）</w:t>
            </w:r>
            <w:r>
              <w:rPr>
                <w:rFonts w:hint="eastAsia" w:ascii="宋体" w:hAnsi="宋体" w:eastAsia="宋体" w:cs="宋体"/>
                <w:color w:val="auto"/>
                <w:sz w:val="22"/>
                <w:szCs w:val="22"/>
                <w:highlight w:val="none"/>
                <w:lang w:val="en-US" w:eastAsia="zh-CN" w:bidi="ar"/>
              </w:rPr>
              <w:t>配备三角阀，进水软管</w:t>
            </w:r>
          </w:p>
          <w:p w14:paraId="339FB37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11、</w:t>
            </w:r>
            <w:r>
              <w:rPr>
                <w:rFonts w:hint="eastAsia" w:ascii="宋体" w:hAnsi="宋体" w:eastAsia="宋体" w:cs="宋体"/>
                <w:b/>
                <w:bCs/>
                <w:color w:val="auto"/>
                <w:kern w:val="2"/>
                <w:sz w:val="22"/>
                <w:szCs w:val="22"/>
                <w:highlight w:val="none"/>
                <w:lang w:val="en-US" w:eastAsia="zh-CN" w:bidi="ar"/>
              </w:rPr>
              <w:t>★</w:t>
            </w:r>
            <w:r>
              <w:rPr>
                <w:rFonts w:hint="eastAsia" w:ascii="宋体" w:hAnsi="宋体" w:eastAsia="宋体" w:cs="宋体"/>
                <w:b/>
                <w:bCs/>
                <w:color w:val="auto"/>
                <w:kern w:val="2"/>
                <w:sz w:val="22"/>
                <w:szCs w:val="22"/>
                <w:highlight w:val="none"/>
                <w:lang w:val="en-US" w:eastAsia="zh-CN" w:bidi="ar-SA"/>
              </w:rPr>
              <w:t>电磁自动摇摆汤炉</w:t>
            </w:r>
            <w:r>
              <w:rPr>
                <w:rFonts w:hint="eastAsia" w:ascii="宋体" w:hAnsi="宋体" w:eastAsia="宋体" w:cs="宋体"/>
                <w:b/>
                <w:bCs/>
                <w:color w:val="auto"/>
                <w:kern w:val="2"/>
                <w:sz w:val="22"/>
                <w:szCs w:val="22"/>
                <w:highlight w:val="none"/>
                <w:lang w:val="en-US" w:eastAsia="zh-CN" w:bidi="ar"/>
              </w:rPr>
              <w:t>产品依据GB/T 4208-2017标准，对以下项目进行检测并达到合格：①灰尘无法进入产品内部，直径1mm的金属试验线无法进入壳内合格；②水深：2米、时间：30分钟状态下水无法进入产品内部合格。提供检测报告复印件（带CNAS或CMA标识）和产品防护等级≥IP67的证书复印件</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。不提供或不满足视为负偏离。</w:t>
            </w:r>
          </w:p>
          <w:p w14:paraId="2349DA7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功率：15kw</w:t>
            </w:r>
          </w:p>
          <w:p w14:paraId="306BC31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电压：380V</w:t>
            </w:r>
          </w:p>
          <w:p w14:paraId="63821DB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SA"/>
              </w:rPr>
              <w:t>容量：</w:t>
            </w:r>
            <w:r>
              <w:rPr>
                <w:rFonts w:hint="eastAsia" w:ascii="宋体" w:hAnsi="宋体" w:eastAsia="宋体" w:cs="宋体"/>
                <w:color w:val="auto"/>
                <w:kern w:val="2"/>
                <w:sz w:val="22"/>
                <w:szCs w:val="22"/>
                <w:highlight w:val="none"/>
                <w:lang w:val="en-US" w:eastAsia="zh-CN" w:bidi="ar"/>
              </w:rPr>
              <w:t>≥</w:t>
            </w:r>
            <w:r>
              <w:rPr>
                <w:rFonts w:hint="eastAsia" w:ascii="宋体" w:hAnsi="宋体" w:eastAsia="宋体" w:cs="宋体"/>
                <w:b w:val="0"/>
                <w:bCs w:val="0"/>
                <w:color w:val="auto"/>
                <w:kern w:val="2"/>
                <w:sz w:val="22"/>
                <w:szCs w:val="22"/>
                <w:highlight w:val="none"/>
                <w:lang w:val="en-US" w:eastAsia="zh-CN" w:bidi="ar-SA"/>
              </w:rPr>
              <w:t>150L</w:t>
            </w:r>
          </w:p>
        </w:tc>
        <w:tc>
          <w:tcPr>
            <w:tcW w:w="202" w:type="pct"/>
            <w:vAlign w:val="center"/>
          </w:tcPr>
          <w:p w14:paraId="0D5FA8F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8A9B7B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7ACCBA4E">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27355" cy="560705"/>
                  <wp:effectExtent l="0" t="0" r="10795" b="10795"/>
                  <wp:docPr id="4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3"/>
                          <pic:cNvPicPr>
                            <a:picLocks noChangeAspect="1"/>
                          </pic:cNvPicPr>
                        </pic:nvPicPr>
                        <pic:blipFill>
                          <a:blip r:embed="rId32"/>
                          <a:stretch>
                            <a:fillRect/>
                          </a:stretch>
                        </pic:blipFill>
                        <pic:spPr>
                          <a:xfrm>
                            <a:off x="0" y="0"/>
                            <a:ext cx="427355" cy="560705"/>
                          </a:xfrm>
                          <a:prstGeom prst="rect">
                            <a:avLst/>
                          </a:prstGeom>
                          <a:noFill/>
                          <a:ln>
                            <a:noFill/>
                          </a:ln>
                        </pic:spPr>
                      </pic:pic>
                    </a:graphicData>
                  </a:graphic>
                </wp:inline>
              </w:drawing>
            </w:r>
          </w:p>
        </w:tc>
      </w:tr>
      <w:tr w14:paraId="4384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6F8B5A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36</w:t>
            </w:r>
          </w:p>
        </w:tc>
        <w:tc>
          <w:tcPr>
            <w:tcW w:w="535" w:type="pct"/>
            <w:shd w:val="clear" w:color="auto" w:fill="auto"/>
            <w:vAlign w:val="center"/>
          </w:tcPr>
          <w:p w14:paraId="4E1B753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定制活动1/1份数盘推车</w:t>
            </w:r>
          </w:p>
        </w:tc>
        <w:tc>
          <w:tcPr>
            <w:tcW w:w="628" w:type="pct"/>
            <w:vAlign w:val="center"/>
          </w:tcPr>
          <w:p w14:paraId="088E6805">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1410×610×1630mm(±5%)</w:t>
            </w:r>
          </w:p>
        </w:tc>
        <w:tc>
          <w:tcPr>
            <w:tcW w:w="2109" w:type="pct"/>
            <w:vAlign w:val="center"/>
          </w:tcPr>
          <w:p w14:paraId="1E4554D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选用SUS304-2B优质不锈钢板制作，δ≥1.1mm ，≥30×30方管；其余δ≥0.9mm；配承重静音脚轮，其中两只带刹车掣。</w:t>
            </w:r>
          </w:p>
          <w:p w14:paraId="339CF530">
            <w:pPr>
              <w:jc w:val="center"/>
              <w:rPr>
                <w:rFonts w:hint="eastAsia" w:ascii="宋体" w:hAnsi="宋体" w:eastAsia="宋体" w:cs="宋体"/>
                <w:sz w:val="22"/>
                <w:szCs w:val="22"/>
                <w:vertAlign w:val="baseline"/>
              </w:rPr>
            </w:pPr>
          </w:p>
        </w:tc>
        <w:tc>
          <w:tcPr>
            <w:tcW w:w="202" w:type="pct"/>
            <w:vAlign w:val="center"/>
          </w:tcPr>
          <w:p w14:paraId="6AD3DF1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辆</w:t>
            </w:r>
          </w:p>
        </w:tc>
        <w:tc>
          <w:tcPr>
            <w:tcW w:w="254" w:type="pct"/>
            <w:vAlign w:val="center"/>
          </w:tcPr>
          <w:p w14:paraId="7F84F89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3BD6FCD5">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21310" cy="532130"/>
                  <wp:effectExtent l="0" t="0" r="2540" b="1270"/>
                  <wp:docPr id="83" name="图片 184" descr="烘盘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84" descr="烘盘架车"/>
                          <pic:cNvPicPr>
                            <a:picLocks noChangeAspect="1"/>
                          </pic:cNvPicPr>
                        </pic:nvPicPr>
                        <pic:blipFill>
                          <a:blip r:embed="rId33"/>
                          <a:stretch>
                            <a:fillRect/>
                          </a:stretch>
                        </pic:blipFill>
                        <pic:spPr>
                          <a:xfrm>
                            <a:off x="0" y="0"/>
                            <a:ext cx="321310" cy="532130"/>
                          </a:xfrm>
                          <a:prstGeom prst="rect">
                            <a:avLst/>
                          </a:prstGeom>
                          <a:noFill/>
                          <a:ln>
                            <a:noFill/>
                          </a:ln>
                        </pic:spPr>
                      </pic:pic>
                    </a:graphicData>
                  </a:graphic>
                </wp:inline>
              </w:drawing>
            </w:r>
          </w:p>
        </w:tc>
      </w:tr>
      <w:tr w14:paraId="6018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7F88D5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37</w:t>
            </w:r>
          </w:p>
        </w:tc>
        <w:tc>
          <w:tcPr>
            <w:tcW w:w="535" w:type="pct"/>
            <w:shd w:val="clear" w:color="auto" w:fill="auto"/>
            <w:vAlign w:val="center"/>
          </w:tcPr>
          <w:p w14:paraId="71ECFA8B">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定制活动标准饭盘推车</w:t>
            </w:r>
          </w:p>
        </w:tc>
        <w:tc>
          <w:tcPr>
            <w:tcW w:w="628" w:type="pct"/>
            <w:vAlign w:val="center"/>
          </w:tcPr>
          <w:p w14:paraId="4A4E77C3">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461×610×1630mm(±5%)</w:t>
            </w:r>
          </w:p>
        </w:tc>
        <w:tc>
          <w:tcPr>
            <w:tcW w:w="2109" w:type="pct"/>
            <w:vAlign w:val="center"/>
          </w:tcPr>
          <w:p w14:paraId="513CBAE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sz w:val="22"/>
                <w:szCs w:val="22"/>
                <w:vertAlign w:val="baseline"/>
                <w:lang w:val="en-US" w:eastAsia="zh-CN"/>
              </w:rPr>
            </w:pPr>
            <w:r>
              <w:rPr>
                <w:rFonts w:hint="eastAsia" w:ascii="宋体" w:hAnsi="宋体" w:eastAsia="宋体" w:cs="宋体"/>
                <w:b w:val="0"/>
                <w:bCs w:val="0"/>
                <w:color w:val="auto"/>
                <w:kern w:val="2"/>
                <w:sz w:val="22"/>
                <w:szCs w:val="22"/>
                <w:highlight w:val="none"/>
                <w:lang w:val="en-US" w:eastAsia="zh-CN" w:bidi="ar"/>
              </w:rPr>
              <w:t>选用SUS304-2B优质不锈钢板制作，δ≥1.1mm ，30×30方管；其余δ≥0.9mm；配承重静音脚轮，其中两只带刹车掣。</w:t>
            </w:r>
          </w:p>
        </w:tc>
        <w:tc>
          <w:tcPr>
            <w:tcW w:w="202" w:type="pct"/>
            <w:vAlign w:val="center"/>
          </w:tcPr>
          <w:p w14:paraId="544C921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辆</w:t>
            </w:r>
          </w:p>
        </w:tc>
        <w:tc>
          <w:tcPr>
            <w:tcW w:w="254" w:type="pct"/>
            <w:vAlign w:val="center"/>
          </w:tcPr>
          <w:p w14:paraId="76EE50AD">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578844A3">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21310" cy="532130"/>
                  <wp:effectExtent l="0" t="0" r="2540" b="1270"/>
                  <wp:docPr id="81" name="图片 182" descr="烘盘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82" descr="烘盘架车"/>
                          <pic:cNvPicPr>
                            <a:picLocks noChangeAspect="1"/>
                          </pic:cNvPicPr>
                        </pic:nvPicPr>
                        <pic:blipFill>
                          <a:blip r:embed="rId33"/>
                          <a:stretch>
                            <a:fillRect/>
                          </a:stretch>
                        </pic:blipFill>
                        <pic:spPr>
                          <a:xfrm>
                            <a:off x="0" y="0"/>
                            <a:ext cx="321310" cy="532130"/>
                          </a:xfrm>
                          <a:prstGeom prst="rect">
                            <a:avLst/>
                          </a:prstGeom>
                          <a:noFill/>
                          <a:ln>
                            <a:noFill/>
                          </a:ln>
                        </pic:spPr>
                      </pic:pic>
                    </a:graphicData>
                  </a:graphic>
                </wp:inline>
              </w:drawing>
            </w:r>
          </w:p>
        </w:tc>
      </w:tr>
      <w:tr w14:paraId="2AD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D608A2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38</w:t>
            </w:r>
          </w:p>
        </w:tc>
        <w:tc>
          <w:tcPr>
            <w:tcW w:w="535" w:type="pct"/>
            <w:vAlign w:val="center"/>
          </w:tcPr>
          <w:p w14:paraId="45A9CDC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定制活动汤桶推车</w:t>
            </w:r>
          </w:p>
        </w:tc>
        <w:tc>
          <w:tcPr>
            <w:tcW w:w="628" w:type="pct"/>
            <w:vAlign w:val="center"/>
          </w:tcPr>
          <w:p w14:paraId="3D23FA0B">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630×610×1630mm(±5%)</w:t>
            </w:r>
          </w:p>
        </w:tc>
        <w:tc>
          <w:tcPr>
            <w:tcW w:w="2109" w:type="pct"/>
            <w:vAlign w:val="center"/>
          </w:tcPr>
          <w:p w14:paraId="7DD3827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选用SUS304-2B优质不锈钢板制作，δ≥1.1mm ，30×30方管；其余δ≥0.9mm；配承重静音脚轮，其中两只带刹车掣。</w:t>
            </w:r>
          </w:p>
        </w:tc>
        <w:tc>
          <w:tcPr>
            <w:tcW w:w="202" w:type="pct"/>
            <w:vAlign w:val="center"/>
          </w:tcPr>
          <w:p w14:paraId="591E77E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辆</w:t>
            </w:r>
          </w:p>
        </w:tc>
        <w:tc>
          <w:tcPr>
            <w:tcW w:w="254" w:type="pct"/>
            <w:vAlign w:val="center"/>
          </w:tcPr>
          <w:p w14:paraId="3AFADD5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6F569C70">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21310" cy="532130"/>
                  <wp:effectExtent l="0" t="0" r="2540" b="1270"/>
                  <wp:docPr id="82" name="图片 183" descr="烘盘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83" descr="烘盘架车"/>
                          <pic:cNvPicPr>
                            <a:picLocks noChangeAspect="1"/>
                          </pic:cNvPicPr>
                        </pic:nvPicPr>
                        <pic:blipFill>
                          <a:blip r:embed="rId33"/>
                          <a:stretch>
                            <a:fillRect/>
                          </a:stretch>
                        </pic:blipFill>
                        <pic:spPr>
                          <a:xfrm>
                            <a:off x="0" y="0"/>
                            <a:ext cx="321310" cy="532130"/>
                          </a:xfrm>
                          <a:prstGeom prst="rect">
                            <a:avLst/>
                          </a:prstGeom>
                          <a:noFill/>
                          <a:ln>
                            <a:noFill/>
                          </a:ln>
                        </pic:spPr>
                      </pic:pic>
                    </a:graphicData>
                  </a:graphic>
                </wp:inline>
              </w:drawing>
            </w:r>
          </w:p>
        </w:tc>
      </w:tr>
      <w:tr w14:paraId="78A1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A8DEEE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39</w:t>
            </w:r>
          </w:p>
        </w:tc>
        <w:tc>
          <w:tcPr>
            <w:tcW w:w="535" w:type="pct"/>
            <w:vAlign w:val="center"/>
          </w:tcPr>
          <w:p w14:paraId="191CC5F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定制双通保温出菜柜</w:t>
            </w:r>
          </w:p>
        </w:tc>
        <w:tc>
          <w:tcPr>
            <w:tcW w:w="628" w:type="pct"/>
            <w:vAlign w:val="center"/>
          </w:tcPr>
          <w:p w14:paraId="16C250AA">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1200×750×1820mm(±5%)</w:t>
            </w:r>
          </w:p>
        </w:tc>
        <w:tc>
          <w:tcPr>
            <w:tcW w:w="2109" w:type="pct"/>
            <w:vAlign w:val="center"/>
          </w:tcPr>
          <w:p w14:paraId="7C4DB48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双通双门平门、内外采用SUS304-2B优质，加厚发泡层六面发泡工艺、加长重型铝合金拉手、全无磁超粗专用层架、专业重型重力轮，内层可以放置600×400×45方盘24盘，推车内层可以放置600×400×45方盘12盘。</w:t>
            </w:r>
          </w:p>
        </w:tc>
        <w:tc>
          <w:tcPr>
            <w:tcW w:w="202" w:type="pct"/>
            <w:vAlign w:val="center"/>
          </w:tcPr>
          <w:p w14:paraId="0D39E50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24037A4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07978F8A">
            <w:pPr>
              <w:jc w:val="center"/>
              <w:rPr>
                <w:rFonts w:hint="eastAsia" w:ascii="宋体" w:hAnsi="宋体" w:eastAsia="宋体" w:cs="宋体"/>
                <w:sz w:val="22"/>
                <w:szCs w:val="22"/>
                <w:vertAlign w:val="baseline"/>
              </w:rPr>
            </w:pPr>
          </w:p>
        </w:tc>
      </w:tr>
      <w:tr w14:paraId="4FDA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F4C964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w:t>
            </w:r>
          </w:p>
        </w:tc>
        <w:tc>
          <w:tcPr>
            <w:tcW w:w="535" w:type="pct"/>
            <w:vAlign w:val="center"/>
          </w:tcPr>
          <w:p w14:paraId="6D14A64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定制蒸饭盘车</w:t>
            </w:r>
          </w:p>
        </w:tc>
        <w:tc>
          <w:tcPr>
            <w:tcW w:w="628" w:type="pct"/>
            <w:vAlign w:val="center"/>
          </w:tcPr>
          <w:p w14:paraId="59AE763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(48盘蒸饭盘)</w:t>
            </w:r>
          </w:p>
        </w:tc>
        <w:tc>
          <w:tcPr>
            <w:tcW w:w="2109" w:type="pct"/>
            <w:vAlign w:val="center"/>
          </w:tcPr>
          <w:p w14:paraId="3B7E03B1">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选用SUS304-2B优质不锈钢板制作，δ≥1.1mm ，30×30方管；其余δ≥0.9mm；配承重静音脚轮，其中两只带刹车掣。</w:t>
            </w:r>
          </w:p>
        </w:tc>
        <w:tc>
          <w:tcPr>
            <w:tcW w:w="202" w:type="pct"/>
            <w:vAlign w:val="center"/>
          </w:tcPr>
          <w:p w14:paraId="3B2CA6B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44FA2DD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0771C157">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345440" cy="600075"/>
                  <wp:effectExtent l="0" t="0" r="16510" b="9525"/>
                  <wp:docPr id="47" name="图片 148" descr="烘盘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8" descr="烘盘架车"/>
                          <pic:cNvPicPr>
                            <a:picLocks noChangeAspect="1"/>
                          </pic:cNvPicPr>
                        </pic:nvPicPr>
                        <pic:blipFill>
                          <a:blip r:embed="rId33"/>
                          <a:stretch>
                            <a:fillRect/>
                          </a:stretch>
                        </pic:blipFill>
                        <pic:spPr>
                          <a:xfrm>
                            <a:off x="0" y="0"/>
                            <a:ext cx="345440" cy="600075"/>
                          </a:xfrm>
                          <a:prstGeom prst="rect">
                            <a:avLst/>
                          </a:prstGeom>
                          <a:noFill/>
                          <a:ln>
                            <a:noFill/>
                          </a:ln>
                        </pic:spPr>
                      </pic:pic>
                    </a:graphicData>
                  </a:graphic>
                </wp:inline>
              </w:drawing>
            </w:r>
          </w:p>
        </w:tc>
      </w:tr>
      <w:tr w14:paraId="0BB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vAlign w:val="center"/>
          </w:tcPr>
          <w:p w14:paraId="291A390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41</w:t>
            </w:r>
          </w:p>
        </w:tc>
        <w:tc>
          <w:tcPr>
            <w:tcW w:w="535" w:type="pct"/>
            <w:vAlign w:val="center"/>
          </w:tcPr>
          <w:p w14:paraId="4B4BD1F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多功能切菜机</w:t>
            </w:r>
          </w:p>
        </w:tc>
        <w:tc>
          <w:tcPr>
            <w:tcW w:w="628" w:type="pct"/>
            <w:vAlign w:val="center"/>
          </w:tcPr>
          <w:p w14:paraId="6EFD893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 1350×600×1400mm(±5%)</w:t>
            </w:r>
          </w:p>
          <w:p w14:paraId="17808AF6">
            <w:pPr>
              <w:jc w:val="center"/>
              <w:rPr>
                <w:rFonts w:hint="eastAsia" w:ascii="宋体" w:hAnsi="宋体" w:eastAsia="宋体" w:cs="宋体"/>
                <w:sz w:val="22"/>
                <w:szCs w:val="22"/>
                <w:vertAlign w:val="baseline"/>
              </w:rPr>
            </w:pPr>
          </w:p>
        </w:tc>
        <w:tc>
          <w:tcPr>
            <w:tcW w:w="2109" w:type="pct"/>
            <w:shd w:val="clear" w:color="auto" w:fill="auto"/>
            <w:vAlign w:val="center"/>
          </w:tcPr>
          <w:p w14:paraId="7D5EC11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电压功率：220v/1.5KW</w:t>
            </w:r>
          </w:p>
          <w:p w14:paraId="548BE88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生产能力：500-1000KG/H(叶菜)/300-1000KG/H(根茎)</w:t>
            </w:r>
          </w:p>
          <w:p w14:paraId="1D2D320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叶菜切段规格：1-60mm(可调)</w:t>
            </w:r>
          </w:p>
          <w:p w14:paraId="5E3CEA1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球茎切菜规格：标配3mm厚切斜片刀盘（可订做切片2-8mm厚切片刀盘）</w:t>
            </w:r>
          </w:p>
          <w:p w14:paraId="2B48404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标配3mm粗斜切丝刀盘（可订做切片2-10mm斜切丝刀盘）</w:t>
            </w:r>
          </w:p>
          <w:p w14:paraId="2067AD6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标配12mm立方切丁刀盘组合（可订做切丁规格6/8/10/12/15/20/25立方毫米)</w:t>
            </w:r>
          </w:p>
          <w:p w14:paraId="5A0BDE9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传送带宽： 120mm</w:t>
            </w:r>
          </w:p>
          <w:p w14:paraId="0791B0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机器材质：整体SUS304不锈钢。 </w:t>
            </w:r>
          </w:p>
          <w:p w14:paraId="23341C3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机器净重：≥140KG</w:t>
            </w:r>
          </w:p>
          <w:p w14:paraId="40215FD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机器需加大料斗，便于入料加高机身，便于出料传送带一侧：通过调节传送带步进速度和圆刀转速，可加工包菜丝，洋葱丝，黄瓜莴笋圆片，蒜苗，缸豆段，酸豆角丁，芹菜，白菜，大葱圈，小葱花，韭菜花，菠菜段等绝大多数叶类菜和长条形菜</w:t>
            </w:r>
          </w:p>
          <w:p w14:paraId="1B43865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球根茎一侧，通过更换不同功能刀盘可将土豆，红薯，萝卜，胡萝卜，黄瓜，莴笋等 球根茎食材加工成丝（条），片，丁（块）产品通过GB4806.1-2016，GB4806.7-2023，GB4806.9-2023食品接触安全检测，检验合格，且通过GB 31604.49-2023测试方法对理化指标铅、锑、铝、铬、钴、铜、锰、钼、镍、锡、锌、镉、砷等进行检测，试验结果符合标准要求</w:t>
            </w:r>
            <w:r>
              <w:rPr>
                <w:rFonts w:hint="eastAsia" w:ascii="宋体" w:hAnsi="宋体" w:eastAsia="宋体" w:cs="宋体"/>
                <w:b/>
                <w:bCs/>
                <w:color w:val="auto"/>
                <w:kern w:val="2"/>
                <w:sz w:val="22"/>
                <w:szCs w:val="22"/>
                <w:highlight w:val="none"/>
                <w:lang w:val="en-US" w:eastAsia="zh-CN" w:bidi="ar"/>
              </w:rPr>
              <w:t>(需提供经国家认可的检测机构出具的在其“认可的检测能力范围”内带“CMA,CNAS”标识的检测报告复印件及检测报告编号在全国认证认可官方平台（http://cx.cnca.cn）查询结果截图并加盖投标人公章）</w:t>
            </w:r>
          </w:p>
        </w:tc>
        <w:tc>
          <w:tcPr>
            <w:tcW w:w="202" w:type="pct"/>
            <w:vAlign w:val="center"/>
          </w:tcPr>
          <w:p w14:paraId="68E7BE7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652EC9B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DF5AFB9">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95325" cy="914400"/>
                  <wp:effectExtent l="0" t="0" r="9525" b="0"/>
                  <wp:docPr id="24"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5"/>
                          <pic:cNvPicPr>
                            <a:picLocks noChangeAspect="1"/>
                          </pic:cNvPicPr>
                        </pic:nvPicPr>
                        <pic:blipFill>
                          <a:blip r:embed="rId34"/>
                          <a:stretch>
                            <a:fillRect/>
                          </a:stretch>
                        </pic:blipFill>
                        <pic:spPr>
                          <a:xfrm>
                            <a:off x="0" y="0"/>
                            <a:ext cx="695325" cy="914400"/>
                          </a:xfrm>
                          <a:prstGeom prst="rect">
                            <a:avLst/>
                          </a:prstGeom>
                          <a:noFill/>
                          <a:ln>
                            <a:noFill/>
                          </a:ln>
                        </pic:spPr>
                      </pic:pic>
                    </a:graphicData>
                  </a:graphic>
                </wp:inline>
              </w:drawing>
            </w:r>
          </w:p>
        </w:tc>
      </w:tr>
      <w:tr w14:paraId="1D9F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0B8E42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42</w:t>
            </w:r>
          </w:p>
        </w:tc>
        <w:tc>
          <w:tcPr>
            <w:tcW w:w="535" w:type="pct"/>
            <w:vAlign w:val="center"/>
          </w:tcPr>
          <w:p w14:paraId="7F27474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防火阀</w:t>
            </w:r>
          </w:p>
        </w:tc>
        <w:tc>
          <w:tcPr>
            <w:tcW w:w="628" w:type="pct"/>
            <w:vAlign w:val="center"/>
          </w:tcPr>
          <w:p w14:paraId="722D3AB4">
            <w:pPr>
              <w:jc w:val="center"/>
              <w:rPr>
                <w:rFonts w:hint="eastAsia" w:ascii="宋体" w:hAnsi="宋体" w:eastAsia="宋体" w:cs="宋体"/>
                <w:sz w:val="22"/>
                <w:szCs w:val="22"/>
                <w:vertAlign w:val="baseline"/>
              </w:rPr>
            </w:pPr>
          </w:p>
        </w:tc>
        <w:tc>
          <w:tcPr>
            <w:tcW w:w="2109" w:type="pct"/>
            <w:vAlign w:val="center"/>
          </w:tcPr>
          <w:p w14:paraId="0F102188">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材质304不锈钢，外框1.5mm，叶片1.5mm、温度：150°。</w:t>
            </w:r>
          </w:p>
        </w:tc>
        <w:tc>
          <w:tcPr>
            <w:tcW w:w="202" w:type="pct"/>
            <w:vAlign w:val="center"/>
          </w:tcPr>
          <w:p w14:paraId="66E1566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0FF15F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300A0BC5">
            <w:pPr>
              <w:jc w:val="center"/>
              <w:rPr>
                <w:rFonts w:hint="eastAsia" w:ascii="宋体" w:hAnsi="宋体" w:eastAsia="宋体" w:cs="宋体"/>
                <w:sz w:val="22"/>
                <w:szCs w:val="22"/>
                <w:vertAlign w:val="baseline"/>
              </w:rPr>
            </w:pPr>
            <w:r>
              <w:rPr>
                <w:rFonts w:hint="eastAsia" w:ascii="宋体" w:hAnsi="宋体" w:eastAsia="宋体" w:cs="宋体"/>
                <w:b w:val="0"/>
                <w:bCs w:val="0"/>
                <w:i w:val="0"/>
                <w:iCs w:val="0"/>
                <w:color w:val="auto"/>
                <w:kern w:val="0"/>
                <w:sz w:val="22"/>
                <w:szCs w:val="22"/>
                <w:highlight w:val="none"/>
                <w:u w:val="none"/>
                <w:lang w:val="en-US" w:eastAsia="zh-CN" w:bidi="ar"/>
              </w:rPr>
              <w:drawing>
                <wp:inline distT="0" distB="0" distL="114300" distR="114300">
                  <wp:extent cx="350520" cy="374650"/>
                  <wp:effectExtent l="0" t="0" r="11430" b="6350"/>
                  <wp:docPr id="109" name="图片 210"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10" descr="IMG_307"/>
                          <pic:cNvPicPr>
                            <a:picLocks noChangeAspect="1"/>
                          </pic:cNvPicPr>
                        </pic:nvPicPr>
                        <pic:blipFill>
                          <a:blip r:embed="rId35"/>
                          <a:stretch>
                            <a:fillRect/>
                          </a:stretch>
                        </pic:blipFill>
                        <pic:spPr>
                          <a:xfrm>
                            <a:off x="0" y="0"/>
                            <a:ext cx="350520" cy="374650"/>
                          </a:xfrm>
                          <a:prstGeom prst="rect">
                            <a:avLst/>
                          </a:prstGeom>
                          <a:noFill/>
                          <a:ln>
                            <a:noFill/>
                          </a:ln>
                        </pic:spPr>
                      </pic:pic>
                    </a:graphicData>
                  </a:graphic>
                </wp:inline>
              </w:drawing>
            </w:r>
          </w:p>
        </w:tc>
      </w:tr>
      <w:tr w14:paraId="6E07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8FCE47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43</w:t>
            </w:r>
          </w:p>
        </w:tc>
        <w:tc>
          <w:tcPr>
            <w:tcW w:w="535" w:type="pct"/>
            <w:vAlign w:val="center"/>
          </w:tcPr>
          <w:p w14:paraId="3C3020F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风幕机</w:t>
            </w:r>
            <w:r>
              <w:rPr>
                <w:rFonts w:hint="eastAsia" w:ascii="宋体" w:hAnsi="宋体" w:eastAsia="宋体" w:cs="宋体"/>
                <w:sz w:val="22"/>
                <w:szCs w:val="22"/>
                <w:vertAlign w:val="baseline"/>
                <w:lang w:val="en-US" w:eastAsia="zh-CN"/>
              </w:rPr>
              <w:t>1</w:t>
            </w:r>
          </w:p>
        </w:tc>
        <w:tc>
          <w:tcPr>
            <w:tcW w:w="628" w:type="pct"/>
            <w:vAlign w:val="center"/>
          </w:tcPr>
          <w:p w14:paraId="43971A49">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L=1200mm(±5%)</w:t>
            </w:r>
          </w:p>
        </w:tc>
        <w:tc>
          <w:tcPr>
            <w:tcW w:w="2109" w:type="pct"/>
            <w:vAlign w:val="center"/>
          </w:tcPr>
          <w:p w14:paraId="6DF633F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离心式风幕机产生高速的气流，将室内外分成两个独立的温度区域，坚持室内空调及净化空气的效果，节省电能的同时并令空气循环，有效隔离灰尘、烟气、臭气、和昆虫等微生物。</w:t>
            </w:r>
          </w:p>
          <w:p w14:paraId="7B431FBE">
            <w:pPr>
              <w:keepNext w:val="0"/>
              <w:keepLines w:val="0"/>
              <w:spacing w:line="460" w:lineRule="exact"/>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离地高度≥2.4M</w:t>
            </w:r>
          </w:p>
        </w:tc>
        <w:tc>
          <w:tcPr>
            <w:tcW w:w="202" w:type="pct"/>
            <w:vAlign w:val="center"/>
          </w:tcPr>
          <w:p w14:paraId="6132D0E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58FD0E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B57FC4E">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eastAsia="zh-CN"/>
              </w:rPr>
              <w:drawing>
                <wp:inline distT="0" distB="0" distL="114300" distR="114300">
                  <wp:extent cx="558800" cy="285750"/>
                  <wp:effectExtent l="0" t="0" r="12700" b="0"/>
                  <wp:docPr id="99" name="图片 200" descr="timg (6)"/>
                  <wp:cNvGraphicFramePr/>
                  <a:graphic xmlns:a="http://schemas.openxmlformats.org/drawingml/2006/main">
                    <a:graphicData uri="http://schemas.openxmlformats.org/drawingml/2006/picture">
                      <pic:pic xmlns:pic="http://schemas.openxmlformats.org/drawingml/2006/picture">
                        <pic:nvPicPr>
                          <pic:cNvPr id="99" name="图片 200" descr="timg (6)"/>
                          <pic:cNvPicPr/>
                        </pic:nvPicPr>
                        <pic:blipFill>
                          <a:blip r:embed="rId36"/>
                          <a:stretch>
                            <a:fillRect/>
                          </a:stretch>
                        </pic:blipFill>
                        <pic:spPr>
                          <a:xfrm>
                            <a:off x="0" y="0"/>
                            <a:ext cx="558800" cy="285750"/>
                          </a:xfrm>
                          <a:prstGeom prst="rect">
                            <a:avLst/>
                          </a:prstGeom>
                          <a:noFill/>
                          <a:ln>
                            <a:noFill/>
                          </a:ln>
                        </pic:spPr>
                      </pic:pic>
                    </a:graphicData>
                  </a:graphic>
                </wp:inline>
              </w:drawing>
            </w:r>
          </w:p>
        </w:tc>
      </w:tr>
      <w:tr w14:paraId="724B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9047D1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44</w:t>
            </w:r>
          </w:p>
        </w:tc>
        <w:tc>
          <w:tcPr>
            <w:tcW w:w="535" w:type="pct"/>
            <w:vAlign w:val="center"/>
          </w:tcPr>
          <w:p w14:paraId="36DE261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风幕机</w:t>
            </w:r>
            <w:r>
              <w:rPr>
                <w:rFonts w:hint="eastAsia" w:ascii="宋体" w:hAnsi="宋体" w:cs="宋体"/>
                <w:sz w:val="22"/>
                <w:szCs w:val="22"/>
                <w:vertAlign w:val="baseline"/>
                <w:lang w:val="en-US" w:eastAsia="zh-CN"/>
              </w:rPr>
              <w:t>2</w:t>
            </w:r>
          </w:p>
        </w:tc>
        <w:tc>
          <w:tcPr>
            <w:tcW w:w="628" w:type="pct"/>
            <w:vAlign w:val="center"/>
          </w:tcPr>
          <w:p w14:paraId="7294093D">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L=1500mm(±5%)</w:t>
            </w:r>
          </w:p>
        </w:tc>
        <w:tc>
          <w:tcPr>
            <w:tcW w:w="2109" w:type="pct"/>
            <w:vAlign w:val="center"/>
          </w:tcPr>
          <w:p w14:paraId="102769D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离心式风幕机产生高速的气流，将室内外分成两个独立的温度区域，坚持室内空调及净化空气的效果，节省电能的同时并令空气循环，有效隔离灰尘、烟气、臭气、和昆虫等微生物。</w:t>
            </w:r>
          </w:p>
          <w:p w14:paraId="1AE3A9E3">
            <w:pPr>
              <w:keepNext w:val="0"/>
              <w:keepLines w:val="0"/>
              <w:spacing w:line="460" w:lineRule="exact"/>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离地高度≥2.4M</w:t>
            </w:r>
          </w:p>
        </w:tc>
        <w:tc>
          <w:tcPr>
            <w:tcW w:w="202" w:type="pct"/>
            <w:vAlign w:val="center"/>
          </w:tcPr>
          <w:p w14:paraId="080647F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7A9CC97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31D74804">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eastAsia="zh-CN"/>
              </w:rPr>
              <w:drawing>
                <wp:inline distT="0" distB="0" distL="114300" distR="114300">
                  <wp:extent cx="558800" cy="285750"/>
                  <wp:effectExtent l="0" t="0" r="12700" b="0"/>
                  <wp:docPr id="20" name="图片 200" descr="timg (6)"/>
                  <wp:cNvGraphicFramePr/>
                  <a:graphic xmlns:a="http://schemas.openxmlformats.org/drawingml/2006/main">
                    <a:graphicData uri="http://schemas.openxmlformats.org/drawingml/2006/picture">
                      <pic:pic xmlns:pic="http://schemas.openxmlformats.org/drawingml/2006/picture">
                        <pic:nvPicPr>
                          <pic:cNvPr id="20" name="图片 200" descr="timg (6)"/>
                          <pic:cNvPicPr/>
                        </pic:nvPicPr>
                        <pic:blipFill>
                          <a:blip r:embed="rId36"/>
                          <a:stretch>
                            <a:fillRect/>
                          </a:stretch>
                        </pic:blipFill>
                        <pic:spPr>
                          <a:xfrm>
                            <a:off x="0" y="0"/>
                            <a:ext cx="558800" cy="285750"/>
                          </a:xfrm>
                          <a:prstGeom prst="rect">
                            <a:avLst/>
                          </a:prstGeom>
                          <a:noFill/>
                          <a:ln>
                            <a:noFill/>
                          </a:ln>
                        </pic:spPr>
                      </pic:pic>
                    </a:graphicData>
                  </a:graphic>
                </wp:inline>
              </w:drawing>
            </w:r>
          </w:p>
        </w:tc>
      </w:tr>
      <w:tr w14:paraId="77A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8E651A5">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45</w:t>
            </w:r>
          </w:p>
        </w:tc>
        <w:tc>
          <w:tcPr>
            <w:tcW w:w="535" w:type="pct"/>
            <w:vAlign w:val="center"/>
          </w:tcPr>
          <w:p w14:paraId="7AB1489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工作台面连下储物柜</w:t>
            </w:r>
          </w:p>
        </w:tc>
        <w:tc>
          <w:tcPr>
            <w:tcW w:w="628" w:type="pct"/>
            <w:vAlign w:val="center"/>
          </w:tcPr>
          <w:p w14:paraId="60BF839F">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400×800×(800+30) mm(±5%)  </w:t>
            </w:r>
          </w:p>
        </w:tc>
        <w:tc>
          <w:tcPr>
            <w:tcW w:w="2109" w:type="pct"/>
            <w:vAlign w:val="center"/>
          </w:tcPr>
          <w:p w14:paraId="5FC594D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面板整体拉伸，SUS304 2B厚度国标δ≥1.35mm；侧板底板SUS201，厚度国标δ≥0.9mm；</w:t>
            </w:r>
          </w:p>
          <w:p w14:paraId="3943EBB8">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  </w:t>
            </w:r>
          </w:p>
        </w:tc>
        <w:tc>
          <w:tcPr>
            <w:tcW w:w="202" w:type="pct"/>
            <w:vAlign w:val="center"/>
          </w:tcPr>
          <w:p w14:paraId="4D85020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67DD4B6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54A62D3">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09600" cy="616585"/>
                  <wp:effectExtent l="0" t="0" r="0" b="12065"/>
                  <wp:docPr id="61" name="图片 162" descr="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62" descr="D (42)"/>
                          <pic:cNvPicPr>
                            <a:picLocks noChangeAspect="1"/>
                          </pic:cNvPicPr>
                        </pic:nvPicPr>
                        <pic:blipFill>
                          <a:blip r:embed="rId37"/>
                          <a:srcRect l="10100" r="12192" b="5530"/>
                          <a:stretch>
                            <a:fillRect/>
                          </a:stretch>
                        </pic:blipFill>
                        <pic:spPr>
                          <a:xfrm>
                            <a:off x="0" y="0"/>
                            <a:ext cx="609600" cy="616585"/>
                          </a:xfrm>
                          <a:prstGeom prst="rect">
                            <a:avLst/>
                          </a:prstGeom>
                          <a:noFill/>
                          <a:ln>
                            <a:noFill/>
                          </a:ln>
                        </pic:spPr>
                      </pic:pic>
                    </a:graphicData>
                  </a:graphic>
                </wp:inline>
              </w:drawing>
            </w:r>
          </w:p>
        </w:tc>
      </w:tr>
      <w:tr w14:paraId="4705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DF579B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46</w:t>
            </w:r>
          </w:p>
        </w:tc>
        <w:tc>
          <w:tcPr>
            <w:tcW w:w="535" w:type="pct"/>
            <w:vAlign w:val="center"/>
          </w:tcPr>
          <w:p w14:paraId="29AFAE7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挂墙杯架</w:t>
            </w:r>
          </w:p>
        </w:tc>
        <w:tc>
          <w:tcPr>
            <w:tcW w:w="628" w:type="pct"/>
            <w:vAlign w:val="center"/>
          </w:tcPr>
          <w:p w14:paraId="2334EFB9">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1200×300×1200 mm(±5%)  </w:t>
            </w:r>
          </w:p>
        </w:tc>
        <w:tc>
          <w:tcPr>
            <w:tcW w:w="2109" w:type="pct"/>
            <w:vAlign w:val="center"/>
          </w:tcPr>
          <w:p w14:paraId="1BADF2B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选用SUS304-2B优质不锈钢板制作，层板δ≥1.1mm。层板δ≥0.9mm不锈钢板，加强筋采用δ≥0.9mm。</w:t>
            </w:r>
          </w:p>
        </w:tc>
        <w:tc>
          <w:tcPr>
            <w:tcW w:w="202" w:type="pct"/>
            <w:vAlign w:val="center"/>
          </w:tcPr>
          <w:p w14:paraId="7B5100B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058E39F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72B7260">
            <w:pPr>
              <w:jc w:val="center"/>
              <w:rPr>
                <w:rFonts w:hint="eastAsia" w:ascii="宋体" w:hAnsi="宋体" w:eastAsia="宋体" w:cs="宋体"/>
                <w:sz w:val="22"/>
                <w:szCs w:val="22"/>
                <w:vertAlign w:val="baseline"/>
              </w:rPr>
            </w:pPr>
          </w:p>
        </w:tc>
      </w:tr>
      <w:tr w14:paraId="0E9B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D0AA9FE">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47</w:t>
            </w:r>
          </w:p>
        </w:tc>
        <w:tc>
          <w:tcPr>
            <w:tcW w:w="535" w:type="pct"/>
            <w:vAlign w:val="center"/>
          </w:tcPr>
          <w:p w14:paraId="26B32F5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挂墙手机架</w:t>
            </w:r>
          </w:p>
        </w:tc>
        <w:tc>
          <w:tcPr>
            <w:tcW w:w="628" w:type="pct"/>
            <w:vAlign w:val="center"/>
          </w:tcPr>
          <w:p w14:paraId="4054F2E1">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1000×150×1000 mm(±5%)   </w:t>
            </w:r>
          </w:p>
        </w:tc>
        <w:tc>
          <w:tcPr>
            <w:tcW w:w="2109" w:type="pct"/>
            <w:vAlign w:val="center"/>
          </w:tcPr>
          <w:p w14:paraId="5B9C074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选用SUS304-2B优质不锈钢板制作，层板δ≥1.1mm。层板δ≥0.9mm不锈钢板，加强筋采用δ≥0.9mm。 </w:t>
            </w:r>
          </w:p>
        </w:tc>
        <w:tc>
          <w:tcPr>
            <w:tcW w:w="202" w:type="pct"/>
            <w:vAlign w:val="center"/>
          </w:tcPr>
          <w:p w14:paraId="744357F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539FB14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61321DEC">
            <w:pPr>
              <w:jc w:val="center"/>
              <w:rPr>
                <w:rFonts w:hint="eastAsia" w:ascii="宋体" w:hAnsi="宋体" w:eastAsia="宋体" w:cs="宋体"/>
                <w:sz w:val="22"/>
                <w:szCs w:val="22"/>
                <w:vertAlign w:val="baseline"/>
              </w:rPr>
            </w:pPr>
          </w:p>
        </w:tc>
      </w:tr>
      <w:tr w14:paraId="6C79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6301AB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48</w:t>
            </w:r>
          </w:p>
        </w:tc>
        <w:tc>
          <w:tcPr>
            <w:tcW w:w="535" w:type="pct"/>
            <w:vAlign w:val="center"/>
          </w:tcPr>
          <w:p w14:paraId="7922B30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挂墙消毒柜</w:t>
            </w:r>
          </w:p>
        </w:tc>
        <w:tc>
          <w:tcPr>
            <w:tcW w:w="628" w:type="pct"/>
            <w:vAlign w:val="center"/>
          </w:tcPr>
          <w:p w14:paraId="14CADB0C">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2000×2000×250mm(±5%)</w:t>
            </w:r>
          </w:p>
        </w:tc>
        <w:tc>
          <w:tcPr>
            <w:tcW w:w="2109" w:type="pct"/>
            <w:vAlign w:val="center"/>
          </w:tcPr>
          <w:p w14:paraId="6B12936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采用SUS304-2B优质不锈钢板制作，玻璃可视门，顶板、侧板、后板、低板δ≥1.1mm，大容量存储，热风循环，杀毒效果彻底、无死角，采用大视野可视窗。</w:t>
            </w:r>
          </w:p>
        </w:tc>
        <w:tc>
          <w:tcPr>
            <w:tcW w:w="202" w:type="pct"/>
            <w:vAlign w:val="center"/>
          </w:tcPr>
          <w:p w14:paraId="6B25AF9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1E5CA15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A9CB3A9">
            <w:pPr>
              <w:jc w:val="center"/>
              <w:rPr>
                <w:rFonts w:hint="eastAsia" w:ascii="宋体" w:hAnsi="宋体" w:eastAsia="宋体" w:cs="宋体"/>
                <w:sz w:val="22"/>
                <w:szCs w:val="22"/>
                <w:vertAlign w:val="baseline"/>
              </w:rPr>
            </w:pPr>
            <w:r>
              <w:rPr>
                <w:b w:val="0"/>
                <w:bCs w:val="0"/>
                <w:color w:val="000000"/>
                <w:kern w:val="0"/>
                <w:sz w:val="22"/>
                <w:szCs w:val="22"/>
                <w:highlight w:val="none"/>
              </w:rPr>
              <w:drawing>
                <wp:inline distT="0" distB="0" distL="114300" distR="114300">
                  <wp:extent cx="508000" cy="327660"/>
                  <wp:effectExtent l="0" t="0" r="6350" b="15240"/>
                  <wp:docPr id="40"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41"/>
                          <pic:cNvPicPr>
                            <a:picLocks noChangeAspect="1"/>
                          </pic:cNvPicPr>
                        </pic:nvPicPr>
                        <pic:blipFill>
                          <a:blip r:embed="rId38"/>
                          <a:stretch>
                            <a:fillRect/>
                          </a:stretch>
                        </pic:blipFill>
                        <pic:spPr>
                          <a:xfrm>
                            <a:off x="0" y="0"/>
                            <a:ext cx="508000" cy="327660"/>
                          </a:xfrm>
                          <a:prstGeom prst="rect">
                            <a:avLst/>
                          </a:prstGeom>
                          <a:noFill/>
                          <a:ln>
                            <a:noFill/>
                          </a:ln>
                        </pic:spPr>
                      </pic:pic>
                    </a:graphicData>
                  </a:graphic>
                </wp:inline>
              </w:drawing>
            </w:r>
          </w:p>
        </w:tc>
      </w:tr>
      <w:tr w14:paraId="3C96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DD95E44">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49</w:t>
            </w:r>
          </w:p>
        </w:tc>
        <w:tc>
          <w:tcPr>
            <w:tcW w:w="535" w:type="pct"/>
            <w:vAlign w:val="center"/>
          </w:tcPr>
          <w:p w14:paraId="1BE09FE5">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挂式洗手星盆</w:t>
            </w:r>
          </w:p>
        </w:tc>
        <w:tc>
          <w:tcPr>
            <w:tcW w:w="628" w:type="pct"/>
            <w:vAlign w:val="center"/>
          </w:tcPr>
          <w:p w14:paraId="474B555F">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400×450×(200+150)mm(±5%)</w:t>
            </w:r>
          </w:p>
        </w:tc>
        <w:tc>
          <w:tcPr>
            <w:tcW w:w="2109" w:type="pct"/>
            <w:vAlign w:val="center"/>
          </w:tcPr>
          <w:p w14:paraId="132606F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采用SUS304-2B优质发纹贴塑不锈钢板制作，台面δ≥1.1mm，星盆斗δ≥1.1mm，配优质不锈钢落水器、拦渣斗，配感应龙头，三角阀，进水软管。</w:t>
            </w:r>
          </w:p>
        </w:tc>
        <w:tc>
          <w:tcPr>
            <w:tcW w:w="202" w:type="pct"/>
            <w:vAlign w:val="center"/>
          </w:tcPr>
          <w:p w14:paraId="176B762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4A25D9F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4957EE0F">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85800" cy="408940"/>
                  <wp:effectExtent l="0" t="0" r="0" b="10160"/>
                  <wp:docPr id="2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9"/>
                          <pic:cNvPicPr>
                            <a:picLocks noChangeAspect="1"/>
                          </pic:cNvPicPr>
                        </pic:nvPicPr>
                        <pic:blipFill>
                          <a:blip r:embed="rId39"/>
                          <a:stretch>
                            <a:fillRect/>
                          </a:stretch>
                        </pic:blipFill>
                        <pic:spPr>
                          <a:xfrm>
                            <a:off x="0" y="0"/>
                            <a:ext cx="685800" cy="408940"/>
                          </a:xfrm>
                          <a:prstGeom prst="rect">
                            <a:avLst/>
                          </a:prstGeom>
                          <a:noFill/>
                          <a:ln>
                            <a:noFill/>
                          </a:ln>
                        </pic:spPr>
                      </pic:pic>
                    </a:graphicData>
                  </a:graphic>
                </wp:inline>
              </w:drawing>
            </w:r>
          </w:p>
        </w:tc>
      </w:tr>
      <w:tr w14:paraId="12B2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C0E2B1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50</w:t>
            </w:r>
          </w:p>
        </w:tc>
        <w:tc>
          <w:tcPr>
            <w:tcW w:w="535" w:type="pct"/>
            <w:vAlign w:val="center"/>
          </w:tcPr>
          <w:p w14:paraId="0C80543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豪华方形玻璃罩</w:t>
            </w:r>
          </w:p>
        </w:tc>
        <w:tc>
          <w:tcPr>
            <w:tcW w:w="628" w:type="pct"/>
            <w:vAlign w:val="center"/>
          </w:tcPr>
          <w:p w14:paraId="016787FD">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5400×1000×500mm(±5%)</w:t>
            </w:r>
          </w:p>
        </w:tc>
        <w:tc>
          <w:tcPr>
            <w:tcW w:w="2109" w:type="pct"/>
            <w:vAlign w:val="center"/>
          </w:tcPr>
          <w:p w14:paraId="619EEBE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 xml:space="preserve">采用SUS304-2Bδ≥1.1mm；砂光不锈钢板，双层隔油排、积油杯。(风机、风柜及风管另计) </w:t>
            </w:r>
          </w:p>
        </w:tc>
        <w:tc>
          <w:tcPr>
            <w:tcW w:w="202" w:type="pct"/>
            <w:vAlign w:val="center"/>
          </w:tcPr>
          <w:p w14:paraId="3086639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78CF2DF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4F01780">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8655" cy="351155"/>
                  <wp:effectExtent l="0" t="0" r="17145" b="10795"/>
                  <wp:docPr id="63"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64"/>
                          <pic:cNvPicPr>
                            <a:picLocks noChangeAspect="1"/>
                          </pic:cNvPicPr>
                        </pic:nvPicPr>
                        <pic:blipFill>
                          <a:blip r:embed="rId40"/>
                          <a:stretch>
                            <a:fillRect/>
                          </a:stretch>
                        </pic:blipFill>
                        <pic:spPr>
                          <a:xfrm>
                            <a:off x="0" y="0"/>
                            <a:ext cx="668655" cy="351155"/>
                          </a:xfrm>
                          <a:prstGeom prst="rect">
                            <a:avLst/>
                          </a:prstGeom>
                          <a:noFill/>
                          <a:ln>
                            <a:noFill/>
                          </a:ln>
                        </pic:spPr>
                      </pic:pic>
                    </a:graphicData>
                  </a:graphic>
                </wp:inline>
              </w:drawing>
            </w:r>
          </w:p>
        </w:tc>
      </w:tr>
      <w:tr w14:paraId="2B73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4FCFA0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51</w:t>
            </w:r>
          </w:p>
        </w:tc>
        <w:tc>
          <w:tcPr>
            <w:tcW w:w="535" w:type="pct"/>
            <w:vAlign w:val="center"/>
          </w:tcPr>
          <w:p w14:paraId="0274198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豪华方形不锈钢脱排油烟罩</w:t>
            </w:r>
            <w:r>
              <w:rPr>
                <w:rFonts w:hint="eastAsia" w:ascii="宋体" w:hAnsi="宋体" w:eastAsia="宋体" w:cs="宋体"/>
                <w:sz w:val="22"/>
                <w:szCs w:val="22"/>
                <w:vertAlign w:val="baseline"/>
                <w:lang w:val="en-US" w:eastAsia="zh-CN"/>
              </w:rPr>
              <w:t>1</w:t>
            </w:r>
          </w:p>
        </w:tc>
        <w:tc>
          <w:tcPr>
            <w:tcW w:w="628" w:type="pct"/>
            <w:vAlign w:val="center"/>
          </w:tcPr>
          <w:p w14:paraId="6414D639">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11000×1300×500mm(±5%)</w:t>
            </w:r>
          </w:p>
        </w:tc>
        <w:tc>
          <w:tcPr>
            <w:tcW w:w="2109" w:type="pct"/>
            <w:vAlign w:val="center"/>
          </w:tcPr>
          <w:p w14:paraId="2179726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采用SUS304-2B优质不锈钢板制作，δ≥0.9mm，双层隔油排、积油杯。(风机、风柜及风管另计)。</w:t>
            </w:r>
          </w:p>
        </w:tc>
        <w:tc>
          <w:tcPr>
            <w:tcW w:w="202" w:type="pct"/>
            <w:vAlign w:val="center"/>
          </w:tcPr>
          <w:p w14:paraId="2290F98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013834F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A826A4F">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SA"/>
              </w:rPr>
              <w:drawing>
                <wp:inline distT="0" distB="0" distL="114300" distR="114300">
                  <wp:extent cx="563245" cy="398780"/>
                  <wp:effectExtent l="0" t="0" r="8255" b="1270"/>
                  <wp:docPr id="43" name="图片 144"/>
                  <wp:cNvGraphicFramePr/>
                  <a:graphic xmlns:a="http://schemas.openxmlformats.org/drawingml/2006/main">
                    <a:graphicData uri="http://schemas.openxmlformats.org/drawingml/2006/picture">
                      <pic:pic xmlns:pic="http://schemas.openxmlformats.org/drawingml/2006/picture">
                        <pic:nvPicPr>
                          <pic:cNvPr id="43" name="图片 144"/>
                          <pic:cNvPicPr/>
                        </pic:nvPicPr>
                        <pic:blipFill>
                          <a:blip r:embed="rId41"/>
                          <a:stretch>
                            <a:fillRect/>
                          </a:stretch>
                        </pic:blipFill>
                        <pic:spPr>
                          <a:xfrm>
                            <a:off x="0" y="0"/>
                            <a:ext cx="563245" cy="398780"/>
                          </a:xfrm>
                          <a:prstGeom prst="rect">
                            <a:avLst/>
                          </a:prstGeom>
                          <a:noFill/>
                          <a:ln>
                            <a:noFill/>
                          </a:ln>
                        </pic:spPr>
                      </pic:pic>
                    </a:graphicData>
                  </a:graphic>
                </wp:inline>
              </w:drawing>
            </w:r>
          </w:p>
        </w:tc>
      </w:tr>
      <w:tr w14:paraId="40AF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69095A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52</w:t>
            </w:r>
          </w:p>
        </w:tc>
        <w:tc>
          <w:tcPr>
            <w:tcW w:w="535" w:type="pct"/>
            <w:vAlign w:val="center"/>
          </w:tcPr>
          <w:p w14:paraId="33EEC39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豪华方形不锈钢脱排油烟罩</w:t>
            </w:r>
            <w:r>
              <w:rPr>
                <w:rFonts w:hint="eastAsia" w:ascii="宋体" w:hAnsi="宋体" w:eastAsia="宋体" w:cs="宋体"/>
                <w:sz w:val="22"/>
                <w:szCs w:val="22"/>
                <w:vertAlign w:val="baseline"/>
                <w:lang w:val="en-US" w:eastAsia="zh-CN"/>
              </w:rPr>
              <w:t>2</w:t>
            </w:r>
          </w:p>
        </w:tc>
        <w:tc>
          <w:tcPr>
            <w:tcW w:w="628" w:type="pct"/>
            <w:vAlign w:val="center"/>
          </w:tcPr>
          <w:p w14:paraId="18CD52FE">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9000×1300×500mm(±5%)</w:t>
            </w:r>
          </w:p>
        </w:tc>
        <w:tc>
          <w:tcPr>
            <w:tcW w:w="2109" w:type="pct"/>
            <w:vAlign w:val="center"/>
          </w:tcPr>
          <w:p w14:paraId="318E96A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采用SUS304-2B优质不锈钢板制作，δ≥0.9mm，双层隔油排、积油杯。(风机、风柜及风管另计)。</w:t>
            </w:r>
          </w:p>
          <w:p w14:paraId="3C5456AF">
            <w:pPr>
              <w:jc w:val="center"/>
              <w:rPr>
                <w:rFonts w:hint="eastAsia" w:ascii="宋体" w:hAnsi="宋体" w:eastAsia="宋体" w:cs="宋体"/>
                <w:sz w:val="22"/>
                <w:szCs w:val="22"/>
                <w:vertAlign w:val="baseline"/>
              </w:rPr>
            </w:pPr>
          </w:p>
        </w:tc>
        <w:tc>
          <w:tcPr>
            <w:tcW w:w="202" w:type="pct"/>
            <w:vAlign w:val="center"/>
          </w:tcPr>
          <w:p w14:paraId="2503157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1BBDB4E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DEE3A01">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SA"/>
              </w:rPr>
              <w:drawing>
                <wp:inline distT="0" distB="0" distL="114300" distR="114300">
                  <wp:extent cx="563245" cy="398780"/>
                  <wp:effectExtent l="0" t="0" r="8255" b="1270"/>
                  <wp:docPr id="22" name="图片 144"/>
                  <wp:cNvGraphicFramePr/>
                  <a:graphic xmlns:a="http://schemas.openxmlformats.org/drawingml/2006/main">
                    <a:graphicData uri="http://schemas.openxmlformats.org/drawingml/2006/picture">
                      <pic:pic xmlns:pic="http://schemas.openxmlformats.org/drawingml/2006/picture">
                        <pic:nvPicPr>
                          <pic:cNvPr id="22" name="图片 144"/>
                          <pic:cNvPicPr/>
                        </pic:nvPicPr>
                        <pic:blipFill>
                          <a:blip r:embed="rId41"/>
                          <a:stretch>
                            <a:fillRect/>
                          </a:stretch>
                        </pic:blipFill>
                        <pic:spPr>
                          <a:xfrm>
                            <a:off x="0" y="0"/>
                            <a:ext cx="563245" cy="398780"/>
                          </a:xfrm>
                          <a:prstGeom prst="rect">
                            <a:avLst/>
                          </a:prstGeom>
                          <a:noFill/>
                          <a:ln>
                            <a:noFill/>
                          </a:ln>
                        </pic:spPr>
                      </pic:pic>
                    </a:graphicData>
                  </a:graphic>
                </wp:inline>
              </w:drawing>
            </w:r>
          </w:p>
        </w:tc>
      </w:tr>
      <w:tr w14:paraId="4F1E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1D3334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53</w:t>
            </w:r>
          </w:p>
        </w:tc>
        <w:tc>
          <w:tcPr>
            <w:tcW w:w="535" w:type="pct"/>
            <w:vAlign w:val="center"/>
          </w:tcPr>
          <w:p w14:paraId="425EBD7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活动双层工作台</w:t>
            </w:r>
            <w:r>
              <w:rPr>
                <w:rFonts w:hint="eastAsia" w:ascii="宋体" w:hAnsi="宋体" w:eastAsia="宋体" w:cs="宋体"/>
                <w:sz w:val="22"/>
                <w:szCs w:val="22"/>
                <w:vertAlign w:val="baseline"/>
                <w:lang w:val="en-US" w:eastAsia="zh-CN"/>
              </w:rPr>
              <w:t>1</w:t>
            </w:r>
          </w:p>
        </w:tc>
        <w:tc>
          <w:tcPr>
            <w:tcW w:w="628" w:type="pct"/>
            <w:vAlign w:val="center"/>
          </w:tcPr>
          <w:p w14:paraId="4C867710">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1500×800×800mm(±5%)</w:t>
            </w:r>
          </w:p>
        </w:tc>
        <w:tc>
          <w:tcPr>
            <w:tcW w:w="2109" w:type="pct"/>
            <w:vAlign w:val="center"/>
          </w:tcPr>
          <w:p w14:paraId="2C25B9A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采用SUS304-2B优质发纹贴塑不锈钢板制作，台面δ≥1.1mm（下衬12mm高密度板减噪）。下层板采用δ≥0.9mm不锈钢板复边成型。加强筋δ≥0.9mm；横通Φ25×1.0mm。配承重静音脚轮，其中两只带刹车掣。</w:t>
            </w:r>
          </w:p>
        </w:tc>
        <w:tc>
          <w:tcPr>
            <w:tcW w:w="202" w:type="pct"/>
            <w:vAlign w:val="center"/>
          </w:tcPr>
          <w:p w14:paraId="6F3AEBC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69EBE71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8AAEC3D">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val="en-US" w:eastAsia="zh-CN"/>
              </w:rPr>
              <w:drawing>
                <wp:inline distT="0" distB="0" distL="114300" distR="114300">
                  <wp:extent cx="484505" cy="484505"/>
                  <wp:effectExtent l="0" t="0" r="10795" b="0"/>
                  <wp:docPr id="45" name="图片 146" descr="aafc0444a90cc1e33c4178fd5fdb5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46" descr="aafc0444a90cc1e33c4178fd5fdb5c4"/>
                          <pic:cNvPicPr>
                            <a:picLocks noChangeAspect="1"/>
                          </pic:cNvPicPr>
                        </pic:nvPicPr>
                        <pic:blipFill>
                          <a:blip r:embed="rId42"/>
                          <a:stretch>
                            <a:fillRect/>
                          </a:stretch>
                        </pic:blipFill>
                        <pic:spPr>
                          <a:xfrm>
                            <a:off x="0" y="0"/>
                            <a:ext cx="484505" cy="484505"/>
                          </a:xfrm>
                          <a:prstGeom prst="rect">
                            <a:avLst/>
                          </a:prstGeom>
                          <a:noFill/>
                          <a:ln>
                            <a:noFill/>
                          </a:ln>
                        </pic:spPr>
                      </pic:pic>
                    </a:graphicData>
                  </a:graphic>
                </wp:inline>
              </w:drawing>
            </w:r>
          </w:p>
        </w:tc>
      </w:tr>
      <w:tr w14:paraId="324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0F2090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54</w:t>
            </w:r>
          </w:p>
        </w:tc>
        <w:tc>
          <w:tcPr>
            <w:tcW w:w="535" w:type="pct"/>
            <w:vAlign w:val="center"/>
          </w:tcPr>
          <w:p w14:paraId="2308DDF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活动双层工作台</w:t>
            </w:r>
            <w:r>
              <w:rPr>
                <w:rFonts w:hint="eastAsia" w:ascii="宋体" w:hAnsi="宋体" w:eastAsia="宋体" w:cs="宋体"/>
                <w:sz w:val="22"/>
                <w:szCs w:val="22"/>
                <w:vertAlign w:val="baseline"/>
                <w:lang w:val="en-US" w:eastAsia="zh-CN"/>
              </w:rPr>
              <w:t>2</w:t>
            </w:r>
          </w:p>
        </w:tc>
        <w:tc>
          <w:tcPr>
            <w:tcW w:w="628" w:type="pct"/>
            <w:vAlign w:val="center"/>
          </w:tcPr>
          <w:p w14:paraId="515CE44C">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1800×700×800mm(±5%)</w:t>
            </w:r>
          </w:p>
        </w:tc>
        <w:tc>
          <w:tcPr>
            <w:tcW w:w="2109" w:type="pct"/>
            <w:vAlign w:val="center"/>
          </w:tcPr>
          <w:p w14:paraId="67D01B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选用SUS304-2B优质不锈钢板制作，台面δ≥1.1mm（下衬12mm高密度板减噪）。下层平板采用δ≥0.9mm不锈钢板复边成型。加强筋δ≥0.9mm；横通Φ25×δ≥0.9mm；配承重静音脚轮，其中两只带刹车掣。</w:t>
            </w:r>
          </w:p>
        </w:tc>
        <w:tc>
          <w:tcPr>
            <w:tcW w:w="202" w:type="pct"/>
            <w:vAlign w:val="center"/>
          </w:tcPr>
          <w:p w14:paraId="60D8740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5A053FA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DE6A82A">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val="en-US" w:eastAsia="zh-CN"/>
              </w:rPr>
              <w:drawing>
                <wp:inline distT="0" distB="0" distL="114300" distR="114300">
                  <wp:extent cx="484505" cy="484505"/>
                  <wp:effectExtent l="0" t="0" r="10795" b="0"/>
                  <wp:docPr id="23" name="图片 146" descr="aafc0444a90cc1e33c4178fd5fdb5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6" descr="aafc0444a90cc1e33c4178fd5fdb5c4"/>
                          <pic:cNvPicPr>
                            <a:picLocks noChangeAspect="1"/>
                          </pic:cNvPicPr>
                        </pic:nvPicPr>
                        <pic:blipFill>
                          <a:blip r:embed="rId42"/>
                          <a:stretch>
                            <a:fillRect/>
                          </a:stretch>
                        </pic:blipFill>
                        <pic:spPr>
                          <a:xfrm>
                            <a:off x="0" y="0"/>
                            <a:ext cx="484505" cy="484505"/>
                          </a:xfrm>
                          <a:prstGeom prst="rect">
                            <a:avLst/>
                          </a:prstGeom>
                          <a:noFill/>
                          <a:ln>
                            <a:noFill/>
                          </a:ln>
                        </pic:spPr>
                      </pic:pic>
                    </a:graphicData>
                  </a:graphic>
                </wp:inline>
              </w:drawing>
            </w:r>
          </w:p>
        </w:tc>
      </w:tr>
      <w:tr w14:paraId="491C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FCF9F24">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55</w:t>
            </w:r>
          </w:p>
        </w:tc>
        <w:tc>
          <w:tcPr>
            <w:tcW w:w="535" w:type="pct"/>
            <w:vAlign w:val="center"/>
          </w:tcPr>
          <w:p w14:paraId="4CDEFD7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集汽罩(洗碗机)</w:t>
            </w:r>
          </w:p>
        </w:tc>
        <w:tc>
          <w:tcPr>
            <w:tcW w:w="628" w:type="pct"/>
            <w:vAlign w:val="center"/>
          </w:tcPr>
          <w:p w14:paraId="5C7A53A0">
            <w:pPr>
              <w:jc w:val="center"/>
              <w:rPr>
                <w:rFonts w:hint="eastAsia" w:ascii="宋体" w:hAnsi="宋体" w:eastAsia="宋体" w:cs="宋体"/>
                <w:sz w:val="22"/>
                <w:szCs w:val="22"/>
                <w:vertAlign w:val="baseline"/>
              </w:rPr>
            </w:pPr>
          </w:p>
        </w:tc>
        <w:tc>
          <w:tcPr>
            <w:tcW w:w="2109" w:type="pct"/>
            <w:vAlign w:val="center"/>
          </w:tcPr>
          <w:p w14:paraId="6AB10D17">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采用SUS304-2B优质发纹贴塑不锈钢板制作，δ≥1.1mm，双层隔油排。(风机、风柜及风管另计)。</w:t>
            </w:r>
          </w:p>
        </w:tc>
        <w:tc>
          <w:tcPr>
            <w:tcW w:w="202" w:type="pct"/>
            <w:vAlign w:val="center"/>
          </w:tcPr>
          <w:p w14:paraId="7C44343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组</w:t>
            </w:r>
          </w:p>
        </w:tc>
        <w:tc>
          <w:tcPr>
            <w:tcW w:w="254" w:type="pct"/>
            <w:vAlign w:val="center"/>
          </w:tcPr>
          <w:p w14:paraId="79853C1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599471AA">
            <w:pPr>
              <w:jc w:val="center"/>
              <w:rPr>
                <w:rFonts w:hint="eastAsia" w:ascii="宋体" w:hAnsi="宋体" w:eastAsia="宋体" w:cs="宋体"/>
                <w:sz w:val="22"/>
                <w:szCs w:val="22"/>
                <w:vertAlign w:val="baseline"/>
              </w:rPr>
            </w:pPr>
            <w:r>
              <w:rPr>
                <w:rFonts w:hint="eastAsia" w:ascii="宋体" w:hAnsi="宋体" w:cs="宋体"/>
                <w:b w:val="0"/>
                <w:bCs w:val="0"/>
                <w:sz w:val="22"/>
                <w:szCs w:val="22"/>
                <w:highlight w:val="none"/>
              </w:rPr>
              <w:drawing>
                <wp:inline distT="0" distB="0" distL="114300" distR="114300">
                  <wp:extent cx="615950" cy="567055"/>
                  <wp:effectExtent l="0" t="0" r="12700" b="4445"/>
                  <wp:docPr id="78"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79"/>
                          <pic:cNvPicPr>
                            <a:picLocks noChangeAspect="1"/>
                          </pic:cNvPicPr>
                        </pic:nvPicPr>
                        <pic:blipFill>
                          <a:blip r:embed="rId43"/>
                          <a:stretch>
                            <a:fillRect/>
                          </a:stretch>
                        </pic:blipFill>
                        <pic:spPr>
                          <a:xfrm flipH="1">
                            <a:off x="0" y="0"/>
                            <a:ext cx="615950" cy="567055"/>
                          </a:xfrm>
                          <a:prstGeom prst="rect">
                            <a:avLst/>
                          </a:prstGeom>
                          <a:noFill/>
                          <a:ln>
                            <a:noFill/>
                          </a:ln>
                        </pic:spPr>
                      </pic:pic>
                    </a:graphicData>
                  </a:graphic>
                </wp:inline>
              </w:drawing>
            </w:r>
          </w:p>
        </w:tc>
      </w:tr>
      <w:tr w14:paraId="70EF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D2B926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56</w:t>
            </w:r>
          </w:p>
        </w:tc>
        <w:tc>
          <w:tcPr>
            <w:tcW w:w="535" w:type="pct"/>
            <w:vAlign w:val="center"/>
          </w:tcPr>
          <w:p w14:paraId="2A73FB2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可视长方型宴会餐炉</w:t>
            </w:r>
          </w:p>
        </w:tc>
        <w:tc>
          <w:tcPr>
            <w:tcW w:w="628" w:type="pct"/>
            <w:vAlign w:val="center"/>
          </w:tcPr>
          <w:p w14:paraId="5C636CC1">
            <w:pPr>
              <w:jc w:val="center"/>
              <w:rPr>
                <w:rFonts w:hint="eastAsia" w:ascii="宋体" w:hAnsi="宋体" w:eastAsia="宋体" w:cs="宋体"/>
                <w:sz w:val="22"/>
                <w:szCs w:val="22"/>
                <w:vertAlign w:val="baseline"/>
              </w:rPr>
            </w:pPr>
          </w:p>
        </w:tc>
        <w:tc>
          <w:tcPr>
            <w:tcW w:w="2109" w:type="pct"/>
            <w:vAlign w:val="center"/>
          </w:tcPr>
          <w:p w14:paraId="4A458116">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台面选用SUS304-2B不锈钢发纹贴塑磨砂板制作，面厚δ≥1.0mm。</w:t>
            </w:r>
          </w:p>
        </w:tc>
        <w:tc>
          <w:tcPr>
            <w:tcW w:w="202" w:type="pct"/>
            <w:vAlign w:val="center"/>
          </w:tcPr>
          <w:p w14:paraId="05372CA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708CFEB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15</w:t>
            </w:r>
          </w:p>
        </w:tc>
        <w:tc>
          <w:tcPr>
            <w:tcW w:w="919" w:type="pct"/>
            <w:vAlign w:val="center"/>
          </w:tcPr>
          <w:p w14:paraId="2B69F5C0">
            <w:pPr>
              <w:jc w:val="center"/>
              <w:rPr>
                <w:rFonts w:hint="eastAsia" w:ascii="宋体" w:hAnsi="宋体" w:eastAsia="宋体" w:cs="宋体"/>
                <w:sz w:val="22"/>
                <w:szCs w:val="22"/>
                <w:vertAlign w:val="baseline"/>
              </w:rPr>
            </w:pPr>
          </w:p>
        </w:tc>
      </w:tr>
      <w:tr w14:paraId="63A3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542288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57</w:t>
            </w:r>
          </w:p>
        </w:tc>
        <w:tc>
          <w:tcPr>
            <w:tcW w:w="535" w:type="pct"/>
            <w:vAlign w:val="center"/>
          </w:tcPr>
          <w:p w14:paraId="1EF45AB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离心式排烟风机11KW</w:t>
            </w:r>
          </w:p>
        </w:tc>
        <w:tc>
          <w:tcPr>
            <w:tcW w:w="628" w:type="pct"/>
            <w:vAlign w:val="center"/>
          </w:tcPr>
          <w:p w14:paraId="095B3E0F">
            <w:pPr>
              <w:jc w:val="center"/>
              <w:rPr>
                <w:rFonts w:hint="eastAsia" w:ascii="宋体" w:hAnsi="宋体" w:eastAsia="宋体" w:cs="宋体"/>
                <w:sz w:val="22"/>
                <w:szCs w:val="22"/>
                <w:vertAlign w:val="baseline"/>
              </w:rPr>
            </w:pPr>
          </w:p>
        </w:tc>
        <w:tc>
          <w:tcPr>
            <w:tcW w:w="2109" w:type="pct"/>
            <w:vAlign w:val="center"/>
          </w:tcPr>
          <w:p w14:paraId="1937901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采用优质镀锌板烤漆折边成型为可拆装结构。配备软接、风柜支架、风机减震垫。</w:t>
            </w:r>
          </w:p>
          <w:p w14:paraId="6C8793C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风量：26500-37000m³/h</w:t>
            </w:r>
          </w:p>
          <w:p w14:paraId="0471F555">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功率：11KW/380V</w:t>
            </w:r>
          </w:p>
        </w:tc>
        <w:tc>
          <w:tcPr>
            <w:tcW w:w="202" w:type="pct"/>
            <w:vAlign w:val="center"/>
          </w:tcPr>
          <w:p w14:paraId="58EA644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764113F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3139DAC4">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72745" cy="382270"/>
                  <wp:effectExtent l="0" t="0" r="8255" b="17780"/>
                  <wp:docPr id="104" name="图片 205"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05" descr="风柜"/>
                          <pic:cNvPicPr>
                            <a:picLocks noChangeAspect="1"/>
                          </pic:cNvPicPr>
                        </pic:nvPicPr>
                        <pic:blipFill>
                          <a:blip r:embed="rId44"/>
                          <a:stretch>
                            <a:fillRect/>
                          </a:stretch>
                        </pic:blipFill>
                        <pic:spPr>
                          <a:xfrm>
                            <a:off x="0" y="0"/>
                            <a:ext cx="372745" cy="382270"/>
                          </a:xfrm>
                          <a:prstGeom prst="rect">
                            <a:avLst/>
                          </a:prstGeom>
                          <a:noFill/>
                          <a:ln>
                            <a:noFill/>
                          </a:ln>
                        </pic:spPr>
                      </pic:pic>
                    </a:graphicData>
                  </a:graphic>
                </wp:inline>
              </w:drawing>
            </w:r>
          </w:p>
        </w:tc>
      </w:tr>
      <w:tr w14:paraId="3D1B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22338F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58</w:t>
            </w:r>
          </w:p>
        </w:tc>
        <w:tc>
          <w:tcPr>
            <w:tcW w:w="535" w:type="pct"/>
            <w:vAlign w:val="center"/>
          </w:tcPr>
          <w:p w14:paraId="052D29E5">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离心式排烟风机3KW</w:t>
            </w:r>
          </w:p>
        </w:tc>
        <w:tc>
          <w:tcPr>
            <w:tcW w:w="628" w:type="pct"/>
            <w:vAlign w:val="center"/>
          </w:tcPr>
          <w:p w14:paraId="25F5FBB6">
            <w:pPr>
              <w:jc w:val="center"/>
              <w:rPr>
                <w:rFonts w:hint="eastAsia" w:ascii="宋体" w:hAnsi="宋体" w:eastAsia="宋体" w:cs="宋体"/>
                <w:sz w:val="22"/>
                <w:szCs w:val="22"/>
                <w:vertAlign w:val="baseline"/>
              </w:rPr>
            </w:pPr>
          </w:p>
        </w:tc>
        <w:tc>
          <w:tcPr>
            <w:tcW w:w="2109" w:type="pct"/>
            <w:vAlign w:val="center"/>
          </w:tcPr>
          <w:p w14:paraId="7A103DF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采用优质镀锌板烤漆折边成型为可拆装结构。配备软接、风柜支架、风机减震垫。</w:t>
            </w:r>
          </w:p>
          <w:p w14:paraId="503D82E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功率：3KW/380V</w:t>
            </w:r>
          </w:p>
          <w:p w14:paraId="4B4A6747">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风量：8300m³/h</w:t>
            </w:r>
          </w:p>
        </w:tc>
        <w:tc>
          <w:tcPr>
            <w:tcW w:w="202" w:type="pct"/>
            <w:vAlign w:val="center"/>
          </w:tcPr>
          <w:p w14:paraId="0DC3D6A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17431B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0C0CD2B">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72745" cy="382270"/>
                  <wp:effectExtent l="0" t="0" r="8255" b="17780"/>
                  <wp:docPr id="25" name="图片 205"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5" descr="风柜"/>
                          <pic:cNvPicPr>
                            <a:picLocks noChangeAspect="1"/>
                          </pic:cNvPicPr>
                        </pic:nvPicPr>
                        <pic:blipFill>
                          <a:blip r:embed="rId44"/>
                          <a:stretch>
                            <a:fillRect/>
                          </a:stretch>
                        </pic:blipFill>
                        <pic:spPr>
                          <a:xfrm>
                            <a:off x="0" y="0"/>
                            <a:ext cx="372745" cy="382270"/>
                          </a:xfrm>
                          <a:prstGeom prst="rect">
                            <a:avLst/>
                          </a:prstGeom>
                          <a:noFill/>
                          <a:ln>
                            <a:noFill/>
                          </a:ln>
                        </pic:spPr>
                      </pic:pic>
                    </a:graphicData>
                  </a:graphic>
                </wp:inline>
              </w:drawing>
            </w:r>
          </w:p>
        </w:tc>
      </w:tr>
      <w:tr w14:paraId="44C7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347586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59</w:t>
            </w:r>
          </w:p>
        </w:tc>
        <w:tc>
          <w:tcPr>
            <w:tcW w:w="535" w:type="pct"/>
            <w:vAlign w:val="center"/>
          </w:tcPr>
          <w:p w14:paraId="2787900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离心式排烟风机5.5KW</w:t>
            </w:r>
          </w:p>
        </w:tc>
        <w:tc>
          <w:tcPr>
            <w:tcW w:w="628" w:type="pct"/>
            <w:vAlign w:val="center"/>
          </w:tcPr>
          <w:p w14:paraId="129843D7">
            <w:pPr>
              <w:jc w:val="center"/>
              <w:rPr>
                <w:rFonts w:hint="eastAsia" w:ascii="宋体" w:hAnsi="宋体" w:eastAsia="宋体" w:cs="宋体"/>
                <w:sz w:val="22"/>
                <w:szCs w:val="22"/>
                <w:vertAlign w:val="baseline"/>
              </w:rPr>
            </w:pPr>
          </w:p>
        </w:tc>
        <w:tc>
          <w:tcPr>
            <w:tcW w:w="2109" w:type="pct"/>
            <w:vAlign w:val="center"/>
          </w:tcPr>
          <w:p w14:paraId="5E92F78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采用优质镀锌板烤漆折边成型为可拆装结构。配备软接、风柜支架、风机减震垫。</w:t>
            </w:r>
          </w:p>
          <w:p w14:paraId="64A838F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功率：5.5KW/380V</w:t>
            </w:r>
          </w:p>
          <w:p w14:paraId="7F88CA28">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风量：</w:t>
            </w:r>
            <w:r>
              <w:rPr>
                <w:rFonts w:hint="eastAsia" w:ascii="宋体" w:hAnsi="宋体" w:eastAsia="宋体" w:cs="宋体"/>
                <w:bCs/>
                <w:color w:val="auto"/>
                <w:kern w:val="2"/>
                <w:sz w:val="22"/>
                <w:szCs w:val="22"/>
                <w:highlight w:val="none"/>
                <w:lang w:val="en-US" w:eastAsia="zh-CN" w:bidi="ar-SA"/>
              </w:rPr>
              <w:t>18500-24000m³/h</w:t>
            </w:r>
          </w:p>
        </w:tc>
        <w:tc>
          <w:tcPr>
            <w:tcW w:w="202" w:type="pct"/>
            <w:vAlign w:val="center"/>
          </w:tcPr>
          <w:p w14:paraId="269118E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E9ACBA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83972A4">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72745" cy="382270"/>
                  <wp:effectExtent l="0" t="0" r="8255" b="17780"/>
                  <wp:docPr id="27" name="图片 205"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5" descr="风柜"/>
                          <pic:cNvPicPr>
                            <a:picLocks noChangeAspect="1"/>
                          </pic:cNvPicPr>
                        </pic:nvPicPr>
                        <pic:blipFill>
                          <a:blip r:embed="rId44"/>
                          <a:stretch>
                            <a:fillRect/>
                          </a:stretch>
                        </pic:blipFill>
                        <pic:spPr>
                          <a:xfrm>
                            <a:off x="0" y="0"/>
                            <a:ext cx="372745" cy="382270"/>
                          </a:xfrm>
                          <a:prstGeom prst="rect">
                            <a:avLst/>
                          </a:prstGeom>
                          <a:noFill/>
                          <a:ln>
                            <a:noFill/>
                          </a:ln>
                        </pic:spPr>
                      </pic:pic>
                    </a:graphicData>
                  </a:graphic>
                </wp:inline>
              </w:drawing>
            </w:r>
          </w:p>
        </w:tc>
      </w:tr>
      <w:tr w14:paraId="54FD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8F50E66">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60</w:t>
            </w:r>
          </w:p>
        </w:tc>
        <w:tc>
          <w:tcPr>
            <w:tcW w:w="535" w:type="pct"/>
            <w:vAlign w:val="center"/>
          </w:tcPr>
          <w:p w14:paraId="0E15DFE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离心式排烟风机7.5KW</w:t>
            </w:r>
          </w:p>
        </w:tc>
        <w:tc>
          <w:tcPr>
            <w:tcW w:w="628" w:type="pct"/>
            <w:vAlign w:val="center"/>
          </w:tcPr>
          <w:p w14:paraId="468782C1">
            <w:pPr>
              <w:jc w:val="center"/>
              <w:rPr>
                <w:rFonts w:hint="eastAsia" w:ascii="宋体" w:hAnsi="宋体" w:eastAsia="宋体" w:cs="宋体"/>
                <w:sz w:val="22"/>
                <w:szCs w:val="22"/>
                <w:vertAlign w:val="baseline"/>
              </w:rPr>
            </w:pPr>
          </w:p>
        </w:tc>
        <w:tc>
          <w:tcPr>
            <w:tcW w:w="2109" w:type="pct"/>
            <w:vAlign w:val="center"/>
          </w:tcPr>
          <w:p w14:paraId="56A89B9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采用优质镀锌板烤漆折边成型为可拆装结构。配备软接、风柜支架、风机减震垫。</w:t>
            </w:r>
          </w:p>
          <w:p w14:paraId="0CD64BF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风量：20500-28500m³/h</w:t>
            </w:r>
          </w:p>
          <w:p w14:paraId="14F94DFB">
            <w:pPr>
              <w:jc w:val="center"/>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功率：7.5KW/380V</w:t>
            </w:r>
          </w:p>
        </w:tc>
        <w:tc>
          <w:tcPr>
            <w:tcW w:w="202" w:type="pct"/>
            <w:vAlign w:val="center"/>
          </w:tcPr>
          <w:p w14:paraId="0EA762B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A64431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721B33A">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72745" cy="382270"/>
                  <wp:effectExtent l="0" t="0" r="8255" b="17780"/>
                  <wp:docPr id="29" name="图片 205"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5" descr="风柜"/>
                          <pic:cNvPicPr>
                            <a:picLocks noChangeAspect="1"/>
                          </pic:cNvPicPr>
                        </pic:nvPicPr>
                        <pic:blipFill>
                          <a:blip r:embed="rId44"/>
                          <a:stretch>
                            <a:fillRect/>
                          </a:stretch>
                        </pic:blipFill>
                        <pic:spPr>
                          <a:xfrm>
                            <a:off x="0" y="0"/>
                            <a:ext cx="372745" cy="382270"/>
                          </a:xfrm>
                          <a:prstGeom prst="rect">
                            <a:avLst/>
                          </a:prstGeom>
                          <a:noFill/>
                          <a:ln>
                            <a:noFill/>
                          </a:ln>
                        </pic:spPr>
                      </pic:pic>
                    </a:graphicData>
                  </a:graphic>
                </wp:inline>
              </w:drawing>
            </w:r>
          </w:p>
        </w:tc>
      </w:tr>
      <w:tr w14:paraId="496A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84451F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61</w:t>
            </w:r>
          </w:p>
        </w:tc>
        <w:tc>
          <w:tcPr>
            <w:tcW w:w="535" w:type="pct"/>
            <w:vAlign w:val="center"/>
          </w:tcPr>
          <w:p w14:paraId="757162B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链板式输送带</w:t>
            </w:r>
          </w:p>
        </w:tc>
        <w:tc>
          <w:tcPr>
            <w:tcW w:w="628" w:type="pct"/>
            <w:vAlign w:val="center"/>
          </w:tcPr>
          <w:p w14:paraId="4D603056">
            <w:pPr>
              <w:jc w:val="center"/>
              <w:rPr>
                <w:rFonts w:hint="eastAsia" w:ascii="宋体" w:hAnsi="宋体" w:eastAsia="宋体" w:cs="宋体"/>
                <w:sz w:val="22"/>
                <w:szCs w:val="22"/>
                <w:vertAlign w:val="baseline"/>
              </w:rPr>
            </w:pPr>
          </w:p>
        </w:tc>
        <w:tc>
          <w:tcPr>
            <w:tcW w:w="2109" w:type="pct"/>
            <w:vAlign w:val="center"/>
          </w:tcPr>
          <w:p w14:paraId="7AA8E9C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适合各种类型餐具使用，操作方便。</w:t>
            </w:r>
          </w:p>
          <w:p w14:paraId="154BCDC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采用优质不锈钢材质、耐腐蚀、强度高、韧性好。</w:t>
            </w:r>
          </w:p>
          <w:p w14:paraId="3E1CA67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配置柔性启动和停止设计，采用变频调速。</w:t>
            </w:r>
          </w:p>
          <w:p w14:paraId="6A5A7CB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主动轴和被动轴为不锈钢材质，方便拆卸。</w:t>
            </w:r>
          </w:p>
          <w:p w14:paraId="10FC8AF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配置链板自动清洗功能，在传送中可保持链板卫生。</w:t>
            </w:r>
          </w:p>
          <w:p w14:paraId="6F431FA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内置抽屉，易于清洗。</w:t>
            </w:r>
          </w:p>
          <w:p w14:paraId="1F8E322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可根据客户要求定做长度、高度。</w:t>
            </w:r>
          </w:p>
          <w:p w14:paraId="177ED30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可选配勺筷回收柜、隔音罩、预洗水槽等满足不同用户需求。</w:t>
            </w:r>
          </w:p>
          <w:p w14:paraId="33007176">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运行速度：~20m/min</w:t>
            </w:r>
          </w:p>
        </w:tc>
        <w:tc>
          <w:tcPr>
            <w:tcW w:w="202" w:type="pct"/>
            <w:vAlign w:val="center"/>
          </w:tcPr>
          <w:p w14:paraId="660A490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7838F38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09CC049">
            <w:pPr>
              <w:jc w:val="center"/>
              <w:rPr>
                <w:rFonts w:hint="eastAsia" w:ascii="宋体" w:hAnsi="宋体" w:eastAsia="宋体" w:cs="宋体"/>
                <w:sz w:val="22"/>
                <w:szCs w:val="22"/>
                <w:vertAlign w:val="baseline"/>
              </w:rPr>
            </w:pPr>
            <w:r>
              <w:rPr>
                <w:rFonts w:hint="eastAsia" w:ascii="黑体" w:hAnsi="黑体" w:eastAsia="黑体" w:cs="黑体"/>
                <w:b w:val="0"/>
                <w:bCs w:val="0"/>
                <w:color w:val="auto"/>
                <w:kern w:val="2"/>
                <w:sz w:val="22"/>
                <w:szCs w:val="22"/>
                <w:highlight w:val="none"/>
                <w:lang w:val="en-US" w:eastAsia="zh-CN" w:bidi="ar-SA"/>
              </w:rPr>
              <w:drawing>
                <wp:inline distT="0" distB="0" distL="114300" distR="114300">
                  <wp:extent cx="435610" cy="835025"/>
                  <wp:effectExtent l="0" t="0" r="2540" b="3175"/>
                  <wp:docPr id="75" name="图片 176" descr="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76" descr="链片"/>
                          <pic:cNvPicPr>
                            <a:picLocks noChangeAspect="1"/>
                          </pic:cNvPicPr>
                        </pic:nvPicPr>
                        <pic:blipFill>
                          <a:blip r:embed="rId45"/>
                          <a:stretch>
                            <a:fillRect/>
                          </a:stretch>
                        </pic:blipFill>
                        <pic:spPr>
                          <a:xfrm>
                            <a:off x="0" y="0"/>
                            <a:ext cx="435610" cy="835025"/>
                          </a:xfrm>
                          <a:prstGeom prst="rect">
                            <a:avLst/>
                          </a:prstGeom>
                          <a:noFill/>
                          <a:ln>
                            <a:noFill/>
                          </a:ln>
                        </pic:spPr>
                      </pic:pic>
                    </a:graphicData>
                  </a:graphic>
                </wp:inline>
              </w:drawing>
            </w:r>
          </w:p>
        </w:tc>
      </w:tr>
      <w:tr w14:paraId="23D5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B8E1E2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62</w:t>
            </w:r>
          </w:p>
        </w:tc>
        <w:tc>
          <w:tcPr>
            <w:tcW w:w="535" w:type="pct"/>
            <w:vAlign w:val="center"/>
          </w:tcPr>
          <w:p w14:paraId="7520EFF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六门不锈钢更衣柜</w:t>
            </w:r>
          </w:p>
        </w:tc>
        <w:tc>
          <w:tcPr>
            <w:tcW w:w="628" w:type="pct"/>
            <w:vAlign w:val="center"/>
          </w:tcPr>
          <w:p w14:paraId="2CED176F">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900×400×1800mm(±5%)</w:t>
            </w:r>
          </w:p>
        </w:tc>
        <w:tc>
          <w:tcPr>
            <w:tcW w:w="2109" w:type="pct"/>
            <w:vAlign w:val="center"/>
          </w:tcPr>
          <w:p w14:paraId="4136B0C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采用SUS304-2B优质发纹贴塑不锈钢板制作，门面δ≥0.9mm；侧板δ≥0.9mm ；顶板、层板、底板δ≥0.9mm。六开门设计，独立带锁，配不锈钢加强筋。</w:t>
            </w:r>
          </w:p>
        </w:tc>
        <w:tc>
          <w:tcPr>
            <w:tcW w:w="202" w:type="pct"/>
            <w:vAlign w:val="center"/>
          </w:tcPr>
          <w:p w14:paraId="37D1ED6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B2F667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7E760FD2">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bidi="ar"/>
              </w:rPr>
              <w:drawing>
                <wp:inline distT="0" distB="0" distL="114300" distR="114300">
                  <wp:extent cx="453390" cy="812800"/>
                  <wp:effectExtent l="0" t="0" r="3810" b="6350"/>
                  <wp:docPr id="3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1"/>
                          <pic:cNvPicPr>
                            <a:picLocks noChangeAspect="1"/>
                          </pic:cNvPicPr>
                        </pic:nvPicPr>
                        <pic:blipFill>
                          <a:blip r:embed="rId46"/>
                          <a:stretch>
                            <a:fillRect/>
                          </a:stretch>
                        </pic:blipFill>
                        <pic:spPr>
                          <a:xfrm>
                            <a:off x="0" y="0"/>
                            <a:ext cx="453390" cy="812800"/>
                          </a:xfrm>
                          <a:prstGeom prst="rect">
                            <a:avLst/>
                          </a:prstGeom>
                          <a:noFill/>
                          <a:ln>
                            <a:noFill/>
                          </a:ln>
                        </pic:spPr>
                      </pic:pic>
                    </a:graphicData>
                  </a:graphic>
                </wp:inline>
              </w:drawing>
            </w:r>
          </w:p>
        </w:tc>
      </w:tr>
      <w:tr w14:paraId="2F88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2AB2AC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63</w:t>
            </w:r>
          </w:p>
        </w:tc>
        <w:tc>
          <w:tcPr>
            <w:tcW w:w="535" w:type="pct"/>
            <w:vAlign w:val="center"/>
          </w:tcPr>
          <w:p w14:paraId="06A1385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六门智能留样冰箱</w:t>
            </w:r>
          </w:p>
        </w:tc>
        <w:tc>
          <w:tcPr>
            <w:tcW w:w="628" w:type="pct"/>
            <w:vAlign w:val="center"/>
          </w:tcPr>
          <w:p w14:paraId="1C34FAB1">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786×690×2005mm(±5%)</w:t>
            </w:r>
          </w:p>
        </w:tc>
        <w:tc>
          <w:tcPr>
            <w:tcW w:w="2109" w:type="pct"/>
            <w:shd w:val="clear" w:color="auto" w:fill="auto"/>
            <w:vAlign w:val="center"/>
          </w:tcPr>
          <w:p w14:paraId="5B104F2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1、人脸识别系统</w:t>
            </w:r>
          </w:p>
          <w:p w14:paraId="7C16BF6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2、电子称重 </w:t>
            </w:r>
          </w:p>
          <w:p w14:paraId="78DAC5E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3、拍照保存</w:t>
            </w:r>
          </w:p>
          <w:p w14:paraId="65F02D3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4、打印条码</w:t>
            </w:r>
          </w:p>
          <w:p w14:paraId="02C6B15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5、48小时内除管理员紧急开门外无法打开</w:t>
            </w:r>
          </w:p>
          <w:p w14:paraId="3C190B3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6、设计有6柜门，保证了餐餐有单独柜门</w:t>
            </w:r>
          </w:p>
          <w:p w14:paraId="50F8E62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留样，保证可留样可溯源。</w:t>
            </w:r>
          </w:p>
          <w:p w14:paraId="68F1CFE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7、具有后台端，可无线传输文件，实现实时监管。</w:t>
            </w:r>
          </w:p>
          <w:p w14:paraId="68E1C50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操作流程：</w:t>
            </w:r>
          </w:p>
          <w:p w14:paraId="27B3B12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（1）录入管理员人脸（管理员可进行紧急开门）再录入留样人员人脸（留样员只可进行留样操作，不能紧急开门）</w:t>
            </w:r>
          </w:p>
          <w:p w14:paraId="0565C08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（2）录入菜品菜单</w:t>
            </w:r>
          </w:p>
          <w:p w14:paraId="75FB6B7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（3）到留样时间进行留样（先进行人脸识别，相对应的留样门弹开）</w:t>
            </w:r>
          </w:p>
          <w:p w14:paraId="2A9D1B7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（4）点击对应菜品名单，放入托盘进行秤重拍照</w:t>
            </w:r>
          </w:p>
          <w:p w14:paraId="3BF6FB9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（5）打印条码，点击结束留样，放入菜品并关闭柜门，留样结束 </w:t>
            </w:r>
          </w:p>
          <w:p w14:paraId="4E2C533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制冷方式：直冷，功率≤250W，电压：220V。                                                             </w:t>
            </w:r>
          </w:p>
        </w:tc>
        <w:tc>
          <w:tcPr>
            <w:tcW w:w="202" w:type="pct"/>
            <w:vAlign w:val="center"/>
          </w:tcPr>
          <w:p w14:paraId="02FEB81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C827F9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2A4B7A1">
            <w:pPr>
              <w:jc w:val="center"/>
              <w:rPr>
                <w:rFonts w:hint="eastAsia" w:ascii="宋体" w:hAnsi="宋体" w:eastAsia="宋体" w:cs="宋体"/>
                <w:sz w:val="22"/>
                <w:szCs w:val="22"/>
                <w:vertAlign w:val="baseline"/>
              </w:rPr>
            </w:pPr>
            <w:r>
              <w:rPr>
                <w:b w:val="0"/>
                <w:bCs w:val="0"/>
                <w:sz w:val="22"/>
                <w:szCs w:val="22"/>
                <w:highlight w:val="none"/>
              </w:rPr>
              <w:drawing>
                <wp:inline distT="0" distB="0" distL="114300" distR="114300">
                  <wp:extent cx="482600" cy="1205865"/>
                  <wp:effectExtent l="0" t="0" r="12700" b="13335"/>
                  <wp:docPr id="54"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5"/>
                          <pic:cNvPicPr>
                            <a:picLocks noChangeAspect="1"/>
                          </pic:cNvPicPr>
                        </pic:nvPicPr>
                        <pic:blipFill>
                          <a:blip r:embed="rId47"/>
                          <a:stretch>
                            <a:fillRect/>
                          </a:stretch>
                        </pic:blipFill>
                        <pic:spPr>
                          <a:xfrm>
                            <a:off x="0" y="0"/>
                            <a:ext cx="482600" cy="1205865"/>
                          </a:xfrm>
                          <a:prstGeom prst="rect">
                            <a:avLst/>
                          </a:prstGeom>
                          <a:noFill/>
                          <a:ln>
                            <a:noFill/>
                          </a:ln>
                        </pic:spPr>
                      </pic:pic>
                    </a:graphicData>
                  </a:graphic>
                </wp:inline>
              </w:drawing>
            </w:r>
          </w:p>
        </w:tc>
      </w:tr>
      <w:tr w14:paraId="2FC1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DF9B16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64</w:t>
            </w:r>
          </w:p>
        </w:tc>
        <w:tc>
          <w:tcPr>
            <w:tcW w:w="535" w:type="pct"/>
            <w:vAlign w:val="center"/>
          </w:tcPr>
          <w:p w14:paraId="2E046E85">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暖饭保温车</w:t>
            </w:r>
          </w:p>
        </w:tc>
        <w:tc>
          <w:tcPr>
            <w:tcW w:w="628" w:type="pct"/>
            <w:vAlign w:val="center"/>
          </w:tcPr>
          <w:p w14:paraId="0BBAE1D0">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600×600×700mm(±5%)</w:t>
            </w:r>
          </w:p>
        </w:tc>
        <w:tc>
          <w:tcPr>
            <w:tcW w:w="2109" w:type="pct"/>
            <w:vAlign w:val="center"/>
          </w:tcPr>
          <w:p w14:paraId="561D4A8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选用SUS304-2B优质不锈钢板制作，δ≥1.1mm。配圆桶，配承重静音脚轮，其中两只带刹车掣。</w:t>
            </w:r>
          </w:p>
          <w:p w14:paraId="4B68E8A1">
            <w:pPr>
              <w:jc w:val="center"/>
              <w:rPr>
                <w:rFonts w:hint="eastAsia" w:ascii="宋体" w:hAnsi="宋体" w:eastAsia="宋体" w:cs="宋体"/>
                <w:sz w:val="22"/>
                <w:szCs w:val="22"/>
                <w:vertAlign w:val="baseline"/>
              </w:rPr>
            </w:pPr>
          </w:p>
        </w:tc>
        <w:tc>
          <w:tcPr>
            <w:tcW w:w="202" w:type="pct"/>
            <w:vAlign w:val="center"/>
          </w:tcPr>
          <w:p w14:paraId="22CCE8A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B2BE70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3E1C026">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85140" cy="457200"/>
                  <wp:effectExtent l="0" t="0" r="10160" b="0"/>
                  <wp:docPr id="86" name="图片 187" descr="暖汤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87" descr="暖汤车 副本"/>
                          <pic:cNvPicPr>
                            <a:picLocks noChangeAspect="1"/>
                          </pic:cNvPicPr>
                        </pic:nvPicPr>
                        <pic:blipFill>
                          <a:blip r:embed="rId48">
                            <a:lum contrast="6000"/>
                          </a:blip>
                          <a:stretch>
                            <a:fillRect/>
                          </a:stretch>
                        </pic:blipFill>
                        <pic:spPr>
                          <a:xfrm>
                            <a:off x="0" y="0"/>
                            <a:ext cx="485140" cy="457200"/>
                          </a:xfrm>
                          <a:prstGeom prst="rect">
                            <a:avLst/>
                          </a:prstGeom>
                          <a:noFill/>
                          <a:ln>
                            <a:noFill/>
                          </a:ln>
                        </pic:spPr>
                      </pic:pic>
                    </a:graphicData>
                  </a:graphic>
                </wp:inline>
              </w:drawing>
            </w:r>
          </w:p>
        </w:tc>
      </w:tr>
      <w:tr w14:paraId="2F66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shd w:val="clear" w:color="auto" w:fill="auto"/>
            <w:vAlign w:val="center"/>
          </w:tcPr>
          <w:p w14:paraId="55607AFB">
            <w:pPr>
              <w:jc w:val="center"/>
              <w:rPr>
                <w:rFonts w:hint="default"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6</w:t>
            </w:r>
            <w:r>
              <w:rPr>
                <w:rFonts w:hint="eastAsia" w:ascii="宋体" w:hAnsi="宋体" w:cs="宋体"/>
                <w:sz w:val="22"/>
                <w:szCs w:val="22"/>
                <w:vertAlign w:val="baseline"/>
                <w:lang w:val="en-US" w:eastAsia="zh-CN"/>
              </w:rPr>
              <w:t>5</w:t>
            </w:r>
          </w:p>
        </w:tc>
        <w:tc>
          <w:tcPr>
            <w:tcW w:w="535" w:type="pct"/>
            <w:shd w:val="clear" w:color="auto" w:fill="auto"/>
            <w:vAlign w:val="center"/>
          </w:tcPr>
          <w:p w14:paraId="7643E990">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暖</w:t>
            </w:r>
            <w:r>
              <w:rPr>
                <w:rFonts w:hint="eastAsia" w:ascii="宋体" w:hAnsi="宋体" w:cs="宋体"/>
                <w:sz w:val="22"/>
                <w:szCs w:val="22"/>
                <w:vertAlign w:val="baseline"/>
                <w:lang w:val="en-US" w:eastAsia="zh-CN"/>
              </w:rPr>
              <w:t>汤</w:t>
            </w:r>
            <w:r>
              <w:rPr>
                <w:rFonts w:hint="eastAsia" w:ascii="宋体" w:hAnsi="宋体" w:eastAsia="宋体" w:cs="宋体"/>
                <w:sz w:val="22"/>
                <w:szCs w:val="22"/>
                <w:vertAlign w:val="baseline"/>
              </w:rPr>
              <w:t>保温车</w:t>
            </w:r>
          </w:p>
        </w:tc>
        <w:tc>
          <w:tcPr>
            <w:tcW w:w="628" w:type="pct"/>
            <w:shd w:val="clear" w:color="auto" w:fill="auto"/>
            <w:vAlign w:val="center"/>
          </w:tcPr>
          <w:p w14:paraId="0C51795D">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600×600×700mm(±5%)</w:t>
            </w:r>
          </w:p>
        </w:tc>
        <w:tc>
          <w:tcPr>
            <w:tcW w:w="2109" w:type="pct"/>
            <w:shd w:val="clear" w:color="auto" w:fill="auto"/>
            <w:vAlign w:val="center"/>
          </w:tcPr>
          <w:p w14:paraId="4375411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选用SUS304-2B优质不锈钢板制作，δ≥1.1mm。配圆桶，配承重静音脚轮，其中两只带刹车掣。</w:t>
            </w:r>
          </w:p>
        </w:tc>
        <w:tc>
          <w:tcPr>
            <w:tcW w:w="202" w:type="pct"/>
            <w:shd w:val="clear" w:color="auto" w:fill="auto"/>
            <w:vAlign w:val="center"/>
          </w:tcPr>
          <w:p w14:paraId="219CF3AD">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台</w:t>
            </w:r>
          </w:p>
        </w:tc>
        <w:tc>
          <w:tcPr>
            <w:tcW w:w="254" w:type="pct"/>
            <w:shd w:val="clear" w:color="auto" w:fill="auto"/>
            <w:vAlign w:val="center"/>
          </w:tcPr>
          <w:p w14:paraId="25E8308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919" w:type="pct"/>
            <w:shd w:val="clear" w:color="auto" w:fill="auto"/>
            <w:vAlign w:val="center"/>
          </w:tcPr>
          <w:p w14:paraId="7F86031E">
            <w:pPr>
              <w:jc w:val="center"/>
              <w:rPr>
                <w:rFonts w:hint="eastAsia" w:ascii="宋体" w:hAnsi="宋体" w:eastAsia="宋体" w:cs="宋体"/>
                <w:kern w:val="2"/>
                <w:sz w:val="22"/>
                <w:szCs w:val="22"/>
                <w:vertAlign w:val="baseline"/>
                <w:lang w:val="en-US" w:eastAsia="zh-CN" w:bidi="ar-SA"/>
              </w:rPr>
            </w:pPr>
            <w:r>
              <w:rPr>
                <w:rFonts w:hint="eastAsia" w:ascii="黑体" w:hAnsi="黑体" w:eastAsia="黑体" w:cs="黑体"/>
                <w:b w:val="0"/>
                <w:bCs w:val="0"/>
                <w:color w:val="auto"/>
                <w:sz w:val="22"/>
                <w:szCs w:val="22"/>
                <w:highlight w:val="none"/>
              </w:rPr>
              <w:drawing>
                <wp:inline distT="0" distB="0" distL="114300" distR="114300">
                  <wp:extent cx="485140" cy="457200"/>
                  <wp:effectExtent l="0" t="0" r="10160" b="0"/>
                  <wp:docPr id="32" name="图片 187" descr="暖汤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7" descr="暖汤车 副本"/>
                          <pic:cNvPicPr>
                            <a:picLocks noChangeAspect="1"/>
                          </pic:cNvPicPr>
                        </pic:nvPicPr>
                        <pic:blipFill>
                          <a:blip r:embed="rId48">
                            <a:lum contrast="6000"/>
                          </a:blip>
                          <a:stretch>
                            <a:fillRect/>
                          </a:stretch>
                        </pic:blipFill>
                        <pic:spPr>
                          <a:xfrm>
                            <a:off x="0" y="0"/>
                            <a:ext cx="485140" cy="457200"/>
                          </a:xfrm>
                          <a:prstGeom prst="rect">
                            <a:avLst/>
                          </a:prstGeom>
                          <a:noFill/>
                          <a:ln>
                            <a:noFill/>
                          </a:ln>
                        </pic:spPr>
                      </pic:pic>
                    </a:graphicData>
                  </a:graphic>
                </wp:inline>
              </w:drawing>
            </w:r>
          </w:p>
        </w:tc>
      </w:tr>
      <w:tr w14:paraId="217A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EDACE2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66</w:t>
            </w:r>
          </w:p>
        </w:tc>
        <w:tc>
          <w:tcPr>
            <w:tcW w:w="535" w:type="pct"/>
            <w:vAlign w:val="center"/>
          </w:tcPr>
          <w:p w14:paraId="610E9C1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全自动长龙洗碗机带烘干</w:t>
            </w:r>
          </w:p>
        </w:tc>
        <w:tc>
          <w:tcPr>
            <w:tcW w:w="628" w:type="pct"/>
            <w:vAlign w:val="center"/>
          </w:tcPr>
          <w:p w14:paraId="6BF2B64C">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6500×1000×2040mm(±5%)</w:t>
            </w:r>
          </w:p>
        </w:tc>
        <w:tc>
          <w:tcPr>
            <w:tcW w:w="2109" w:type="pct"/>
            <w:shd w:val="clear" w:color="auto" w:fill="auto"/>
            <w:vAlign w:val="center"/>
          </w:tcPr>
          <w:p w14:paraId="6D0040A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w:t>
            </w:r>
            <w:r>
              <w:rPr>
                <w:rFonts w:hint="eastAsia" w:ascii="宋体" w:hAnsi="宋体" w:eastAsia="宋体" w:cs="宋体"/>
                <w:b w:val="0"/>
                <w:bCs w:val="0"/>
                <w:color w:val="auto"/>
                <w:kern w:val="2"/>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洗碗机由鼓泡水池、主洗区、双漂洗区、烘干区、出端区等模块组成。</w:t>
            </w:r>
          </w:p>
          <w:p w14:paraId="5BF29BB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2、鼓泡水池尺寸≥3500mm, 主洗区尺寸≥800mm，双漂洗区尺寸≥600mm,烘干区尺寸≥1000mm,出口端尺寸≥600mm；采用机械控制，操作界面直观，清楚快捷。</w:t>
            </w:r>
          </w:p>
          <w:p w14:paraId="46E680B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3、采用工业化自动连续清洗，适用多品种餐具集中洗涤、容量大、效率高、操作简单方便易懂。</w:t>
            </w:r>
          </w:p>
          <w:p w14:paraId="4758016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4、超低的耗水量,大大的节省电力、催干剂、洗涤剂。</w:t>
            </w:r>
          </w:p>
          <w:p w14:paraId="5B95DF3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5、前门双层结构，隔热、隔音、节约能源且操作舒适。</w:t>
            </w:r>
          </w:p>
          <w:p w14:paraId="02D98B0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6、独特的双喷淋系统，高温消毒。</w:t>
            </w:r>
          </w:p>
          <w:p w14:paraId="1875F49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7、自清洗功能，最大程度的保证卫生与清洁。</w:t>
            </w:r>
          </w:p>
          <w:p w14:paraId="33C908A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8、洗涤量大,适用于各种餐具,浸泡池中带鼓泡风机可将碗碟上的垃圾吹松、吹掉。</w:t>
            </w:r>
          </w:p>
          <w:p w14:paraId="7D8E422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9、进端浸泡池有鼓泡清洗功能，可将碟盘上的残渣除掉，浸泡池配置提拉式接渣过滤装置，并且抽屉滤网在机器运行过程中也能够及时取出进行清洁。</w:t>
            </w:r>
          </w:p>
          <w:p w14:paraId="47014B6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10、网带式输送结构，采用斜插式传送带，由不锈钢和食品级网爪组合式网带，操作安放简便，适用范围广。</w:t>
            </w:r>
          </w:p>
          <w:p w14:paraId="6F9D5FE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11、烘干系统由强力离心风机和干烧电热管组成。漂洗后的餐具经过风口由强力吹掉大水珠，然后在经过高温烘干加热对餐具进行消毒杀菌烘干等处理，风机采用大功率2.2KW,烘干率达到90%以上。</w:t>
            </w:r>
          </w:p>
          <w:p w14:paraId="2B257FC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12、传送机构采用施耐德变频器控制速度，实现无极变速。</w:t>
            </w:r>
            <w:r>
              <w:rPr>
                <w:rFonts w:hint="eastAsia" w:ascii="宋体" w:hAnsi="宋体" w:eastAsia="宋体" w:cs="宋体"/>
                <w:color w:val="auto"/>
                <w:sz w:val="22"/>
                <w:szCs w:val="22"/>
                <w:highlight w:val="none"/>
                <w:lang w:val="en-US" w:eastAsia="zh-CN" w:bidi="ar"/>
              </w:rPr>
              <w:t>配备三角阀，进水软管。</w:t>
            </w:r>
          </w:p>
          <w:p w14:paraId="6A0C6C2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14、出口端餐具自动滑出，简便实用。</w:t>
            </w:r>
          </w:p>
          <w:p w14:paraId="432FD38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15、机器入口宽度：750 mm</w:t>
            </w:r>
          </w:p>
          <w:p w14:paraId="019DF5B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16、最大洗涤高度：420 mm          </w:t>
            </w:r>
          </w:p>
          <w:p w14:paraId="48D8E94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17、最大洗涤量：4500-6000碟/小时  </w:t>
            </w:r>
          </w:p>
          <w:p w14:paraId="19E50D1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18、耗水量：400-500L             </w:t>
            </w:r>
          </w:p>
          <w:p w14:paraId="19281E8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19、洗涤温度：55-60℃</w:t>
            </w:r>
          </w:p>
          <w:p w14:paraId="7BF221D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20、漂洗温度：82℃</w:t>
            </w:r>
          </w:p>
          <w:p w14:paraId="353BF0C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21、进水压力：0、15-0.4Mpa        </w:t>
            </w:r>
          </w:p>
          <w:p w14:paraId="2075FB8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22、电源要求：380V/50Hz/3N           </w:t>
            </w:r>
          </w:p>
          <w:p w14:paraId="43EAFE5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23、加热方式：电加热型</w:t>
            </w:r>
          </w:p>
          <w:p w14:paraId="032FD61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24、电加热型功率：80.5kW</w:t>
            </w:r>
          </w:p>
        </w:tc>
        <w:tc>
          <w:tcPr>
            <w:tcW w:w="202" w:type="pct"/>
            <w:vAlign w:val="center"/>
          </w:tcPr>
          <w:p w14:paraId="1361F31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7EC5164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69A4815">
            <w:pPr>
              <w:jc w:val="center"/>
              <w:rPr>
                <w:rFonts w:hint="eastAsia" w:ascii="宋体" w:hAnsi="宋体" w:eastAsia="宋体" w:cs="宋体"/>
                <w:sz w:val="22"/>
                <w:szCs w:val="22"/>
                <w:vertAlign w:val="baseline"/>
              </w:rPr>
            </w:pPr>
            <w:r>
              <w:rPr>
                <w:b w:val="0"/>
                <w:bCs w:val="0"/>
                <w:sz w:val="22"/>
                <w:szCs w:val="22"/>
                <w:highlight w:val="none"/>
              </w:rPr>
              <w:drawing>
                <wp:inline distT="0" distB="0" distL="114300" distR="114300">
                  <wp:extent cx="418465" cy="718185"/>
                  <wp:effectExtent l="0" t="0" r="635" b="5715"/>
                  <wp:docPr id="77"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78"/>
                          <pic:cNvPicPr>
                            <a:picLocks noChangeAspect="1"/>
                          </pic:cNvPicPr>
                        </pic:nvPicPr>
                        <pic:blipFill>
                          <a:blip r:embed="rId49"/>
                          <a:stretch>
                            <a:fillRect/>
                          </a:stretch>
                        </pic:blipFill>
                        <pic:spPr>
                          <a:xfrm>
                            <a:off x="0" y="0"/>
                            <a:ext cx="418465" cy="718185"/>
                          </a:xfrm>
                          <a:prstGeom prst="rect">
                            <a:avLst/>
                          </a:prstGeom>
                          <a:noFill/>
                          <a:ln>
                            <a:noFill/>
                          </a:ln>
                        </pic:spPr>
                      </pic:pic>
                    </a:graphicData>
                  </a:graphic>
                </wp:inline>
              </w:drawing>
            </w:r>
          </w:p>
        </w:tc>
      </w:tr>
      <w:tr w14:paraId="0057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BBE6E1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67</w:t>
            </w:r>
          </w:p>
        </w:tc>
        <w:tc>
          <w:tcPr>
            <w:tcW w:w="535" w:type="pct"/>
            <w:vAlign w:val="center"/>
          </w:tcPr>
          <w:p w14:paraId="64E36B0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全自动电开水器</w:t>
            </w:r>
          </w:p>
        </w:tc>
        <w:tc>
          <w:tcPr>
            <w:tcW w:w="628" w:type="pct"/>
            <w:vAlign w:val="center"/>
          </w:tcPr>
          <w:p w14:paraId="0D47BD1C">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(商用)</w:t>
            </w:r>
          </w:p>
        </w:tc>
        <w:tc>
          <w:tcPr>
            <w:tcW w:w="2109" w:type="pct"/>
            <w:vAlign w:val="center"/>
          </w:tcPr>
          <w:p w14:paraId="4E7845F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整机用304不锈钢制造，沸腾式结构，一次煮沸，绝无生水混合，水不开出不来，全自动控制，有断电保护装置，配三角阀，配进水软管。</w:t>
            </w:r>
          </w:p>
          <w:p w14:paraId="5A8F75F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功率：12KW</w:t>
            </w:r>
          </w:p>
          <w:p w14:paraId="19CA7FBC">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电压：380V</w:t>
            </w:r>
          </w:p>
        </w:tc>
        <w:tc>
          <w:tcPr>
            <w:tcW w:w="202" w:type="pct"/>
            <w:vAlign w:val="center"/>
          </w:tcPr>
          <w:p w14:paraId="39526A14">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2BF3104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3C5DC06">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324485" cy="685165"/>
                  <wp:effectExtent l="0" t="0" r="18415" b="635"/>
                  <wp:docPr id="33" name="图片 126"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6" descr="开水器连座架"/>
                          <pic:cNvPicPr>
                            <a:picLocks noChangeAspect="1"/>
                          </pic:cNvPicPr>
                        </pic:nvPicPr>
                        <pic:blipFill>
                          <a:blip r:embed="rId50"/>
                          <a:stretch>
                            <a:fillRect/>
                          </a:stretch>
                        </pic:blipFill>
                        <pic:spPr>
                          <a:xfrm>
                            <a:off x="0" y="0"/>
                            <a:ext cx="324485" cy="685165"/>
                          </a:xfrm>
                          <a:prstGeom prst="rect">
                            <a:avLst/>
                          </a:prstGeom>
                          <a:noFill/>
                          <a:ln>
                            <a:noFill/>
                          </a:ln>
                        </pic:spPr>
                      </pic:pic>
                    </a:graphicData>
                  </a:graphic>
                </wp:inline>
              </w:drawing>
            </w:r>
          </w:p>
        </w:tc>
      </w:tr>
      <w:tr w14:paraId="3BA7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1FCD17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68</w:t>
            </w:r>
          </w:p>
        </w:tc>
        <w:tc>
          <w:tcPr>
            <w:tcW w:w="535" w:type="pct"/>
            <w:vAlign w:val="center"/>
          </w:tcPr>
          <w:p w14:paraId="18381B6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燃气蒸饭车</w:t>
            </w:r>
          </w:p>
        </w:tc>
        <w:tc>
          <w:tcPr>
            <w:tcW w:w="628" w:type="pct"/>
            <w:vAlign w:val="center"/>
          </w:tcPr>
          <w:p w14:paraId="2C07C82D">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1430×660×1820mm(±5%)</w:t>
            </w:r>
          </w:p>
        </w:tc>
        <w:tc>
          <w:tcPr>
            <w:tcW w:w="2109" w:type="pct"/>
            <w:vAlign w:val="center"/>
          </w:tcPr>
          <w:p w14:paraId="7457153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整机加厚不锈钢制造而成,结构强度高蒸柜水箱底板、换热管采用优质材料制成，抗腐蚀性强，经久耐用燃烧室采用竖式设计便于清理维护，热效率高，移动式一体燃烧器，可简单抽出,电子打火系统稳定可靠、自吸式烟道设计，吸力强，避免回火、爆燃现象的发生，耐高温多气囊硅胶门封，气密性强，采用一体铸造成型脚轮，承重能力高。配备304蒸饭盘，三角阀，进水软管。</w:t>
            </w:r>
          </w:p>
        </w:tc>
        <w:tc>
          <w:tcPr>
            <w:tcW w:w="202" w:type="pct"/>
            <w:vAlign w:val="center"/>
          </w:tcPr>
          <w:p w14:paraId="53F5441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9761E1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112AA42C">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560705" cy="737235"/>
                  <wp:effectExtent l="0" t="0" r="10795" b="5715"/>
                  <wp:docPr id="41"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2"/>
                          <pic:cNvPicPr>
                            <a:picLocks noChangeAspect="1"/>
                          </pic:cNvPicPr>
                        </pic:nvPicPr>
                        <pic:blipFill>
                          <a:blip r:embed="rId51"/>
                          <a:stretch>
                            <a:fillRect/>
                          </a:stretch>
                        </pic:blipFill>
                        <pic:spPr>
                          <a:xfrm>
                            <a:off x="0" y="0"/>
                            <a:ext cx="560705" cy="737235"/>
                          </a:xfrm>
                          <a:prstGeom prst="rect">
                            <a:avLst/>
                          </a:prstGeom>
                          <a:noFill/>
                          <a:ln>
                            <a:noFill/>
                          </a:ln>
                        </pic:spPr>
                      </pic:pic>
                    </a:graphicData>
                  </a:graphic>
                </wp:inline>
              </w:drawing>
            </w:r>
          </w:p>
        </w:tc>
      </w:tr>
      <w:tr w14:paraId="158D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36FFB8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69</w:t>
            </w:r>
          </w:p>
        </w:tc>
        <w:tc>
          <w:tcPr>
            <w:tcW w:w="535" w:type="pct"/>
            <w:shd w:val="clear" w:color="auto" w:fill="auto"/>
            <w:vAlign w:val="center"/>
          </w:tcPr>
          <w:p w14:paraId="38480322">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双层平板工作台</w:t>
            </w:r>
            <w:r>
              <w:rPr>
                <w:rFonts w:hint="eastAsia" w:ascii="宋体" w:hAnsi="宋体" w:eastAsia="宋体" w:cs="宋体"/>
                <w:sz w:val="22"/>
                <w:szCs w:val="22"/>
                <w:vertAlign w:val="baseline"/>
                <w:lang w:val="en-US" w:eastAsia="zh-CN"/>
              </w:rPr>
              <w:t>2</w:t>
            </w:r>
          </w:p>
        </w:tc>
        <w:tc>
          <w:tcPr>
            <w:tcW w:w="628" w:type="pct"/>
            <w:shd w:val="clear" w:color="auto" w:fill="auto"/>
            <w:vAlign w:val="center"/>
          </w:tcPr>
          <w:p w14:paraId="4756A1F1">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1500×750×(800+150)mm(±5%)</w:t>
            </w:r>
          </w:p>
        </w:tc>
        <w:tc>
          <w:tcPr>
            <w:tcW w:w="2109" w:type="pct"/>
            <w:vAlign w:val="center"/>
          </w:tcPr>
          <w:p w14:paraId="7D8D7E5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采用SUS304-2B优质发纹贴塑不锈钢板制作，台面δ≥1.1mm（下衬12mm高密度板减噪）。下层板采用δ≥0.9mm不锈钢板复边成型。加强筋δ≥0.9mm（配有可调子弹脚）。</w:t>
            </w:r>
          </w:p>
        </w:tc>
        <w:tc>
          <w:tcPr>
            <w:tcW w:w="202" w:type="pct"/>
            <w:vAlign w:val="center"/>
          </w:tcPr>
          <w:p w14:paraId="2A4277A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DB945E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6BF5E48">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535305" cy="365125"/>
                  <wp:effectExtent l="0" t="0" r="17145" b="15875"/>
                  <wp:docPr id="34" name="图片 170"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0" descr="双层工作台"/>
                          <pic:cNvPicPr>
                            <a:picLocks noChangeAspect="1"/>
                          </pic:cNvPicPr>
                        </pic:nvPicPr>
                        <pic:blipFill>
                          <a:blip r:embed="rId52"/>
                          <a:stretch>
                            <a:fillRect/>
                          </a:stretch>
                        </pic:blipFill>
                        <pic:spPr>
                          <a:xfrm>
                            <a:off x="0" y="0"/>
                            <a:ext cx="535305" cy="365125"/>
                          </a:xfrm>
                          <a:prstGeom prst="rect">
                            <a:avLst/>
                          </a:prstGeom>
                          <a:noFill/>
                          <a:ln>
                            <a:noFill/>
                          </a:ln>
                        </pic:spPr>
                      </pic:pic>
                    </a:graphicData>
                  </a:graphic>
                </wp:inline>
              </w:drawing>
            </w:r>
          </w:p>
        </w:tc>
      </w:tr>
      <w:tr w14:paraId="7DFD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4FB54E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70</w:t>
            </w:r>
          </w:p>
        </w:tc>
        <w:tc>
          <w:tcPr>
            <w:tcW w:w="535" w:type="pct"/>
            <w:shd w:val="clear" w:color="auto" w:fill="auto"/>
            <w:vAlign w:val="center"/>
          </w:tcPr>
          <w:p w14:paraId="1A892772">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双层平板工作台</w:t>
            </w:r>
            <w:r>
              <w:rPr>
                <w:rFonts w:hint="eastAsia" w:ascii="宋体" w:hAnsi="宋体" w:eastAsia="宋体" w:cs="宋体"/>
                <w:sz w:val="22"/>
                <w:szCs w:val="22"/>
                <w:vertAlign w:val="baseline"/>
                <w:lang w:val="en-US" w:eastAsia="zh-CN"/>
              </w:rPr>
              <w:t>3</w:t>
            </w:r>
          </w:p>
        </w:tc>
        <w:tc>
          <w:tcPr>
            <w:tcW w:w="628" w:type="pct"/>
            <w:shd w:val="clear" w:color="auto" w:fill="auto"/>
            <w:vAlign w:val="center"/>
          </w:tcPr>
          <w:p w14:paraId="1C790B70">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1800×800×800mm(±5%)</w:t>
            </w:r>
          </w:p>
        </w:tc>
        <w:tc>
          <w:tcPr>
            <w:tcW w:w="2109" w:type="pct"/>
            <w:vAlign w:val="center"/>
          </w:tcPr>
          <w:p w14:paraId="23834D2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采用SUS304-2B优质发纹贴塑不锈钢板制作，台面δ≥1.1mm（下衬12mm高密度板减噪）。下层板采用δ≥0.9mm不锈钢板复边成型。加强筋δ≥0.9mm（配有可调子弹脚）。</w:t>
            </w:r>
          </w:p>
        </w:tc>
        <w:tc>
          <w:tcPr>
            <w:tcW w:w="202" w:type="pct"/>
            <w:vAlign w:val="center"/>
          </w:tcPr>
          <w:p w14:paraId="0CDE9F2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5564346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919" w:type="pct"/>
            <w:vAlign w:val="center"/>
          </w:tcPr>
          <w:p w14:paraId="0B3AA4D0">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535305" cy="365125"/>
                  <wp:effectExtent l="0" t="0" r="17145" b="15875"/>
                  <wp:docPr id="35" name="图片 170"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0" descr="双层工作台"/>
                          <pic:cNvPicPr>
                            <a:picLocks noChangeAspect="1"/>
                          </pic:cNvPicPr>
                        </pic:nvPicPr>
                        <pic:blipFill>
                          <a:blip r:embed="rId52"/>
                          <a:stretch>
                            <a:fillRect/>
                          </a:stretch>
                        </pic:blipFill>
                        <pic:spPr>
                          <a:xfrm>
                            <a:off x="0" y="0"/>
                            <a:ext cx="535305" cy="365125"/>
                          </a:xfrm>
                          <a:prstGeom prst="rect">
                            <a:avLst/>
                          </a:prstGeom>
                          <a:noFill/>
                          <a:ln>
                            <a:noFill/>
                          </a:ln>
                        </pic:spPr>
                      </pic:pic>
                    </a:graphicData>
                  </a:graphic>
                </wp:inline>
              </w:drawing>
            </w:r>
          </w:p>
        </w:tc>
      </w:tr>
      <w:tr w14:paraId="284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13679CD">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71</w:t>
            </w:r>
          </w:p>
        </w:tc>
        <w:tc>
          <w:tcPr>
            <w:tcW w:w="535" w:type="pct"/>
            <w:shd w:val="clear" w:color="auto" w:fill="auto"/>
            <w:vAlign w:val="center"/>
          </w:tcPr>
          <w:p w14:paraId="657B6E5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双孔泔水台车</w:t>
            </w:r>
          </w:p>
        </w:tc>
        <w:tc>
          <w:tcPr>
            <w:tcW w:w="628" w:type="pct"/>
            <w:shd w:val="clear" w:color="auto" w:fill="auto"/>
            <w:vAlign w:val="center"/>
          </w:tcPr>
          <w:p w14:paraId="40928034">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1500×700×800mm(±5%)</w:t>
            </w:r>
          </w:p>
        </w:tc>
        <w:tc>
          <w:tcPr>
            <w:tcW w:w="2109" w:type="pct"/>
            <w:vAlign w:val="center"/>
          </w:tcPr>
          <w:p w14:paraId="0A7734F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采用SUS304-2B优质不锈钢板制作，台面δ≥1.1mm，侧门、后板、低板δ≥1.1mm，配置不锈钢Φ38×38×δ≥0.9mm；方管及可调重力子弹脚，（车、桶、台配套）。</w:t>
            </w:r>
          </w:p>
        </w:tc>
        <w:tc>
          <w:tcPr>
            <w:tcW w:w="202" w:type="pct"/>
            <w:vAlign w:val="center"/>
          </w:tcPr>
          <w:p w14:paraId="0DF7E7F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300C426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719D6D36">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535940" cy="386715"/>
                  <wp:effectExtent l="0" t="0" r="16510" b="13335"/>
                  <wp:docPr id="85"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86"/>
                          <pic:cNvPicPr>
                            <a:picLocks noChangeAspect="1"/>
                          </pic:cNvPicPr>
                        </pic:nvPicPr>
                        <pic:blipFill>
                          <a:blip r:embed="rId53"/>
                          <a:stretch>
                            <a:fillRect/>
                          </a:stretch>
                        </pic:blipFill>
                        <pic:spPr>
                          <a:xfrm>
                            <a:off x="0" y="0"/>
                            <a:ext cx="535940" cy="386715"/>
                          </a:xfrm>
                          <a:prstGeom prst="rect">
                            <a:avLst/>
                          </a:prstGeom>
                          <a:noFill/>
                          <a:ln>
                            <a:noFill/>
                          </a:ln>
                        </pic:spPr>
                      </pic:pic>
                    </a:graphicData>
                  </a:graphic>
                </wp:inline>
              </w:drawing>
            </w:r>
          </w:p>
        </w:tc>
      </w:tr>
      <w:tr w14:paraId="21E8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4077CC5">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72</w:t>
            </w:r>
          </w:p>
        </w:tc>
        <w:tc>
          <w:tcPr>
            <w:tcW w:w="535" w:type="pct"/>
            <w:shd w:val="clear" w:color="auto" w:fill="auto"/>
            <w:vAlign w:val="center"/>
          </w:tcPr>
          <w:p w14:paraId="168AE044">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双门刀具消毒柜</w:t>
            </w:r>
          </w:p>
        </w:tc>
        <w:tc>
          <w:tcPr>
            <w:tcW w:w="628" w:type="pct"/>
            <w:shd w:val="clear" w:color="auto" w:fill="auto"/>
            <w:vAlign w:val="center"/>
          </w:tcPr>
          <w:p w14:paraId="7D0BA6B6">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1200×700×1200mm(±5%)</w:t>
            </w:r>
          </w:p>
        </w:tc>
        <w:tc>
          <w:tcPr>
            <w:tcW w:w="2109" w:type="pct"/>
            <w:vAlign w:val="center"/>
          </w:tcPr>
          <w:p w14:paraId="4A52B06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zh-CN" w:eastAsia="zh-CN" w:bidi="ar"/>
              </w:rPr>
              <w:t>采用优质304#不锈钢板制作，</w:t>
            </w:r>
            <w:r>
              <w:rPr>
                <w:rFonts w:hint="eastAsia" w:ascii="宋体" w:hAnsi="宋体" w:eastAsia="宋体" w:cs="宋体"/>
                <w:b w:val="0"/>
                <w:bCs w:val="0"/>
                <w:color w:val="auto"/>
                <w:kern w:val="2"/>
                <w:sz w:val="22"/>
                <w:szCs w:val="22"/>
                <w:highlight w:val="none"/>
                <w:lang w:val="en-US" w:eastAsia="zh-CN" w:bidi="ar"/>
              </w:rPr>
              <w:t>δ≥1.1mm，</w:t>
            </w:r>
            <w:r>
              <w:rPr>
                <w:rFonts w:hint="eastAsia" w:ascii="宋体" w:hAnsi="宋体" w:eastAsia="宋体" w:cs="宋体"/>
                <w:b w:val="0"/>
                <w:bCs w:val="0"/>
                <w:color w:val="auto"/>
                <w:kern w:val="2"/>
                <w:sz w:val="22"/>
                <w:szCs w:val="22"/>
                <w:highlight w:val="none"/>
                <w:lang w:val="zh-CN" w:eastAsia="zh-CN" w:bidi="ar"/>
              </w:rPr>
              <w:t>玻璃开门，余板</w:t>
            </w:r>
            <w:r>
              <w:rPr>
                <w:rFonts w:hint="eastAsia" w:ascii="宋体" w:hAnsi="宋体" w:eastAsia="宋体" w:cs="宋体"/>
                <w:b w:val="0"/>
                <w:bCs w:val="0"/>
                <w:color w:val="auto"/>
                <w:kern w:val="2"/>
                <w:sz w:val="22"/>
                <w:szCs w:val="22"/>
                <w:highlight w:val="none"/>
                <w:lang w:val="en-US" w:eastAsia="zh-CN" w:bidi="ar"/>
              </w:rPr>
              <w:t>δ≥0.9mm，</w:t>
            </w:r>
            <w:r>
              <w:rPr>
                <w:rFonts w:hint="eastAsia" w:ascii="宋体" w:hAnsi="宋体" w:eastAsia="宋体" w:cs="宋体"/>
                <w:b w:val="0"/>
                <w:bCs w:val="0"/>
                <w:color w:val="auto"/>
                <w:kern w:val="2"/>
                <w:sz w:val="22"/>
                <w:szCs w:val="22"/>
                <w:highlight w:val="none"/>
                <w:lang w:val="zh-CN" w:eastAsia="zh-CN" w:bidi="ar"/>
              </w:rPr>
              <w:t>大容量存储，消毒带热风循环，消毒效果彻底、无死角，采用大视野可视窗。</w:t>
            </w:r>
          </w:p>
        </w:tc>
        <w:tc>
          <w:tcPr>
            <w:tcW w:w="202" w:type="pct"/>
            <w:vAlign w:val="center"/>
          </w:tcPr>
          <w:p w14:paraId="2C1C8EF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4FCBCA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DB8B8C2">
            <w:pPr>
              <w:jc w:val="center"/>
              <w:rPr>
                <w:rFonts w:hint="eastAsia" w:ascii="宋体" w:hAnsi="宋体" w:eastAsia="宋体" w:cs="宋体"/>
                <w:sz w:val="22"/>
                <w:szCs w:val="22"/>
                <w:vertAlign w:val="baseline"/>
              </w:rPr>
            </w:pPr>
            <w:r>
              <w:rPr>
                <w:rFonts w:hint="eastAsia" w:ascii="黑体" w:hAnsi="黑体" w:eastAsia="黑体" w:cs="黑体"/>
                <w:b w:val="0"/>
                <w:bCs w:val="0"/>
                <w:color w:val="FF0000"/>
                <w:sz w:val="22"/>
                <w:szCs w:val="22"/>
                <w:highlight w:val="none"/>
                <w:lang w:eastAsia="zh-CN"/>
              </w:rPr>
              <w:drawing>
                <wp:inline distT="0" distB="0" distL="114300" distR="114300">
                  <wp:extent cx="737870" cy="737870"/>
                  <wp:effectExtent l="0" t="0" r="5080" b="5080"/>
                  <wp:docPr id="36" name="图片 124" descr="168844882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4" descr="1688448821819"/>
                          <pic:cNvPicPr>
                            <a:picLocks noChangeAspect="1"/>
                          </pic:cNvPicPr>
                        </pic:nvPicPr>
                        <pic:blipFill>
                          <a:blip r:embed="rId54"/>
                          <a:stretch>
                            <a:fillRect/>
                          </a:stretch>
                        </pic:blipFill>
                        <pic:spPr>
                          <a:xfrm>
                            <a:off x="0" y="0"/>
                            <a:ext cx="737870" cy="737870"/>
                          </a:xfrm>
                          <a:prstGeom prst="rect">
                            <a:avLst/>
                          </a:prstGeom>
                          <a:noFill/>
                          <a:ln>
                            <a:noFill/>
                          </a:ln>
                        </pic:spPr>
                      </pic:pic>
                    </a:graphicData>
                  </a:graphic>
                </wp:inline>
              </w:drawing>
            </w:r>
          </w:p>
        </w:tc>
      </w:tr>
      <w:tr w14:paraId="1AC6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9A032E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73</w:t>
            </w:r>
          </w:p>
        </w:tc>
        <w:tc>
          <w:tcPr>
            <w:tcW w:w="535" w:type="pct"/>
            <w:shd w:val="clear" w:color="auto" w:fill="auto"/>
            <w:vAlign w:val="center"/>
          </w:tcPr>
          <w:p w14:paraId="15C68160">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双通工作台</w:t>
            </w:r>
          </w:p>
        </w:tc>
        <w:tc>
          <w:tcPr>
            <w:tcW w:w="628" w:type="pct"/>
            <w:shd w:val="clear" w:color="auto" w:fill="auto"/>
            <w:vAlign w:val="center"/>
          </w:tcPr>
          <w:p w14:paraId="4C65BD34">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1800×700×800mm(±5%)</w:t>
            </w:r>
          </w:p>
        </w:tc>
        <w:tc>
          <w:tcPr>
            <w:tcW w:w="2109" w:type="pct"/>
            <w:vAlign w:val="center"/>
          </w:tcPr>
          <w:p w14:paraId="4926A91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采用SUS304-2B优质发纹贴塑不锈钢板制作，台面δ≥1.1mm（下衬12mm防潮板减噪）。其他采用δ≥0.9mm不锈钢板，加强筋采用δ≥0.9mm不锈钢板,双侧双移门，内分两层，重力脚φ50×150×δ≥1.1mm</w:t>
            </w:r>
          </w:p>
        </w:tc>
        <w:tc>
          <w:tcPr>
            <w:tcW w:w="202" w:type="pct"/>
            <w:vAlign w:val="center"/>
          </w:tcPr>
          <w:p w14:paraId="4BF8322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31C892E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53F10E8">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69925" cy="419735"/>
                  <wp:effectExtent l="0" t="0" r="15875" b="18415"/>
                  <wp:docPr id="37"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5"/>
                          <pic:cNvPicPr>
                            <a:picLocks noChangeAspect="1"/>
                          </pic:cNvPicPr>
                        </pic:nvPicPr>
                        <pic:blipFill>
                          <a:blip r:embed="rId26"/>
                          <a:stretch>
                            <a:fillRect/>
                          </a:stretch>
                        </pic:blipFill>
                        <pic:spPr>
                          <a:xfrm>
                            <a:off x="0" y="0"/>
                            <a:ext cx="669925" cy="419735"/>
                          </a:xfrm>
                          <a:prstGeom prst="rect">
                            <a:avLst/>
                          </a:prstGeom>
                          <a:noFill/>
                          <a:ln>
                            <a:noFill/>
                          </a:ln>
                        </pic:spPr>
                      </pic:pic>
                    </a:graphicData>
                  </a:graphic>
                </wp:inline>
              </w:drawing>
            </w:r>
          </w:p>
        </w:tc>
      </w:tr>
      <w:tr w14:paraId="0E57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82C553E">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74</w:t>
            </w:r>
          </w:p>
        </w:tc>
        <w:tc>
          <w:tcPr>
            <w:tcW w:w="535" w:type="pct"/>
            <w:shd w:val="clear" w:color="auto" w:fill="auto"/>
            <w:vAlign w:val="center"/>
          </w:tcPr>
          <w:p w14:paraId="731B428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双星连盆台</w:t>
            </w:r>
          </w:p>
        </w:tc>
        <w:tc>
          <w:tcPr>
            <w:tcW w:w="628" w:type="pct"/>
            <w:shd w:val="clear" w:color="auto" w:fill="auto"/>
            <w:vAlign w:val="center"/>
          </w:tcPr>
          <w:p w14:paraId="16BCE107">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color w:val="auto"/>
                <w:kern w:val="2"/>
                <w:sz w:val="22"/>
                <w:szCs w:val="22"/>
                <w:highlight w:val="none"/>
                <w:lang w:val="en-US" w:eastAsia="zh-CN" w:bidi="ar"/>
              </w:rPr>
              <w:t xml:space="preserve">1500×700×(800+150)mm(±5%) </w:t>
            </w:r>
          </w:p>
        </w:tc>
        <w:tc>
          <w:tcPr>
            <w:tcW w:w="2109" w:type="pct"/>
            <w:vAlign w:val="center"/>
          </w:tcPr>
          <w:p w14:paraId="5036AA9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2FEF97C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361DA5E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2C9E7760">
            <w:pPr>
              <w:jc w:val="both"/>
              <w:rPr>
                <w:rFonts w:hint="default" w:ascii="宋体" w:hAnsi="宋体" w:eastAsia="宋体" w:cs="宋体"/>
                <w:sz w:val="22"/>
                <w:szCs w:val="22"/>
                <w:vertAlign w:val="baseline"/>
                <w:lang w:val="en-US" w:eastAsia="zh-CN"/>
              </w:rPr>
            </w:pPr>
            <w:r>
              <w:rPr>
                <w:rFonts w:hint="eastAsia" w:ascii="黑体" w:hAnsi="黑体" w:eastAsia="黑体" w:cs="黑体"/>
                <w:b w:val="0"/>
                <w:bCs w:val="0"/>
                <w:color w:val="auto"/>
                <w:sz w:val="22"/>
                <w:szCs w:val="22"/>
                <w:highlight w:val="none"/>
              </w:rPr>
              <w:drawing>
                <wp:anchor distT="0" distB="0" distL="114300" distR="114300" simplePos="0" relativeHeight="251663360" behindDoc="0" locked="0" layoutInCell="1" allowOverlap="1">
                  <wp:simplePos x="0" y="0"/>
                  <wp:positionH relativeFrom="column">
                    <wp:posOffset>-52705</wp:posOffset>
                  </wp:positionH>
                  <wp:positionV relativeFrom="paragraph">
                    <wp:posOffset>-130810</wp:posOffset>
                  </wp:positionV>
                  <wp:extent cx="530860" cy="510540"/>
                  <wp:effectExtent l="0" t="0" r="2540" b="3810"/>
                  <wp:wrapNone/>
                  <wp:docPr id="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pic:cNvPicPr>
                            <a:picLocks noChangeAspect="1"/>
                          </pic:cNvPicPr>
                        </pic:nvPicPr>
                        <pic:blipFill>
                          <a:blip r:embed="rId55"/>
                          <a:stretch>
                            <a:fillRect/>
                          </a:stretch>
                        </pic:blipFill>
                        <pic:spPr>
                          <a:xfrm>
                            <a:off x="0" y="0"/>
                            <a:ext cx="530860" cy="510540"/>
                          </a:xfrm>
                          <a:prstGeom prst="rect">
                            <a:avLst/>
                          </a:prstGeom>
                          <a:noFill/>
                          <a:ln>
                            <a:noFill/>
                          </a:ln>
                        </pic:spPr>
                      </pic:pic>
                    </a:graphicData>
                  </a:graphic>
                </wp:anchor>
              </w:drawing>
            </w:r>
          </w:p>
        </w:tc>
      </w:tr>
      <w:tr w14:paraId="12E6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B38BC9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75</w:t>
            </w:r>
          </w:p>
        </w:tc>
        <w:tc>
          <w:tcPr>
            <w:tcW w:w="535" w:type="pct"/>
            <w:shd w:val="clear" w:color="auto" w:fill="auto"/>
            <w:vAlign w:val="center"/>
          </w:tcPr>
          <w:p w14:paraId="3BCA0C5B">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四层格栅架</w:t>
            </w:r>
          </w:p>
        </w:tc>
        <w:tc>
          <w:tcPr>
            <w:tcW w:w="628" w:type="pct"/>
            <w:shd w:val="clear" w:color="auto" w:fill="auto"/>
            <w:vAlign w:val="center"/>
          </w:tcPr>
          <w:p w14:paraId="344A8B27">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1150×500×1550mm(±5%)</w:t>
            </w:r>
          </w:p>
        </w:tc>
        <w:tc>
          <w:tcPr>
            <w:tcW w:w="2109" w:type="pct"/>
            <w:vAlign w:val="center"/>
          </w:tcPr>
          <w:p w14:paraId="269D2DF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选用SUS304-2B优质不锈钢板制作，骨架δ≥1.1mm，￠38圆管，栅板δ≥0.9mm复边成条状，脚φ38×δ≥0.9mm；（配有可调子弹脚）。</w:t>
            </w:r>
          </w:p>
        </w:tc>
        <w:tc>
          <w:tcPr>
            <w:tcW w:w="202" w:type="pct"/>
            <w:vAlign w:val="center"/>
          </w:tcPr>
          <w:p w14:paraId="63B3FD6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69E93F8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919" w:type="pct"/>
            <w:vAlign w:val="center"/>
          </w:tcPr>
          <w:p w14:paraId="12BC3343">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1510" cy="579120"/>
                  <wp:effectExtent l="0" t="0" r="15240" b="11430"/>
                  <wp:docPr id="5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2"/>
                          <pic:cNvPicPr>
                            <a:picLocks noChangeAspect="1"/>
                          </pic:cNvPicPr>
                        </pic:nvPicPr>
                        <pic:blipFill>
                          <a:blip r:embed="rId56"/>
                          <a:stretch>
                            <a:fillRect/>
                          </a:stretch>
                        </pic:blipFill>
                        <pic:spPr>
                          <a:xfrm>
                            <a:off x="0" y="0"/>
                            <a:ext cx="651510" cy="579120"/>
                          </a:xfrm>
                          <a:prstGeom prst="rect">
                            <a:avLst/>
                          </a:prstGeom>
                          <a:noFill/>
                          <a:ln>
                            <a:noFill/>
                          </a:ln>
                        </pic:spPr>
                      </pic:pic>
                    </a:graphicData>
                  </a:graphic>
                </wp:inline>
              </w:drawing>
            </w:r>
          </w:p>
        </w:tc>
      </w:tr>
      <w:tr w14:paraId="73E3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EB5A65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76</w:t>
            </w:r>
          </w:p>
        </w:tc>
        <w:tc>
          <w:tcPr>
            <w:tcW w:w="535" w:type="pct"/>
            <w:vAlign w:val="center"/>
          </w:tcPr>
          <w:p w14:paraId="13A31155">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四层格栅围网单通层架</w:t>
            </w:r>
          </w:p>
        </w:tc>
        <w:tc>
          <w:tcPr>
            <w:tcW w:w="628" w:type="pct"/>
            <w:vAlign w:val="center"/>
          </w:tcPr>
          <w:p w14:paraId="794B5918">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1500×800×1550mm(±5%)</w:t>
            </w:r>
          </w:p>
        </w:tc>
        <w:tc>
          <w:tcPr>
            <w:tcW w:w="2109" w:type="pct"/>
            <w:vAlign w:val="center"/>
          </w:tcPr>
          <w:p w14:paraId="644A170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选用SUS304-2B优质不锈钢板制作，骨架δ≥1.1mm，￠38圆管，栅板δ≥0.9mm复边成条状，脚φ38×δ≥0.9mm；（配有可调子弹脚）。</w:t>
            </w:r>
          </w:p>
        </w:tc>
        <w:tc>
          <w:tcPr>
            <w:tcW w:w="202" w:type="pct"/>
            <w:vAlign w:val="center"/>
          </w:tcPr>
          <w:p w14:paraId="24B5C6A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3495E9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7620218D">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1510" cy="579120"/>
                  <wp:effectExtent l="0" t="0" r="15240" b="11430"/>
                  <wp:docPr id="38"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9"/>
                          <pic:cNvPicPr>
                            <a:picLocks noChangeAspect="1"/>
                          </pic:cNvPicPr>
                        </pic:nvPicPr>
                        <pic:blipFill>
                          <a:blip r:embed="rId56"/>
                          <a:stretch>
                            <a:fillRect/>
                          </a:stretch>
                        </pic:blipFill>
                        <pic:spPr>
                          <a:xfrm>
                            <a:off x="0" y="0"/>
                            <a:ext cx="651510" cy="579120"/>
                          </a:xfrm>
                          <a:prstGeom prst="rect">
                            <a:avLst/>
                          </a:prstGeom>
                          <a:noFill/>
                          <a:ln>
                            <a:noFill/>
                          </a:ln>
                        </pic:spPr>
                      </pic:pic>
                    </a:graphicData>
                  </a:graphic>
                </wp:inline>
              </w:drawing>
            </w:r>
          </w:p>
        </w:tc>
      </w:tr>
      <w:tr w14:paraId="337E9FA2">
        <w:tblPrEx>
          <w:tblCellMar>
            <w:top w:w="0" w:type="dxa"/>
            <w:left w:w="108" w:type="dxa"/>
            <w:bottom w:w="0" w:type="dxa"/>
            <w:right w:w="108" w:type="dxa"/>
          </w:tblCellMar>
        </w:tblPrEx>
        <w:tc>
          <w:tcPr>
            <w:tcW w:w="349" w:type="pct"/>
            <w:vAlign w:val="center"/>
          </w:tcPr>
          <w:p w14:paraId="2A9D370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77</w:t>
            </w:r>
          </w:p>
        </w:tc>
        <w:tc>
          <w:tcPr>
            <w:tcW w:w="535" w:type="pct"/>
            <w:vAlign w:val="center"/>
          </w:tcPr>
          <w:p w14:paraId="11A6625E">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四层平板架</w:t>
            </w:r>
          </w:p>
        </w:tc>
        <w:tc>
          <w:tcPr>
            <w:tcW w:w="628" w:type="pct"/>
            <w:vAlign w:val="center"/>
          </w:tcPr>
          <w:p w14:paraId="06194305">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1150×500×1550mm(±5%)</w:t>
            </w:r>
          </w:p>
        </w:tc>
        <w:tc>
          <w:tcPr>
            <w:tcW w:w="2109" w:type="pct"/>
            <w:vAlign w:val="center"/>
          </w:tcPr>
          <w:p w14:paraId="68F64B2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采用SUS304-2B优质发纹贴塑不锈钢板制作，，骨架δ≥1.1mm。￠38圆管，层板δ≥0.9mm 下衬加宽加强，脚φ38×δ≥0.9mm；（配有可调子弹脚）。</w:t>
            </w:r>
          </w:p>
        </w:tc>
        <w:tc>
          <w:tcPr>
            <w:tcW w:w="202" w:type="pct"/>
            <w:vAlign w:val="center"/>
          </w:tcPr>
          <w:p w14:paraId="519B6513">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8C91EDD">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919" w:type="pct"/>
            <w:vAlign w:val="center"/>
          </w:tcPr>
          <w:p w14:paraId="637525B5">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574040" cy="591185"/>
                  <wp:effectExtent l="0" t="0" r="16510" b="18415"/>
                  <wp:docPr id="5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4"/>
                          <pic:cNvPicPr>
                            <a:picLocks noChangeAspect="1"/>
                          </pic:cNvPicPr>
                        </pic:nvPicPr>
                        <pic:blipFill>
                          <a:blip r:embed="rId57"/>
                          <a:stretch>
                            <a:fillRect/>
                          </a:stretch>
                        </pic:blipFill>
                        <pic:spPr>
                          <a:xfrm>
                            <a:off x="0" y="0"/>
                            <a:ext cx="574040" cy="591185"/>
                          </a:xfrm>
                          <a:prstGeom prst="rect">
                            <a:avLst/>
                          </a:prstGeom>
                          <a:noFill/>
                          <a:ln>
                            <a:noFill/>
                          </a:ln>
                        </pic:spPr>
                      </pic:pic>
                    </a:graphicData>
                  </a:graphic>
                </wp:inline>
              </w:drawing>
            </w:r>
          </w:p>
        </w:tc>
      </w:tr>
      <w:tr w14:paraId="7B5C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F9C06A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78</w:t>
            </w:r>
          </w:p>
        </w:tc>
        <w:tc>
          <w:tcPr>
            <w:tcW w:w="535" w:type="pct"/>
            <w:vAlign w:val="center"/>
          </w:tcPr>
          <w:p w14:paraId="15F92DB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四门保洁柜</w:t>
            </w:r>
          </w:p>
        </w:tc>
        <w:tc>
          <w:tcPr>
            <w:tcW w:w="628" w:type="pct"/>
            <w:vAlign w:val="center"/>
          </w:tcPr>
          <w:p w14:paraId="675823F1">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1200×500×1800mm(±5%)</w:t>
            </w:r>
          </w:p>
        </w:tc>
        <w:tc>
          <w:tcPr>
            <w:tcW w:w="2109" w:type="pct"/>
            <w:vAlign w:val="center"/>
          </w:tcPr>
          <w:p w14:paraId="59D9F71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选用SUS304-2B优质不锈钢板制作，层板δ≥1.1mm。侧板、门板δ≥0.9mm；不锈钢板，加强筋采用δ≥0.9mm,配四扇移门，内分四层，重力脚Φ50×150不锈钢重力脚。</w:t>
            </w:r>
          </w:p>
        </w:tc>
        <w:tc>
          <w:tcPr>
            <w:tcW w:w="202" w:type="pct"/>
            <w:vAlign w:val="center"/>
          </w:tcPr>
          <w:p w14:paraId="76A2B22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D1861B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7373779E">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71170" cy="610235"/>
                  <wp:effectExtent l="0" t="0" r="5080" b="18415"/>
                  <wp:docPr id="49" name="图片 150"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0" descr="四门储藏柜 拷贝"/>
                          <pic:cNvPicPr>
                            <a:picLocks noChangeAspect="1"/>
                          </pic:cNvPicPr>
                        </pic:nvPicPr>
                        <pic:blipFill>
                          <a:blip r:embed="rId58"/>
                          <a:stretch>
                            <a:fillRect/>
                          </a:stretch>
                        </pic:blipFill>
                        <pic:spPr>
                          <a:xfrm>
                            <a:off x="0" y="0"/>
                            <a:ext cx="471170" cy="610235"/>
                          </a:xfrm>
                          <a:prstGeom prst="rect">
                            <a:avLst/>
                          </a:prstGeom>
                          <a:noFill/>
                          <a:ln>
                            <a:noFill/>
                          </a:ln>
                        </pic:spPr>
                      </pic:pic>
                    </a:graphicData>
                  </a:graphic>
                </wp:inline>
              </w:drawing>
            </w:r>
          </w:p>
        </w:tc>
      </w:tr>
      <w:tr w14:paraId="510D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098B84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79</w:t>
            </w:r>
          </w:p>
        </w:tc>
        <w:tc>
          <w:tcPr>
            <w:tcW w:w="535" w:type="pct"/>
            <w:vAlign w:val="center"/>
          </w:tcPr>
          <w:p w14:paraId="2615736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拖把池连架</w:t>
            </w:r>
            <w:r>
              <w:rPr>
                <w:rFonts w:hint="eastAsia" w:ascii="宋体" w:hAnsi="宋体" w:cs="宋体"/>
                <w:sz w:val="22"/>
                <w:szCs w:val="22"/>
                <w:vertAlign w:val="baseline"/>
                <w:lang w:val="en-US" w:eastAsia="zh-CN"/>
              </w:rPr>
              <w:t>1</w:t>
            </w:r>
          </w:p>
        </w:tc>
        <w:tc>
          <w:tcPr>
            <w:tcW w:w="628" w:type="pct"/>
            <w:vAlign w:val="center"/>
          </w:tcPr>
          <w:p w14:paraId="1BB3A6B0">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800×500×(500+1300)mm(±5%)</w:t>
            </w:r>
          </w:p>
        </w:tc>
        <w:tc>
          <w:tcPr>
            <w:tcW w:w="2109" w:type="pct"/>
            <w:vAlign w:val="center"/>
          </w:tcPr>
          <w:p w14:paraId="6E97A1E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2846FCF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210001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0C46679">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06425" cy="569595"/>
                  <wp:effectExtent l="0" t="0" r="3175" b="1905"/>
                  <wp:docPr id="56" name="图片 113" descr="T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3" descr="T1g3"/>
                          <pic:cNvPicPr>
                            <a:picLocks noChangeAspect="1"/>
                          </pic:cNvPicPr>
                        </pic:nvPicPr>
                        <pic:blipFill>
                          <a:blip r:embed="rId59"/>
                          <a:stretch>
                            <a:fillRect/>
                          </a:stretch>
                        </pic:blipFill>
                        <pic:spPr>
                          <a:xfrm>
                            <a:off x="0" y="0"/>
                            <a:ext cx="606425" cy="569595"/>
                          </a:xfrm>
                          <a:prstGeom prst="rect">
                            <a:avLst/>
                          </a:prstGeom>
                          <a:noFill/>
                          <a:ln>
                            <a:noFill/>
                          </a:ln>
                        </pic:spPr>
                      </pic:pic>
                    </a:graphicData>
                  </a:graphic>
                </wp:inline>
              </w:drawing>
            </w:r>
          </w:p>
        </w:tc>
      </w:tr>
      <w:tr w14:paraId="00D8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635450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80</w:t>
            </w:r>
          </w:p>
        </w:tc>
        <w:tc>
          <w:tcPr>
            <w:tcW w:w="535" w:type="pct"/>
            <w:vAlign w:val="center"/>
          </w:tcPr>
          <w:p w14:paraId="122038A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拖把池连架</w:t>
            </w:r>
            <w:r>
              <w:rPr>
                <w:rFonts w:hint="eastAsia" w:ascii="宋体" w:hAnsi="宋体" w:eastAsia="宋体" w:cs="宋体"/>
                <w:sz w:val="22"/>
                <w:szCs w:val="22"/>
                <w:vertAlign w:val="baseline"/>
                <w:lang w:val="en-US" w:eastAsia="zh-CN"/>
              </w:rPr>
              <w:t>2</w:t>
            </w:r>
          </w:p>
        </w:tc>
        <w:tc>
          <w:tcPr>
            <w:tcW w:w="628" w:type="pct"/>
            <w:vAlign w:val="center"/>
          </w:tcPr>
          <w:p w14:paraId="5593EBF0">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1200×500×(500+1300)mm(±5%)</w:t>
            </w:r>
          </w:p>
        </w:tc>
        <w:tc>
          <w:tcPr>
            <w:tcW w:w="2109" w:type="pct"/>
            <w:vAlign w:val="center"/>
          </w:tcPr>
          <w:p w14:paraId="3F539DF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175497F6">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217C935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2B7C50E0">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06425" cy="569595"/>
                  <wp:effectExtent l="0" t="0" r="3175" b="1905"/>
                  <wp:docPr id="57" name="图片 113" descr="T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3" descr="T1g3"/>
                          <pic:cNvPicPr>
                            <a:picLocks noChangeAspect="1"/>
                          </pic:cNvPicPr>
                        </pic:nvPicPr>
                        <pic:blipFill>
                          <a:blip r:embed="rId59"/>
                          <a:stretch>
                            <a:fillRect/>
                          </a:stretch>
                        </pic:blipFill>
                        <pic:spPr>
                          <a:xfrm>
                            <a:off x="0" y="0"/>
                            <a:ext cx="606425" cy="569595"/>
                          </a:xfrm>
                          <a:prstGeom prst="rect">
                            <a:avLst/>
                          </a:prstGeom>
                          <a:noFill/>
                          <a:ln>
                            <a:noFill/>
                          </a:ln>
                        </pic:spPr>
                      </pic:pic>
                    </a:graphicData>
                  </a:graphic>
                </wp:inline>
              </w:drawing>
            </w:r>
          </w:p>
        </w:tc>
      </w:tr>
      <w:tr w14:paraId="6121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6F35212E">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81</w:t>
            </w:r>
          </w:p>
        </w:tc>
        <w:tc>
          <w:tcPr>
            <w:tcW w:w="535" w:type="pct"/>
            <w:vAlign w:val="center"/>
          </w:tcPr>
          <w:p w14:paraId="03ABA4A2">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卧式双门冰箱</w:t>
            </w:r>
          </w:p>
        </w:tc>
        <w:tc>
          <w:tcPr>
            <w:tcW w:w="628" w:type="pct"/>
            <w:vAlign w:val="center"/>
          </w:tcPr>
          <w:p w14:paraId="28EE20A0">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1500×750×800mm(±5%)</w:t>
            </w:r>
          </w:p>
        </w:tc>
        <w:tc>
          <w:tcPr>
            <w:tcW w:w="2109" w:type="pct"/>
            <w:vAlign w:val="center"/>
          </w:tcPr>
          <w:p w14:paraId="09E0F05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冷藏温度：+4～-5℃</w:t>
            </w:r>
          </w:p>
          <w:p w14:paraId="7831F0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优质压缩机、温控器，，微电脑控制面板，全铜管制造，优质不锈钢加厚板材，板材表面无指纹处理，经久耐锈，自动回归门，硬质聚氨酯整体发泡，加厚保温层，箱体强度高，提高承重能力，底板、门衬板为一次性拉伸成型，内箱底板拐角处圆弧过渡，无卫生死角便于清洁。</w:t>
            </w:r>
          </w:p>
        </w:tc>
        <w:tc>
          <w:tcPr>
            <w:tcW w:w="202" w:type="pct"/>
            <w:vAlign w:val="center"/>
          </w:tcPr>
          <w:p w14:paraId="611BABF2">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58797C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B8E08CD">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34365" cy="410210"/>
                  <wp:effectExtent l="0" t="0" r="13335" b="8890"/>
                  <wp:docPr id="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8"/>
                          <pic:cNvPicPr>
                            <a:picLocks noChangeAspect="1"/>
                          </pic:cNvPicPr>
                        </pic:nvPicPr>
                        <pic:blipFill>
                          <a:blip r:embed="rId60"/>
                          <a:stretch>
                            <a:fillRect/>
                          </a:stretch>
                        </pic:blipFill>
                        <pic:spPr>
                          <a:xfrm>
                            <a:off x="0" y="0"/>
                            <a:ext cx="634365" cy="410210"/>
                          </a:xfrm>
                          <a:prstGeom prst="rect">
                            <a:avLst/>
                          </a:prstGeom>
                          <a:noFill/>
                          <a:ln>
                            <a:noFill/>
                          </a:ln>
                        </pic:spPr>
                      </pic:pic>
                    </a:graphicData>
                  </a:graphic>
                </wp:inline>
              </w:drawing>
            </w:r>
          </w:p>
        </w:tc>
      </w:tr>
      <w:tr w14:paraId="1626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03D91C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82</w:t>
            </w:r>
          </w:p>
        </w:tc>
        <w:tc>
          <w:tcPr>
            <w:tcW w:w="535" w:type="pct"/>
            <w:vAlign w:val="center"/>
          </w:tcPr>
          <w:p w14:paraId="1619061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五格售菜台</w:t>
            </w:r>
          </w:p>
        </w:tc>
        <w:tc>
          <w:tcPr>
            <w:tcW w:w="628" w:type="pct"/>
            <w:vAlign w:val="center"/>
          </w:tcPr>
          <w:p w14:paraId="07CF98ED">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1800×700×800mm(±5%)</w:t>
            </w:r>
          </w:p>
        </w:tc>
        <w:tc>
          <w:tcPr>
            <w:tcW w:w="2109" w:type="pct"/>
            <w:vAlign w:val="center"/>
          </w:tcPr>
          <w:p w14:paraId="4833595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选用SUS304-2B优质不锈钢板制作，台面δ≥1.10mm。加强筋δ≥0.90mm，横通25×38×1.0mm；脚φ38×1.0mm（配有可调子弹脚）配304份数盆，三角阀，进水软管。</w:t>
            </w:r>
          </w:p>
        </w:tc>
        <w:tc>
          <w:tcPr>
            <w:tcW w:w="202" w:type="pct"/>
            <w:vAlign w:val="center"/>
          </w:tcPr>
          <w:p w14:paraId="1EC14ED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FA1796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2473C32C">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99110" cy="330200"/>
                  <wp:effectExtent l="0" t="0" r="15240" b="12700"/>
                  <wp:docPr id="66"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52"/>
                          <pic:cNvPicPr>
                            <a:picLocks noChangeAspect="1"/>
                          </pic:cNvPicPr>
                        </pic:nvPicPr>
                        <pic:blipFill>
                          <a:blip r:embed="rId61"/>
                          <a:stretch>
                            <a:fillRect/>
                          </a:stretch>
                        </pic:blipFill>
                        <pic:spPr>
                          <a:xfrm>
                            <a:off x="0" y="0"/>
                            <a:ext cx="499110" cy="330200"/>
                          </a:xfrm>
                          <a:prstGeom prst="rect">
                            <a:avLst/>
                          </a:prstGeom>
                          <a:noFill/>
                          <a:ln>
                            <a:noFill/>
                          </a:ln>
                        </pic:spPr>
                      </pic:pic>
                    </a:graphicData>
                  </a:graphic>
                </wp:inline>
              </w:drawing>
            </w:r>
          </w:p>
        </w:tc>
      </w:tr>
      <w:tr w14:paraId="1F0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F320F3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83</w:t>
            </w:r>
          </w:p>
        </w:tc>
        <w:tc>
          <w:tcPr>
            <w:tcW w:w="535" w:type="pct"/>
            <w:vAlign w:val="center"/>
          </w:tcPr>
          <w:p w14:paraId="626C076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消声器</w:t>
            </w:r>
          </w:p>
        </w:tc>
        <w:tc>
          <w:tcPr>
            <w:tcW w:w="628" w:type="pct"/>
            <w:vAlign w:val="center"/>
          </w:tcPr>
          <w:p w14:paraId="73B73CF7">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根据风管尺寸</w:t>
            </w:r>
          </w:p>
        </w:tc>
        <w:tc>
          <w:tcPr>
            <w:tcW w:w="2109" w:type="pct"/>
            <w:vAlign w:val="center"/>
          </w:tcPr>
          <w:p w14:paraId="663E5A5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优质304不锈钢制作，厚度1.0mm，主要部件：不锈钢、防火岩棉、过滤网、冲孔板，第二层为玻璃棉，第三层为过滤网，主要隔离玻璃棉、岩棉，第四层冲孔网，在薄板上用孔径小于mm的钻头钻孔，穿孔率为1%-3%的穿孔率和板厚不同的腔深。</w:t>
            </w:r>
          </w:p>
        </w:tc>
        <w:tc>
          <w:tcPr>
            <w:tcW w:w="202" w:type="pct"/>
            <w:vAlign w:val="center"/>
          </w:tcPr>
          <w:p w14:paraId="42F9790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0C76B28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6C4E6E09">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rPr>
              <w:drawing>
                <wp:inline distT="0" distB="0" distL="114300" distR="114300">
                  <wp:extent cx="419735" cy="297180"/>
                  <wp:effectExtent l="0" t="0" r="18415" b="7620"/>
                  <wp:docPr id="108" name="图片 209" descr="1528421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09" descr="1528421406(1)"/>
                          <pic:cNvPicPr>
                            <a:picLocks noChangeAspect="1"/>
                          </pic:cNvPicPr>
                        </pic:nvPicPr>
                        <pic:blipFill>
                          <a:blip r:embed="rId62"/>
                          <a:stretch>
                            <a:fillRect/>
                          </a:stretch>
                        </pic:blipFill>
                        <pic:spPr>
                          <a:xfrm>
                            <a:off x="0" y="0"/>
                            <a:ext cx="419735" cy="297180"/>
                          </a:xfrm>
                          <a:prstGeom prst="rect">
                            <a:avLst/>
                          </a:prstGeom>
                          <a:noFill/>
                          <a:ln>
                            <a:noFill/>
                          </a:ln>
                        </pic:spPr>
                      </pic:pic>
                    </a:graphicData>
                  </a:graphic>
                </wp:inline>
              </w:drawing>
            </w:r>
          </w:p>
        </w:tc>
      </w:tr>
      <w:tr w14:paraId="5C39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FB9DEF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84</w:t>
            </w:r>
          </w:p>
        </w:tc>
        <w:tc>
          <w:tcPr>
            <w:tcW w:w="535" w:type="pct"/>
            <w:vAlign w:val="center"/>
          </w:tcPr>
          <w:p w14:paraId="06C0544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小件投掷柜</w:t>
            </w:r>
          </w:p>
        </w:tc>
        <w:tc>
          <w:tcPr>
            <w:tcW w:w="628" w:type="pct"/>
            <w:vAlign w:val="center"/>
          </w:tcPr>
          <w:p w14:paraId="2B414ADB">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1000×350×850/750mm(±5%)</w:t>
            </w:r>
          </w:p>
        </w:tc>
        <w:tc>
          <w:tcPr>
            <w:tcW w:w="2109" w:type="pct"/>
            <w:vAlign w:val="center"/>
          </w:tcPr>
          <w:p w14:paraId="6489B44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整体选用SUS304-2B不锈钢板制作，防腐蚀，强度高，韧性好；确保食品卫生。面板δ≥1.25mm，防腐蚀，强度高，韧性好；确保食品卫生,配有可调子弹脚。                                                                         </w:t>
            </w:r>
          </w:p>
          <w:p w14:paraId="2A93946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注：内置垃圾桶需用户自理。</w:t>
            </w:r>
          </w:p>
        </w:tc>
        <w:tc>
          <w:tcPr>
            <w:tcW w:w="202" w:type="pct"/>
            <w:vAlign w:val="center"/>
          </w:tcPr>
          <w:p w14:paraId="494287A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批</w:t>
            </w:r>
          </w:p>
        </w:tc>
        <w:tc>
          <w:tcPr>
            <w:tcW w:w="254" w:type="pct"/>
            <w:vAlign w:val="center"/>
          </w:tcPr>
          <w:p w14:paraId="32DC7A7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AB470F0">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rPr>
              <w:drawing>
                <wp:inline distT="0" distB="0" distL="114300" distR="114300">
                  <wp:extent cx="452755" cy="316230"/>
                  <wp:effectExtent l="0" t="0" r="4445" b="7620"/>
                  <wp:docPr id="74"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75"/>
                          <pic:cNvPicPr>
                            <a:picLocks noChangeAspect="1"/>
                          </pic:cNvPicPr>
                        </pic:nvPicPr>
                        <pic:blipFill>
                          <a:blip r:embed="rId63"/>
                          <a:stretch>
                            <a:fillRect/>
                          </a:stretch>
                        </pic:blipFill>
                        <pic:spPr>
                          <a:xfrm>
                            <a:off x="0" y="0"/>
                            <a:ext cx="452755" cy="316230"/>
                          </a:xfrm>
                          <a:prstGeom prst="rect">
                            <a:avLst/>
                          </a:prstGeom>
                          <a:noFill/>
                          <a:ln>
                            <a:noFill/>
                          </a:ln>
                        </pic:spPr>
                      </pic:pic>
                    </a:graphicData>
                  </a:graphic>
                </wp:inline>
              </w:drawing>
            </w:r>
          </w:p>
        </w:tc>
      </w:tr>
      <w:tr w14:paraId="4761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5EC70FF">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85</w:t>
            </w:r>
          </w:p>
        </w:tc>
        <w:tc>
          <w:tcPr>
            <w:tcW w:w="535" w:type="pct"/>
            <w:vAlign w:val="center"/>
          </w:tcPr>
          <w:p w14:paraId="24BE4B68">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烟罩上封板</w:t>
            </w:r>
            <w:r>
              <w:rPr>
                <w:rFonts w:hint="eastAsia" w:ascii="宋体" w:hAnsi="宋体" w:eastAsia="宋体" w:cs="宋体"/>
                <w:sz w:val="22"/>
                <w:szCs w:val="22"/>
                <w:vertAlign w:val="baseline"/>
                <w:lang w:val="en-US" w:eastAsia="zh-CN"/>
              </w:rPr>
              <w:t>1</w:t>
            </w:r>
          </w:p>
        </w:tc>
        <w:tc>
          <w:tcPr>
            <w:tcW w:w="628" w:type="pct"/>
            <w:vAlign w:val="center"/>
          </w:tcPr>
          <w:p w14:paraId="18DA1C04">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11000×800mm(±5%)</w:t>
            </w:r>
          </w:p>
        </w:tc>
        <w:tc>
          <w:tcPr>
            <w:tcW w:w="2109" w:type="pct"/>
            <w:vAlign w:val="center"/>
          </w:tcPr>
          <w:p w14:paraId="7F627D7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采用SUS304-2B优质不锈钢板制作，δ≥0.9mm。</w:t>
            </w:r>
          </w:p>
        </w:tc>
        <w:tc>
          <w:tcPr>
            <w:tcW w:w="202" w:type="pct"/>
            <w:vAlign w:val="center"/>
          </w:tcPr>
          <w:p w14:paraId="70A5E24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批</w:t>
            </w:r>
          </w:p>
        </w:tc>
        <w:tc>
          <w:tcPr>
            <w:tcW w:w="254" w:type="pct"/>
            <w:vAlign w:val="center"/>
          </w:tcPr>
          <w:p w14:paraId="2597D06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A84A10D">
            <w:pPr>
              <w:jc w:val="center"/>
              <w:rPr>
                <w:rFonts w:hint="eastAsia" w:ascii="宋体" w:hAnsi="宋体" w:eastAsia="宋体" w:cs="宋体"/>
                <w:sz w:val="22"/>
                <w:szCs w:val="22"/>
                <w:vertAlign w:val="baseline"/>
              </w:rPr>
            </w:pPr>
            <w:r>
              <w:rPr>
                <w:rFonts w:hint="eastAsia" w:ascii="宋体" w:hAnsi="宋体" w:eastAsia="宋体" w:cs="宋体"/>
                <w:b w:val="0"/>
                <w:bCs w:val="0"/>
                <w:i w:val="0"/>
                <w:color w:val="000000"/>
                <w:kern w:val="0"/>
                <w:sz w:val="22"/>
                <w:szCs w:val="22"/>
                <w:highlight w:val="none"/>
                <w:u w:val="none"/>
                <w:lang w:val="en-US" w:eastAsia="zh-CN" w:bidi="ar"/>
              </w:rPr>
              <w:drawing>
                <wp:inline distT="0" distB="0" distL="114300" distR="114300">
                  <wp:extent cx="396240" cy="296545"/>
                  <wp:effectExtent l="0" t="0" r="3810" b="8255"/>
                  <wp:docPr id="68" name="图片 169"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69" descr="1552310796(1)"/>
                          <pic:cNvPicPr>
                            <a:picLocks noChangeAspect="1"/>
                          </pic:cNvPicPr>
                        </pic:nvPicPr>
                        <pic:blipFill>
                          <a:blip r:embed="rId64"/>
                          <a:stretch>
                            <a:fillRect/>
                          </a:stretch>
                        </pic:blipFill>
                        <pic:spPr>
                          <a:xfrm>
                            <a:off x="0" y="0"/>
                            <a:ext cx="396240" cy="296545"/>
                          </a:xfrm>
                          <a:prstGeom prst="rect">
                            <a:avLst/>
                          </a:prstGeom>
                          <a:noFill/>
                          <a:ln>
                            <a:noFill/>
                          </a:ln>
                        </pic:spPr>
                      </pic:pic>
                    </a:graphicData>
                  </a:graphic>
                </wp:inline>
              </w:drawing>
            </w:r>
          </w:p>
        </w:tc>
      </w:tr>
      <w:tr w14:paraId="7D9D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4F288C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86</w:t>
            </w:r>
          </w:p>
        </w:tc>
        <w:tc>
          <w:tcPr>
            <w:tcW w:w="535" w:type="pct"/>
            <w:vAlign w:val="center"/>
          </w:tcPr>
          <w:p w14:paraId="7E7523F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烟罩上封板</w:t>
            </w:r>
            <w:r>
              <w:rPr>
                <w:rFonts w:hint="eastAsia" w:ascii="宋体" w:hAnsi="宋体" w:eastAsia="宋体" w:cs="宋体"/>
                <w:sz w:val="22"/>
                <w:szCs w:val="22"/>
                <w:vertAlign w:val="baseline"/>
                <w:lang w:val="en-US" w:eastAsia="zh-CN"/>
              </w:rPr>
              <w:t>2</w:t>
            </w:r>
          </w:p>
        </w:tc>
        <w:tc>
          <w:tcPr>
            <w:tcW w:w="628" w:type="pct"/>
            <w:vAlign w:val="center"/>
          </w:tcPr>
          <w:p w14:paraId="1F717332">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5400×800mm(±5%)</w:t>
            </w:r>
          </w:p>
        </w:tc>
        <w:tc>
          <w:tcPr>
            <w:tcW w:w="2109" w:type="pct"/>
            <w:vAlign w:val="center"/>
          </w:tcPr>
          <w:p w14:paraId="2172D3B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采用SUS304-2B优质不锈钢板制作，δ≥0.9mm。</w:t>
            </w:r>
          </w:p>
        </w:tc>
        <w:tc>
          <w:tcPr>
            <w:tcW w:w="202" w:type="pct"/>
            <w:vAlign w:val="center"/>
          </w:tcPr>
          <w:p w14:paraId="062ED2B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4191647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833E3C0">
            <w:pPr>
              <w:jc w:val="center"/>
              <w:rPr>
                <w:rFonts w:hint="eastAsia" w:ascii="宋体" w:hAnsi="宋体" w:eastAsia="宋体" w:cs="宋体"/>
                <w:sz w:val="22"/>
                <w:szCs w:val="22"/>
                <w:vertAlign w:val="baseline"/>
              </w:rPr>
            </w:pPr>
            <w:r>
              <w:rPr>
                <w:rFonts w:hint="eastAsia" w:ascii="宋体" w:hAnsi="宋体" w:eastAsia="宋体" w:cs="宋体"/>
                <w:b w:val="0"/>
                <w:bCs w:val="0"/>
                <w:i w:val="0"/>
                <w:color w:val="000000"/>
                <w:kern w:val="0"/>
                <w:sz w:val="22"/>
                <w:szCs w:val="22"/>
                <w:highlight w:val="none"/>
                <w:u w:val="none"/>
                <w:lang w:val="en-US" w:eastAsia="zh-CN" w:bidi="ar"/>
              </w:rPr>
              <w:drawing>
                <wp:inline distT="0" distB="0" distL="114300" distR="114300">
                  <wp:extent cx="396240" cy="296545"/>
                  <wp:effectExtent l="0" t="0" r="3810" b="8255"/>
                  <wp:docPr id="72" name="图片 169"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69" descr="1552310796(1)"/>
                          <pic:cNvPicPr>
                            <a:picLocks noChangeAspect="1"/>
                          </pic:cNvPicPr>
                        </pic:nvPicPr>
                        <pic:blipFill>
                          <a:blip r:embed="rId64"/>
                          <a:stretch>
                            <a:fillRect/>
                          </a:stretch>
                        </pic:blipFill>
                        <pic:spPr>
                          <a:xfrm>
                            <a:off x="0" y="0"/>
                            <a:ext cx="396240" cy="296545"/>
                          </a:xfrm>
                          <a:prstGeom prst="rect">
                            <a:avLst/>
                          </a:prstGeom>
                          <a:noFill/>
                          <a:ln>
                            <a:noFill/>
                          </a:ln>
                        </pic:spPr>
                      </pic:pic>
                    </a:graphicData>
                  </a:graphic>
                </wp:inline>
              </w:drawing>
            </w:r>
          </w:p>
        </w:tc>
      </w:tr>
      <w:tr w14:paraId="455C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7CFBF7D">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87</w:t>
            </w:r>
          </w:p>
        </w:tc>
        <w:tc>
          <w:tcPr>
            <w:tcW w:w="535" w:type="pct"/>
            <w:vAlign w:val="center"/>
          </w:tcPr>
          <w:p w14:paraId="665238D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烟罩下封板</w:t>
            </w:r>
          </w:p>
        </w:tc>
        <w:tc>
          <w:tcPr>
            <w:tcW w:w="628" w:type="pct"/>
            <w:vAlign w:val="center"/>
          </w:tcPr>
          <w:p w14:paraId="2198D809">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4800×1800mm(±5%)</w:t>
            </w:r>
          </w:p>
        </w:tc>
        <w:tc>
          <w:tcPr>
            <w:tcW w:w="2109" w:type="pct"/>
            <w:vAlign w:val="center"/>
          </w:tcPr>
          <w:p w14:paraId="4D8FD5D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采用SUS304-2B优质不锈钢板制作，δ≥0.9mm。</w:t>
            </w:r>
          </w:p>
        </w:tc>
        <w:tc>
          <w:tcPr>
            <w:tcW w:w="202" w:type="pct"/>
            <w:vAlign w:val="center"/>
          </w:tcPr>
          <w:p w14:paraId="4B086DF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4D403E0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FC1BDF4">
            <w:pPr>
              <w:jc w:val="center"/>
              <w:rPr>
                <w:rFonts w:hint="eastAsia" w:ascii="宋体" w:hAnsi="宋体" w:eastAsia="宋体" w:cs="宋体"/>
                <w:sz w:val="22"/>
                <w:szCs w:val="22"/>
                <w:vertAlign w:val="baseline"/>
              </w:rPr>
            </w:pPr>
            <w:r>
              <w:rPr>
                <w:rFonts w:hint="eastAsia" w:ascii="宋体" w:hAnsi="宋体" w:eastAsia="宋体" w:cs="宋体"/>
                <w:b w:val="0"/>
                <w:bCs w:val="0"/>
                <w:i w:val="0"/>
                <w:color w:val="000000"/>
                <w:kern w:val="0"/>
                <w:sz w:val="22"/>
                <w:szCs w:val="22"/>
                <w:highlight w:val="none"/>
                <w:u w:val="none"/>
                <w:lang w:val="en-US" w:eastAsia="zh-CN" w:bidi="ar"/>
              </w:rPr>
              <w:drawing>
                <wp:inline distT="0" distB="0" distL="114300" distR="114300">
                  <wp:extent cx="396240" cy="296545"/>
                  <wp:effectExtent l="0" t="0" r="3810" b="8255"/>
                  <wp:docPr id="70" name="图片 169"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9" descr="1552310796(1)"/>
                          <pic:cNvPicPr>
                            <a:picLocks noChangeAspect="1"/>
                          </pic:cNvPicPr>
                        </pic:nvPicPr>
                        <pic:blipFill>
                          <a:blip r:embed="rId64"/>
                          <a:stretch>
                            <a:fillRect/>
                          </a:stretch>
                        </pic:blipFill>
                        <pic:spPr>
                          <a:xfrm>
                            <a:off x="0" y="0"/>
                            <a:ext cx="396240" cy="296545"/>
                          </a:xfrm>
                          <a:prstGeom prst="rect">
                            <a:avLst/>
                          </a:prstGeom>
                          <a:noFill/>
                          <a:ln>
                            <a:noFill/>
                          </a:ln>
                        </pic:spPr>
                      </pic:pic>
                    </a:graphicData>
                  </a:graphic>
                </wp:inline>
              </w:drawing>
            </w:r>
          </w:p>
        </w:tc>
      </w:tr>
      <w:tr w14:paraId="34B3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2EFC12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88</w:t>
            </w:r>
          </w:p>
        </w:tc>
        <w:tc>
          <w:tcPr>
            <w:tcW w:w="535" w:type="pct"/>
            <w:vAlign w:val="center"/>
          </w:tcPr>
          <w:p w14:paraId="670DE15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油烟净化箱</w:t>
            </w:r>
          </w:p>
        </w:tc>
        <w:tc>
          <w:tcPr>
            <w:tcW w:w="628" w:type="pct"/>
            <w:vAlign w:val="center"/>
          </w:tcPr>
          <w:p w14:paraId="586CB8AD">
            <w:pPr>
              <w:jc w:val="center"/>
              <w:rPr>
                <w:rFonts w:hint="eastAsia" w:ascii="宋体" w:hAnsi="宋体" w:eastAsia="宋体" w:cs="宋体"/>
                <w:sz w:val="22"/>
                <w:szCs w:val="22"/>
                <w:vertAlign w:val="baseline"/>
              </w:rPr>
            </w:pPr>
          </w:p>
        </w:tc>
        <w:tc>
          <w:tcPr>
            <w:tcW w:w="2109" w:type="pct"/>
            <w:shd w:val="clear" w:color="auto" w:fill="auto"/>
            <w:vAlign w:val="center"/>
          </w:tcPr>
          <w:p w14:paraId="6974FDD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1、设备外壳为≥1.0mm厚度的碳钢冷板喷涂工艺。</w:t>
            </w:r>
          </w:p>
          <w:p w14:paraId="3385B9B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2、电场主体绝缘子采用陶瓷绝缘子，设备高压电源输出绝缘子采用陶瓷绝缘子。</w:t>
            </w:r>
          </w:p>
          <w:p w14:paraId="68A3F56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3、设备电源为智能数字高频高压电源，内置微电脑芯片，可选择高效、延长清洗周期、安全等工作模式；实验运行状况的跟踪和记录：详细记录设备的运行曲线，根据客户的状况设定最佳的运行模式。</w:t>
            </w:r>
          </w:p>
          <w:p w14:paraId="1C77DD2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4、为有效收集油烟粒子和去除气味，每个高压电源至少能给电场主体提供14 -16 KV的电压。</w:t>
            </w:r>
          </w:p>
          <w:p w14:paraId="01F3EA5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5、高压电源与电场主体采用不锈钢材质连接，更加安全牢固。</w:t>
            </w:r>
          </w:p>
          <w:p w14:paraId="0CFA73F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6、设备每个净化单元装有数字显示面板及工作指示灯，能数字显示工作电流，故障代码等。</w:t>
            </w:r>
          </w:p>
          <w:p w14:paraId="03EA0F2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7、高压数字电源发生器需配置有电流调节功能，并带有多项保护功能，包括软启动、电场短路保护，放电跳停保护、电源过载保、护和变压器过温保护等多重保护功能，确保设备安全。</w:t>
            </w:r>
          </w:p>
          <w:p w14:paraId="3898F79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8、电场主体为201不锈钢蜂窝状模块式结构，同时满足可单独拆卸。</w:t>
            </w:r>
          </w:p>
          <w:p w14:paraId="66238D7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★9、油烟净化设备外壳防护涂层依据GB/T 9274-1988标准，耐碱性在168h无异常，耐酸性在240h无异常，结果均符合；依据GB/T 9286-2021标准，在(23±2)℃，(50±5)%，24h；材质类型为硬质，结果均符合。</w:t>
            </w:r>
            <w:r>
              <w:rPr>
                <w:rFonts w:hint="eastAsia" w:ascii="宋体" w:hAnsi="宋体" w:eastAsia="宋体" w:cs="宋体"/>
                <w:b/>
                <w:bCs/>
                <w:color w:val="auto"/>
                <w:kern w:val="2"/>
                <w:sz w:val="22"/>
                <w:szCs w:val="22"/>
                <w:highlight w:val="none"/>
                <w:lang w:val="en-US" w:eastAsia="zh-CN" w:bidi="ar"/>
              </w:rPr>
              <w:t>提供满足上述要求的检测报告复印件（带CNAS和CMA）</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，不满足或不提供视为负偏离。</w:t>
            </w:r>
          </w:p>
          <w:p w14:paraId="5277067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★10、油烟净化设备依据 GB/T 3482-2008标准， 对下述进行检测：电子设备雷击试验方法第 5 条款进行测试（严酷等级 4），试验中和试验后对设备进行电气、机械性能、功能检测，设备应无电气危险产生，应无机械破坏现象，应功能正常，检测结果合格。</w:t>
            </w:r>
            <w:r>
              <w:rPr>
                <w:rFonts w:hint="eastAsia" w:ascii="宋体" w:hAnsi="宋体" w:eastAsia="宋体" w:cs="宋体"/>
                <w:b/>
                <w:bCs/>
                <w:color w:val="auto"/>
                <w:kern w:val="2"/>
                <w:sz w:val="22"/>
                <w:szCs w:val="22"/>
                <w:highlight w:val="none"/>
                <w:lang w:val="en-US" w:eastAsia="zh-CN" w:bidi="ar"/>
              </w:rPr>
              <w:t>提供满足上述要求的检测报告复印件（带CNAS或CMA）</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，不满足或不提供视为负偏离。</w:t>
            </w:r>
          </w:p>
          <w:p w14:paraId="7EAAD1A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★11、油烟净化设备核心部件（电源控制电路板）依据GB/T 5169.11-2017标准，在试验温度850℃，灼热丝接触材料的时间30S，试样未起燃、规定的铺底层未起燃，结果合格。</w:t>
            </w:r>
            <w:r>
              <w:rPr>
                <w:rFonts w:hint="eastAsia" w:ascii="宋体" w:hAnsi="宋体" w:eastAsia="宋体" w:cs="宋体"/>
                <w:b/>
                <w:bCs/>
                <w:color w:val="auto"/>
                <w:kern w:val="2"/>
                <w:sz w:val="22"/>
                <w:szCs w:val="22"/>
                <w:highlight w:val="none"/>
                <w:lang w:val="en-US" w:eastAsia="zh-CN" w:bidi="ar"/>
              </w:rPr>
              <w:t>提供满足上述要求的检测报告复印件（带CNAS或CMA）并加盖投标人公章，不满足或不提供视为负偏离。</w:t>
            </w:r>
          </w:p>
        </w:tc>
        <w:tc>
          <w:tcPr>
            <w:tcW w:w="202" w:type="pct"/>
            <w:vAlign w:val="center"/>
          </w:tcPr>
          <w:p w14:paraId="4FE0E65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55FBA48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7D3683A6">
            <w:pPr>
              <w:jc w:val="center"/>
              <w:rPr>
                <w:rFonts w:hint="eastAsia" w:ascii="宋体" w:hAnsi="宋体" w:eastAsia="宋体" w:cs="宋体"/>
                <w:sz w:val="22"/>
                <w:szCs w:val="22"/>
                <w:vertAlign w:val="baseline"/>
              </w:rPr>
            </w:pPr>
            <w:r>
              <w:rPr>
                <w:rFonts w:hint="eastAsia" w:ascii="宋体" w:hAnsi="宋体" w:eastAsia="宋体" w:cs="宋体"/>
                <w:b w:val="0"/>
                <w:bCs w:val="0"/>
                <w:color w:val="auto"/>
                <w:sz w:val="22"/>
                <w:szCs w:val="22"/>
                <w:highlight w:val="none"/>
                <w:lang w:eastAsia="zh-CN"/>
              </w:rPr>
              <w:drawing>
                <wp:inline distT="0" distB="0" distL="114300" distR="114300">
                  <wp:extent cx="516255" cy="592455"/>
                  <wp:effectExtent l="0" t="0" r="17145" b="17145"/>
                  <wp:docPr id="105" name="图片 206" descr="1554622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06" descr="1554622130(1)"/>
                          <pic:cNvPicPr>
                            <a:picLocks noChangeAspect="1"/>
                          </pic:cNvPicPr>
                        </pic:nvPicPr>
                        <pic:blipFill>
                          <a:blip r:embed="rId65"/>
                          <a:stretch>
                            <a:fillRect/>
                          </a:stretch>
                        </pic:blipFill>
                        <pic:spPr>
                          <a:xfrm>
                            <a:off x="0" y="0"/>
                            <a:ext cx="516255" cy="592455"/>
                          </a:xfrm>
                          <a:prstGeom prst="rect">
                            <a:avLst/>
                          </a:prstGeom>
                          <a:noFill/>
                          <a:ln>
                            <a:noFill/>
                          </a:ln>
                        </pic:spPr>
                      </pic:pic>
                    </a:graphicData>
                  </a:graphic>
                </wp:inline>
              </w:drawing>
            </w:r>
          </w:p>
        </w:tc>
      </w:tr>
      <w:tr w14:paraId="5B5F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870D4B9">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89</w:t>
            </w:r>
          </w:p>
        </w:tc>
        <w:tc>
          <w:tcPr>
            <w:tcW w:w="535" w:type="pct"/>
            <w:vAlign w:val="center"/>
          </w:tcPr>
          <w:p w14:paraId="6E55357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油烟净化一体机</w:t>
            </w:r>
          </w:p>
        </w:tc>
        <w:tc>
          <w:tcPr>
            <w:tcW w:w="628" w:type="pct"/>
            <w:vAlign w:val="center"/>
          </w:tcPr>
          <w:p w14:paraId="07866AE3">
            <w:pPr>
              <w:jc w:val="center"/>
              <w:rPr>
                <w:rFonts w:hint="eastAsia" w:ascii="宋体" w:hAnsi="宋体" w:eastAsia="宋体" w:cs="宋体"/>
                <w:sz w:val="22"/>
                <w:szCs w:val="22"/>
                <w:vertAlign w:val="baseline"/>
              </w:rPr>
            </w:pPr>
          </w:p>
        </w:tc>
        <w:tc>
          <w:tcPr>
            <w:tcW w:w="2109" w:type="pct"/>
            <w:shd w:val="clear" w:color="auto" w:fill="auto"/>
            <w:vAlign w:val="center"/>
          </w:tcPr>
          <w:p w14:paraId="70D950D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1、油烟净化一体设备外壳板材为1.0，电场采用全201不锈钢，耐用和耐腐蚀；油烟净化烟罩一体设备采用独立净化抽风装置，整体美观且节能；</w:t>
            </w:r>
          </w:p>
          <w:p w14:paraId="4C23B0B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2、设备内置轻质隔水板和预过滤均风网，高效拦截大部分大颗粒油脂；</w:t>
            </w:r>
          </w:p>
          <w:p w14:paraId="1FEDEF8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3、设备选用防油污耐高温LED照明，铝合金灯体+钢化玻璃灯罩，照明效果优良；</w:t>
            </w:r>
          </w:p>
          <w:p w14:paraId="6E758F0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4、设备采用数字显示且可挥手智控和一键启动控制；具有清洗提示功能；具有故障显示功能，故障代码通过屏幕进行显示；</w:t>
            </w:r>
          </w:p>
          <w:p w14:paraId="691A69D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5、设备电源为智能数字高频高压电源，有多项保护功能，包括软启动、电场短路保护，放电跳停保护、电源过载保护和变压器过温保护等多重保护功能，确保设备安全；</w:t>
            </w:r>
          </w:p>
          <w:p w14:paraId="4C396DA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6、设备使用环氧高频高压变压器,功率强劲,稳定可靠,长期稳定达标排放</w:t>
            </w:r>
          </w:p>
          <w:p w14:paraId="0382281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7、内置低噪音离心风机，电机性能稳定，寿命长，独立包装，可在安装现场选择前/后/上3个方向出风口，便于客户进行风管连接及降低风管的占用空间。</w:t>
            </w:r>
          </w:p>
          <w:p w14:paraId="53B7CA5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★8、油烟净化设备依据GB 8624-2012标准，设备应达到建筑材料及制品燃烧性能分级中 5.2.3 条款中燃烧性能等级 B1 级别，垂直燃烧性能达到V-0 级，检测结果合格。</w:t>
            </w:r>
            <w:r>
              <w:rPr>
                <w:rFonts w:hint="eastAsia" w:ascii="宋体" w:hAnsi="宋体" w:eastAsia="宋体" w:cs="宋体"/>
                <w:b/>
                <w:bCs/>
                <w:color w:val="auto"/>
                <w:kern w:val="2"/>
                <w:sz w:val="22"/>
                <w:szCs w:val="22"/>
                <w:highlight w:val="none"/>
                <w:lang w:val="en-US" w:eastAsia="zh-CN" w:bidi="ar"/>
              </w:rPr>
              <w:t>需提供同时满足上述要求的检测报告复印件（带CMA和CNAS标识）</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。不提供或提供不全视为负偏离。</w:t>
            </w:r>
          </w:p>
          <w:p w14:paraId="6097E7E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★9、油烟净化设备依据GB/T 3482-2008标准，电子设备雷击试验方法第 5 条款进行测试（严酷等级 4），试验中和试验后对设备进行电气、机械性能、功能检测，设备应无电气危险产生，应无机械破坏现象，应功能正常，检测结果合格。</w:t>
            </w:r>
            <w:r>
              <w:rPr>
                <w:rFonts w:hint="eastAsia" w:ascii="宋体" w:hAnsi="宋体" w:eastAsia="宋体" w:cs="宋体"/>
                <w:b/>
                <w:bCs/>
                <w:color w:val="auto"/>
                <w:kern w:val="2"/>
                <w:sz w:val="22"/>
                <w:szCs w:val="22"/>
                <w:highlight w:val="none"/>
                <w:lang w:val="en-US" w:eastAsia="zh-CN" w:bidi="ar"/>
              </w:rPr>
              <w:t>需提供同时满足上述要求的检测报告复印件（带CMA和CNAS标识）</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。不提供或提供不全视为负偏离。</w:t>
            </w:r>
          </w:p>
          <w:p w14:paraId="7B27BB1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★10、油烟净化设备核心部件（控制面板）依据GB/T 2423.16-2022标准，培养时间≥2</w:t>
            </w:r>
            <w:r>
              <w:rPr>
                <w:rFonts w:hint="eastAsia" w:ascii="宋体" w:hAnsi="宋体" w:cs="宋体"/>
                <w:b w:val="0"/>
                <w:bCs w:val="0"/>
                <w:color w:val="auto"/>
                <w:kern w:val="2"/>
                <w:sz w:val="22"/>
                <w:szCs w:val="22"/>
                <w:highlight w:val="none"/>
                <w:lang w:val="en-US" w:eastAsia="zh-CN" w:bidi="ar"/>
              </w:rPr>
              <w:t>8</w:t>
            </w:r>
            <w:r>
              <w:rPr>
                <w:rFonts w:hint="eastAsia" w:ascii="宋体" w:hAnsi="宋体" w:eastAsia="宋体" w:cs="宋体"/>
                <w:b w:val="0"/>
                <w:bCs w:val="0"/>
                <w:color w:val="auto"/>
                <w:kern w:val="2"/>
                <w:sz w:val="22"/>
                <w:szCs w:val="22"/>
                <w:highlight w:val="none"/>
                <w:lang w:val="en-US" w:eastAsia="zh-CN" w:bidi="ar"/>
              </w:rPr>
              <w:t>天，长霉等级为0级，显微镜(放大 50 倍)下观察未见生长。</w:t>
            </w:r>
            <w:r>
              <w:rPr>
                <w:rFonts w:hint="eastAsia" w:ascii="宋体" w:hAnsi="宋体" w:eastAsia="宋体" w:cs="宋体"/>
                <w:b/>
                <w:bCs/>
                <w:color w:val="auto"/>
                <w:kern w:val="2"/>
                <w:sz w:val="22"/>
                <w:szCs w:val="22"/>
                <w:highlight w:val="none"/>
                <w:lang w:val="en-US" w:eastAsia="zh-CN" w:bidi="ar"/>
              </w:rPr>
              <w:t>需提供同时满足上述要求的检测报告复印件（带CMA和CNAS标识）和全国认证认可信息平台官网查询截图</w:t>
            </w:r>
            <w:r>
              <w:rPr>
                <w:rFonts w:hint="eastAsia" w:ascii="宋体" w:hAnsi="宋体" w:cs="宋体"/>
                <w:b/>
                <w:bCs/>
                <w:color w:val="auto"/>
                <w:kern w:val="2"/>
                <w:sz w:val="22"/>
                <w:szCs w:val="22"/>
                <w:highlight w:val="none"/>
                <w:lang w:val="en-US" w:eastAsia="zh-CN" w:bidi="ar"/>
              </w:rPr>
              <w:t>并加盖投标人公章</w:t>
            </w:r>
            <w:r>
              <w:rPr>
                <w:rFonts w:hint="eastAsia" w:ascii="宋体" w:hAnsi="宋体" w:eastAsia="宋体" w:cs="宋体"/>
                <w:b/>
                <w:bCs/>
                <w:color w:val="auto"/>
                <w:kern w:val="2"/>
                <w:sz w:val="22"/>
                <w:szCs w:val="22"/>
                <w:highlight w:val="none"/>
                <w:lang w:val="en-US" w:eastAsia="zh-CN" w:bidi="ar"/>
              </w:rPr>
              <w:t>。不提供或提供不全视为负偏离。</w:t>
            </w:r>
          </w:p>
        </w:tc>
        <w:tc>
          <w:tcPr>
            <w:tcW w:w="202" w:type="pct"/>
            <w:vAlign w:val="center"/>
          </w:tcPr>
          <w:p w14:paraId="6574398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1AB775B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FCC414E">
            <w:pPr>
              <w:jc w:val="center"/>
              <w:rPr>
                <w:rFonts w:hint="eastAsia" w:ascii="宋体" w:hAnsi="宋体" w:eastAsia="宋体" w:cs="宋体"/>
                <w:sz w:val="22"/>
                <w:szCs w:val="22"/>
                <w:vertAlign w:val="baseline"/>
              </w:rPr>
            </w:pPr>
            <w:r>
              <w:rPr>
                <w:rFonts w:hint="eastAsia" w:ascii="黑体" w:hAnsi="黑体" w:eastAsia="黑体" w:cs="黑体"/>
                <w:b w:val="0"/>
                <w:bCs w:val="0"/>
                <w:color w:val="auto"/>
                <w:kern w:val="2"/>
                <w:sz w:val="22"/>
                <w:szCs w:val="22"/>
                <w:highlight w:val="none"/>
                <w:lang w:val="en-US" w:eastAsia="zh-CN" w:bidi="ar-SA"/>
              </w:rPr>
              <w:drawing>
                <wp:inline distT="0" distB="0" distL="114300" distR="114300">
                  <wp:extent cx="469265" cy="350520"/>
                  <wp:effectExtent l="0" t="0" r="6985" b="11430"/>
                  <wp:docPr id="67" name="图片 16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8" descr="1111"/>
                          <pic:cNvPicPr>
                            <a:picLocks noChangeAspect="1"/>
                          </pic:cNvPicPr>
                        </pic:nvPicPr>
                        <pic:blipFill>
                          <a:blip r:embed="rId66"/>
                          <a:stretch>
                            <a:fillRect/>
                          </a:stretch>
                        </pic:blipFill>
                        <pic:spPr>
                          <a:xfrm>
                            <a:off x="0" y="0"/>
                            <a:ext cx="469265" cy="350520"/>
                          </a:xfrm>
                          <a:prstGeom prst="rect">
                            <a:avLst/>
                          </a:prstGeom>
                          <a:noFill/>
                          <a:ln>
                            <a:noFill/>
                          </a:ln>
                        </pic:spPr>
                      </pic:pic>
                    </a:graphicData>
                  </a:graphic>
                </wp:inline>
              </w:drawing>
            </w:r>
          </w:p>
        </w:tc>
      </w:tr>
      <w:tr w14:paraId="1BF5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61AE08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90</w:t>
            </w:r>
          </w:p>
        </w:tc>
        <w:tc>
          <w:tcPr>
            <w:tcW w:w="535" w:type="pct"/>
            <w:vAlign w:val="center"/>
          </w:tcPr>
          <w:p w14:paraId="447BF2CE">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右单星剖鱼盆台</w:t>
            </w:r>
          </w:p>
        </w:tc>
        <w:tc>
          <w:tcPr>
            <w:tcW w:w="628" w:type="pct"/>
            <w:vAlign w:val="center"/>
          </w:tcPr>
          <w:p w14:paraId="36FB4135">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 xml:space="preserve">1500×700×(800+150) mm(±5%) </w:t>
            </w:r>
          </w:p>
        </w:tc>
        <w:tc>
          <w:tcPr>
            <w:tcW w:w="2109" w:type="pct"/>
            <w:vAlign w:val="center"/>
          </w:tcPr>
          <w:p w14:paraId="4B88235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采用SUS304-2B优质发纹贴塑不锈钢板制作，台面δ≥1.1mm，星盆斗δ≥1.1mm，加强筋δ≥0.9mm；配置Φ38mm不锈钢可调节重力子弹脚，配优质不锈钢落水器、拦渣斗，配双温龙头，三角阀，进水软管。</w:t>
            </w:r>
          </w:p>
        </w:tc>
        <w:tc>
          <w:tcPr>
            <w:tcW w:w="202" w:type="pct"/>
            <w:vAlign w:val="center"/>
          </w:tcPr>
          <w:p w14:paraId="1F8FDBE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37DE7F6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357CBCC8">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0875" cy="625475"/>
                  <wp:effectExtent l="0" t="0" r="15875" b="3175"/>
                  <wp:docPr id="84"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19"/>
                          <pic:cNvPicPr>
                            <a:picLocks noChangeAspect="1"/>
                          </pic:cNvPicPr>
                        </pic:nvPicPr>
                        <pic:blipFill>
                          <a:blip r:embed="rId28"/>
                          <a:stretch>
                            <a:fillRect/>
                          </a:stretch>
                        </pic:blipFill>
                        <pic:spPr>
                          <a:xfrm>
                            <a:off x="0" y="0"/>
                            <a:ext cx="650875" cy="625475"/>
                          </a:xfrm>
                          <a:prstGeom prst="rect">
                            <a:avLst/>
                          </a:prstGeom>
                          <a:noFill/>
                          <a:ln>
                            <a:noFill/>
                          </a:ln>
                        </pic:spPr>
                      </pic:pic>
                    </a:graphicData>
                  </a:graphic>
                </wp:inline>
              </w:drawing>
            </w:r>
          </w:p>
        </w:tc>
      </w:tr>
      <w:tr w14:paraId="4318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28883D8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91</w:t>
            </w:r>
          </w:p>
        </w:tc>
        <w:tc>
          <w:tcPr>
            <w:tcW w:w="535" w:type="pct"/>
            <w:vAlign w:val="center"/>
          </w:tcPr>
          <w:p w14:paraId="07BDAF0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蒸菜台</w:t>
            </w:r>
          </w:p>
        </w:tc>
        <w:tc>
          <w:tcPr>
            <w:tcW w:w="628" w:type="pct"/>
            <w:vAlign w:val="center"/>
          </w:tcPr>
          <w:p w14:paraId="760734A2">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1800×700×800mm(±5%)</w:t>
            </w:r>
          </w:p>
        </w:tc>
        <w:tc>
          <w:tcPr>
            <w:tcW w:w="2109" w:type="pct"/>
            <w:vAlign w:val="center"/>
          </w:tcPr>
          <w:p w14:paraId="3EB02C0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color w:val="auto"/>
                <w:kern w:val="2"/>
                <w:sz w:val="22"/>
                <w:szCs w:val="22"/>
                <w:highlight w:val="none"/>
                <w:lang w:val="en-US" w:eastAsia="zh-CN" w:bidi="ar"/>
              </w:rPr>
              <w:t>选用SUS304-2B优质不锈钢板制作，台面δ≥1.1mm。加强筋δ≥0.9mm，横通25×38×δ≥0.9mm；脚φ38×δ≥0.9mm；（配有可调子弹脚）。配三角阀，进水软管。</w:t>
            </w:r>
          </w:p>
        </w:tc>
        <w:tc>
          <w:tcPr>
            <w:tcW w:w="202" w:type="pct"/>
            <w:vAlign w:val="center"/>
          </w:tcPr>
          <w:p w14:paraId="27961BB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6244BA63">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1863EB2E">
            <w:pPr>
              <w:jc w:val="center"/>
              <w:rPr>
                <w:rFonts w:hint="eastAsia" w:ascii="宋体" w:hAnsi="宋体" w:eastAsia="宋体" w:cs="宋体"/>
                <w:sz w:val="22"/>
                <w:szCs w:val="22"/>
                <w:vertAlign w:val="baseline"/>
              </w:rPr>
            </w:pPr>
            <w:r>
              <w:rPr>
                <w:rFonts w:hint="eastAsia" w:ascii="Arial" w:hAnsi="Arial" w:eastAsia="宋体" w:cs="Arial"/>
                <w:b w:val="0"/>
                <w:bCs w:val="0"/>
                <w:color w:val="000000"/>
                <w:kern w:val="2"/>
                <w:sz w:val="22"/>
                <w:szCs w:val="22"/>
                <w:highlight w:val="none"/>
                <w:lang w:val="en-US" w:eastAsia="zh-CN" w:bidi="ar"/>
              </w:rPr>
              <w:drawing>
                <wp:inline distT="0" distB="0" distL="114300" distR="114300">
                  <wp:extent cx="509270" cy="363220"/>
                  <wp:effectExtent l="0" t="0" r="5080" b="17780"/>
                  <wp:docPr id="50"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1"/>
                          <pic:cNvPicPr>
                            <a:picLocks noChangeAspect="1"/>
                          </pic:cNvPicPr>
                        </pic:nvPicPr>
                        <pic:blipFill>
                          <a:blip r:embed="rId18"/>
                          <a:stretch>
                            <a:fillRect/>
                          </a:stretch>
                        </pic:blipFill>
                        <pic:spPr>
                          <a:xfrm>
                            <a:off x="0" y="0"/>
                            <a:ext cx="509270" cy="363220"/>
                          </a:xfrm>
                          <a:prstGeom prst="rect">
                            <a:avLst/>
                          </a:prstGeom>
                          <a:noFill/>
                          <a:ln>
                            <a:noFill/>
                          </a:ln>
                        </pic:spPr>
                      </pic:pic>
                    </a:graphicData>
                  </a:graphic>
                </wp:inline>
              </w:drawing>
            </w:r>
          </w:p>
        </w:tc>
      </w:tr>
      <w:tr w14:paraId="1A0AC671">
        <w:tblPrEx>
          <w:tblCellMar>
            <w:top w:w="0" w:type="dxa"/>
            <w:left w:w="108" w:type="dxa"/>
            <w:bottom w:w="0" w:type="dxa"/>
            <w:right w:w="108" w:type="dxa"/>
          </w:tblCellMar>
        </w:tblPrEx>
        <w:tc>
          <w:tcPr>
            <w:tcW w:w="349" w:type="pct"/>
            <w:vAlign w:val="center"/>
          </w:tcPr>
          <w:p w14:paraId="7C9A5A67">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92</w:t>
            </w:r>
          </w:p>
        </w:tc>
        <w:tc>
          <w:tcPr>
            <w:tcW w:w="535" w:type="pct"/>
            <w:vAlign w:val="center"/>
          </w:tcPr>
          <w:p w14:paraId="177FD58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中餐燃气炒菜灶(广式单炒单温)</w:t>
            </w:r>
          </w:p>
        </w:tc>
        <w:tc>
          <w:tcPr>
            <w:tcW w:w="628" w:type="pct"/>
            <w:vAlign w:val="center"/>
          </w:tcPr>
          <w:p w14:paraId="6BEA9F22">
            <w:pPr>
              <w:jc w:val="both"/>
              <w:rPr>
                <w:rFonts w:hint="eastAsia" w:ascii="宋体" w:hAnsi="宋体" w:eastAsia="宋体" w:cs="宋体"/>
                <w:sz w:val="22"/>
                <w:szCs w:val="22"/>
                <w:vertAlign w:val="baseline"/>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000×1200×（800 +450）</w:t>
            </w:r>
            <w:r>
              <w:rPr>
                <w:rFonts w:hint="eastAsia" w:ascii="宋体" w:hAnsi="宋体" w:eastAsia="宋体" w:cs="宋体"/>
                <w:color w:val="auto"/>
                <w:kern w:val="2"/>
                <w:sz w:val="22"/>
                <w:szCs w:val="22"/>
                <w:highlight w:val="none"/>
                <w:lang w:val="en-US" w:eastAsia="zh-CN" w:bidi="ar"/>
              </w:rPr>
              <w:t>(±5%)</w:t>
            </w:r>
          </w:p>
        </w:tc>
        <w:tc>
          <w:tcPr>
            <w:tcW w:w="2109" w:type="pct"/>
            <w:shd w:val="clear" w:color="auto" w:fill="auto"/>
            <w:vAlign w:val="center"/>
          </w:tcPr>
          <w:p w14:paraId="4075F39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1、额定电压：AC220V-240V，额定频率：50/60Hz，额定热负荷：35kW*2，额定功率：110W，额定气压：2.0kPa，炉膛口径：350mm，进气口：DN20，进水管：DN15，排水管：DN25；</w:t>
            </w:r>
          </w:p>
          <w:p w14:paraId="07FB7DD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2、优质SUS304-2B不锈钢板制造，面板、前脸板厚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1.2mm,台面一次压制成型；外旁板、后立板201J1/J4，板厚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1.0mm,龙骨架国标不锈钢方管25*38</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1.2mm；衬板电解镀锌钢板厚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1.2mm,灶身双层热轧钢板，隔热层</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40,炉膛</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50厚耐高温材料；</w:t>
            </w:r>
          </w:p>
          <w:p w14:paraId="76A8457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3、炉膛采用不锈钢合金材料，一次成型，厚度2.0内配稀土贵金属聚能网；配全预混式节能炉头，36V42W直流风机 ，一键启动；</w:t>
            </w:r>
            <w:r>
              <w:rPr>
                <w:rFonts w:hint="eastAsia" w:ascii="宋体" w:hAnsi="宋体" w:eastAsia="宋体" w:cs="宋体"/>
                <w:color w:val="auto"/>
                <w:sz w:val="22"/>
                <w:szCs w:val="22"/>
                <w:highlight w:val="none"/>
                <w:lang w:val="en-US" w:eastAsia="zh-CN" w:bidi="ar"/>
              </w:rPr>
              <w:t>配备三角阀，进水软管</w:t>
            </w:r>
          </w:p>
          <w:p w14:paraId="51F743C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4、产品符合GB35848-2024《商用燃气燃烧器具》要求；所投产品额定热负荷35KW*2，热负荷准确度±10%以内，能源合理利用率55%以上；</w:t>
            </w:r>
          </w:p>
          <w:p w14:paraId="599EB0D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5、设备有故障代码提示功能（出现故障时候，会报警并且显示屏提示不同代码）；</w:t>
            </w:r>
          </w:p>
          <w:p w14:paraId="550751F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6、设备有故障报错累计记录功能（从开始使用到查询当天的故障问题及次数的累计）；</w:t>
            </w:r>
          </w:p>
          <w:p w14:paraId="22534CF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7、所投设备通过检测锅是否在炉膛上面的信号，实现进行火种和当前档位的切换，锅离开炉膛时为火种状态，锅在炉膛上面时为当前设定档位火力。</w:t>
            </w:r>
          </w:p>
          <w:p w14:paraId="456D993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8、所投设备有累计用时功能（从开始使用到查询当天主板工作的总时间，在小程序，平台，显示屏中显示）。</w:t>
            </w:r>
          </w:p>
          <w:p w14:paraId="7F684D5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9、设备有火力功率调节及火力显示功能 (通过设定比例阀的数值，可自由调节每一档的火力功率，通过主档位开关检测，在显示屏或小程序上显示当前火力档位。)；</w:t>
            </w:r>
          </w:p>
          <w:p w14:paraId="46F61A8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10、设备有火焰检测（熄火保护功能）(自动检测火焰，遇到意外熄火时，会自动关闭电磁阀并报警，在显示屏显示故障代码)；</w:t>
            </w:r>
          </w:p>
          <w:p w14:paraId="18A0962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（检测依据：GB 35848-2024《商用燃气燃烧器具》、GB/T25000.51-2016：《系统与软件工程系统与软件质量要求和评价（SQuaRE）第51部分：就绪可用软件产品（RUSP）的质量要求和测试细则》、《商用燃气燃烧器具产品评价技术规范》）</w:t>
            </w:r>
          </w:p>
          <w:p w14:paraId="7BC8881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b/>
                <w:bCs/>
                <w:color w:val="auto"/>
                <w:sz w:val="22"/>
                <w:szCs w:val="22"/>
                <w:highlight w:val="none"/>
                <w:lang w:bidi="ar"/>
              </w:rPr>
              <w:t>上述4、5、6、7、8、9、10条须提供第三方检测机构出具的具有CMA或CNAS认证资质的整机检测报告复印件</w:t>
            </w:r>
            <w:r>
              <w:rPr>
                <w:rFonts w:hint="eastAsia" w:ascii="宋体" w:hAnsi="宋体" w:cs="宋体"/>
                <w:b/>
                <w:bCs/>
                <w:color w:val="auto"/>
                <w:kern w:val="2"/>
                <w:sz w:val="22"/>
                <w:szCs w:val="22"/>
                <w:highlight w:val="none"/>
                <w:lang w:val="en-US" w:eastAsia="zh-CN" w:bidi="ar"/>
              </w:rPr>
              <w:t>并加盖投标人公章</w:t>
            </w:r>
          </w:p>
        </w:tc>
        <w:tc>
          <w:tcPr>
            <w:tcW w:w="202" w:type="pct"/>
            <w:vAlign w:val="center"/>
          </w:tcPr>
          <w:p w14:paraId="6BF40C8E">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23E87BD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08F6DC96">
            <w:pPr>
              <w:jc w:val="center"/>
              <w:rPr>
                <w:rFonts w:hint="eastAsia" w:ascii="宋体" w:hAnsi="宋体" w:eastAsia="宋体" w:cs="宋体"/>
                <w:sz w:val="22"/>
                <w:szCs w:val="22"/>
                <w:vertAlign w:val="baseline"/>
              </w:rPr>
            </w:pPr>
          </w:p>
        </w:tc>
      </w:tr>
      <w:tr w14:paraId="0C79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8DB10A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93</w:t>
            </w:r>
          </w:p>
        </w:tc>
        <w:tc>
          <w:tcPr>
            <w:tcW w:w="535" w:type="pct"/>
            <w:vAlign w:val="center"/>
          </w:tcPr>
          <w:p w14:paraId="347E4F19">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中餐燃气炒菜灶(广式双炒单温)</w:t>
            </w:r>
          </w:p>
        </w:tc>
        <w:tc>
          <w:tcPr>
            <w:tcW w:w="628" w:type="pct"/>
            <w:vAlign w:val="center"/>
          </w:tcPr>
          <w:p w14:paraId="7EB55E9C">
            <w:pPr>
              <w:jc w:val="both"/>
              <w:rPr>
                <w:rFonts w:hint="eastAsia" w:ascii="宋体" w:hAnsi="宋体" w:eastAsia="宋体" w:cs="宋体"/>
                <w:sz w:val="22"/>
                <w:szCs w:val="22"/>
                <w:vertAlign w:val="baseline"/>
              </w:rPr>
            </w:pPr>
            <w:r>
              <w:rPr>
                <w:rFonts w:hint="eastAsia" w:ascii="宋体" w:hAnsi="宋体" w:eastAsia="宋体" w:cs="宋体"/>
                <w:color w:val="auto"/>
                <w:sz w:val="22"/>
                <w:szCs w:val="22"/>
                <w:highlight w:val="none"/>
                <w:lang w:bidi="ar"/>
              </w:rPr>
              <w:t>2000×1200×（800 +450）</w:t>
            </w:r>
          </w:p>
        </w:tc>
        <w:tc>
          <w:tcPr>
            <w:tcW w:w="2109" w:type="pct"/>
            <w:shd w:val="clear" w:color="auto" w:fill="auto"/>
            <w:vAlign w:val="center"/>
          </w:tcPr>
          <w:p w14:paraId="64D3584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1、额定电压：AC220V-240V，额定频率：50/60Hz，额定热负荷：35kW*2，额定功率：110W，额定气压：2.0kPa，炉膛口径：350mm，进气口：DN20，进水管：DN15，排水管：DN25；</w:t>
            </w:r>
          </w:p>
          <w:p w14:paraId="79AF6054">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2、优质SUS304-2B不锈钢板制造，面板、前脸板厚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1.2mm,台面一次压制成型；外旁板、后立板201J1/J4，板厚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1.0mm,龙骨架国标不锈钢方管25*38</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1.2mm；衬板电解镀锌钢板厚</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1.2mm,灶身双层热轧钢板，隔热层</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40,炉膛</w:t>
            </w:r>
            <w:r>
              <w:rPr>
                <w:rFonts w:hint="eastAsia" w:ascii="宋体" w:hAnsi="宋体" w:eastAsia="宋体" w:cs="宋体"/>
                <w:color w:val="auto"/>
                <w:kern w:val="2"/>
                <w:sz w:val="22"/>
                <w:szCs w:val="22"/>
                <w:highlight w:val="none"/>
                <w:lang w:val="en-US" w:eastAsia="zh-CN" w:bidi="ar"/>
              </w:rPr>
              <w:t>δ≥</w:t>
            </w:r>
            <w:r>
              <w:rPr>
                <w:rFonts w:hint="eastAsia" w:ascii="宋体" w:hAnsi="宋体" w:eastAsia="宋体" w:cs="宋体"/>
                <w:color w:val="auto"/>
                <w:sz w:val="22"/>
                <w:szCs w:val="22"/>
                <w:highlight w:val="none"/>
                <w:lang w:bidi="ar"/>
              </w:rPr>
              <w:t>50厚耐高温材料；</w:t>
            </w:r>
          </w:p>
          <w:p w14:paraId="6650C75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3、炉膛采用不锈钢合金材料，一次成型，厚度2.0内配稀土贵金属聚能网；配全预混式节能炉头，36V42W直流风机 ，一键启动；</w:t>
            </w:r>
            <w:r>
              <w:rPr>
                <w:rFonts w:hint="eastAsia" w:ascii="宋体" w:hAnsi="宋体" w:eastAsia="宋体" w:cs="宋体"/>
                <w:color w:val="auto"/>
                <w:sz w:val="22"/>
                <w:szCs w:val="22"/>
                <w:highlight w:val="none"/>
                <w:lang w:val="en-US" w:eastAsia="zh-CN" w:bidi="ar"/>
              </w:rPr>
              <w:t>配备三角阀，进水软管</w:t>
            </w:r>
            <w:r>
              <w:rPr>
                <w:rFonts w:hint="eastAsia" w:ascii="宋体" w:hAnsi="宋体" w:eastAsia="宋体" w:cs="宋体"/>
                <w:color w:val="auto"/>
                <w:sz w:val="22"/>
                <w:szCs w:val="22"/>
                <w:highlight w:val="none"/>
                <w:lang w:bidi="ar"/>
              </w:rPr>
              <w:t>；</w:t>
            </w:r>
          </w:p>
          <w:p w14:paraId="747B05D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4、产品符合GB35848-2024《商用燃气燃烧器具》要求；所投产品额定热负荷35KW*2，热负荷准确度±10%以内，能源合理利用率55%以上；</w:t>
            </w:r>
          </w:p>
          <w:p w14:paraId="24869EC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5、设备有故障代码提示功能（出现故障时候，会报警并且显示屏提示不同代码）；</w:t>
            </w:r>
          </w:p>
          <w:p w14:paraId="19AA2AD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6、设备有故障报错累计记录功能（从开始使用到查询当天的故障问题及次数的累计）；</w:t>
            </w:r>
          </w:p>
          <w:p w14:paraId="029C122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7、所投设备通过检测锅是否在炉膛上面的信号，实现进行火种和当前档位的切换，锅离开炉膛时为火种状态，锅在炉膛上面时为当前设定档位火力。</w:t>
            </w:r>
          </w:p>
          <w:p w14:paraId="7C65935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8、所投设备有累计用时功能（从开始使用到查询当天主板工作的总时间，在小程序，平台，显示屏中显示）。</w:t>
            </w:r>
          </w:p>
          <w:p w14:paraId="3D7B586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9、设备有火力功率调节及火力显示功能 (通过设定比例阀的数值，可自由调节每一档的火力功率，通过主档位开关检测，在显示屏或小程序上显示当前火力档位。)；</w:t>
            </w:r>
          </w:p>
          <w:p w14:paraId="2523A06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10、设备有火焰检测（熄火保护功能）(自动检测火焰，遇到意外熄火时，会自动关闭电磁阀并报警，在显示屏显示故障代码)；</w:t>
            </w:r>
          </w:p>
          <w:p w14:paraId="4779C89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（检测依据：GB 35848-2024《商用燃气燃烧器具》、GB/T25000.51-2016：《系统与软件工程系统与软件质量要求和评价（SQuaRE）第51部分：就绪可用软件产品（RUSP）的质量要求和测试细则》、《商用燃气燃烧器具产品评价技术规范》）</w:t>
            </w:r>
          </w:p>
          <w:p w14:paraId="1458C11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b/>
                <w:bCs/>
                <w:color w:val="auto"/>
                <w:sz w:val="22"/>
                <w:szCs w:val="22"/>
                <w:highlight w:val="none"/>
                <w:lang w:bidi="ar"/>
              </w:rPr>
              <w:t>上述4、5、6、7、8、9、10条须提供第三方检测机构出具的具有CMA或CNAS认证资质的整机检测报告复印件</w:t>
            </w:r>
            <w:r>
              <w:rPr>
                <w:rFonts w:hint="eastAsia" w:ascii="宋体" w:hAnsi="宋体" w:cs="宋体"/>
                <w:b/>
                <w:bCs/>
                <w:color w:val="auto"/>
                <w:kern w:val="2"/>
                <w:sz w:val="22"/>
                <w:szCs w:val="22"/>
                <w:highlight w:val="none"/>
                <w:lang w:val="en-US" w:eastAsia="zh-CN" w:bidi="ar"/>
              </w:rPr>
              <w:t>并加盖投标人公章</w:t>
            </w:r>
          </w:p>
        </w:tc>
        <w:tc>
          <w:tcPr>
            <w:tcW w:w="202" w:type="pct"/>
            <w:vAlign w:val="center"/>
          </w:tcPr>
          <w:p w14:paraId="2BFA68B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2ADDC47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1A6DC282">
            <w:pPr>
              <w:jc w:val="center"/>
              <w:rPr>
                <w:rFonts w:hint="eastAsia" w:ascii="宋体" w:hAnsi="宋体" w:eastAsia="宋体" w:cs="宋体"/>
                <w:sz w:val="22"/>
                <w:szCs w:val="22"/>
                <w:vertAlign w:val="baseline"/>
              </w:rPr>
            </w:pPr>
            <w:r>
              <w:rPr>
                <w:b w:val="0"/>
                <w:bCs w:val="0"/>
                <w:color w:val="auto"/>
                <w:sz w:val="22"/>
                <w:szCs w:val="22"/>
                <w:highlight w:val="none"/>
              </w:rPr>
              <w:drawing>
                <wp:inline distT="0" distB="0" distL="114300" distR="114300">
                  <wp:extent cx="427990" cy="567055"/>
                  <wp:effectExtent l="0" t="0" r="10160" b="4445"/>
                  <wp:docPr id="87"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30"/>
                          <pic:cNvPicPr>
                            <a:picLocks noChangeAspect="1"/>
                          </pic:cNvPicPr>
                        </pic:nvPicPr>
                        <pic:blipFill>
                          <a:blip r:embed="rId67"/>
                          <a:stretch>
                            <a:fillRect/>
                          </a:stretch>
                        </pic:blipFill>
                        <pic:spPr>
                          <a:xfrm>
                            <a:off x="0" y="0"/>
                            <a:ext cx="427990" cy="567055"/>
                          </a:xfrm>
                          <a:prstGeom prst="rect">
                            <a:avLst/>
                          </a:prstGeom>
                          <a:noFill/>
                          <a:ln>
                            <a:noFill/>
                          </a:ln>
                        </pic:spPr>
                      </pic:pic>
                    </a:graphicData>
                  </a:graphic>
                </wp:inline>
              </w:drawing>
            </w:r>
          </w:p>
        </w:tc>
      </w:tr>
      <w:tr w14:paraId="36E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384D5A2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94</w:t>
            </w:r>
          </w:p>
        </w:tc>
        <w:tc>
          <w:tcPr>
            <w:tcW w:w="535" w:type="pct"/>
            <w:vAlign w:val="center"/>
          </w:tcPr>
          <w:p w14:paraId="755E9270">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左单星剖鱼盆台</w:t>
            </w:r>
          </w:p>
        </w:tc>
        <w:tc>
          <w:tcPr>
            <w:tcW w:w="628" w:type="pct"/>
            <w:vAlign w:val="center"/>
          </w:tcPr>
          <w:p w14:paraId="5E8FACB5">
            <w:pPr>
              <w:jc w:val="both"/>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1500×700×(800+150) mm(±5%)</w:t>
            </w:r>
          </w:p>
        </w:tc>
        <w:tc>
          <w:tcPr>
            <w:tcW w:w="2109" w:type="pct"/>
            <w:vAlign w:val="center"/>
          </w:tcPr>
          <w:p w14:paraId="00FE810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color w:val="auto"/>
                <w:kern w:val="2"/>
                <w:sz w:val="22"/>
                <w:szCs w:val="22"/>
                <w:highlight w:val="none"/>
                <w:lang w:val="en-US" w:eastAsia="zh-CN" w:bidi="ar"/>
              </w:rPr>
              <w:t xml:space="preserve">采用SUS304-2B优质发纹贴塑不锈钢板制作，台面δ≥1.1mm，星盆斗δ≥1.1mm，加强筋δ≥0.9mm；配置Φ38mm不锈钢可调节重力子弹脚，配优质不锈钢落水器、拦渣斗，配双温龙头，三角阀，进水软管。   </w:t>
            </w:r>
          </w:p>
        </w:tc>
        <w:tc>
          <w:tcPr>
            <w:tcW w:w="202" w:type="pct"/>
            <w:vAlign w:val="center"/>
          </w:tcPr>
          <w:p w14:paraId="76FE530D">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4203B84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5C30582B">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50875" cy="625475"/>
                  <wp:effectExtent l="0" t="0" r="15875" b="3175"/>
                  <wp:docPr id="8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8"/>
                          <pic:cNvPicPr>
                            <a:picLocks noChangeAspect="1"/>
                          </pic:cNvPicPr>
                        </pic:nvPicPr>
                        <pic:blipFill>
                          <a:blip r:embed="rId28"/>
                          <a:stretch>
                            <a:fillRect/>
                          </a:stretch>
                        </pic:blipFill>
                        <pic:spPr>
                          <a:xfrm>
                            <a:off x="0" y="0"/>
                            <a:ext cx="650875" cy="625475"/>
                          </a:xfrm>
                          <a:prstGeom prst="rect">
                            <a:avLst/>
                          </a:prstGeom>
                          <a:noFill/>
                          <a:ln>
                            <a:noFill/>
                          </a:ln>
                        </pic:spPr>
                      </pic:pic>
                    </a:graphicData>
                  </a:graphic>
                </wp:inline>
              </w:drawing>
            </w:r>
          </w:p>
        </w:tc>
      </w:tr>
      <w:tr w14:paraId="52BB367B">
        <w:tblPrEx>
          <w:tblCellMar>
            <w:top w:w="0" w:type="dxa"/>
            <w:left w:w="108" w:type="dxa"/>
            <w:bottom w:w="0" w:type="dxa"/>
            <w:right w:w="108" w:type="dxa"/>
          </w:tblCellMar>
        </w:tblPrEx>
        <w:tc>
          <w:tcPr>
            <w:tcW w:w="349" w:type="pct"/>
            <w:vAlign w:val="center"/>
          </w:tcPr>
          <w:p w14:paraId="018B56D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95</w:t>
            </w:r>
          </w:p>
        </w:tc>
        <w:tc>
          <w:tcPr>
            <w:tcW w:w="535" w:type="pct"/>
            <w:vAlign w:val="center"/>
          </w:tcPr>
          <w:p w14:paraId="772253AF">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泔水台车</w:t>
            </w:r>
          </w:p>
        </w:tc>
        <w:tc>
          <w:tcPr>
            <w:tcW w:w="628" w:type="pct"/>
            <w:vAlign w:val="center"/>
          </w:tcPr>
          <w:p w14:paraId="7221D656">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700×700×(800+150)mm(±5%)</w:t>
            </w:r>
          </w:p>
        </w:tc>
        <w:tc>
          <w:tcPr>
            <w:tcW w:w="2109" w:type="pct"/>
            <w:vAlign w:val="center"/>
          </w:tcPr>
          <w:p w14:paraId="714D759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选用SUS304-2B不锈钢板制作，台面δ≥1.1mm，加强筋采用δ≥1.1mm430不锈钢板,脚φ41×1.0mm配有可调子弹脚，（车、桶、台配套）。</w:t>
            </w:r>
          </w:p>
        </w:tc>
        <w:tc>
          <w:tcPr>
            <w:tcW w:w="202" w:type="pct"/>
            <w:vAlign w:val="center"/>
          </w:tcPr>
          <w:p w14:paraId="57E2AF18">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7043065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6665698F">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57835" cy="437515"/>
                  <wp:effectExtent l="0" t="0" r="18415" b="635"/>
                  <wp:docPr id="89" name="图片 120"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0" descr="泔水台车 副本"/>
                          <pic:cNvPicPr>
                            <a:picLocks noChangeAspect="1"/>
                          </pic:cNvPicPr>
                        </pic:nvPicPr>
                        <pic:blipFill>
                          <a:blip r:embed="rId68"/>
                          <a:stretch>
                            <a:fillRect/>
                          </a:stretch>
                        </pic:blipFill>
                        <pic:spPr>
                          <a:xfrm>
                            <a:off x="0" y="0"/>
                            <a:ext cx="457835" cy="437515"/>
                          </a:xfrm>
                          <a:prstGeom prst="rect">
                            <a:avLst/>
                          </a:prstGeom>
                          <a:noFill/>
                          <a:ln>
                            <a:noFill/>
                          </a:ln>
                        </pic:spPr>
                      </pic:pic>
                    </a:graphicData>
                  </a:graphic>
                </wp:inline>
              </w:drawing>
            </w:r>
          </w:p>
        </w:tc>
      </w:tr>
      <w:tr w14:paraId="6546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76C19A44">
            <w:pPr>
              <w:jc w:val="center"/>
              <w:rPr>
                <w:rFonts w:hint="eastAsia" w:ascii="宋体" w:hAnsi="宋体" w:eastAsia="宋体" w:cs="宋体"/>
                <w:sz w:val="22"/>
                <w:szCs w:val="22"/>
                <w:vertAlign w:val="baseline"/>
              </w:rPr>
            </w:pPr>
            <w:r>
              <w:rPr>
                <w:rFonts w:hint="eastAsia" w:ascii="宋体" w:hAnsi="宋体" w:eastAsia="宋体" w:cs="宋体"/>
                <w:b/>
                <w:bCs/>
                <w:sz w:val="28"/>
                <w:szCs w:val="28"/>
                <w:vertAlign w:val="baseline"/>
              </w:rPr>
              <w:t xml:space="preserve">低值耗材类 </w:t>
            </w:r>
          </w:p>
        </w:tc>
      </w:tr>
      <w:tr w14:paraId="0CEC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20920F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535" w:type="pct"/>
            <w:vAlign w:val="center"/>
          </w:tcPr>
          <w:p w14:paraId="23B08D9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低阁架</w:t>
            </w:r>
          </w:p>
        </w:tc>
        <w:tc>
          <w:tcPr>
            <w:tcW w:w="628" w:type="pct"/>
            <w:vAlign w:val="center"/>
          </w:tcPr>
          <w:p w14:paraId="529A84D1">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1200×500×300mm(±5%)</w:t>
            </w:r>
          </w:p>
        </w:tc>
        <w:tc>
          <w:tcPr>
            <w:tcW w:w="2109" w:type="pct"/>
            <w:vAlign w:val="center"/>
          </w:tcPr>
          <w:p w14:paraId="0B632A1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选用SUS304-2B优质50×50不锈钢方管制作，骨架δ≥1.1mm。配防滑皮腿。</w:t>
            </w:r>
          </w:p>
        </w:tc>
        <w:tc>
          <w:tcPr>
            <w:tcW w:w="202" w:type="pct"/>
            <w:vAlign w:val="center"/>
          </w:tcPr>
          <w:p w14:paraId="69027522">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29DA18D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919" w:type="pct"/>
            <w:vAlign w:val="center"/>
          </w:tcPr>
          <w:p w14:paraId="0E0150B9">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531495" cy="403860"/>
                  <wp:effectExtent l="0" t="0" r="1905" b="15240"/>
                  <wp:docPr id="95" name="图片 115" descr="说明: 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5" descr="说明: 低搁架 副本"/>
                          <pic:cNvPicPr>
                            <a:picLocks noChangeAspect="1"/>
                          </pic:cNvPicPr>
                        </pic:nvPicPr>
                        <pic:blipFill>
                          <a:blip r:embed="rId69">
                            <a:lum contrast="6000"/>
                          </a:blip>
                          <a:stretch>
                            <a:fillRect/>
                          </a:stretch>
                        </pic:blipFill>
                        <pic:spPr>
                          <a:xfrm>
                            <a:off x="0" y="0"/>
                            <a:ext cx="531495" cy="403860"/>
                          </a:xfrm>
                          <a:prstGeom prst="rect">
                            <a:avLst/>
                          </a:prstGeom>
                          <a:noFill/>
                          <a:ln>
                            <a:noFill/>
                          </a:ln>
                        </pic:spPr>
                      </pic:pic>
                    </a:graphicData>
                  </a:graphic>
                </wp:inline>
              </w:drawing>
            </w:r>
          </w:p>
        </w:tc>
      </w:tr>
      <w:tr w14:paraId="27B4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5F4817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535" w:type="pct"/>
            <w:vAlign w:val="center"/>
          </w:tcPr>
          <w:p w14:paraId="09E4735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调料平台</w:t>
            </w:r>
            <w:r>
              <w:rPr>
                <w:rFonts w:hint="eastAsia" w:ascii="宋体" w:hAnsi="宋体" w:eastAsia="宋体" w:cs="宋体"/>
                <w:sz w:val="22"/>
                <w:szCs w:val="22"/>
                <w:vertAlign w:val="baseline"/>
                <w:lang w:val="en-US" w:eastAsia="zh-CN"/>
              </w:rPr>
              <w:t>1</w:t>
            </w:r>
          </w:p>
        </w:tc>
        <w:tc>
          <w:tcPr>
            <w:tcW w:w="628" w:type="pct"/>
            <w:vAlign w:val="center"/>
          </w:tcPr>
          <w:p w14:paraId="45090094">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500×1100×(800+450)mm(±5%)</w:t>
            </w:r>
          </w:p>
        </w:tc>
        <w:tc>
          <w:tcPr>
            <w:tcW w:w="2109" w:type="pct"/>
            <w:vAlign w:val="center"/>
          </w:tcPr>
          <w:p w14:paraId="60DA154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采用SUS304-2B优质不锈钢板制作，台面δ≥1.1mm，下横通采用φ25mm圆管，圆通脚采用φ38不锈钢加厚圆管制作，δ≥0.9mm；配不锈钢加强筋，重力不锈钢可调节子弹脚。</w:t>
            </w:r>
          </w:p>
        </w:tc>
        <w:tc>
          <w:tcPr>
            <w:tcW w:w="202" w:type="pct"/>
            <w:vAlign w:val="center"/>
          </w:tcPr>
          <w:p w14:paraId="0613059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01A65F7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919" w:type="pct"/>
            <w:vAlign w:val="center"/>
          </w:tcPr>
          <w:p w14:paraId="2530B242">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706755" cy="739775"/>
                  <wp:effectExtent l="0" t="0" r="17145" b="3175"/>
                  <wp:docPr id="90" name="图片 167"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67" descr="调料台01"/>
                          <pic:cNvPicPr>
                            <a:picLocks noChangeAspect="1"/>
                          </pic:cNvPicPr>
                        </pic:nvPicPr>
                        <pic:blipFill>
                          <a:blip r:embed="rId70"/>
                          <a:stretch>
                            <a:fillRect/>
                          </a:stretch>
                        </pic:blipFill>
                        <pic:spPr>
                          <a:xfrm>
                            <a:off x="0" y="0"/>
                            <a:ext cx="706755" cy="739775"/>
                          </a:xfrm>
                          <a:prstGeom prst="rect">
                            <a:avLst/>
                          </a:prstGeom>
                          <a:noFill/>
                          <a:ln>
                            <a:noFill/>
                          </a:ln>
                        </pic:spPr>
                      </pic:pic>
                    </a:graphicData>
                  </a:graphic>
                </wp:inline>
              </w:drawing>
            </w:r>
          </w:p>
        </w:tc>
      </w:tr>
      <w:tr w14:paraId="19FA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24CA43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535" w:type="pct"/>
            <w:vAlign w:val="center"/>
          </w:tcPr>
          <w:p w14:paraId="459AC5B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调料平台</w:t>
            </w:r>
            <w:r>
              <w:rPr>
                <w:rFonts w:hint="eastAsia" w:ascii="宋体" w:hAnsi="宋体" w:eastAsia="宋体" w:cs="宋体"/>
                <w:sz w:val="22"/>
                <w:szCs w:val="22"/>
                <w:vertAlign w:val="baseline"/>
                <w:lang w:val="en-US" w:eastAsia="zh-CN"/>
              </w:rPr>
              <w:t>2</w:t>
            </w:r>
          </w:p>
        </w:tc>
        <w:tc>
          <w:tcPr>
            <w:tcW w:w="628" w:type="pct"/>
            <w:vAlign w:val="center"/>
          </w:tcPr>
          <w:p w14:paraId="053BDC95">
            <w:pPr>
              <w:jc w:val="center"/>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500×1200×(800+450)mm(±5%)</w:t>
            </w:r>
          </w:p>
        </w:tc>
        <w:tc>
          <w:tcPr>
            <w:tcW w:w="2109" w:type="pct"/>
            <w:vAlign w:val="center"/>
          </w:tcPr>
          <w:p w14:paraId="6F3B0AF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sz w:val="22"/>
                <w:szCs w:val="22"/>
                <w:vertAlign w:val="baseline"/>
                <w:lang w:val="en-US" w:eastAsia="zh-CN"/>
              </w:rPr>
            </w:pPr>
            <w:r>
              <w:rPr>
                <w:rFonts w:hint="eastAsia" w:ascii="宋体" w:hAnsi="宋体" w:eastAsia="宋体" w:cs="宋体"/>
                <w:b w:val="0"/>
                <w:bCs w:val="0"/>
                <w:color w:val="auto"/>
                <w:kern w:val="2"/>
                <w:sz w:val="22"/>
                <w:szCs w:val="22"/>
                <w:highlight w:val="none"/>
                <w:lang w:val="en-US" w:eastAsia="zh-CN" w:bidi="ar"/>
              </w:rPr>
              <w:t>采用S US304-2B优质不锈钢板制作，台面δ≥1.1mm，下横通采用φ25圆管，圆通脚采用φ38不锈钢加厚圆管制作，δ≥0.9mm；配不锈钢加强筋，重力不锈钢可调节子弹脚。</w:t>
            </w:r>
          </w:p>
        </w:tc>
        <w:tc>
          <w:tcPr>
            <w:tcW w:w="202" w:type="pct"/>
            <w:vAlign w:val="center"/>
          </w:tcPr>
          <w:p w14:paraId="3D348C8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36E657CC">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919" w:type="pct"/>
            <w:vAlign w:val="center"/>
          </w:tcPr>
          <w:p w14:paraId="156502D3">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706755" cy="739775"/>
                  <wp:effectExtent l="0" t="0" r="17145" b="3175"/>
                  <wp:docPr id="91" name="图片 167"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67" descr="调料台01"/>
                          <pic:cNvPicPr>
                            <a:picLocks noChangeAspect="1"/>
                          </pic:cNvPicPr>
                        </pic:nvPicPr>
                        <pic:blipFill>
                          <a:blip r:embed="rId70"/>
                          <a:stretch>
                            <a:fillRect/>
                          </a:stretch>
                        </pic:blipFill>
                        <pic:spPr>
                          <a:xfrm>
                            <a:off x="0" y="0"/>
                            <a:ext cx="706755" cy="739775"/>
                          </a:xfrm>
                          <a:prstGeom prst="rect">
                            <a:avLst/>
                          </a:prstGeom>
                          <a:noFill/>
                          <a:ln>
                            <a:noFill/>
                          </a:ln>
                        </pic:spPr>
                      </pic:pic>
                    </a:graphicData>
                  </a:graphic>
                </wp:inline>
              </w:drawing>
            </w:r>
          </w:p>
        </w:tc>
      </w:tr>
      <w:tr w14:paraId="6909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69C6C9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535" w:type="pct"/>
            <w:vAlign w:val="center"/>
          </w:tcPr>
          <w:p w14:paraId="4AB431EC">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干手器</w:t>
            </w:r>
          </w:p>
        </w:tc>
        <w:tc>
          <w:tcPr>
            <w:tcW w:w="628" w:type="pct"/>
            <w:vAlign w:val="center"/>
          </w:tcPr>
          <w:p w14:paraId="1F16C4E8">
            <w:pPr>
              <w:jc w:val="center"/>
              <w:rPr>
                <w:rFonts w:hint="eastAsia" w:ascii="宋体" w:hAnsi="宋体" w:eastAsia="宋体" w:cs="宋体"/>
                <w:sz w:val="22"/>
                <w:szCs w:val="22"/>
                <w:vertAlign w:val="baseline"/>
              </w:rPr>
            </w:pPr>
          </w:p>
        </w:tc>
        <w:tc>
          <w:tcPr>
            <w:tcW w:w="2109" w:type="pct"/>
            <w:vAlign w:val="center"/>
          </w:tcPr>
          <w:p w14:paraId="1E8A782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智能全自动感应，涡轮增压风箱，强劲风力，安全保护，为洁净双手保驾护航。</w:t>
            </w:r>
          </w:p>
          <w:p w14:paraId="65139D23">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功率：2000W/220V</w:t>
            </w:r>
          </w:p>
        </w:tc>
        <w:tc>
          <w:tcPr>
            <w:tcW w:w="202" w:type="pct"/>
            <w:vAlign w:val="center"/>
          </w:tcPr>
          <w:p w14:paraId="7485C50B">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台</w:t>
            </w:r>
          </w:p>
        </w:tc>
        <w:tc>
          <w:tcPr>
            <w:tcW w:w="254" w:type="pct"/>
            <w:vAlign w:val="center"/>
          </w:tcPr>
          <w:p w14:paraId="679300C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1DB0246E">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lang w:eastAsia="zh-CN"/>
              </w:rPr>
              <w:drawing>
                <wp:anchor distT="0" distB="0" distL="114300" distR="114300" simplePos="0" relativeHeight="251665408" behindDoc="0" locked="0" layoutInCell="1" allowOverlap="1">
                  <wp:simplePos x="0" y="0"/>
                  <wp:positionH relativeFrom="column">
                    <wp:posOffset>17145</wp:posOffset>
                  </wp:positionH>
                  <wp:positionV relativeFrom="paragraph">
                    <wp:posOffset>127000</wp:posOffset>
                  </wp:positionV>
                  <wp:extent cx="438150" cy="438150"/>
                  <wp:effectExtent l="0" t="0" r="0" b="0"/>
                  <wp:wrapSquare wrapText="bothSides"/>
                  <wp:docPr id="92" name="图片 619"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19" descr="timg (1)"/>
                          <pic:cNvPicPr>
                            <a:picLocks noChangeAspect="1"/>
                          </pic:cNvPicPr>
                        </pic:nvPicPr>
                        <pic:blipFill>
                          <a:blip r:embed="rId71"/>
                          <a:stretch>
                            <a:fillRect/>
                          </a:stretch>
                        </pic:blipFill>
                        <pic:spPr>
                          <a:xfrm>
                            <a:off x="0" y="0"/>
                            <a:ext cx="438150" cy="438150"/>
                          </a:xfrm>
                          <a:prstGeom prst="rect">
                            <a:avLst/>
                          </a:prstGeom>
                          <a:noFill/>
                          <a:ln>
                            <a:noFill/>
                          </a:ln>
                        </pic:spPr>
                      </pic:pic>
                    </a:graphicData>
                  </a:graphic>
                </wp:anchor>
              </w:drawing>
            </w:r>
          </w:p>
        </w:tc>
      </w:tr>
      <w:tr w14:paraId="21FA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918F0C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535" w:type="pct"/>
            <w:vAlign w:val="center"/>
          </w:tcPr>
          <w:p w14:paraId="3CED7311">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加重平板车</w:t>
            </w:r>
          </w:p>
        </w:tc>
        <w:tc>
          <w:tcPr>
            <w:tcW w:w="628" w:type="pct"/>
            <w:vAlign w:val="center"/>
          </w:tcPr>
          <w:p w14:paraId="3B4A75F0">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900×500×900mm(±5%)</w:t>
            </w:r>
          </w:p>
        </w:tc>
        <w:tc>
          <w:tcPr>
            <w:tcW w:w="2109" w:type="pct"/>
            <w:vAlign w:val="center"/>
          </w:tcPr>
          <w:p w14:paraId="47C1E3D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采用优质SUS304-2B不锈钢板制作，δ≥1.1mm。加重型；配承重静音脚轮，其中两只带刹车掣。</w:t>
            </w:r>
          </w:p>
        </w:tc>
        <w:tc>
          <w:tcPr>
            <w:tcW w:w="202" w:type="pct"/>
            <w:vAlign w:val="center"/>
          </w:tcPr>
          <w:p w14:paraId="7296825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辆</w:t>
            </w:r>
          </w:p>
        </w:tc>
        <w:tc>
          <w:tcPr>
            <w:tcW w:w="254" w:type="pct"/>
            <w:vAlign w:val="center"/>
          </w:tcPr>
          <w:p w14:paraId="7AABFD4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919" w:type="pct"/>
            <w:vAlign w:val="center"/>
          </w:tcPr>
          <w:p w14:paraId="5A2DCF1A">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629920" cy="431800"/>
                  <wp:effectExtent l="0" t="0" r="17780" b="6350"/>
                  <wp:docPr id="93" name="图片 116" descr="说明: 说明: 说明: 平板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16" descr="说明: 说明: 说明: 平板车"/>
                          <pic:cNvPicPr>
                            <a:picLocks noChangeAspect="1"/>
                          </pic:cNvPicPr>
                        </pic:nvPicPr>
                        <pic:blipFill>
                          <a:blip r:embed="rId72"/>
                          <a:stretch>
                            <a:fillRect/>
                          </a:stretch>
                        </pic:blipFill>
                        <pic:spPr>
                          <a:xfrm>
                            <a:off x="0" y="0"/>
                            <a:ext cx="629920" cy="431800"/>
                          </a:xfrm>
                          <a:prstGeom prst="rect">
                            <a:avLst/>
                          </a:prstGeom>
                          <a:noFill/>
                          <a:ln>
                            <a:noFill/>
                          </a:ln>
                        </pic:spPr>
                      </pic:pic>
                    </a:graphicData>
                  </a:graphic>
                </wp:inline>
              </w:drawing>
            </w:r>
          </w:p>
        </w:tc>
      </w:tr>
      <w:tr w14:paraId="1A8E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7A4F379A">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535" w:type="pct"/>
            <w:shd w:val="clear" w:color="auto" w:fill="auto"/>
            <w:vAlign w:val="center"/>
          </w:tcPr>
          <w:p w14:paraId="18853E67">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rPr>
              <w:t>双层平板工作台</w:t>
            </w:r>
            <w:r>
              <w:rPr>
                <w:rFonts w:hint="eastAsia" w:ascii="宋体" w:hAnsi="宋体" w:eastAsia="宋体" w:cs="宋体"/>
                <w:sz w:val="22"/>
                <w:szCs w:val="22"/>
                <w:vertAlign w:val="baseline"/>
                <w:lang w:val="en-US" w:eastAsia="zh-CN"/>
              </w:rPr>
              <w:t>1</w:t>
            </w:r>
          </w:p>
        </w:tc>
        <w:tc>
          <w:tcPr>
            <w:tcW w:w="628" w:type="pct"/>
            <w:shd w:val="clear" w:color="auto" w:fill="auto"/>
            <w:vAlign w:val="center"/>
          </w:tcPr>
          <w:p w14:paraId="50C29F01">
            <w:pPr>
              <w:jc w:val="both"/>
              <w:rPr>
                <w:rFonts w:hint="eastAsia" w:ascii="宋体" w:hAnsi="宋体" w:eastAsia="宋体" w:cs="宋体"/>
                <w:kern w:val="2"/>
                <w:sz w:val="22"/>
                <w:szCs w:val="22"/>
                <w:vertAlign w:val="baseline"/>
                <w:lang w:val="en-US" w:eastAsia="zh-CN" w:bidi="ar-SA"/>
              </w:rPr>
            </w:pPr>
            <w:r>
              <w:rPr>
                <w:rFonts w:hint="eastAsia" w:ascii="宋体" w:hAnsi="宋体" w:eastAsia="宋体" w:cs="宋体"/>
                <w:b w:val="0"/>
                <w:bCs w:val="0"/>
                <w:color w:val="auto"/>
                <w:kern w:val="2"/>
                <w:sz w:val="22"/>
                <w:szCs w:val="22"/>
                <w:highlight w:val="none"/>
                <w:lang w:val="en-US" w:eastAsia="zh-CN" w:bidi="ar"/>
              </w:rPr>
              <w:t>1200×750×800mm(±5%)</w:t>
            </w:r>
          </w:p>
        </w:tc>
        <w:tc>
          <w:tcPr>
            <w:tcW w:w="2109" w:type="pct"/>
            <w:vAlign w:val="center"/>
          </w:tcPr>
          <w:p w14:paraId="50FFC62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采用SUS304-2B优质发纹贴塑不锈钢板制作，台面δ≥1.1mm（下衬12mm高密度板减噪）。下层板采用δ≥0.9mm不锈钢板复边成型。加强筋δ≥0.9mm（配有可调子弹脚）。</w:t>
            </w:r>
          </w:p>
        </w:tc>
        <w:tc>
          <w:tcPr>
            <w:tcW w:w="202" w:type="pct"/>
            <w:vAlign w:val="center"/>
          </w:tcPr>
          <w:p w14:paraId="53BBDFE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w:t>
            </w:r>
          </w:p>
        </w:tc>
        <w:tc>
          <w:tcPr>
            <w:tcW w:w="254" w:type="pct"/>
            <w:vAlign w:val="center"/>
          </w:tcPr>
          <w:p w14:paraId="5292C4C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0D0635E">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535305" cy="365125"/>
                  <wp:effectExtent l="0" t="0" r="17145" b="15875"/>
                  <wp:docPr id="69" name="图片 170"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70" descr="双层工作台"/>
                          <pic:cNvPicPr>
                            <a:picLocks noChangeAspect="1"/>
                          </pic:cNvPicPr>
                        </pic:nvPicPr>
                        <pic:blipFill>
                          <a:blip r:embed="rId52"/>
                          <a:stretch>
                            <a:fillRect/>
                          </a:stretch>
                        </pic:blipFill>
                        <pic:spPr>
                          <a:xfrm>
                            <a:off x="0" y="0"/>
                            <a:ext cx="535305" cy="365125"/>
                          </a:xfrm>
                          <a:prstGeom prst="rect">
                            <a:avLst/>
                          </a:prstGeom>
                          <a:noFill/>
                          <a:ln>
                            <a:noFill/>
                          </a:ln>
                        </pic:spPr>
                      </pic:pic>
                    </a:graphicData>
                  </a:graphic>
                </wp:inline>
              </w:drawing>
            </w:r>
          </w:p>
        </w:tc>
      </w:tr>
      <w:tr w14:paraId="5768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486E5438">
            <w:pPr>
              <w:jc w:val="center"/>
              <w:rPr>
                <w:rFonts w:hint="default"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7</w:t>
            </w:r>
          </w:p>
        </w:tc>
        <w:tc>
          <w:tcPr>
            <w:tcW w:w="535" w:type="pct"/>
            <w:vAlign w:val="center"/>
          </w:tcPr>
          <w:p w14:paraId="17B4B36E">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rPr>
              <w:t>烟罩上封板</w:t>
            </w:r>
            <w:r>
              <w:rPr>
                <w:rFonts w:hint="eastAsia" w:ascii="宋体" w:hAnsi="宋体" w:eastAsia="宋体" w:cs="宋体"/>
                <w:sz w:val="22"/>
                <w:szCs w:val="22"/>
                <w:highlight w:val="none"/>
                <w:vertAlign w:val="baseline"/>
                <w:lang w:val="en-US" w:eastAsia="zh-CN"/>
              </w:rPr>
              <w:t>3</w:t>
            </w:r>
          </w:p>
        </w:tc>
        <w:tc>
          <w:tcPr>
            <w:tcW w:w="628" w:type="pct"/>
            <w:vAlign w:val="center"/>
          </w:tcPr>
          <w:p w14:paraId="50FBA1B0">
            <w:pPr>
              <w:jc w:val="both"/>
              <w:rPr>
                <w:rFonts w:hint="eastAsia" w:ascii="宋体" w:hAnsi="宋体" w:eastAsia="宋体" w:cs="宋体"/>
                <w:sz w:val="22"/>
                <w:szCs w:val="22"/>
                <w:highlight w:val="yellow"/>
                <w:vertAlign w:val="baseline"/>
              </w:rPr>
            </w:pPr>
            <w:r>
              <w:rPr>
                <w:rFonts w:hint="eastAsia" w:ascii="宋体" w:hAnsi="宋体" w:eastAsia="宋体" w:cs="宋体"/>
                <w:b w:val="0"/>
                <w:bCs w:val="0"/>
                <w:color w:val="auto"/>
                <w:kern w:val="2"/>
                <w:sz w:val="22"/>
                <w:szCs w:val="22"/>
                <w:highlight w:val="none"/>
                <w:lang w:val="en-US" w:eastAsia="zh-CN" w:bidi="ar"/>
              </w:rPr>
              <w:t>9000×800mm(±5%)</w:t>
            </w:r>
          </w:p>
        </w:tc>
        <w:tc>
          <w:tcPr>
            <w:tcW w:w="2109" w:type="pct"/>
            <w:vAlign w:val="center"/>
          </w:tcPr>
          <w:p w14:paraId="5AB9EBF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烟采用SUS304-2B优质不锈钢板制作，δ≥0.9mm。</w:t>
            </w:r>
          </w:p>
        </w:tc>
        <w:tc>
          <w:tcPr>
            <w:tcW w:w="202" w:type="pct"/>
            <w:vAlign w:val="center"/>
          </w:tcPr>
          <w:p w14:paraId="7990AAA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批</w:t>
            </w:r>
          </w:p>
        </w:tc>
        <w:tc>
          <w:tcPr>
            <w:tcW w:w="254" w:type="pct"/>
            <w:vAlign w:val="center"/>
          </w:tcPr>
          <w:p w14:paraId="019E88F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6DA2407C">
            <w:pPr>
              <w:jc w:val="center"/>
              <w:rPr>
                <w:rFonts w:hint="eastAsia" w:ascii="宋体" w:hAnsi="宋体" w:eastAsia="宋体" w:cs="宋体"/>
                <w:sz w:val="22"/>
                <w:szCs w:val="22"/>
                <w:vertAlign w:val="baseline"/>
              </w:rPr>
            </w:pPr>
          </w:p>
        </w:tc>
      </w:tr>
      <w:tr w14:paraId="7CFA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505BEE70">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535" w:type="pct"/>
            <w:vAlign w:val="center"/>
          </w:tcPr>
          <w:p w14:paraId="23A7B9E7">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rPr>
              <w:t>粘捕式灭蝇灯</w:t>
            </w:r>
          </w:p>
        </w:tc>
        <w:tc>
          <w:tcPr>
            <w:tcW w:w="628" w:type="pct"/>
            <w:vAlign w:val="center"/>
          </w:tcPr>
          <w:p w14:paraId="35623EFE">
            <w:pPr>
              <w:jc w:val="center"/>
              <w:rPr>
                <w:rFonts w:hint="eastAsia" w:ascii="宋体" w:hAnsi="宋体" w:eastAsia="宋体" w:cs="宋体"/>
                <w:sz w:val="22"/>
                <w:szCs w:val="22"/>
                <w:vertAlign w:val="baseline"/>
              </w:rPr>
            </w:pPr>
          </w:p>
        </w:tc>
        <w:tc>
          <w:tcPr>
            <w:tcW w:w="2109" w:type="pct"/>
            <w:vAlign w:val="center"/>
          </w:tcPr>
          <w:p w14:paraId="175F15F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采用诱蚊、蝇灯管，发出良性光波（对人体无害），诱蚊、蝇飞入而被粘住，绝缘良好，使用寿命长，外观美观大方。</w:t>
            </w:r>
          </w:p>
          <w:p w14:paraId="669B93EF">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功率：8W/220V</w:t>
            </w:r>
          </w:p>
        </w:tc>
        <w:tc>
          <w:tcPr>
            <w:tcW w:w="202" w:type="pct"/>
            <w:vAlign w:val="center"/>
          </w:tcPr>
          <w:p w14:paraId="28934E21">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个</w:t>
            </w:r>
          </w:p>
        </w:tc>
        <w:tc>
          <w:tcPr>
            <w:tcW w:w="254" w:type="pct"/>
            <w:vAlign w:val="center"/>
          </w:tcPr>
          <w:p w14:paraId="5C23839B">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12</w:t>
            </w:r>
          </w:p>
        </w:tc>
        <w:tc>
          <w:tcPr>
            <w:tcW w:w="919" w:type="pct"/>
            <w:vAlign w:val="center"/>
          </w:tcPr>
          <w:p w14:paraId="141E86E4">
            <w:pPr>
              <w:jc w:val="center"/>
              <w:rPr>
                <w:rFonts w:hint="eastAsia" w:ascii="宋体" w:hAnsi="宋体" w:eastAsia="宋体" w:cs="宋体"/>
                <w:sz w:val="22"/>
                <w:szCs w:val="22"/>
                <w:vertAlign w:val="baseline"/>
              </w:rPr>
            </w:pPr>
            <w:r>
              <w:rPr>
                <w:rFonts w:hint="eastAsia" w:ascii="黑体" w:hAnsi="黑体" w:eastAsia="黑体" w:cs="黑体"/>
                <w:b w:val="0"/>
                <w:bCs w:val="0"/>
                <w:color w:val="auto"/>
                <w:sz w:val="22"/>
                <w:szCs w:val="22"/>
                <w:highlight w:val="none"/>
              </w:rPr>
              <w:drawing>
                <wp:inline distT="0" distB="0" distL="114300" distR="114300">
                  <wp:extent cx="481965" cy="443230"/>
                  <wp:effectExtent l="0" t="0" r="13335" b="13970"/>
                  <wp:docPr id="97"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98"/>
                          <pic:cNvPicPr>
                            <a:picLocks noChangeAspect="1"/>
                          </pic:cNvPicPr>
                        </pic:nvPicPr>
                        <pic:blipFill>
                          <a:blip r:embed="rId73"/>
                          <a:stretch>
                            <a:fillRect/>
                          </a:stretch>
                        </pic:blipFill>
                        <pic:spPr>
                          <a:xfrm>
                            <a:off x="0" y="0"/>
                            <a:ext cx="481965" cy="443230"/>
                          </a:xfrm>
                          <a:prstGeom prst="rect">
                            <a:avLst/>
                          </a:prstGeom>
                          <a:noFill/>
                          <a:ln>
                            <a:noFill/>
                          </a:ln>
                        </pic:spPr>
                      </pic:pic>
                    </a:graphicData>
                  </a:graphic>
                </wp:inline>
              </w:drawing>
            </w:r>
          </w:p>
        </w:tc>
      </w:tr>
      <w:tr w14:paraId="74F9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07BC9808">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535" w:type="pct"/>
            <w:vAlign w:val="center"/>
          </w:tcPr>
          <w:p w14:paraId="156FEA1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折叠式挡鼠板</w:t>
            </w:r>
            <w:r>
              <w:rPr>
                <w:rFonts w:hint="eastAsia" w:ascii="宋体" w:hAnsi="宋体" w:cs="宋体"/>
                <w:sz w:val="22"/>
                <w:szCs w:val="22"/>
                <w:vertAlign w:val="baseline"/>
                <w:lang w:val="en-US" w:eastAsia="zh-CN"/>
              </w:rPr>
              <w:t>1</w:t>
            </w:r>
          </w:p>
        </w:tc>
        <w:tc>
          <w:tcPr>
            <w:tcW w:w="628" w:type="pct"/>
            <w:vAlign w:val="center"/>
          </w:tcPr>
          <w:p w14:paraId="1940A868">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1000×200×600mm(±5%)</w:t>
            </w:r>
          </w:p>
        </w:tc>
        <w:tc>
          <w:tcPr>
            <w:tcW w:w="2109" w:type="pct"/>
            <w:vAlign w:val="center"/>
          </w:tcPr>
          <w:p w14:paraId="2CB2BB2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采用SUS304-2B优质发纹贴塑不锈钢板制作，δ≥1.10mm。</w:t>
            </w:r>
          </w:p>
        </w:tc>
        <w:tc>
          <w:tcPr>
            <w:tcW w:w="202" w:type="pct"/>
            <w:vAlign w:val="center"/>
          </w:tcPr>
          <w:p w14:paraId="5427F4A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块</w:t>
            </w:r>
          </w:p>
        </w:tc>
        <w:tc>
          <w:tcPr>
            <w:tcW w:w="254" w:type="pct"/>
            <w:vAlign w:val="center"/>
          </w:tcPr>
          <w:p w14:paraId="2D01E73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919" w:type="pct"/>
            <w:vAlign w:val="center"/>
          </w:tcPr>
          <w:p w14:paraId="4DB68815">
            <w:pPr>
              <w:jc w:val="center"/>
              <w:rPr>
                <w:rFonts w:hint="eastAsia" w:ascii="宋体" w:hAnsi="宋体" w:eastAsia="宋体" w:cs="宋体"/>
                <w:sz w:val="22"/>
                <w:szCs w:val="22"/>
                <w:vertAlign w:val="baseline"/>
              </w:rPr>
            </w:pPr>
          </w:p>
        </w:tc>
      </w:tr>
      <w:tr w14:paraId="6E50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14:paraId="10A665B2">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535" w:type="pct"/>
            <w:vAlign w:val="center"/>
          </w:tcPr>
          <w:p w14:paraId="6108C722">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折叠式挡鼠板</w:t>
            </w:r>
            <w:r>
              <w:rPr>
                <w:rFonts w:hint="eastAsia" w:ascii="宋体" w:hAnsi="宋体" w:cs="宋体"/>
                <w:sz w:val="22"/>
                <w:szCs w:val="22"/>
                <w:vertAlign w:val="baseline"/>
                <w:lang w:val="en-US" w:eastAsia="zh-CN"/>
              </w:rPr>
              <w:t>2</w:t>
            </w:r>
          </w:p>
          <w:p w14:paraId="7D30BCB8">
            <w:pPr>
              <w:jc w:val="center"/>
              <w:rPr>
                <w:rFonts w:hint="eastAsia" w:ascii="宋体" w:hAnsi="宋体" w:eastAsia="宋体" w:cs="宋体"/>
                <w:sz w:val="22"/>
                <w:szCs w:val="22"/>
                <w:vertAlign w:val="baseline"/>
              </w:rPr>
            </w:pPr>
          </w:p>
        </w:tc>
        <w:tc>
          <w:tcPr>
            <w:tcW w:w="628" w:type="pct"/>
            <w:vAlign w:val="center"/>
          </w:tcPr>
          <w:p w14:paraId="79D2BCC0">
            <w:pPr>
              <w:jc w:val="both"/>
              <w:rPr>
                <w:rFonts w:hint="eastAsia" w:ascii="宋体" w:hAnsi="宋体" w:eastAsia="宋体" w:cs="宋体"/>
                <w:sz w:val="22"/>
                <w:szCs w:val="22"/>
                <w:vertAlign w:val="baseline"/>
              </w:rPr>
            </w:pPr>
            <w:r>
              <w:rPr>
                <w:rFonts w:hint="eastAsia" w:ascii="宋体" w:hAnsi="宋体" w:eastAsia="宋体" w:cs="宋体"/>
                <w:b w:val="0"/>
                <w:bCs w:val="0"/>
                <w:color w:val="auto"/>
                <w:kern w:val="2"/>
                <w:sz w:val="22"/>
                <w:szCs w:val="22"/>
                <w:highlight w:val="none"/>
                <w:lang w:val="en-US" w:eastAsia="zh-CN" w:bidi="ar"/>
              </w:rPr>
              <w:t>1500×200×600mm(±5%)</w:t>
            </w:r>
          </w:p>
        </w:tc>
        <w:tc>
          <w:tcPr>
            <w:tcW w:w="2109" w:type="pct"/>
            <w:vAlign w:val="center"/>
          </w:tcPr>
          <w:p w14:paraId="707EDBE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采用SUS304-2B优质发纹贴塑不锈钢板制作，δ≥1.10mm。</w:t>
            </w:r>
          </w:p>
          <w:p w14:paraId="086838F7">
            <w:pPr>
              <w:jc w:val="center"/>
              <w:rPr>
                <w:rFonts w:hint="eastAsia" w:ascii="宋体" w:hAnsi="宋体" w:eastAsia="宋体" w:cs="宋体"/>
                <w:sz w:val="22"/>
                <w:szCs w:val="22"/>
                <w:vertAlign w:val="baseline"/>
              </w:rPr>
            </w:pPr>
          </w:p>
        </w:tc>
        <w:tc>
          <w:tcPr>
            <w:tcW w:w="202" w:type="pct"/>
            <w:vAlign w:val="center"/>
          </w:tcPr>
          <w:p w14:paraId="58A0989A">
            <w:pPr>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块</w:t>
            </w:r>
          </w:p>
        </w:tc>
        <w:tc>
          <w:tcPr>
            <w:tcW w:w="254" w:type="pct"/>
            <w:vAlign w:val="center"/>
          </w:tcPr>
          <w:p w14:paraId="61C82B71">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919" w:type="pct"/>
            <w:vAlign w:val="center"/>
          </w:tcPr>
          <w:p w14:paraId="179571EC">
            <w:pPr>
              <w:jc w:val="center"/>
              <w:rPr>
                <w:rFonts w:hint="eastAsia" w:ascii="宋体" w:hAnsi="宋体" w:eastAsia="宋体" w:cs="宋体"/>
                <w:sz w:val="22"/>
                <w:szCs w:val="22"/>
                <w:vertAlign w:val="baseline"/>
              </w:rPr>
            </w:pPr>
          </w:p>
        </w:tc>
      </w:tr>
      <w:bookmarkEnd w:id="110"/>
    </w:tbl>
    <w:p w14:paraId="4014ACD4">
      <w:pPr>
        <w:numPr>
          <w:ilvl w:val="0"/>
          <w:numId w:val="0"/>
        </w:numPr>
        <w:snapToGrid w:val="0"/>
        <w:spacing w:line="460" w:lineRule="exact"/>
        <w:rPr>
          <w:rFonts w:hint="eastAsia"/>
          <w:highlight w:val="none"/>
        </w:rPr>
      </w:pPr>
    </w:p>
    <w:p w14:paraId="73C5AB78">
      <w:pPr>
        <w:rPr>
          <w:rFonts w:ascii="宋体" w:hAnsi="宋体" w:cs="宋体"/>
          <w:b/>
          <w:bCs/>
          <w:color w:val="auto"/>
          <w:sz w:val="22"/>
          <w:szCs w:val="22"/>
          <w:highlight w:val="none"/>
          <w:u w:val="single"/>
        </w:rPr>
      </w:pPr>
      <w:bookmarkStart w:id="111" w:name="_Toc24440"/>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1</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rPr>
        <w:t>供应商承诺提供的所有产品均</w:t>
      </w:r>
      <w:r>
        <w:rPr>
          <w:rFonts w:hint="eastAsia" w:ascii="宋体" w:hAnsi="宋体" w:cs="宋体"/>
          <w:b/>
          <w:bCs/>
          <w:color w:val="auto"/>
          <w:sz w:val="22"/>
          <w:szCs w:val="22"/>
          <w:highlight w:val="none"/>
          <w:u w:val="single"/>
          <w:lang w:val="en-US" w:eastAsia="zh-CN"/>
        </w:rPr>
        <w:t>需</w:t>
      </w:r>
      <w:r>
        <w:rPr>
          <w:rFonts w:hint="eastAsia" w:ascii="宋体" w:hAnsi="宋体" w:cs="宋体"/>
          <w:b/>
          <w:bCs/>
          <w:color w:val="auto"/>
          <w:sz w:val="22"/>
          <w:szCs w:val="22"/>
          <w:highlight w:val="none"/>
          <w:u w:val="single"/>
        </w:rPr>
        <w:t>按采购人要求完整美观的安装到指定地点，并保证采购人正常使用。</w:t>
      </w:r>
    </w:p>
    <w:bookmarkEnd w:id="69"/>
    <w:bookmarkEnd w:id="70"/>
    <w:bookmarkEnd w:id="71"/>
    <w:bookmarkEnd w:id="111"/>
    <w:p w14:paraId="7E8C5F91">
      <w:pPr>
        <w:numPr>
          <w:ilvl w:val="0"/>
          <w:numId w:val="0"/>
        </w:numPr>
        <w:tabs>
          <w:tab w:val="left" w:pos="840"/>
        </w:tabs>
        <w:ind w:firstLine="442" w:firstLineChars="200"/>
        <w:rPr>
          <w:rFonts w:hint="eastAsia" w:ascii="宋体" w:hAnsi="宋体" w:cs="宋体"/>
          <w:b/>
          <w:bCs/>
          <w:sz w:val="22"/>
          <w:highlight w:val="none"/>
        </w:rPr>
      </w:pPr>
      <w:r>
        <w:rPr>
          <w:rFonts w:hint="eastAsia" w:ascii="宋体" w:hAnsi="宋体" w:cs="宋体"/>
          <w:b/>
          <w:bCs/>
          <w:kern w:val="2"/>
          <w:sz w:val="22"/>
          <w:szCs w:val="24"/>
          <w:highlight w:val="none"/>
          <w:lang w:val="en-US" w:eastAsia="zh-CN" w:bidi="ar-SA"/>
        </w:rPr>
        <w:t>2</w:t>
      </w:r>
      <w:r>
        <w:rPr>
          <w:rFonts w:hint="eastAsia" w:ascii="宋体" w:hAnsi="宋体" w:cs="宋体"/>
          <w:b/>
          <w:bCs/>
          <w:color w:val="auto"/>
          <w:sz w:val="22"/>
          <w:szCs w:val="22"/>
          <w:highlight w:val="none"/>
          <w:u w:val="single"/>
          <w:lang w:val="en-US" w:eastAsia="zh-CN"/>
        </w:rPr>
        <w:t>、</w:t>
      </w:r>
      <w:r>
        <w:rPr>
          <w:rFonts w:hint="eastAsia" w:ascii="宋体" w:hAnsi="宋体" w:cs="宋体"/>
          <w:b/>
          <w:bCs/>
          <w:sz w:val="22"/>
          <w:highlight w:val="none"/>
        </w:rPr>
        <w:t>上述表格内有描述到型号、尺寸（长、宽、高、重量）的均为按照学校实际使用需求的定制类货物，不做为指定型号、尺寸（长、宽、高、重量），各供应商可根据所投货物的实际型号、尺寸（长、宽、高、重量）进行响应，提供的货物必须满足采购人的实际使用需求。</w:t>
      </w:r>
    </w:p>
    <w:p w14:paraId="4651C3FD">
      <w:pPr>
        <w:snapToGrid w:val="0"/>
        <w:spacing w:line="360" w:lineRule="exact"/>
        <w:ind w:firstLine="442" w:firstLineChars="200"/>
        <w:jc w:val="left"/>
        <w:outlineLvl w:val="9"/>
        <w:rPr>
          <w:rFonts w:hint="eastAsia" w:ascii="宋体" w:hAnsi="宋体" w:cs="宋体"/>
          <w:b/>
          <w:bCs/>
          <w:sz w:val="32"/>
          <w:highlight w:val="none"/>
        </w:rPr>
      </w:pPr>
      <w:r>
        <w:rPr>
          <w:rFonts w:hint="eastAsia" w:ascii="宋体" w:hAnsi="宋体" w:eastAsia="宋体" w:cs="宋体"/>
          <w:b/>
          <w:bCs/>
          <w:sz w:val="22"/>
          <w:szCs w:val="22"/>
          <w:highlight w:val="none"/>
          <w:lang w:val="en-US" w:eastAsia="zh-CN"/>
        </w:rPr>
        <w:t>3</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sz w:val="22"/>
          <w:szCs w:val="22"/>
          <w:highlight w:val="none"/>
        </w:rPr>
        <w:t>如技术部分中未特别注明需执行的国家相关标准、行业标准、地方标准或者其他标准、规范，则统一执行最新标准、规范。</w:t>
      </w:r>
    </w:p>
    <w:p w14:paraId="7211D910">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lang w:val="en-US" w:eastAsia="zh-CN"/>
        </w:rPr>
        <w:t>4</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pacing w:val="-6"/>
          <w:sz w:val="22"/>
          <w:szCs w:val="22"/>
          <w:highlight w:val="none"/>
        </w:rPr>
        <w:t>除采购文件中所明确的采购需求外，欢迎其他能满足本项目采购需求且性能相当于或高于所明确采购需求的产品参加投标报价。同时在采购需求偏离表中作出详细对比说明。</w:t>
      </w:r>
    </w:p>
    <w:p w14:paraId="1FD9757C">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lang w:val="en-US" w:eastAsia="zh-CN"/>
        </w:rPr>
        <w:t>5</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pacing w:val="-6"/>
          <w:sz w:val="22"/>
          <w:szCs w:val="22"/>
          <w:highlight w:val="none"/>
        </w:rPr>
        <w:t>带“▲且加下划线”的有关技术和商务条款为实质性条款，供应商必须做出实质性响应，否则视为投标无效。带“★”条款为重要条款。</w:t>
      </w:r>
    </w:p>
    <w:p w14:paraId="1FEC28C0">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lang w:val="en-US" w:eastAsia="zh-CN"/>
        </w:rPr>
        <w:t>6</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pacing w:val="-6"/>
          <w:sz w:val="22"/>
          <w:szCs w:val="22"/>
          <w:highlight w:val="none"/>
        </w:rPr>
        <w:t>如技术部分中未特别注明需执行的国家相关标准、行业标准、地方标准或者其他标准、规范，则统一执行最新标准、规范。</w:t>
      </w:r>
    </w:p>
    <w:p w14:paraId="2308BDEA">
      <w:pPr>
        <w:snapToGrid w:val="0"/>
        <w:spacing w:line="4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lang w:val="en-US" w:eastAsia="zh-CN"/>
        </w:rPr>
        <w:t>7</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pacing w:val="-6"/>
          <w:sz w:val="22"/>
          <w:szCs w:val="22"/>
          <w:highlight w:val="none"/>
        </w:rPr>
        <w:t>技术部分中如需要提供的证明材料有有效期的必须在有效期内，由不清晰或者模糊造成无法判断证明材料是否符合要求的风险由供应商自行承担。未按要求提供证明材料的，视为负偏离。</w:t>
      </w:r>
    </w:p>
    <w:p w14:paraId="06507A7C">
      <w:pPr>
        <w:pStyle w:val="2"/>
        <w:rPr>
          <w:rFonts w:hint="eastAsia"/>
          <w:highlight w:val="none"/>
        </w:rPr>
        <w:sectPr>
          <w:pgSz w:w="11906" w:h="16838"/>
          <w:pgMar w:top="1134" w:right="1134" w:bottom="1134" w:left="1134" w:header="851" w:footer="992" w:gutter="0"/>
          <w:pgNumType w:fmt="decimal"/>
          <w:cols w:space="720" w:num="1"/>
          <w:docGrid w:linePitch="312" w:charSpace="0"/>
        </w:sectPr>
      </w:pPr>
      <w:bookmarkStart w:id="112" w:name="_Toc2397"/>
      <w:bookmarkStart w:id="113" w:name="_Toc23106"/>
      <w:bookmarkStart w:id="114" w:name="_Toc57385874"/>
      <w:bookmarkStart w:id="115" w:name="_Toc19"/>
      <w:bookmarkStart w:id="116" w:name="_Toc37941589"/>
      <w:bookmarkStart w:id="117" w:name="_Toc493334528"/>
      <w:bookmarkStart w:id="118" w:name="_Toc62116488"/>
    </w:p>
    <w:p w14:paraId="62EEDC16">
      <w:pPr>
        <w:snapToGrid w:val="0"/>
        <w:spacing w:line="360" w:lineRule="exact"/>
        <w:jc w:val="center"/>
        <w:outlineLvl w:val="0"/>
        <w:rPr>
          <w:rFonts w:hint="eastAsia" w:ascii="宋体" w:hAnsi="宋体" w:cs="宋体"/>
          <w:b/>
          <w:bCs/>
          <w:color w:val="auto"/>
          <w:kern w:val="36"/>
          <w:sz w:val="32"/>
          <w:szCs w:val="32"/>
          <w:highlight w:val="none"/>
        </w:rPr>
      </w:pPr>
      <w:r>
        <w:rPr>
          <w:rFonts w:hint="eastAsia" w:ascii="宋体" w:hAnsi="宋体" w:cs="宋体"/>
          <w:b/>
          <w:bCs/>
          <w:color w:val="auto"/>
          <w:kern w:val="36"/>
          <w:sz w:val="32"/>
          <w:szCs w:val="32"/>
          <w:highlight w:val="none"/>
        </w:rPr>
        <w:t>第六部分  评标原则及方法</w:t>
      </w:r>
      <w:bookmarkEnd w:id="112"/>
      <w:bookmarkEnd w:id="113"/>
    </w:p>
    <w:p w14:paraId="5DFC78F1">
      <w:pPr>
        <w:pStyle w:val="13"/>
        <w:adjustRightInd w:val="0"/>
        <w:snapToGrid w:val="0"/>
        <w:spacing w:after="0" w:line="440" w:lineRule="exact"/>
        <w:ind w:firstLine="422" w:firstLineChars="200"/>
        <w:jc w:val="center"/>
        <w:rPr>
          <w:rFonts w:hint="eastAsia" w:ascii="宋体" w:hAnsi="宋体" w:cs="宋体"/>
          <w:b/>
          <w:color w:val="auto"/>
          <w:highlight w:val="none"/>
        </w:rPr>
      </w:pPr>
      <w:r>
        <w:rPr>
          <w:rFonts w:hint="eastAsia" w:ascii="宋体" w:hAnsi="宋体" w:cs="宋体"/>
          <w:b/>
          <w:color w:val="auto"/>
          <w:highlight w:val="none"/>
        </w:rPr>
        <w:t>根据《中华人民共和国政府采购法》等相关法规特制定以下评审办法。</w:t>
      </w:r>
    </w:p>
    <w:p w14:paraId="19395FEA">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26AA6F29">
      <w:pPr>
        <w:pStyle w:val="13"/>
        <w:adjustRightInd w:val="0"/>
        <w:snapToGrid w:val="0"/>
        <w:spacing w:line="440" w:lineRule="exact"/>
        <w:ind w:left="420" w:left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部分，对投标文件进行综合评定，提出优选方案，编写评标报告。对落标单位，评委会不作任何落标解释。</w:t>
      </w:r>
    </w:p>
    <w:p w14:paraId="1018E995">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00E71B8C">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071565BA">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5A4EE4C7">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（一）采购代理机构签收、开始解密投标文件；</w:t>
      </w:r>
    </w:p>
    <w:p w14:paraId="6B1D42E8">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（二）供应商解密投标文件；</w:t>
      </w:r>
    </w:p>
    <w:p w14:paraId="70C5B425">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（三）采购代理机构结束解密投标文件；</w:t>
      </w:r>
    </w:p>
    <w:p w14:paraId="57132DF4">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（四）采购代理机构或采购人在线资格性审查；</w:t>
      </w:r>
    </w:p>
    <w:p w14:paraId="78AEE3CB">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（五）评标委员会对投标文件进行评审；</w:t>
      </w:r>
    </w:p>
    <w:p w14:paraId="156287D0">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（六）在政采云系统上公开资格和商务技术评审结果；</w:t>
      </w:r>
    </w:p>
    <w:p w14:paraId="18C87762">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（七）在政采云系统上公开报价情况；</w:t>
      </w:r>
    </w:p>
    <w:p w14:paraId="7BE0C794">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（八）评标委员会对报价情况进行评审；</w:t>
      </w:r>
    </w:p>
    <w:p w14:paraId="5295FD37">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（九）在系统上公布评审结果。</w:t>
      </w:r>
    </w:p>
    <w:p w14:paraId="0E5C99EC">
      <w:pPr>
        <w:pStyle w:val="13"/>
        <w:adjustRightInd w:val="0"/>
        <w:snapToGrid w:val="0"/>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1AD5B8A8">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0A619B1">
      <w:pPr>
        <w:spacing w:line="440" w:lineRule="exact"/>
        <w:ind w:left="429" w:leftChars="200" w:hanging="9"/>
        <w:rPr>
          <w:rFonts w:hint="eastAsia" w:ascii="宋体" w:hAnsi="宋体" w:cs="宋体"/>
          <w:color w:val="auto"/>
          <w:sz w:val="22"/>
          <w:szCs w:val="22"/>
          <w:highlight w:val="none"/>
        </w:rPr>
      </w:pPr>
      <w:r>
        <w:rPr>
          <w:rFonts w:hint="eastAsia" w:ascii="宋体" w:hAnsi="宋体" w:cs="宋体"/>
          <w:color w:val="auto"/>
          <w:sz w:val="22"/>
          <w:szCs w:val="22"/>
          <w:highlight w:val="none"/>
        </w:rPr>
        <w:t>（一）本次评标采用综合评分法，总分100分，其中技术资信70分（技术资信权70%），价格30分（价格权值30%）。即最大限度地满足采购文件实质性要求前提下，按照采购文件中规定的各项评分内容评审后，以评标总得分最高的供应商，作为中标人。</w:t>
      </w:r>
    </w:p>
    <w:p w14:paraId="66AAE19E">
      <w:pPr>
        <w:spacing w:line="440" w:lineRule="exact"/>
        <w:ind w:left="429" w:leftChars="200" w:hanging="9"/>
        <w:rPr>
          <w:rFonts w:hint="eastAsia" w:ascii="宋体" w:hAnsi="宋体" w:cs="宋体"/>
          <w:color w:val="auto"/>
          <w:sz w:val="22"/>
          <w:szCs w:val="22"/>
          <w:highlight w:val="none"/>
        </w:rPr>
      </w:pPr>
      <w:r>
        <w:rPr>
          <w:rFonts w:hint="eastAsia" w:ascii="宋体" w:hAnsi="宋体" w:cs="宋体"/>
          <w:color w:val="auto"/>
          <w:sz w:val="22"/>
          <w:szCs w:val="22"/>
          <w:highlight w:val="none"/>
        </w:rPr>
        <w:t>（二）投标截止时间止及评审期间，如出现有效供应商＜3家时，本项目废标，并重新组织采购。</w:t>
      </w:r>
    </w:p>
    <w:p w14:paraId="250D1C6E">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综合评分法</w:t>
      </w:r>
    </w:p>
    <w:p w14:paraId="202B20BC">
      <w:pPr>
        <w:tabs>
          <w:tab w:val="left" w:pos="1365"/>
        </w:tabs>
        <w:spacing w:line="460" w:lineRule="exact"/>
        <w:ind w:left="425" w:leftChars="52" w:hanging="316" w:hangingChars="143"/>
        <w:rPr>
          <w:rFonts w:hint="eastAsia" w:ascii="宋体" w:hAnsi="宋体" w:cs="宋体"/>
          <w:b/>
          <w:color w:val="auto"/>
          <w:sz w:val="22"/>
          <w:highlight w:val="none"/>
          <w:u w:val="single"/>
        </w:rPr>
      </w:pPr>
      <w:r>
        <w:rPr>
          <w:rFonts w:hint="eastAsia" w:ascii="宋体" w:hAnsi="宋体" w:cs="宋体"/>
          <w:b/>
          <w:bCs/>
          <w:color w:val="auto"/>
          <w:kern w:val="28"/>
          <w:sz w:val="22"/>
          <w:szCs w:val="22"/>
          <w:highlight w:val="none"/>
        </w:rPr>
        <w:t>（一）各评委成员按下列评分项目进行评判，每人一张评分计算票，并记名。投标响应文件各项评分内容由评标委员会成员各自评分，如某张票的一个因素项目超过规定的范围，则该张票无效。各评标委员会成员对各供应商的各项评分内容评分的算术平均值为各供应商技术分得分（小数点后按四舍五入保留2位）。</w:t>
      </w:r>
    </w:p>
    <w:p w14:paraId="3BD6D7C6">
      <w:pPr>
        <w:tabs>
          <w:tab w:val="left" w:pos="1365"/>
        </w:tabs>
        <w:spacing w:line="460" w:lineRule="exact"/>
        <w:ind w:left="425" w:leftChars="52" w:hanging="316" w:hangingChars="143"/>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（二）商务技术评分（70分）</w:t>
      </w:r>
    </w:p>
    <w:tbl>
      <w:tblPr>
        <w:tblStyle w:val="39"/>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453"/>
        <w:gridCol w:w="893"/>
        <w:gridCol w:w="6380"/>
        <w:gridCol w:w="845"/>
      </w:tblGrid>
      <w:tr w14:paraId="516B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587" w:type="dxa"/>
            <w:noWrap w:val="0"/>
            <w:vAlign w:val="center"/>
          </w:tcPr>
          <w:p w14:paraId="4C4775AA">
            <w:pPr>
              <w:spacing w:afterLines="0" w:line="460" w:lineRule="exact"/>
              <w:jc w:val="center"/>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rPr>
              <w:t>序号</w:t>
            </w:r>
          </w:p>
        </w:tc>
        <w:tc>
          <w:tcPr>
            <w:tcW w:w="1453" w:type="dxa"/>
            <w:noWrap/>
            <w:vAlign w:val="center"/>
          </w:tcPr>
          <w:p w14:paraId="49ACC755">
            <w:pPr>
              <w:spacing w:afterLines="0" w:line="460" w:lineRule="exact"/>
              <w:jc w:val="center"/>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snapToGrid w:val="0"/>
                <w:color w:val="auto"/>
                <w:sz w:val="22"/>
                <w:szCs w:val="22"/>
                <w:highlight w:val="none"/>
              </w:rPr>
              <w:t>评分内容</w:t>
            </w:r>
          </w:p>
        </w:tc>
        <w:tc>
          <w:tcPr>
            <w:tcW w:w="893" w:type="dxa"/>
            <w:noWrap/>
            <w:vAlign w:val="center"/>
          </w:tcPr>
          <w:p w14:paraId="2C28687F">
            <w:pPr>
              <w:spacing w:afterLines="0" w:line="460" w:lineRule="exact"/>
              <w:jc w:val="center"/>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rPr>
              <w:t>分值</w:t>
            </w:r>
          </w:p>
        </w:tc>
        <w:tc>
          <w:tcPr>
            <w:tcW w:w="6380" w:type="dxa"/>
            <w:noWrap/>
            <w:vAlign w:val="center"/>
          </w:tcPr>
          <w:p w14:paraId="6D33F904">
            <w:pPr>
              <w:spacing w:afterLines="0" w:line="460" w:lineRule="exact"/>
              <w:jc w:val="center"/>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rPr>
              <w:t>评分</w:t>
            </w:r>
            <w:r>
              <w:rPr>
                <w:rFonts w:hint="eastAsia" w:ascii="宋体" w:hAnsi="宋体" w:eastAsia="宋体" w:cs="宋体"/>
                <w:b/>
                <w:bCs/>
                <w:color w:val="auto"/>
                <w:sz w:val="22"/>
                <w:szCs w:val="22"/>
                <w:highlight w:val="none"/>
                <w:lang w:val="en-US" w:eastAsia="zh-CN"/>
              </w:rPr>
              <w:t>因素</w:t>
            </w:r>
          </w:p>
        </w:tc>
        <w:tc>
          <w:tcPr>
            <w:tcW w:w="845" w:type="dxa"/>
            <w:noWrap w:val="0"/>
            <w:vAlign w:val="center"/>
          </w:tcPr>
          <w:p w14:paraId="47634136">
            <w:pPr>
              <w:spacing w:afterLines="0" w:line="460" w:lineRule="exact"/>
              <w:jc w:val="center"/>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rPr>
              <w:t>备注</w:t>
            </w:r>
          </w:p>
        </w:tc>
      </w:tr>
      <w:tr w14:paraId="65CB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587" w:type="dxa"/>
            <w:vMerge w:val="restart"/>
            <w:noWrap w:val="0"/>
            <w:vAlign w:val="center"/>
          </w:tcPr>
          <w:p w14:paraId="2F486865">
            <w:pPr>
              <w:spacing w:afterLines="0"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1453" w:type="dxa"/>
            <w:vMerge w:val="restart"/>
            <w:noWrap/>
            <w:vAlign w:val="center"/>
          </w:tcPr>
          <w:p w14:paraId="32FFB2A8">
            <w:pPr>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投标人实力</w:t>
            </w:r>
          </w:p>
        </w:tc>
        <w:tc>
          <w:tcPr>
            <w:tcW w:w="893" w:type="dxa"/>
            <w:noWrap/>
            <w:vAlign w:val="center"/>
          </w:tcPr>
          <w:p w14:paraId="54EA9D40">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3分</w:t>
            </w:r>
          </w:p>
        </w:tc>
        <w:tc>
          <w:tcPr>
            <w:tcW w:w="6380" w:type="dxa"/>
            <w:noWrap/>
            <w:vAlign w:val="center"/>
          </w:tcPr>
          <w:p w14:paraId="1BC1C074">
            <w:pPr>
              <w:spacing w:line="460" w:lineRule="exac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投标人具有质量管理体系认证证书得1分、环境管理体系认证证书得1分、职业健康安全管理体系认证证书得1分，每提供一项得1分，最高得3分。</w:t>
            </w:r>
          </w:p>
          <w:p w14:paraId="6B08CE6D">
            <w:pPr>
              <w:spacing w:line="460" w:lineRule="exact"/>
              <w:rPr>
                <w:rFonts w:hint="eastAsia" w:ascii="宋体" w:hAnsi="宋体" w:eastAsia="宋体" w:cs="宋体"/>
                <w:b w:val="0"/>
                <w:bCs w:val="0"/>
                <w:color w:val="000000"/>
                <w:sz w:val="22"/>
                <w:szCs w:val="22"/>
                <w:highlight w:val="none"/>
                <w:lang w:val="zh-CN" w:eastAsia="zh-CN"/>
              </w:rPr>
            </w:pPr>
            <w:r>
              <w:rPr>
                <w:rFonts w:hint="eastAsia" w:ascii="宋体" w:hAnsi="宋体" w:eastAsia="宋体" w:cs="宋体"/>
                <w:b w:val="0"/>
                <w:bCs w:val="0"/>
                <w:color w:val="000000"/>
                <w:sz w:val="22"/>
                <w:szCs w:val="22"/>
                <w:highlight w:val="none"/>
                <w:lang w:val="zh-CN" w:eastAsia="zh-CN"/>
              </w:rPr>
              <w:t>(提供</w:t>
            </w:r>
            <w:r>
              <w:rPr>
                <w:rFonts w:hint="eastAsia" w:ascii="宋体" w:hAnsi="宋体" w:eastAsia="宋体" w:cs="宋体"/>
                <w:b w:val="0"/>
                <w:bCs w:val="0"/>
                <w:color w:val="000000"/>
                <w:sz w:val="22"/>
                <w:szCs w:val="22"/>
                <w:highlight w:val="none"/>
                <w:lang w:val="en-US" w:eastAsia="zh-CN"/>
              </w:rPr>
              <w:t>有效期内证书</w:t>
            </w:r>
            <w:r>
              <w:rPr>
                <w:rFonts w:hint="eastAsia" w:ascii="宋体" w:hAnsi="宋体" w:eastAsia="宋体" w:cs="宋体"/>
                <w:b w:val="0"/>
                <w:bCs w:val="0"/>
                <w:color w:val="000000"/>
                <w:sz w:val="22"/>
                <w:szCs w:val="22"/>
                <w:highlight w:val="none"/>
                <w:lang w:val="zh-CN" w:eastAsia="zh-CN"/>
              </w:rPr>
              <w:t>复印件加盖公章，否则不得分。）</w:t>
            </w:r>
          </w:p>
          <w:p w14:paraId="7461CB92">
            <w:pPr>
              <w:numPr>
                <w:ilvl w:val="0"/>
                <w:numId w:val="0"/>
              </w:numPr>
              <w:spacing w:line="460" w:lineRule="exact"/>
              <w:ind w:leftChars="0"/>
              <w:rPr>
                <w:rFonts w:hint="eastAsia" w:ascii="宋体" w:hAnsi="宋体" w:eastAsia="宋体" w:cs="宋体"/>
                <w:b w:val="0"/>
                <w:bCs w:val="0"/>
                <w:color w:val="000000"/>
                <w:sz w:val="22"/>
                <w:szCs w:val="22"/>
                <w:highlight w:val="none"/>
                <w:lang w:val="en-US" w:eastAsia="zh-CN"/>
              </w:rPr>
            </w:pPr>
          </w:p>
        </w:tc>
        <w:tc>
          <w:tcPr>
            <w:tcW w:w="845" w:type="dxa"/>
            <w:noWrap w:val="0"/>
            <w:vAlign w:val="center"/>
          </w:tcPr>
          <w:p w14:paraId="1F5C7B48">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6555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jc w:val="center"/>
        </w:trPr>
        <w:tc>
          <w:tcPr>
            <w:tcW w:w="587" w:type="dxa"/>
            <w:vMerge w:val="continue"/>
            <w:noWrap w:val="0"/>
            <w:vAlign w:val="center"/>
          </w:tcPr>
          <w:p w14:paraId="7F0FAB25">
            <w:pPr>
              <w:spacing w:afterLines="0" w:line="460" w:lineRule="exact"/>
              <w:jc w:val="center"/>
              <w:rPr>
                <w:rFonts w:hint="eastAsia" w:ascii="宋体" w:hAnsi="宋体" w:eastAsia="宋体" w:cs="宋体"/>
                <w:b w:val="0"/>
                <w:bCs w:val="0"/>
                <w:color w:val="auto"/>
                <w:sz w:val="22"/>
                <w:szCs w:val="22"/>
                <w:highlight w:val="none"/>
              </w:rPr>
            </w:pPr>
          </w:p>
        </w:tc>
        <w:tc>
          <w:tcPr>
            <w:tcW w:w="1453" w:type="dxa"/>
            <w:vMerge w:val="continue"/>
            <w:noWrap/>
            <w:vAlign w:val="center"/>
          </w:tcPr>
          <w:p w14:paraId="49AEE7BC">
            <w:pPr>
              <w:spacing w:line="460" w:lineRule="exact"/>
              <w:jc w:val="center"/>
              <w:rPr>
                <w:rFonts w:hint="eastAsia" w:ascii="宋体" w:hAnsi="宋体" w:eastAsia="宋体" w:cs="宋体"/>
                <w:b w:val="0"/>
                <w:bCs w:val="0"/>
                <w:color w:val="auto"/>
                <w:sz w:val="22"/>
                <w:szCs w:val="22"/>
                <w:highlight w:val="none"/>
                <w:lang w:val="en-US" w:eastAsia="zh-CN"/>
              </w:rPr>
            </w:pPr>
          </w:p>
        </w:tc>
        <w:tc>
          <w:tcPr>
            <w:tcW w:w="893" w:type="dxa"/>
            <w:noWrap/>
            <w:vAlign w:val="center"/>
          </w:tcPr>
          <w:p w14:paraId="778A7E02">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3分</w:t>
            </w:r>
          </w:p>
        </w:tc>
        <w:tc>
          <w:tcPr>
            <w:tcW w:w="6380" w:type="dxa"/>
            <w:noWrap/>
            <w:vAlign w:val="center"/>
          </w:tcPr>
          <w:p w14:paraId="4C52D29E">
            <w:pPr>
              <w:numPr>
                <w:ilvl w:val="0"/>
                <w:numId w:val="0"/>
              </w:numPr>
              <w:spacing w:line="460" w:lineRule="exact"/>
              <w:ind w:left="0" w:leftChars="0" w:firstLine="0" w:firstLineChars="0"/>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供应商2022年1月1日至今同类项目业绩，时间以合同签订时间为准，每提供1个有效业绩得0.5分，最高得3分。</w:t>
            </w:r>
          </w:p>
          <w:p w14:paraId="775F1854">
            <w:pPr>
              <w:numPr>
                <w:ilvl w:val="0"/>
                <w:numId w:val="0"/>
              </w:numPr>
              <w:spacing w:line="460" w:lineRule="exact"/>
              <w:ind w:left="0" w:leftChars="0" w:firstLine="0" w:firstLineChars="0"/>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（提供相应证明材料，同一个业绩必须具有中标通知书、合同、验收报告并加盖投标人公章，三者缺一不得分。）</w:t>
            </w:r>
          </w:p>
          <w:p w14:paraId="6CE46964">
            <w:pPr>
              <w:numPr>
                <w:ilvl w:val="0"/>
                <w:numId w:val="0"/>
              </w:numPr>
              <w:spacing w:line="460" w:lineRule="exact"/>
              <w:ind w:leftChars="0"/>
              <w:rPr>
                <w:rFonts w:hint="eastAsia" w:ascii="宋体" w:hAnsi="宋体" w:eastAsia="宋体" w:cs="宋体"/>
                <w:b w:val="0"/>
                <w:bCs w:val="0"/>
                <w:color w:val="000000"/>
                <w:sz w:val="22"/>
                <w:szCs w:val="22"/>
                <w:highlight w:val="none"/>
                <w:lang w:val="en-US" w:eastAsia="zh-CN"/>
              </w:rPr>
            </w:pPr>
          </w:p>
        </w:tc>
        <w:tc>
          <w:tcPr>
            <w:tcW w:w="845" w:type="dxa"/>
            <w:noWrap w:val="0"/>
            <w:vAlign w:val="center"/>
          </w:tcPr>
          <w:p w14:paraId="777396C1">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38AF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7" w:hRule="atLeast"/>
          <w:jc w:val="center"/>
        </w:trPr>
        <w:tc>
          <w:tcPr>
            <w:tcW w:w="587" w:type="dxa"/>
            <w:vMerge w:val="restart"/>
            <w:noWrap w:val="0"/>
            <w:vAlign w:val="center"/>
          </w:tcPr>
          <w:p w14:paraId="5722FA5F">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453" w:type="dxa"/>
            <w:vMerge w:val="restart"/>
            <w:noWrap/>
            <w:vAlign w:val="center"/>
          </w:tcPr>
          <w:p w14:paraId="20868021">
            <w:pPr>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针对本项目实施方案</w:t>
            </w:r>
          </w:p>
        </w:tc>
        <w:tc>
          <w:tcPr>
            <w:tcW w:w="893" w:type="dxa"/>
            <w:noWrap/>
            <w:vAlign w:val="center"/>
          </w:tcPr>
          <w:p w14:paraId="539076BD">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3分</w:t>
            </w:r>
          </w:p>
        </w:tc>
        <w:tc>
          <w:tcPr>
            <w:tcW w:w="6380" w:type="dxa"/>
            <w:noWrap/>
            <w:vAlign w:val="center"/>
          </w:tcPr>
          <w:p w14:paraId="684B9C78">
            <w:pPr>
              <w:numPr>
                <w:ilvl w:val="0"/>
                <w:numId w:val="0"/>
              </w:numPr>
              <w:spacing w:line="460" w:lineRule="exact"/>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根据投标人提供的本项目涉及</w:t>
            </w:r>
            <w:r>
              <w:rPr>
                <w:rFonts w:hint="eastAsia" w:ascii="宋体" w:hAnsi="宋体" w:eastAsia="宋体" w:cs="宋体"/>
                <w:b w:val="0"/>
                <w:bCs w:val="0"/>
                <w:color w:val="000000"/>
                <w:sz w:val="22"/>
                <w:szCs w:val="22"/>
                <w:highlight w:val="none"/>
                <w:lang w:val="en-US" w:eastAsia="zh-CN"/>
              </w:rPr>
              <w:t>的内容以及建筑平面图纸，提供详细的厨房设备布局平面图、设备水电、厨房各区间的设计效果图进行综合评分：</w:t>
            </w:r>
          </w:p>
          <w:p w14:paraId="0F67BB72">
            <w:pPr>
              <w:numPr>
                <w:ilvl w:val="0"/>
                <w:numId w:val="0"/>
              </w:numPr>
              <w:spacing w:line="460" w:lineRule="exact"/>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1、合理、可行性强的得3分；</w:t>
            </w:r>
          </w:p>
          <w:p w14:paraId="002141FD">
            <w:pPr>
              <w:numPr>
                <w:ilvl w:val="0"/>
                <w:numId w:val="0"/>
              </w:numPr>
              <w:spacing w:line="460" w:lineRule="exact"/>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2、较合理、可行性较强的得2分；</w:t>
            </w:r>
          </w:p>
          <w:p w14:paraId="1C7D119B">
            <w:pPr>
              <w:numPr>
                <w:ilvl w:val="0"/>
                <w:numId w:val="0"/>
              </w:numPr>
              <w:spacing w:line="460" w:lineRule="exact"/>
              <w:jc w:val="left"/>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3、合理性、可行性一般的得1分；</w:t>
            </w:r>
          </w:p>
          <w:p w14:paraId="2296B358">
            <w:pPr>
              <w:numPr>
                <w:ilvl w:val="0"/>
                <w:numId w:val="0"/>
              </w:numPr>
              <w:spacing w:line="460" w:lineRule="exact"/>
              <w:jc w:val="left"/>
              <w:rPr>
                <w:rFonts w:hint="eastAsia" w:ascii="宋体" w:hAnsi="宋体" w:eastAsia="宋体" w:cs="宋体"/>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4、未提供不得分。</w:t>
            </w:r>
          </w:p>
        </w:tc>
        <w:tc>
          <w:tcPr>
            <w:tcW w:w="845" w:type="dxa"/>
            <w:noWrap w:val="0"/>
            <w:vAlign w:val="center"/>
          </w:tcPr>
          <w:p w14:paraId="341620EC">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0CEA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87" w:type="dxa"/>
            <w:vMerge w:val="continue"/>
            <w:noWrap w:val="0"/>
            <w:vAlign w:val="center"/>
          </w:tcPr>
          <w:p w14:paraId="6A25B7D5">
            <w:pPr>
              <w:spacing w:afterLines="0" w:line="460" w:lineRule="exact"/>
              <w:jc w:val="center"/>
              <w:rPr>
                <w:rFonts w:hint="eastAsia" w:ascii="宋体" w:hAnsi="宋体" w:eastAsia="宋体" w:cs="宋体"/>
                <w:b w:val="0"/>
                <w:bCs w:val="0"/>
                <w:color w:val="auto"/>
                <w:sz w:val="22"/>
                <w:szCs w:val="22"/>
                <w:highlight w:val="none"/>
                <w:lang w:val="en-US" w:eastAsia="zh-CN"/>
              </w:rPr>
            </w:pPr>
          </w:p>
        </w:tc>
        <w:tc>
          <w:tcPr>
            <w:tcW w:w="1453" w:type="dxa"/>
            <w:vMerge w:val="continue"/>
            <w:noWrap/>
            <w:vAlign w:val="center"/>
          </w:tcPr>
          <w:p w14:paraId="266526EF">
            <w:pPr>
              <w:spacing w:line="460" w:lineRule="exact"/>
              <w:rPr>
                <w:rFonts w:hint="eastAsia" w:ascii="宋体" w:hAnsi="宋体" w:eastAsia="宋体" w:cs="宋体"/>
                <w:b w:val="0"/>
                <w:bCs w:val="0"/>
                <w:color w:val="auto"/>
                <w:sz w:val="22"/>
                <w:szCs w:val="22"/>
                <w:highlight w:val="none"/>
              </w:rPr>
            </w:pPr>
          </w:p>
        </w:tc>
        <w:tc>
          <w:tcPr>
            <w:tcW w:w="893" w:type="dxa"/>
            <w:noWrap/>
            <w:vAlign w:val="center"/>
          </w:tcPr>
          <w:p w14:paraId="68ED5FA0">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5分</w:t>
            </w:r>
          </w:p>
        </w:tc>
        <w:tc>
          <w:tcPr>
            <w:tcW w:w="6380" w:type="dxa"/>
            <w:noWrap/>
            <w:vAlign w:val="center"/>
          </w:tcPr>
          <w:p w14:paraId="5EC3AEDB">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投标人结合项目实际情况，对上述的图纸设计方案进行视频演示讲解，</w:t>
            </w:r>
            <w:r>
              <w:rPr>
                <w:rFonts w:hint="eastAsia" w:ascii="宋体" w:hAnsi="宋体" w:eastAsia="宋体" w:cs="宋体"/>
                <w:b w:val="0"/>
                <w:bCs w:val="0"/>
                <w:color w:val="auto"/>
                <w:sz w:val="22"/>
                <w:szCs w:val="22"/>
                <w:highlight w:val="none"/>
                <w:lang w:val="zh-CN" w:eastAsia="zh-CN"/>
              </w:rPr>
              <w:t>评委根据方案的完整程度、设计的科学性、合理性</w:t>
            </w:r>
            <w:r>
              <w:rPr>
                <w:rFonts w:hint="eastAsia" w:ascii="宋体" w:hAnsi="宋体" w:eastAsia="宋体" w:cs="宋体"/>
                <w:b w:val="0"/>
                <w:bCs w:val="0"/>
                <w:color w:val="auto"/>
                <w:sz w:val="22"/>
                <w:szCs w:val="22"/>
                <w:highlight w:val="none"/>
                <w:lang w:val="en-US" w:eastAsia="zh-CN"/>
              </w:rPr>
              <w:t>进行综合评分：</w:t>
            </w:r>
          </w:p>
          <w:p w14:paraId="2FDF318D">
            <w:pPr>
              <w:numPr>
                <w:ilvl w:val="0"/>
                <w:numId w:val="9"/>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方案完整、设计科学、合理的得5分；</w:t>
            </w:r>
          </w:p>
          <w:p w14:paraId="16EE7DB0">
            <w:pPr>
              <w:numPr>
                <w:ilvl w:val="0"/>
                <w:numId w:val="9"/>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方案较完整、设计较科学、较合理的得3分；</w:t>
            </w:r>
          </w:p>
          <w:p w14:paraId="790339CC">
            <w:pPr>
              <w:pStyle w:val="46"/>
              <w:numPr>
                <w:ilvl w:val="0"/>
                <w:numId w:val="9"/>
              </w:numPr>
              <w:spacing w:line="460" w:lineRule="exact"/>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方案基本完整、设计基本科学、基本合理的得1分；</w:t>
            </w:r>
          </w:p>
          <w:p w14:paraId="7ECC984B">
            <w:pPr>
              <w:pStyle w:val="46"/>
              <w:numPr>
                <w:ilvl w:val="0"/>
                <w:numId w:val="9"/>
              </w:numPr>
              <w:spacing w:line="460" w:lineRule="exact"/>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未提供不得分。</w:t>
            </w:r>
          </w:p>
          <w:p w14:paraId="094C7444">
            <w:pPr>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注：1、投标人在递交演示视频截止时间前递交相关功能视频的u盘，并用信封密封（信封封口处标识项目名称、项目编号、投标人信息并加盖投标人公章）；超过递交演示视频截止时间的，采购人或采购代理机构将不予接收；</w:t>
            </w:r>
          </w:p>
          <w:p w14:paraId="09BAB58A">
            <w:pPr>
              <w:pStyle w:val="2"/>
              <w:numPr>
                <w:ilvl w:val="0"/>
                <w:numId w:val="10"/>
              </w:numPr>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相关功能视频时长不得超过15分钟，演示u盘不予退回；</w:t>
            </w:r>
          </w:p>
          <w:p w14:paraId="53E8B9CA">
            <w:pPr>
              <w:pStyle w:val="2"/>
              <w:numPr>
                <w:ilvl w:val="0"/>
                <w:numId w:val="0"/>
              </w:numPr>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3、U盘内不得出现其他无关文件，因投标人自身原因或投标人设备原因导致无法演示或者演示效果不理想的，责任自负。</w:t>
            </w:r>
          </w:p>
        </w:tc>
        <w:tc>
          <w:tcPr>
            <w:tcW w:w="845" w:type="dxa"/>
            <w:noWrap w:val="0"/>
            <w:vAlign w:val="center"/>
          </w:tcPr>
          <w:p w14:paraId="42676518">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3138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4" w:hRule="atLeast"/>
          <w:jc w:val="center"/>
        </w:trPr>
        <w:tc>
          <w:tcPr>
            <w:tcW w:w="587" w:type="dxa"/>
            <w:noWrap w:val="0"/>
            <w:vAlign w:val="center"/>
          </w:tcPr>
          <w:p w14:paraId="38C234D5">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1453" w:type="dxa"/>
            <w:noWrap/>
            <w:vAlign w:val="center"/>
          </w:tcPr>
          <w:p w14:paraId="01D95AF2">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所投产品</w:t>
            </w:r>
            <w:r>
              <w:rPr>
                <w:rFonts w:hint="eastAsia" w:ascii="宋体" w:hAnsi="宋体" w:eastAsia="宋体" w:cs="宋体"/>
                <w:b w:val="0"/>
                <w:bCs w:val="0"/>
                <w:color w:val="auto"/>
                <w:sz w:val="22"/>
                <w:szCs w:val="22"/>
                <w:highlight w:val="none"/>
                <w:lang w:val="en-US" w:eastAsia="zh-CN"/>
              </w:rPr>
              <w:t>技术参数响应程度</w:t>
            </w:r>
          </w:p>
        </w:tc>
        <w:tc>
          <w:tcPr>
            <w:tcW w:w="893" w:type="dxa"/>
            <w:noWrap/>
            <w:vAlign w:val="center"/>
          </w:tcPr>
          <w:p w14:paraId="2156D99C">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36</w:t>
            </w:r>
            <w:r>
              <w:rPr>
                <w:rFonts w:hint="eastAsia" w:ascii="宋体" w:hAnsi="宋体" w:eastAsia="宋体" w:cs="宋体"/>
                <w:b w:val="0"/>
                <w:bCs w:val="0"/>
                <w:color w:val="auto"/>
                <w:sz w:val="22"/>
                <w:szCs w:val="22"/>
                <w:highlight w:val="none"/>
                <w:lang w:val="zh-CN" w:eastAsia="zh-CN"/>
              </w:rPr>
              <w:t>分</w:t>
            </w:r>
          </w:p>
        </w:tc>
        <w:tc>
          <w:tcPr>
            <w:tcW w:w="6380" w:type="dxa"/>
            <w:noWrap/>
            <w:vAlign w:val="center"/>
          </w:tcPr>
          <w:p w14:paraId="0985559D">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完全满足或明显优于采购文件明确的技术参数及性能要求条款要求的得36分：含★标条款，每满足一条的得1分，最高得11分；非★标条款，每负偏离一条的扣0.2分，扣完为止。</w:t>
            </w:r>
          </w:p>
          <w:p w14:paraId="32D7A6B5">
            <w:pPr>
              <w:spacing w:line="460" w:lineRule="exac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注：未提供或提供不符合要求的相关证明材料（如检测报告、证书、页面截图、承诺函等），均视为负偏离，不得分。</w:t>
            </w:r>
          </w:p>
        </w:tc>
        <w:tc>
          <w:tcPr>
            <w:tcW w:w="845" w:type="dxa"/>
            <w:noWrap w:val="0"/>
            <w:vAlign w:val="center"/>
          </w:tcPr>
          <w:p w14:paraId="2DBA6E34">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073A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87" w:type="dxa"/>
            <w:noWrap w:val="0"/>
            <w:vAlign w:val="center"/>
          </w:tcPr>
          <w:p w14:paraId="4417F981">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453" w:type="dxa"/>
            <w:noWrap/>
            <w:vAlign w:val="center"/>
          </w:tcPr>
          <w:p w14:paraId="09E35A4E">
            <w:pPr>
              <w:spacing w:line="460" w:lineRule="exact"/>
              <w:jc w:val="center"/>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投标样品</w:t>
            </w:r>
          </w:p>
        </w:tc>
        <w:tc>
          <w:tcPr>
            <w:tcW w:w="893" w:type="dxa"/>
            <w:noWrap/>
            <w:vAlign w:val="center"/>
          </w:tcPr>
          <w:p w14:paraId="3131FB87">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8分</w:t>
            </w:r>
          </w:p>
        </w:tc>
        <w:tc>
          <w:tcPr>
            <w:tcW w:w="6380" w:type="dxa"/>
            <w:noWrap/>
            <w:vAlign w:val="center"/>
          </w:tcPr>
          <w:p w14:paraId="5E9A2643">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根据招标文件要求提供</w:t>
            </w:r>
            <w:r>
              <w:rPr>
                <w:rFonts w:hint="eastAsia" w:ascii="宋体" w:hAnsi="宋体" w:eastAsia="宋体" w:cs="宋体"/>
                <w:b w:val="0"/>
                <w:bCs w:val="0"/>
                <w:color w:val="auto"/>
                <w:sz w:val="22"/>
                <w:szCs w:val="22"/>
                <w:highlight w:val="none"/>
                <w:lang w:val="en-US" w:eastAsia="zh-CN"/>
              </w:rPr>
              <w:t>电磁自动摇摆汤炉</w:t>
            </w:r>
            <w:r>
              <w:rPr>
                <w:rFonts w:hint="eastAsia" w:ascii="宋体" w:hAnsi="宋体" w:eastAsia="宋体" w:cs="宋体"/>
                <w:b w:val="0"/>
                <w:bCs w:val="0"/>
                <w:color w:val="auto"/>
                <w:sz w:val="22"/>
                <w:szCs w:val="22"/>
                <w:highlight w:val="none"/>
                <w:lang w:val="zh-CN" w:eastAsia="zh-CN"/>
              </w:rPr>
              <w:t>样品1台并</w:t>
            </w:r>
            <w:r>
              <w:rPr>
                <w:rFonts w:hint="eastAsia" w:ascii="宋体" w:hAnsi="宋体" w:eastAsia="宋体" w:cs="宋体"/>
                <w:b w:val="0"/>
                <w:bCs w:val="0"/>
                <w:color w:val="auto"/>
                <w:sz w:val="22"/>
                <w:szCs w:val="22"/>
                <w:highlight w:val="none"/>
                <w:lang w:val="en-US" w:eastAsia="zh-CN"/>
              </w:rPr>
              <w:t>提供功能</w:t>
            </w:r>
            <w:r>
              <w:rPr>
                <w:rFonts w:hint="eastAsia" w:ascii="宋体" w:hAnsi="宋体" w:eastAsia="宋体" w:cs="宋体"/>
                <w:b w:val="0"/>
                <w:bCs w:val="0"/>
                <w:color w:val="auto"/>
                <w:sz w:val="22"/>
                <w:szCs w:val="22"/>
                <w:highlight w:val="none"/>
                <w:lang w:val="zh-CN" w:eastAsia="zh-CN"/>
              </w:rPr>
              <w:t>演示</w:t>
            </w:r>
            <w:r>
              <w:rPr>
                <w:rFonts w:hint="eastAsia" w:ascii="宋体" w:hAnsi="宋体" w:eastAsia="宋体" w:cs="宋体"/>
                <w:b w:val="0"/>
                <w:bCs w:val="0"/>
                <w:color w:val="auto"/>
                <w:sz w:val="22"/>
                <w:szCs w:val="22"/>
                <w:highlight w:val="none"/>
                <w:lang w:val="en-US" w:eastAsia="zh-CN"/>
              </w:rPr>
              <w:t>视频进行打分</w:t>
            </w:r>
            <w:r>
              <w:rPr>
                <w:rFonts w:hint="eastAsia" w:ascii="宋体" w:hAnsi="宋体" w:eastAsia="宋体" w:cs="宋体"/>
                <w:b w:val="0"/>
                <w:bCs w:val="0"/>
                <w:color w:val="auto"/>
                <w:sz w:val="22"/>
                <w:szCs w:val="22"/>
                <w:highlight w:val="none"/>
                <w:lang w:val="zh-CN" w:eastAsia="zh-CN"/>
              </w:rPr>
              <w:t>。规格：</w:t>
            </w:r>
            <w:r>
              <w:rPr>
                <w:rFonts w:hint="eastAsia" w:ascii="宋体" w:hAnsi="宋体" w:eastAsia="宋体" w:cs="宋体"/>
                <w:b w:val="0"/>
                <w:bCs w:val="0"/>
                <w:color w:val="auto"/>
                <w:sz w:val="22"/>
                <w:szCs w:val="22"/>
                <w:highlight w:val="none"/>
                <w:lang w:val="en-US" w:eastAsia="zh-CN"/>
              </w:rPr>
              <w:t>1350*900*1000（±5mm）</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本项最高得8分。</w:t>
            </w:r>
          </w:p>
          <w:p w14:paraId="44271862">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1、现场通电（220V的电源）后倾斜，复位开关亮提示灯，汤桶一键倾斜到90°及180°复位；得4分；样品没有达到以上要求不得分。</w:t>
            </w:r>
          </w:p>
          <w:p w14:paraId="721BEBB6">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2、采用锌合金开关及一键防勿动开关，紧急情况能准确无误停止设备运行；得2分；样品没有达到以上要求不得分。</w:t>
            </w:r>
          </w:p>
          <w:p w14:paraId="265727F2">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3、采用双层汤桶盖，通电后锅盖在闭合状态下汤桶无法实现动态位移工作；得2分；样品没有达到以上要求不得分。</w:t>
            </w:r>
          </w:p>
          <w:p w14:paraId="3E6BBDC6">
            <w:pPr>
              <w:numPr>
                <w:ilvl w:val="0"/>
                <w:numId w:val="0"/>
              </w:numPr>
              <w:tabs>
                <w:tab w:val="left" w:pos="900"/>
              </w:tabs>
              <w:autoSpaceDE w:val="0"/>
              <w:autoSpaceDN w:val="0"/>
              <w:adjustRightInd w:val="0"/>
              <w:snapToGrid w:val="0"/>
              <w:spacing w:line="460" w:lineRule="exact"/>
              <w:ind w:left="0" w:firstLine="0"/>
              <w:textAlignment w:val="bottom"/>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lang w:val="en-US" w:eastAsia="zh-CN"/>
              </w:rPr>
              <w:t>注：1、</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未提供投标样品的</w:t>
            </w:r>
            <w:r>
              <w:rPr>
                <w:rFonts w:hint="eastAsia" w:ascii="宋体" w:hAnsi="宋体" w:eastAsia="宋体" w:cs="宋体"/>
                <w:b/>
                <w:color w:val="auto"/>
                <w:spacing w:val="0"/>
                <w:kern w:val="2"/>
                <w:sz w:val="22"/>
                <w:szCs w:val="22"/>
                <w:highlight w:val="none"/>
                <w:u w:val="single"/>
              </w:rPr>
              <w:t>或提供样品不满足采购需求实质性条件的</w:t>
            </w:r>
            <w:r>
              <w:rPr>
                <w:rFonts w:hint="eastAsia" w:ascii="宋体" w:hAnsi="宋体" w:eastAsia="宋体" w:cs="宋体"/>
                <w:b/>
                <w:color w:val="auto"/>
                <w:sz w:val="22"/>
                <w:szCs w:val="22"/>
                <w:highlight w:val="none"/>
                <w:u w:val="single"/>
              </w:rPr>
              <w:t>将被视为未实质性响应招标文件。</w:t>
            </w:r>
          </w:p>
          <w:p w14:paraId="7D86D9B5">
            <w:pPr>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color w:val="auto"/>
                <w:sz w:val="22"/>
                <w:szCs w:val="22"/>
                <w:highlight w:val="none"/>
                <w:u w:val="none"/>
                <w:lang w:val="en-US" w:eastAsia="zh-CN"/>
              </w:rPr>
              <w:t>2、</w:t>
            </w:r>
            <w:r>
              <w:rPr>
                <w:rFonts w:hint="eastAsia" w:ascii="宋体" w:hAnsi="宋体" w:eastAsia="宋体" w:cs="宋体"/>
                <w:b w:val="0"/>
                <w:bCs/>
                <w:color w:val="auto"/>
                <w:kern w:val="2"/>
                <w:sz w:val="22"/>
                <w:szCs w:val="22"/>
                <w:highlight w:val="none"/>
                <w:u w:val="none"/>
                <w:lang w:val="en-US" w:eastAsia="zh-CN" w:bidi="ar-SA"/>
              </w:rPr>
              <w:t>投标人在递交演示视频截止时间前递交相关功能视频的u盘，并用</w:t>
            </w:r>
            <w:r>
              <w:rPr>
                <w:rFonts w:hint="eastAsia" w:ascii="宋体" w:hAnsi="宋体" w:eastAsia="宋体" w:cs="宋体"/>
                <w:b w:val="0"/>
                <w:bCs w:val="0"/>
                <w:color w:val="auto"/>
                <w:kern w:val="2"/>
                <w:sz w:val="22"/>
                <w:szCs w:val="22"/>
                <w:highlight w:val="none"/>
                <w:lang w:val="en-US" w:eastAsia="zh-CN" w:bidi="ar-SA"/>
              </w:rPr>
              <w:t>信封密封（信封封口处标识项目名称、项目编号、投标人信息并加盖投标人公章）；超过递交演示视频截止时间的，采购人或采购代理机构将不予接收；</w:t>
            </w:r>
          </w:p>
          <w:p w14:paraId="13655BB6">
            <w:pPr>
              <w:pStyle w:val="2"/>
              <w:numPr>
                <w:ilvl w:val="0"/>
                <w:numId w:val="10"/>
              </w:numPr>
              <w:spacing w:line="460" w:lineRule="exac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相关功能视频时长不得超过15分钟，演示u盘不予退回；</w:t>
            </w:r>
          </w:p>
          <w:p w14:paraId="5427A091">
            <w:pPr>
              <w:pStyle w:val="46"/>
              <w:spacing w:line="460" w:lineRule="exact"/>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4、U盘内不得出现其他无关文件，因投标人自身原因或投标人设备原因导致无法演示或者演示效果不理想的，责任自负。</w:t>
            </w:r>
          </w:p>
          <w:p w14:paraId="3D11EAE5">
            <w:pPr>
              <w:spacing w:line="460" w:lineRule="exact"/>
              <w:rPr>
                <w:rFonts w:hint="eastAsia" w:ascii="宋体" w:hAnsi="宋体" w:eastAsia="宋体" w:cs="宋体"/>
                <w:b w:val="0"/>
                <w:bCs w:val="0"/>
                <w:color w:val="auto"/>
                <w:sz w:val="22"/>
                <w:szCs w:val="22"/>
                <w:highlight w:val="none"/>
                <w:lang w:val="zh-CN" w:eastAsia="zh-CN"/>
              </w:rPr>
            </w:pPr>
          </w:p>
        </w:tc>
        <w:tc>
          <w:tcPr>
            <w:tcW w:w="845" w:type="dxa"/>
            <w:noWrap w:val="0"/>
            <w:vAlign w:val="center"/>
          </w:tcPr>
          <w:p w14:paraId="0F301113">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5B02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87" w:type="dxa"/>
            <w:vMerge w:val="restart"/>
            <w:noWrap w:val="0"/>
            <w:vAlign w:val="center"/>
          </w:tcPr>
          <w:p w14:paraId="075E8C55">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1453" w:type="dxa"/>
            <w:vMerge w:val="restart"/>
            <w:noWrap/>
            <w:vAlign w:val="center"/>
          </w:tcPr>
          <w:p w14:paraId="397065DF">
            <w:pPr>
              <w:spacing w:line="460" w:lineRule="exac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投标人售后服务承诺与保证措施</w:t>
            </w:r>
          </w:p>
        </w:tc>
        <w:tc>
          <w:tcPr>
            <w:tcW w:w="893" w:type="dxa"/>
            <w:noWrap/>
            <w:vAlign w:val="center"/>
          </w:tcPr>
          <w:p w14:paraId="30FEAA60">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4分</w:t>
            </w:r>
          </w:p>
        </w:tc>
        <w:tc>
          <w:tcPr>
            <w:tcW w:w="6380" w:type="dxa"/>
            <w:noWrap/>
            <w:vAlign w:val="center"/>
          </w:tcPr>
          <w:p w14:paraId="5F60C830">
            <w:pPr>
              <w:numPr>
                <w:ilvl w:val="0"/>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根据售后服务方案，需包含但不限于以下要点：①售后服务保障；②售后服务机构的设置。由评标委员会进行综合评分：</w:t>
            </w:r>
          </w:p>
          <w:p w14:paraId="371E0AA1">
            <w:pPr>
              <w:numPr>
                <w:ilvl w:val="0"/>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1、售后服务保障合理，售后服务机构设置合理，得4分；</w:t>
            </w:r>
          </w:p>
          <w:p w14:paraId="540CE5C8">
            <w:pPr>
              <w:numPr>
                <w:ilvl w:val="0"/>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2、售后服务保障较合理，售后服务机构设置较合理的得 3 分；</w:t>
            </w:r>
          </w:p>
          <w:p w14:paraId="1A288336">
            <w:pPr>
              <w:numPr>
                <w:ilvl w:val="0"/>
                <w:numId w:val="0"/>
              </w:numPr>
              <w:spacing w:line="46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售后服务保障一般，售后服务机构设置一般的得 2 分；</w:t>
            </w:r>
          </w:p>
          <w:p w14:paraId="75A97012">
            <w:pPr>
              <w:numPr>
                <w:ilvl w:val="0"/>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4、售后服务方案内容不完整，售后服务机构设置有所欠缺得 1 分；</w:t>
            </w:r>
          </w:p>
          <w:p w14:paraId="01DCF1FC">
            <w:pPr>
              <w:numPr>
                <w:ilvl w:val="0"/>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5、未提供相关内容的不得分。</w:t>
            </w:r>
          </w:p>
        </w:tc>
        <w:tc>
          <w:tcPr>
            <w:tcW w:w="845" w:type="dxa"/>
            <w:noWrap w:val="0"/>
            <w:vAlign w:val="center"/>
          </w:tcPr>
          <w:p w14:paraId="53850164">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70CE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87" w:type="dxa"/>
            <w:vMerge w:val="continue"/>
            <w:noWrap w:val="0"/>
            <w:vAlign w:val="center"/>
          </w:tcPr>
          <w:p w14:paraId="257FEE0E">
            <w:pPr>
              <w:spacing w:afterLines="0" w:line="460" w:lineRule="exact"/>
              <w:jc w:val="center"/>
              <w:rPr>
                <w:rFonts w:hint="eastAsia" w:ascii="宋体" w:hAnsi="宋体" w:eastAsia="宋体" w:cs="宋体"/>
                <w:b w:val="0"/>
                <w:bCs w:val="0"/>
                <w:color w:val="auto"/>
                <w:sz w:val="22"/>
                <w:szCs w:val="22"/>
                <w:highlight w:val="none"/>
                <w:lang w:val="en-US" w:eastAsia="zh-CN"/>
              </w:rPr>
            </w:pPr>
          </w:p>
        </w:tc>
        <w:tc>
          <w:tcPr>
            <w:tcW w:w="1453" w:type="dxa"/>
            <w:vMerge w:val="continue"/>
            <w:noWrap/>
            <w:vAlign w:val="center"/>
          </w:tcPr>
          <w:p w14:paraId="50F900CD">
            <w:pPr>
              <w:spacing w:line="460" w:lineRule="exact"/>
              <w:rPr>
                <w:rFonts w:hint="eastAsia" w:ascii="宋体" w:hAnsi="宋体" w:eastAsia="宋体" w:cs="宋体"/>
                <w:b w:val="0"/>
                <w:bCs w:val="0"/>
                <w:color w:val="auto"/>
                <w:sz w:val="22"/>
                <w:szCs w:val="22"/>
                <w:highlight w:val="none"/>
                <w:lang w:val="en-US" w:eastAsia="zh-CN"/>
              </w:rPr>
            </w:pPr>
          </w:p>
        </w:tc>
        <w:tc>
          <w:tcPr>
            <w:tcW w:w="893" w:type="dxa"/>
            <w:noWrap/>
            <w:vAlign w:val="center"/>
          </w:tcPr>
          <w:p w14:paraId="5377FD60">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4分</w:t>
            </w:r>
          </w:p>
        </w:tc>
        <w:tc>
          <w:tcPr>
            <w:tcW w:w="6380" w:type="dxa"/>
            <w:noWrap/>
            <w:vAlign w:val="center"/>
          </w:tcPr>
          <w:p w14:paraId="67E8DDFA">
            <w:pPr>
              <w:pStyle w:val="46"/>
              <w:spacing w:line="460" w:lineRule="exact"/>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lang w:val="zh-CN" w:eastAsia="zh-CN"/>
              </w:rPr>
              <w:t>人员培训计划、服务人员配置情况、供应商承诺的响应时间与保证措施</w:t>
            </w:r>
            <w:r>
              <w:rPr>
                <w:rFonts w:hint="eastAsia" w:ascii="宋体" w:hAnsi="宋体" w:eastAsia="宋体" w:cs="宋体"/>
                <w:b w:val="0"/>
                <w:bCs w:val="0"/>
                <w:color w:val="auto"/>
                <w:sz w:val="22"/>
                <w:szCs w:val="22"/>
                <w:highlight w:val="none"/>
                <w:lang w:val="en-US" w:eastAsia="zh-CN"/>
              </w:rPr>
              <w:t>进行综合评分：</w:t>
            </w:r>
          </w:p>
          <w:p w14:paraId="28F23A6B">
            <w:pPr>
              <w:pStyle w:val="46"/>
              <w:numPr>
                <w:ilvl w:val="-1"/>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1、人员培训计划合理、服务人员配置充足、服务响应时间及时、保证措施完整的得4分；</w:t>
            </w:r>
          </w:p>
          <w:p w14:paraId="42D85CB1">
            <w:pPr>
              <w:pStyle w:val="46"/>
              <w:numPr>
                <w:ilvl w:val="-1"/>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2、人员培训计划较合理、服务人员配置较充足、服务响应时间较及时、保证措施较完整的得3分；</w:t>
            </w:r>
          </w:p>
          <w:p w14:paraId="09AD97BB">
            <w:pPr>
              <w:pStyle w:val="46"/>
              <w:numPr>
                <w:ilvl w:val="-1"/>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3、人员培训计划基本合理、服务人员配置基本充足、服务响应时间一般及时、保证措施基本完整的得2分；</w:t>
            </w:r>
          </w:p>
          <w:p w14:paraId="77616840">
            <w:pPr>
              <w:pStyle w:val="46"/>
              <w:numPr>
                <w:ilvl w:val="-1"/>
                <w:numId w:val="0"/>
              </w:num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4、人员培训计划合理性欠缺、服务人员配置不充足、服务响应时间不及时、保证措施欠缺的得1分；</w:t>
            </w:r>
          </w:p>
          <w:p w14:paraId="3A6A4BED">
            <w:pPr>
              <w:pStyle w:val="46"/>
              <w:numPr>
                <w:ilvl w:val="-1"/>
                <w:numId w:val="0"/>
              </w:numPr>
              <w:spacing w:line="460" w:lineRule="exac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sz w:val="22"/>
                <w:szCs w:val="22"/>
                <w:highlight w:val="none"/>
                <w:lang w:val="en-US" w:eastAsia="zh-CN"/>
              </w:rPr>
              <w:t>5、未提供相关内容的不得分。</w:t>
            </w:r>
          </w:p>
        </w:tc>
        <w:tc>
          <w:tcPr>
            <w:tcW w:w="845" w:type="dxa"/>
            <w:noWrap w:val="0"/>
            <w:vAlign w:val="center"/>
          </w:tcPr>
          <w:p w14:paraId="1341A25F">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65E6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87" w:type="dxa"/>
            <w:noWrap w:val="0"/>
            <w:vAlign w:val="center"/>
          </w:tcPr>
          <w:p w14:paraId="12FB7008">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1453" w:type="dxa"/>
            <w:noWrap/>
            <w:vAlign w:val="center"/>
          </w:tcPr>
          <w:p w14:paraId="453B2994">
            <w:pPr>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节能、环境标志产品认证</w:t>
            </w:r>
          </w:p>
        </w:tc>
        <w:tc>
          <w:tcPr>
            <w:tcW w:w="893" w:type="dxa"/>
            <w:noWrap/>
            <w:vAlign w:val="center"/>
          </w:tcPr>
          <w:p w14:paraId="3BE752B6">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2分</w:t>
            </w:r>
          </w:p>
        </w:tc>
        <w:tc>
          <w:tcPr>
            <w:tcW w:w="6380" w:type="dxa"/>
            <w:noWrap/>
            <w:vAlign w:val="center"/>
          </w:tcPr>
          <w:p w14:paraId="65AF172D">
            <w:pPr>
              <w:numPr>
                <w:ilvl w:val="0"/>
                <w:numId w:val="11"/>
              </w:num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投标产品中有列入《环境标志产品政府采购品目清单》并具有相应认证证书的，每项产品得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分，最高得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7BC24B57">
            <w:pPr>
              <w:numPr>
                <w:ilvl w:val="0"/>
                <w:numId w:val="0"/>
              </w:num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供应商须提供国家确定的认证机构出具的、处于有效期之内的环境标志产品认证证书，否则不得分。</w:t>
            </w:r>
          </w:p>
          <w:p w14:paraId="45DD7233">
            <w:pPr>
              <w:numPr>
                <w:ilvl w:val="0"/>
                <w:numId w:val="11"/>
              </w:num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投标产品中除政府强制采购节能产品外有列入《节能产品政府采购品目清单》并具有相应认证证书的，每项产品得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分，最高得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75A0DF11">
            <w:pPr>
              <w:numPr>
                <w:ilvl w:val="0"/>
                <w:numId w:val="0"/>
              </w:numPr>
              <w:spacing w:line="460" w:lineRule="exac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供应商须提供国家确定的认证机构出具的、处于有效期之内的节能产品认证证书，否则不得分。</w:t>
            </w:r>
          </w:p>
        </w:tc>
        <w:tc>
          <w:tcPr>
            <w:tcW w:w="845" w:type="dxa"/>
            <w:noWrap w:val="0"/>
            <w:vAlign w:val="center"/>
          </w:tcPr>
          <w:p w14:paraId="7DA86778">
            <w:pPr>
              <w:spacing w:afterLines="0"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0736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87" w:type="dxa"/>
            <w:shd w:val="clear" w:color="auto" w:fill="auto"/>
            <w:noWrap w:val="0"/>
            <w:vAlign w:val="center"/>
          </w:tcPr>
          <w:p w14:paraId="0A4C37E1">
            <w:pPr>
              <w:spacing w:afterLines="0" w:line="46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7</w:t>
            </w:r>
          </w:p>
        </w:tc>
        <w:tc>
          <w:tcPr>
            <w:tcW w:w="1453" w:type="dxa"/>
            <w:shd w:val="clear" w:color="auto" w:fill="auto"/>
            <w:noWrap/>
            <w:vAlign w:val="center"/>
          </w:tcPr>
          <w:p w14:paraId="691F50E7">
            <w:pPr>
              <w:spacing w:line="46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质保期</w:t>
            </w:r>
          </w:p>
        </w:tc>
        <w:tc>
          <w:tcPr>
            <w:tcW w:w="893" w:type="dxa"/>
            <w:shd w:val="clear" w:color="auto" w:fill="auto"/>
            <w:noWrap/>
            <w:vAlign w:val="center"/>
          </w:tcPr>
          <w:p w14:paraId="711904F7">
            <w:pPr>
              <w:keepNext w:val="0"/>
              <w:keepLines w:val="0"/>
              <w:pageBreakBefore w:val="0"/>
              <w:widowControl/>
              <w:kinsoku/>
              <w:wordWrap/>
              <w:overflowPunct/>
              <w:topLinePunct w:val="0"/>
              <w:autoSpaceDE/>
              <w:autoSpaceDN/>
              <w:bidi w:val="0"/>
              <w:adjustRightInd/>
              <w:snapToGrid/>
              <w:spacing w:afterLines="0" w:line="460" w:lineRule="exact"/>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2分</w:t>
            </w:r>
          </w:p>
        </w:tc>
        <w:tc>
          <w:tcPr>
            <w:tcW w:w="6380" w:type="dxa"/>
            <w:shd w:val="clear" w:color="auto" w:fill="auto"/>
            <w:noWrap/>
            <w:vAlign w:val="center"/>
          </w:tcPr>
          <w:p w14:paraId="30F3D088">
            <w:pPr>
              <w:numPr>
                <w:ilvl w:val="0"/>
                <w:numId w:val="0"/>
              </w:numPr>
              <w:spacing w:line="4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免费</w:t>
            </w:r>
            <w:r>
              <w:rPr>
                <w:rFonts w:hint="eastAsia" w:ascii="宋体" w:hAnsi="宋体" w:eastAsia="宋体" w:cs="宋体"/>
                <w:color w:val="000000"/>
                <w:sz w:val="22"/>
                <w:szCs w:val="22"/>
                <w:highlight w:val="none"/>
              </w:rPr>
              <w:t>质保期</w:t>
            </w:r>
            <w:r>
              <w:rPr>
                <w:rFonts w:hint="eastAsia" w:ascii="宋体" w:hAnsi="宋体" w:eastAsia="宋体" w:cs="宋体"/>
                <w:color w:val="000000"/>
                <w:sz w:val="22"/>
                <w:szCs w:val="22"/>
                <w:highlight w:val="none"/>
                <w:lang w:val="en-US" w:eastAsia="zh-CN"/>
              </w:rPr>
              <w:t>在原有的3年基础上，每</w:t>
            </w:r>
            <w:r>
              <w:rPr>
                <w:rFonts w:hint="eastAsia" w:ascii="宋体" w:hAnsi="宋体" w:eastAsia="宋体" w:cs="宋体"/>
                <w:color w:val="000000"/>
                <w:sz w:val="22"/>
                <w:szCs w:val="22"/>
                <w:highlight w:val="none"/>
              </w:rPr>
              <w:t>增加1年的得</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r>
              <w:rPr>
                <w:rFonts w:hint="eastAsia" w:ascii="宋体" w:hAnsi="宋体" w:eastAsia="宋体" w:cs="宋体"/>
                <w:color w:val="000000"/>
                <w:sz w:val="22"/>
                <w:szCs w:val="22"/>
                <w:highlight w:val="none"/>
                <w:lang w:val="en-US" w:eastAsia="zh-CN"/>
              </w:rPr>
              <w:t>最高得2分</w:t>
            </w:r>
            <w:r>
              <w:rPr>
                <w:rFonts w:hint="eastAsia" w:ascii="宋体" w:hAnsi="宋体" w:eastAsia="宋体" w:cs="宋体"/>
                <w:color w:val="000000"/>
                <w:sz w:val="22"/>
                <w:szCs w:val="22"/>
                <w:highlight w:val="none"/>
              </w:rPr>
              <w:t>。</w:t>
            </w:r>
          </w:p>
          <w:p w14:paraId="27F83683">
            <w:pPr>
              <w:pStyle w:val="46"/>
              <w:spacing w:line="460" w:lineRule="exact"/>
              <w:ind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注：需提供承诺函（格式自拟）并加盖投标人公章，否则不得分。</w:t>
            </w:r>
          </w:p>
        </w:tc>
        <w:tc>
          <w:tcPr>
            <w:tcW w:w="845" w:type="dxa"/>
            <w:shd w:val="clear" w:color="auto" w:fill="auto"/>
            <w:noWrap w:val="0"/>
            <w:vAlign w:val="center"/>
          </w:tcPr>
          <w:p w14:paraId="4868D07B">
            <w:pPr>
              <w:spacing w:afterLines="0" w:line="46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客观分</w:t>
            </w:r>
          </w:p>
        </w:tc>
      </w:tr>
    </w:tbl>
    <w:p w14:paraId="3E382951">
      <w:pPr>
        <w:tabs>
          <w:tab w:val="left" w:pos="1365"/>
        </w:tabs>
        <w:spacing w:line="460" w:lineRule="exact"/>
        <w:ind w:left="425" w:leftChars="52" w:hanging="316" w:hangingChars="143"/>
        <w:rPr>
          <w:rFonts w:hint="eastAsia" w:ascii="宋体" w:hAnsi="宋体" w:cs="宋体"/>
          <w:b/>
          <w:bCs/>
          <w:color w:val="auto"/>
          <w:kern w:val="0"/>
          <w:sz w:val="22"/>
          <w:szCs w:val="22"/>
          <w:highlight w:val="none"/>
        </w:rPr>
      </w:pPr>
    </w:p>
    <w:p w14:paraId="5FBE48A3">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（三）报价评分（30分）：</w:t>
      </w:r>
    </w:p>
    <w:p w14:paraId="6623327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1.资格及符合性审查通过的有效供应商进入商务报价评分。</w:t>
      </w:r>
    </w:p>
    <w:p w14:paraId="6E62FF6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报价评分采用低价优先法计算，即满足采购文件要求且投标价格扣除后最低的为评标基准价，其他供应商的报价分按照下列公式计算：</w:t>
      </w:r>
    </w:p>
    <w:p w14:paraId="27599B8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报价分=（评标基准价/投标报价）×30。</w:t>
      </w:r>
    </w:p>
    <w:p w14:paraId="26040C1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注：以上四舍五入后保留小数2位</w:t>
      </w:r>
    </w:p>
    <w:p w14:paraId="6B96C549">
      <w:pPr>
        <w:spacing w:line="40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投标如缺少须提供的一种功能或配置或服务，该价格将在其投标价的基础上加上其他供应商相应分项价格的最高价。如若中标，该缺漏项费用将由中标人自行承担，投标报价不做调整。</w:t>
      </w:r>
    </w:p>
    <w:p w14:paraId="2AD3C7E0">
      <w:pPr>
        <w:spacing w:line="400" w:lineRule="exact"/>
        <w:ind w:firstLine="440" w:firstLineChars="200"/>
        <w:rPr>
          <w:rFonts w:hint="eastAsia" w:ascii="宋体" w:hAnsi="宋体" w:cs="宋体"/>
          <w:b/>
          <w:color w:val="auto"/>
          <w:sz w:val="44"/>
          <w:szCs w:val="44"/>
          <w:highlight w:val="none"/>
        </w:rPr>
      </w:pPr>
      <w:r>
        <w:rPr>
          <w:rFonts w:hint="eastAsia" w:ascii="宋体" w:hAnsi="宋体" w:cs="宋体"/>
          <w:color w:val="auto"/>
          <w:sz w:val="22"/>
          <w:highlight w:val="none"/>
        </w:rPr>
        <w:t>四供应商的综合评分为“商务和技术分”和“报价分”的总计。</w:t>
      </w:r>
      <w:bookmarkEnd w:id="72"/>
      <w:bookmarkEnd w:id="73"/>
      <w:bookmarkEnd w:id="74"/>
      <w:bookmarkEnd w:id="114"/>
      <w:bookmarkEnd w:id="115"/>
      <w:bookmarkEnd w:id="116"/>
      <w:bookmarkEnd w:id="117"/>
      <w:bookmarkEnd w:id="118"/>
    </w:p>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Univers 57 Condensed">
    <w:altName w:val="微软雅黑"/>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3B64">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FD30">
    <w:pPr>
      <w:pStyle w:val="25"/>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EE790">
                          <w:pPr>
                            <w:rPr>
                              <w:rFonts w:hint="eastAsia"/>
                            </w:rPr>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l1PMwBAACe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lvchOUNJY5bHPnl+7fLj1+Xn1/J&#10;snr5KmvUB6gx9T5gchre+AHzZz+gM1MfVLT5i6QIxlHh81VhOSQi8qP1ar2uMCQwNl8Qnz08DxHS&#10;W+ktyUZDI46wKMtP7yGNqXNKrub8nTamjNG4vxyImT0s9z72mK007IeJ0N63Z+TT4/Qb6nDZKTHv&#10;HIqbF2U24mzsZ+MYoj50ZZNyPQivjwmbKL3lCiPsVBjHVthNK5b34s97yXr4r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uXU8zAEAAJ4DAAAOAAAAAAAAAAEAIAAAAB4BAABkcnMvZTJv&#10;RG9jLnhtbFBLBQYAAAAABgAGAFkBAABcBQAAAAA=&#10;">
              <v:fill on="f" focussize="0,0"/>
              <v:stroke on="f"/>
              <v:imagedata o:title=""/>
              <o:lock v:ext="edit" aspectratio="f"/>
              <v:textbox inset="0mm,0mm,0mm,0mm" style="mso-fit-shape-to-text:t;">
                <w:txbxContent>
                  <w:p w14:paraId="733EE790">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2130">
    <w:pPr>
      <w:pStyle w:val="2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34ACA">
                          <w:pPr>
                            <w:pStyle w:val="25"/>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KfC8wBAACeAwAADgAAAGRycy9lMm9Eb2MueG1srVPNjtMwEL4j7TtY&#10;vm+dViu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g5uwfEOJ5QZHfv7+7fzj1/nn&#10;V7IsbsqkUe+hwtQHj8lxeOcGzJ/9gM5EfWiDSV8kRTCOCp8uCsshEpEelauyLDAkMDZfEJ89PfcB&#10;4r10hiSjpgFHmJXlxw8Qx9Q5JVWz7k5pnceo7V8OxEwelnofe0xWHHbDRGjnmhPy6XH6NbW47JTo&#10;9xbFTYsyG2E2drNx8EHtu7xJqR74t4eITeTeUoURdiqMY8vsphVLe/HnPWc9/Va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JAp8LzAEAAJ4DAAAOAAAAAAAAAAEAIAAAAB4BAABkcnMvZTJv&#10;RG9jLnhtbFBLBQYAAAAABgAGAFkBAABcBQAAAAA=&#10;">
              <v:fill on="f" focussize="0,0"/>
              <v:stroke on="f"/>
              <v:imagedata o:title=""/>
              <o:lock v:ext="edit" aspectratio="f"/>
              <v:textbox inset="0mm,0mm,0mm,0mm" style="mso-fit-shape-to-text:t;">
                <w:txbxContent>
                  <w:p w14:paraId="4BC34ACA">
                    <w:pPr>
                      <w:pStyle w:val="25"/>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1DAA">
    <w:pPr>
      <w:pStyle w:val="2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8EC452">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CqTck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Y4eMctjvzy/dvlx6/Lz69k&#10;9SYr1AeoMfEhYGoa7vyA2bMf0JmJDyra/EVKBOOo7/mqrxwSEfnRerVeVxgSGJsviM8en4cI6a30&#10;lmSjoREHWHTlp/eQxtQ5JVdz/l4bU4Zo3F8OxMwelnsfe8xWGvbDRGjv2zPy6XH2DXW46pSYdw6l&#10;zWsyG3E29rNxDFEfurJHuR6E22PCJkpvucIIOxXGoRV204LlrfjzXrIef6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4KpNyQEAAJwDAAAOAAAAAAAAAAEAIAAAAB4BAABkcnMvZTJvRG9j&#10;LnhtbFBLBQYAAAAABgAGAFkBAABZBQAAAAA=&#10;">
              <v:fill on="f" focussize="0,0"/>
              <v:stroke on="f"/>
              <v:imagedata o:title=""/>
              <o:lock v:ext="edit" aspectratio="f"/>
              <v:textbox inset="0mm,0mm,0mm,0mm" style="mso-fit-shape-to-text:t;">
                <w:txbxContent>
                  <w:p w14:paraId="6C8EC452">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38AB">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ED74F">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jpMcoBAACcAwAADgAAAGRycy9lMm9Eb2MueG1srVNLjtswDN0X6B0E&#10;7SdyMkC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4ybM31NiucGRn37/Ov35d/r7&#10;k1xnhToPJSbeeUyN/UfXY3ZSLvkBnYl43wSTvkiJYBz1PZ71lX0kIj1aLpbLAkMCY9MFcdjluQ8Q&#10;P0lnSDIqGnCAWVd++AJxSJ1SUjXrbpXWeYjaPnIgZvKwS4/Jiv22HxvfuvqIfDqcfUUtrjol+rNF&#10;adOaTEaYjO1k7H1QuzbvUaoH/sM+YhO5t1RhgB0L49Ayu3HB0lY8vOesy0+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cjpMcoBAACcAwAADgAAAAAAAAABACAAAAAeAQAAZHJzL2Uyb0Rv&#10;Yy54bWxQSwUGAAAAAAYABgBZAQAAWgUAAAAA&#10;">
              <v:fill on="f" focussize="0,0"/>
              <v:stroke on="f"/>
              <v:imagedata o:title=""/>
              <o:lock v:ext="edit" aspectratio="f"/>
              <v:textbox inset="0mm,0mm,0mm,0mm" style="mso-fit-shape-to-text:t;">
                <w:txbxContent>
                  <w:p w14:paraId="3BDED74F">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88F7">
    <w:pPr>
      <w:pStyle w:val="25"/>
      <w:ind w:right="360" w:firstLine="4500" w:firstLineChars="250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EF36D">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AYKck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ihJo5bHPnl+7fLj1+Xn1/J&#10;62VWqA9QY+JDwNQ03PkBs2c/oDMTH1S0+YuUCMYR63zVVw6JiPxovVqvKwwJjM0XxGePz0OE9FZ6&#10;S7LR0IgDLLry03tIY+qckqs5f6+NKUM07i8HYmYPy72PPWYrDfthIrT37Rn59Dj7hjpcdUrMO4fS&#10;Yn9pNuJs7GfjGKI+dGWPcj0It8eETZTecoURdiqMQyvspgXLW/HnvWQ9/lT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EBgpyQEAAJwDAAAOAAAAAAAAAAEAIAAAAB4BAABkcnMvZTJvRG9j&#10;LnhtbFBLBQYAAAAABgAGAFkBAABZBQAAAAA=&#10;">
              <v:fill on="f" focussize="0,0"/>
              <v:stroke on="f"/>
              <v:imagedata o:title=""/>
              <o:lock v:ext="edit" aspectratio="f"/>
              <v:textbox inset="0mm,0mm,0mm,0mm" style="mso-fit-shape-to-text:t;">
                <w:txbxContent>
                  <w:p w14:paraId="040EF36D">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55920">
    <w:pPr>
      <w:pStyle w:val="25"/>
      <w:ind w:right="360" w:firstLine="4500" w:firstLineChars="250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BF768E">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l7zssBAACc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XFJiucGRn79/O//4df75&#10;lbwtk0K9hwoTnzymxuHODZg9+wGdifjQBpO+SIlgHPU9XfSVQyQiPVqVq1WBIYGx+YL47Pm5DxDf&#10;S2dIMmoacIBZV358hDimzimpmnX3Sus8RG3/ciBm8rDU+9hjsuKwGyZCO9eckE+Ps6+pxVWnRD9Y&#10;lDatyWyE2djNxsEHte/yHqV64G8PEZvIvaUKI+xUGIeW2U0Llrbiz3vOev6p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X5e87LAQAAnAMAAA4AAAAAAAAAAQAgAAAAHgEAAGRycy9lMm9E&#10;b2MueG1sUEsFBgAAAAAGAAYAWQEAAFsFAAAAAA==&#10;">
              <v:fill on="f" focussize="0,0"/>
              <v:stroke on="f"/>
              <v:imagedata o:title=""/>
              <o:lock v:ext="edit" aspectratio="f"/>
              <v:textbox inset="0mm,0mm,0mm,0mm" style="mso-fit-shape-to-text:t;">
                <w:txbxContent>
                  <w:p w14:paraId="14BF768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705D">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77DF">
    <w:pPr>
      <w:pStyle w:val="26"/>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41B8">
    <w:pPr>
      <w:pStyle w:val="26"/>
      <w:pBdr>
        <w:bottom w:val="none" w:color="auto" w:sz="0" w:space="0"/>
      </w:pBdr>
      <w:ind w:firstLine="180" w:firstLineChars="100"/>
      <w:jc w:val="left"/>
      <w:rPr>
        <w:rFonts w:hint="eastAsia"/>
      </w:rPr>
    </w:pPr>
  </w:p>
  <w:p w14:paraId="49DB68AA">
    <w:pPr>
      <w:pStyle w:val="26"/>
      <w:pBdr>
        <w:bottom w:val="none" w:color="auto" w:sz="0" w:space="0"/>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9360">
    <w:pPr>
      <w:pStyle w:val="26"/>
      <w:pBdr>
        <w:bottom w:val="none" w:color="auto" w:sz="0" w:space="0"/>
      </w:pBdr>
      <w:ind w:firstLine="180" w:firstLineChars="100"/>
      <w:jc w:val="lef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C8B9">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B58D5"/>
    <w:multiLevelType w:val="singleLevel"/>
    <w:tmpl w:val="B54B58D5"/>
    <w:lvl w:ilvl="0" w:tentative="0">
      <w:start w:val="1"/>
      <w:numFmt w:val="decimal"/>
      <w:suff w:val="nothing"/>
      <w:lvlText w:val="%1、"/>
      <w:lvlJc w:val="left"/>
    </w:lvl>
  </w:abstractNum>
  <w:abstractNum w:abstractNumId="1">
    <w:nsid w:val="FFCB49BD"/>
    <w:multiLevelType w:val="singleLevel"/>
    <w:tmpl w:val="FFCB49BD"/>
    <w:lvl w:ilvl="0" w:tentative="0">
      <w:start w:val="1"/>
      <w:numFmt w:val="decimal"/>
      <w:lvlText w:val="%1."/>
      <w:lvlJc w:val="left"/>
      <w:pPr>
        <w:tabs>
          <w:tab w:val="left" w:pos="312"/>
        </w:tabs>
      </w:pPr>
    </w:lvl>
  </w:abstractNum>
  <w:abstractNum w:abstractNumId="2">
    <w:nsid w:val="FFFA592B"/>
    <w:multiLevelType w:val="singleLevel"/>
    <w:tmpl w:val="FFFA592B"/>
    <w:lvl w:ilvl="0" w:tentative="0">
      <w:start w:val="1"/>
      <w:numFmt w:val="decimal"/>
      <w:suff w:val="nothing"/>
      <w:lvlText w:val="%1、"/>
      <w:lvlJc w:val="left"/>
    </w:lvl>
  </w:abstractNum>
  <w:abstractNum w:abstractNumId="3">
    <w:nsid w:val="0000000A"/>
    <w:multiLevelType w:val="multilevel"/>
    <w:tmpl w:val="0000000A"/>
    <w:lvl w:ilvl="0" w:tentative="0">
      <w:start w:val="13"/>
      <w:numFmt w:val="decimal"/>
      <w:suff w:val="nothing"/>
      <w:lvlText w:val="%1、"/>
      <w:lvlJc w:val="left"/>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4">
    <w:nsid w:val="218DEDD8"/>
    <w:multiLevelType w:val="singleLevel"/>
    <w:tmpl w:val="218DEDD8"/>
    <w:lvl w:ilvl="0" w:tentative="0">
      <w:start w:val="2"/>
      <w:numFmt w:val="decimal"/>
      <w:suff w:val="nothing"/>
      <w:lvlText w:val="%1、"/>
      <w:lvlJc w:val="left"/>
    </w:lvl>
  </w:abstractNum>
  <w:abstractNum w:abstractNumId="5">
    <w:nsid w:val="3252452B"/>
    <w:multiLevelType w:val="singleLevel"/>
    <w:tmpl w:val="3252452B"/>
    <w:lvl w:ilvl="0" w:tentative="0">
      <w:start w:val="2"/>
      <w:numFmt w:val="decimal"/>
      <w:suff w:val="space"/>
      <w:lvlText w:val="%1."/>
      <w:lvlJc w:val="left"/>
      <w:rPr>
        <w:rFonts w:hint="default"/>
        <w:b/>
        <w:bCs/>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9BCBB5A"/>
    <w:multiLevelType w:val="singleLevel"/>
    <w:tmpl w:val="69BCBB5A"/>
    <w:lvl w:ilvl="0" w:tentative="0">
      <w:start w:val="1"/>
      <w:numFmt w:val="decimal"/>
      <w:lvlText w:val="%1."/>
      <w:lvlJc w:val="left"/>
      <w:pPr>
        <w:tabs>
          <w:tab w:val="left" w:pos="312"/>
        </w:tabs>
      </w:pPr>
    </w:lvl>
  </w:abstractNum>
  <w:abstractNum w:abstractNumId="9">
    <w:nsid w:val="6D419237"/>
    <w:multiLevelType w:val="singleLevel"/>
    <w:tmpl w:val="6D419237"/>
    <w:lvl w:ilvl="0" w:tentative="0">
      <w:start w:val="1"/>
      <w:numFmt w:val="decimal"/>
      <w:suff w:val="nothing"/>
      <w:lvlText w:val="%1、"/>
      <w:lvlJc w:val="left"/>
    </w:lvl>
  </w:abstractNum>
  <w:abstractNum w:abstractNumId="10">
    <w:nsid w:val="76DEF578"/>
    <w:multiLevelType w:val="singleLevel"/>
    <w:tmpl w:val="76DEF578"/>
    <w:lvl w:ilvl="0" w:tentative="0">
      <w:start w:val="1"/>
      <w:numFmt w:val="chineseCounting"/>
      <w:suff w:val="nothing"/>
      <w:lvlText w:val="%1、"/>
      <w:lvlJc w:val="left"/>
      <w:rPr>
        <w:rFonts w:hint="eastAsia"/>
      </w:rPr>
    </w:lvl>
  </w:abstractNum>
  <w:num w:numId="1">
    <w:abstractNumId w:val="10"/>
  </w:num>
  <w:num w:numId="2">
    <w:abstractNumId w:val="8"/>
  </w:num>
  <w:num w:numId="3">
    <w:abstractNumId w:val="2"/>
  </w:num>
  <w:num w:numId="4">
    <w:abstractNumId w:val="3"/>
  </w:num>
  <w:num w:numId="5">
    <w:abstractNumId w:val="5"/>
  </w:num>
  <w:num w:numId="6">
    <w:abstractNumId w:val="6"/>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TI4MDA4MjgwZDdiN2Q3Mzk5NjRkYTE5MjNjZmIifQ=="/>
  </w:docVars>
  <w:rsids>
    <w:rsidRoot w:val="002216D9"/>
    <w:rsid w:val="00000BBE"/>
    <w:rsid w:val="00000BD8"/>
    <w:rsid w:val="0000187B"/>
    <w:rsid w:val="00001C4C"/>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3AB2"/>
    <w:rsid w:val="00013B76"/>
    <w:rsid w:val="00013F22"/>
    <w:rsid w:val="000144E5"/>
    <w:rsid w:val="000158B8"/>
    <w:rsid w:val="000164FE"/>
    <w:rsid w:val="00017084"/>
    <w:rsid w:val="000170D1"/>
    <w:rsid w:val="00017895"/>
    <w:rsid w:val="00020DA9"/>
    <w:rsid w:val="0002127E"/>
    <w:rsid w:val="00021F93"/>
    <w:rsid w:val="00021FBD"/>
    <w:rsid w:val="000228DA"/>
    <w:rsid w:val="00023169"/>
    <w:rsid w:val="00023809"/>
    <w:rsid w:val="00023DCA"/>
    <w:rsid w:val="00024A2E"/>
    <w:rsid w:val="000251A7"/>
    <w:rsid w:val="00025976"/>
    <w:rsid w:val="00026FDD"/>
    <w:rsid w:val="0002797E"/>
    <w:rsid w:val="00030499"/>
    <w:rsid w:val="0003069F"/>
    <w:rsid w:val="00030803"/>
    <w:rsid w:val="000309D6"/>
    <w:rsid w:val="00030C9F"/>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CF8"/>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9F4"/>
    <w:rsid w:val="000A3A12"/>
    <w:rsid w:val="000A3B68"/>
    <w:rsid w:val="000A4089"/>
    <w:rsid w:val="000A40CA"/>
    <w:rsid w:val="000A59CE"/>
    <w:rsid w:val="000A5BD5"/>
    <w:rsid w:val="000A5F64"/>
    <w:rsid w:val="000A64D7"/>
    <w:rsid w:val="000A67BC"/>
    <w:rsid w:val="000A69BA"/>
    <w:rsid w:val="000A6CA5"/>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6EF9"/>
    <w:rsid w:val="000B705D"/>
    <w:rsid w:val="000B722A"/>
    <w:rsid w:val="000B73E8"/>
    <w:rsid w:val="000B756B"/>
    <w:rsid w:val="000B7A5D"/>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56E"/>
    <w:rsid w:val="000E37F7"/>
    <w:rsid w:val="000E4635"/>
    <w:rsid w:val="000E4645"/>
    <w:rsid w:val="000E4808"/>
    <w:rsid w:val="000E4E4A"/>
    <w:rsid w:val="000E56E5"/>
    <w:rsid w:val="000E5E10"/>
    <w:rsid w:val="000E617D"/>
    <w:rsid w:val="000E6A5F"/>
    <w:rsid w:val="000E7A46"/>
    <w:rsid w:val="000E7C23"/>
    <w:rsid w:val="000E7D11"/>
    <w:rsid w:val="000F0091"/>
    <w:rsid w:val="000F1A07"/>
    <w:rsid w:val="000F25F2"/>
    <w:rsid w:val="000F35D8"/>
    <w:rsid w:val="000F36C0"/>
    <w:rsid w:val="000F39EF"/>
    <w:rsid w:val="000F3BCD"/>
    <w:rsid w:val="000F491D"/>
    <w:rsid w:val="000F5081"/>
    <w:rsid w:val="000F528D"/>
    <w:rsid w:val="000F53C1"/>
    <w:rsid w:val="000F583A"/>
    <w:rsid w:val="000F656D"/>
    <w:rsid w:val="000F6827"/>
    <w:rsid w:val="000F6A0C"/>
    <w:rsid w:val="000F6CA4"/>
    <w:rsid w:val="000F6D0C"/>
    <w:rsid w:val="000F74A8"/>
    <w:rsid w:val="000F7787"/>
    <w:rsid w:val="001002EE"/>
    <w:rsid w:val="00100772"/>
    <w:rsid w:val="0010081E"/>
    <w:rsid w:val="001012A1"/>
    <w:rsid w:val="00101A5E"/>
    <w:rsid w:val="00101FF2"/>
    <w:rsid w:val="00102B6F"/>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6C1C"/>
    <w:rsid w:val="001174A7"/>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3E2"/>
    <w:rsid w:val="0015452B"/>
    <w:rsid w:val="00154CCD"/>
    <w:rsid w:val="0015584F"/>
    <w:rsid w:val="00155D80"/>
    <w:rsid w:val="001560E6"/>
    <w:rsid w:val="00156464"/>
    <w:rsid w:val="001572C8"/>
    <w:rsid w:val="00157416"/>
    <w:rsid w:val="00157529"/>
    <w:rsid w:val="00157705"/>
    <w:rsid w:val="00157FC1"/>
    <w:rsid w:val="00160840"/>
    <w:rsid w:val="00161333"/>
    <w:rsid w:val="00161C17"/>
    <w:rsid w:val="00161F7A"/>
    <w:rsid w:val="00161FB4"/>
    <w:rsid w:val="00162875"/>
    <w:rsid w:val="00163C0C"/>
    <w:rsid w:val="00163E6E"/>
    <w:rsid w:val="001656D9"/>
    <w:rsid w:val="001657E3"/>
    <w:rsid w:val="00165C6F"/>
    <w:rsid w:val="00165D54"/>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3A0"/>
    <w:rsid w:val="00176536"/>
    <w:rsid w:val="00176FD4"/>
    <w:rsid w:val="00177518"/>
    <w:rsid w:val="001777C4"/>
    <w:rsid w:val="00180351"/>
    <w:rsid w:val="001805FA"/>
    <w:rsid w:val="00180905"/>
    <w:rsid w:val="00181957"/>
    <w:rsid w:val="0018209E"/>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15E"/>
    <w:rsid w:val="001A285F"/>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69B"/>
    <w:rsid w:val="001B2760"/>
    <w:rsid w:val="001B27BE"/>
    <w:rsid w:val="001B35D7"/>
    <w:rsid w:val="001B3B9E"/>
    <w:rsid w:val="001B3C27"/>
    <w:rsid w:val="001B5050"/>
    <w:rsid w:val="001B5236"/>
    <w:rsid w:val="001B557D"/>
    <w:rsid w:val="001B6094"/>
    <w:rsid w:val="001B6B12"/>
    <w:rsid w:val="001B7EA5"/>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AD"/>
    <w:rsid w:val="001D7077"/>
    <w:rsid w:val="001D7094"/>
    <w:rsid w:val="001E0055"/>
    <w:rsid w:val="001E0B38"/>
    <w:rsid w:val="001E0CB0"/>
    <w:rsid w:val="001E0DE9"/>
    <w:rsid w:val="001E1645"/>
    <w:rsid w:val="001E2A0D"/>
    <w:rsid w:val="001E2B17"/>
    <w:rsid w:val="001E3FAA"/>
    <w:rsid w:val="001E40B2"/>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5055"/>
    <w:rsid w:val="001F59DB"/>
    <w:rsid w:val="001F5B09"/>
    <w:rsid w:val="001F5EE1"/>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B44"/>
    <w:rsid w:val="00210C64"/>
    <w:rsid w:val="0021144F"/>
    <w:rsid w:val="00211BF5"/>
    <w:rsid w:val="00213031"/>
    <w:rsid w:val="0021322B"/>
    <w:rsid w:val="0021370C"/>
    <w:rsid w:val="00213C67"/>
    <w:rsid w:val="0021446B"/>
    <w:rsid w:val="002145D2"/>
    <w:rsid w:val="00214B1F"/>
    <w:rsid w:val="0021583A"/>
    <w:rsid w:val="00216156"/>
    <w:rsid w:val="00216242"/>
    <w:rsid w:val="00217654"/>
    <w:rsid w:val="0021767E"/>
    <w:rsid w:val="002179AF"/>
    <w:rsid w:val="0022020D"/>
    <w:rsid w:val="00221313"/>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74FB"/>
    <w:rsid w:val="00257799"/>
    <w:rsid w:val="002602E3"/>
    <w:rsid w:val="00260EDA"/>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6FD3"/>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3CE"/>
    <w:rsid w:val="00287ADA"/>
    <w:rsid w:val="0029107D"/>
    <w:rsid w:val="00291690"/>
    <w:rsid w:val="00292966"/>
    <w:rsid w:val="00292969"/>
    <w:rsid w:val="00292B74"/>
    <w:rsid w:val="0029307F"/>
    <w:rsid w:val="002932E2"/>
    <w:rsid w:val="0029330B"/>
    <w:rsid w:val="00293A01"/>
    <w:rsid w:val="00293C44"/>
    <w:rsid w:val="00293FED"/>
    <w:rsid w:val="00295393"/>
    <w:rsid w:val="00296902"/>
    <w:rsid w:val="00296A3C"/>
    <w:rsid w:val="0029760E"/>
    <w:rsid w:val="00297D0B"/>
    <w:rsid w:val="002A0CF4"/>
    <w:rsid w:val="002A0F7B"/>
    <w:rsid w:val="002A1496"/>
    <w:rsid w:val="002A1B5D"/>
    <w:rsid w:val="002A1CCA"/>
    <w:rsid w:val="002A25D3"/>
    <w:rsid w:val="002A26BB"/>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20D2"/>
    <w:rsid w:val="002C2184"/>
    <w:rsid w:val="002C2D53"/>
    <w:rsid w:val="002C366D"/>
    <w:rsid w:val="002C384C"/>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3400"/>
    <w:rsid w:val="002D4613"/>
    <w:rsid w:val="002D508F"/>
    <w:rsid w:val="002D57C4"/>
    <w:rsid w:val="002D58C1"/>
    <w:rsid w:val="002D598B"/>
    <w:rsid w:val="002D720C"/>
    <w:rsid w:val="002E022C"/>
    <w:rsid w:val="002E0A39"/>
    <w:rsid w:val="002E28A2"/>
    <w:rsid w:val="002E3192"/>
    <w:rsid w:val="002E32D5"/>
    <w:rsid w:val="002E3322"/>
    <w:rsid w:val="002E3759"/>
    <w:rsid w:val="002E409B"/>
    <w:rsid w:val="002E4AB7"/>
    <w:rsid w:val="002E6AFA"/>
    <w:rsid w:val="002E6D8A"/>
    <w:rsid w:val="002E6ECC"/>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1F62"/>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E35"/>
    <w:rsid w:val="00374F99"/>
    <w:rsid w:val="0037529A"/>
    <w:rsid w:val="00375A52"/>
    <w:rsid w:val="00376163"/>
    <w:rsid w:val="003761D9"/>
    <w:rsid w:val="003763E7"/>
    <w:rsid w:val="0037719E"/>
    <w:rsid w:val="00377685"/>
    <w:rsid w:val="00380E87"/>
    <w:rsid w:val="00381218"/>
    <w:rsid w:val="00381881"/>
    <w:rsid w:val="00382489"/>
    <w:rsid w:val="00382782"/>
    <w:rsid w:val="00382B7D"/>
    <w:rsid w:val="00382E3F"/>
    <w:rsid w:val="00382F81"/>
    <w:rsid w:val="0038340D"/>
    <w:rsid w:val="003834F4"/>
    <w:rsid w:val="003848BA"/>
    <w:rsid w:val="00384A8A"/>
    <w:rsid w:val="00385AFF"/>
    <w:rsid w:val="00386298"/>
    <w:rsid w:val="00386AA1"/>
    <w:rsid w:val="00387A54"/>
    <w:rsid w:val="00391124"/>
    <w:rsid w:val="0039275E"/>
    <w:rsid w:val="00392C87"/>
    <w:rsid w:val="00392EDE"/>
    <w:rsid w:val="00394AEE"/>
    <w:rsid w:val="00396A12"/>
    <w:rsid w:val="00397281"/>
    <w:rsid w:val="003979B4"/>
    <w:rsid w:val="003A02A7"/>
    <w:rsid w:val="003A0CCC"/>
    <w:rsid w:val="003A1723"/>
    <w:rsid w:val="003A1B87"/>
    <w:rsid w:val="003A1FB3"/>
    <w:rsid w:val="003A21B3"/>
    <w:rsid w:val="003A2F5F"/>
    <w:rsid w:val="003A3250"/>
    <w:rsid w:val="003A3785"/>
    <w:rsid w:val="003A3E5A"/>
    <w:rsid w:val="003A4062"/>
    <w:rsid w:val="003A442E"/>
    <w:rsid w:val="003A4DEC"/>
    <w:rsid w:val="003A4EB6"/>
    <w:rsid w:val="003A5193"/>
    <w:rsid w:val="003A669C"/>
    <w:rsid w:val="003A797C"/>
    <w:rsid w:val="003A7A2E"/>
    <w:rsid w:val="003A7FA6"/>
    <w:rsid w:val="003B00D7"/>
    <w:rsid w:val="003B0977"/>
    <w:rsid w:val="003B0F38"/>
    <w:rsid w:val="003B1705"/>
    <w:rsid w:val="003B2218"/>
    <w:rsid w:val="003B2985"/>
    <w:rsid w:val="003B2BE9"/>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2E42"/>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539F"/>
    <w:rsid w:val="003D5FA4"/>
    <w:rsid w:val="003D61DD"/>
    <w:rsid w:val="003D6B43"/>
    <w:rsid w:val="003D77B9"/>
    <w:rsid w:val="003D7E23"/>
    <w:rsid w:val="003D7E3E"/>
    <w:rsid w:val="003E01F4"/>
    <w:rsid w:val="003E086B"/>
    <w:rsid w:val="003E08FF"/>
    <w:rsid w:val="003E0DF4"/>
    <w:rsid w:val="003E2E29"/>
    <w:rsid w:val="003E36E3"/>
    <w:rsid w:val="003E3A36"/>
    <w:rsid w:val="003E3A8F"/>
    <w:rsid w:val="003E4086"/>
    <w:rsid w:val="003E41ED"/>
    <w:rsid w:val="003E4728"/>
    <w:rsid w:val="003E4E81"/>
    <w:rsid w:val="003E5DBC"/>
    <w:rsid w:val="003E60F7"/>
    <w:rsid w:val="003E6264"/>
    <w:rsid w:val="003E6E60"/>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69B"/>
    <w:rsid w:val="0040670D"/>
    <w:rsid w:val="004070DD"/>
    <w:rsid w:val="00407453"/>
    <w:rsid w:val="00410403"/>
    <w:rsid w:val="00410606"/>
    <w:rsid w:val="00410888"/>
    <w:rsid w:val="004118AC"/>
    <w:rsid w:val="00411B1C"/>
    <w:rsid w:val="00411BAE"/>
    <w:rsid w:val="00411CA3"/>
    <w:rsid w:val="00411E00"/>
    <w:rsid w:val="00411E8C"/>
    <w:rsid w:val="004120D1"/>
    <w:rsid w:val="00412267"/>
    <w:rsid w:val="00412A1B"/>
    <w:rsid w:val="004131B8"/>
    <w:rsid w:val="0041460F"/>
    <w:rsid w:val="00414641"/>
    <w:rsid w:val="00414662"/>
    <w:rsid w:val="004156F1"/>
    <w:rsid w:val="004160E0"/>
    <w:rsid w:val="004166C2"/>
    <w:rsid w:val="0041674B"/>
    <w:rsid w:val="004177B9"/>
    <w:rsid w:val="00417EC9"/>
    <w:rsid w:val="00417FA8"/>
    <w:rsid w:val="00420AF2"/>
    <w:rsid w:val="00421176"/>
    <w:rsid w:val="004214F9"/>
    <w:rsid w:val="004215CC"/>
    <w:rsid w:val="004216F9"/>
    <w:rsid w:val="00421A10"/>
    <w:rsid w:val="004222E0"/>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4D7"/>
    <w:rsid w:val="00462DC5"/>
    <w:rsid w:val="0046322A"/>
    <w:rsid w:val="004636E6"/>
    <w:rsid w:val="004647CE"/>
    <w:rsid w:val="004651AC"/>
    <w:rsid w:val="00465C9D"/>
    <w:rsid w:val="00465FD0"/>
    <w:rsid w:val="00466A84"/>
    <w:rsid w:val="00466BAA"/>
    <w:rsid w:val="00466E20"/>
    <w:rsid w:val="00467861"/>
    <w:rsid w:val="00467FAF"/>
    <w:rsid w:val="004708AF"/>
    <w:rsid w:val="004713F1"/>
    <w:rsid w:val="0047143A"/>
    <w:rsid w:val="004746D9"/>
    <w:rsid w:val="00474809"/>
    <w:rsid w:val="00476045"/>
    <w:rsid w:val="004761C1"/>
    <w:rsid w:val="00476308"/>
    <w:rsid w:val="00477BC0"/>
    <w:rsid w:val="00480338"/>
    <w:rsid w:val="0048082C"/>
    <w:rsid w:val="00480CA0"/>
    <w:rsid w:val="004817BE"/>
    <w:rsid w:val="0048238D"/>
    <w:rsid w:val="00482791"/>
    <w:rsid w:val="00483041"/>
    <w:rsid w:val="004831E8"/>
    <w:rsid w:val="00483DBF"/>
    <w:rsid w:val="0048414E"/>
    <w:rsid w:val="0048421F"/>
    <w:rsid w:val="00484DC1"/>
    <w:rsid w:val="00485502"/>
    <w:rsid w:val="004857AB"/>
    <w:rsid w:val="00486117"/>
    <w:rsid w:val="004866C9"/>
    <w:rsid w:val="00487330"/>
    <w:rsid w:val="004877A0"/>
    <w:rsid w:val="00487807"/>
    <w:rsid w:val="00487C64"/>
    <w:rsid w:val="00490E3C"/>
    <w:rsid w:val="00492F0B"/>
    <w:rsid w:val="00492F8D"/>
    <w:rsid w:val="0049361D"/>
    <w:rsid w:val="00493794"/>
    <w:rsid w:val="00493D87"/>
    <w:rsid w:val="00494271"/>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281"/>
    <w:rsid w:val="004A23AC"/>
    <w:rsid w:val="004A256F"/>
    <w:rsid w:val="004A26D1"/>
    <w:rsid w:val="004A3578"/>
    <w:rsid w:val="004A43AB"/>
    <w:rsid w:val="004A4497"/>
    <w:rsid w:val="004A45FA"/>
    <w:rsid w:val="004A4A66"/>
    <w:rsid w:val="004A4AAC"/>
    <w:rsid w:val="004A4BB6"/>
    <w:rsid w:val="004A4F88"/>
    <w:rsid w:val="004A5A5D"/>
    <w:rsid w:val="004A5F6E"/>
    <w:rsid w:val="004A65D0"/>
    <w:rsid w:val="004A6613"/>
    <w:rsid w:val="004A7071"/>
    <w:rsid w:val="004A7216"/>
    <w:rsid w:val="004A77D1"/>
    <w:rsid w:val="004B0366"/>
    <w:rsid w:val="004B072A"/>
    <w:rsid w:val="004B0F8F"/>
    <w:rsid w:val="004B1233"/>
    <w:rsid w:val="004B1B3A"/>
    <w:rsid w:val="004B2299"/>
    <w:rsid w:val="004B26EE"/>
    <w:rsid w:val="004B3020"/>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A7D"/>
    <w:rsid w:val="004C4DD0"/>
    <w:rsid w:val="004C4E0C"/>
    <w:rsid w:val="004C5018"/>
    <w:rsid w:val="004C5D64"/>
    <w:rsid w:val="004C68EE"/>
    <w:rsid w:val="004C6B41"/>
    <w:rsid w:val="004C6CCF"/>
    <w:rsid w:val="004C6E4C"/>
    <w:rsid w:val="004C6E6A"/>
    <w:rsid w:val="004D003D"/>
    <w:rsid w:val="004D011C"/>
    <w:rsid w:val="004D0C55"/>
    <w:rsid w:val="004D11D8"/>
    <w:rsid w:val="004D19EE"/>
    <w:rsid w:val="004D2785"/>
    <w:rsid w:val="004D2CE3"/>
    <w:rsid w:val="004D3AAB"/>
    <w:rsid w:val="004D4011"/>
    <w:rsid w:val="004D4A9E"/>
    <w:rsid w:val="004D5755"/>
    <w:rsid w:val="004D5E87"/>
    <w:rsid w:val="004D65AB"/>
    <w:rsid w:val="004D6617"/>
    <w:rsid w:val="004D78E5"/>
    <w:rsid w:val="004D7B3F"/>
    <w:rsid w:val="004D7DFD"/>
    <w:rsid w:val="004E0420"/>
    <w:rsid w:val="004E0B8A"/>
    <w:rsid w:val="004E0CD1"/>
    <w:rsid w:val="004E17C6"/>
    <w:rsid w:val="004E1C5D"/>
    <w:rsid w:val="004E1DEB"/>
    <w:rsid w:val="004E2BB4"/>
    <w:rsid w:val="004E2E20"/>
    <w:rsid w:val="004E310E"/>
    <w:rsid w:val="004E3386"/>
    <w:rsid w:val="004E3AB6"/>
    <w:rsid w:val="004E4EEF"/>
    <w:rsid w:val="004E5E07"/>
    <w:rsid w:val="004E6335"/>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DE3"/>
    <w:rsid w:val="0051478A"/>
    <w:rsid w:val="00514A54"/>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236"/>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3E70"/>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91F"/>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79A"/>
    <w:rsid w:val="005C3C3B"/>
    <w:rsid w:val="005C3E7C"/>
    <w:rsid w:val="005C401E"/>
    <w:rsid w:val="005C4A84"/>
    <w:rsid w:val="005C4AF8"/>
    <w:rsid w:val="005C5232"/>
    <w:rsid w:val="005C52FF"/>
    <w:rsid w:val="005C67CF"/>
    <w:rsid w:val="005C743F"/>
    <w:rsid w:val="005C794C"/>
    <w:rsid w:val="005C7A57"/>
    <w:rsid w:val="005C7FBA"/>
    <w:rsid w:val="005D0B9E"/>
    <w:rsid w:val="005D0D77"/>
    <w:rsid w:val="005D123C"/>
    <w:rsid w:val="005D1A8B"/>
    <w:rsid w:val="005D2B1B"/>
    <w:rsid w:val="005D3B4D"/>
    <w:rsid w:val="005D5E46"/>
    <w:rsid w:val="005D6BA1"/>
    <w:rsid w:val="005D6DC2"/>
    <w:rsid w:val="005E1041"/>
    <w:rsid w:val="005E1400"/>
    <w:rsid w:val="005E1C6F"/>
    <w:rsid w:val="005E2813"/>
    <w:rsid w:val="005E298C"/>
    <w:rsid w:val="005E5273"/>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48E5"/>
    <w:rsid w:val="005F517E"/>
    <w:rsid w:val="005F6279"/>
    <w:rsid w:val="005F6862"/>
    <w:rsid w:val="005F691D"/>
    <w:rsid w:val="005F69CC"/>
    <w:rsid w:val="005F6EEF"/>
    <w:rsid w:val="005F7533"/>
    <w:rsid w:val="0060012E"/>
    <w:rsid w:val="00600F82"/>
    <w:rsid w:val="00601D2E"/>
    <w:rsid w:val="00601D4E"/>
    <w:rsid w:val="00602014"/>
    <w:rsid w:val="00602E75"/>
    <w:rsid w:val="006031A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5F77"/>
    <w:rsid w:val="0066627D"/>
    <w:rsid w:val="00666740"/>
    <w:rsid w:val="00666DDB"/>
    <w:rsid w:val="00666F00"/>
    <w:rsid w:val="006677CE"/>
    <w:rsid w:val="00667E85"/>
    <w:rsid w:val="00671611"/>
    <w:rsid w:val="00671A80"/>
    <w:rsid w:val="00672315"/>
    <w:rsid w:val="006726F5"/>
    <w:rsid w:val="00672AE9"/>
    <w:rsid w:val="00672D62"/>
    <w:rsid w:val="006740FD"/>
    <w:rsid w:val="0067420E"/>
    <w:rsid w:val="006746B2"/>
    <w:rsid w:val="006747EB"/>
    <w:rsid w:val="006750CE"/>
    <w:rsid w:val="00675416"/>
    <w:rsid w:val="0067676A"/>
    <w:rsid w:val="006774DE"/>
    <w:rsid w:val="006802FC"/>
    <w:rsid w:val="0068191F"/>
    <w:rsid w:val="00681B88"/>
    <w:rsid w:val="00681BC0"/>
    <w:rsid w:val="00681DC0"/>
    <w:rsid w:val="00683CA1"/>
    <w:rsid w:val="00683DF0"/>
    <w:rsid w:val="00683E3C"/>
    <w:rsid w:val="006845C9"/>
    <w:rsid w:val="00685ED2"/>
    <w:rsid w:val="0068705E"/>
    <w:rsid w:val="00687EA5"/>
    <w:rsid w:val="006902FB"/>
    <w:rsid w:val="006904E7"/>
    <w:rsid w:val="0069063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BE2"/>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2C9"/>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595F"/>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D5D"/>
    <w:rsid w:val="006F7F4F"/>
    <w:rsid w:val="00700707"/>
    <w:rsid w:val="00700E4D"/>
    <w:rsid w:val="00701188"/>
    <w:rsid w:val="00702449"/>
    <w:rsid w:val="00702C79"/>
    <w:rsid w:val="00702E05"/>
    <w:rsid w:val="00703394"/>
    <w:rsid w:val="007044A6"/>
    <w:rsid w:val="0070483A"/>
    <w:rsid w:val="0070483E"/>
    <w:rsid w:val="007056C7"/>
    <w:rsid w:val="007057A3"/>
    <w:rsid w:val="00705A49"/>
    <w:rsid w:val="00705D3F"/>
    <w:rsid w:val="00705E52"/>
    <w:rsid w:val="0070628C"/>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677"/>
    <w:rsid w:val="00764401"/>
    <w:rsid w:val="007650A9"/>
    <w:rsid w:val="007656CD"/>
    <w:rsid w:val="007657F4"/>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97FF9"/>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E77"/>
    <w:rsid w:val="007C4DC5"/>
    <w:rsid w:val="007C5D54"/>
    <w:rsid w:val="007C601C"/>
    <w:rsid w:val="007C6819"/>
    <w:rsid w:val="007C6869"/>
    <w:rsid w:val="007C6C91"/>
    <w:rsid w:val="007C6F18"/>
    <w:rsid w:val="007C7379"/>
    <w:rsid w:val="007C7E7C"/>
    <w:rsid w:val="007D0918"/>
    <w:rsid w:val="007D1743"/>
    <w:rsid w:val="007D1A5C"/>
    <w:rsid w:val="007D2702"/>
    <w:rsid w:val="007D296D"/>
    <w:rsid w:val="007D381B"/>
    <w:rsid w:val="007D40B7"/>
    <w:rsid w:val="007D4846"/>
    <w:rsid w:val="007D4DC3"/>
    <w:rsid w:val="007D540D"/>
    <w:rsid w:val="007D5E6C"/>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F70"/>
    <w:rsid w:val="007E50B7"/>
    <w:rsid w:val="007E5981"/>
    <w:rsid w:val="007E68A9"/>
    <w:rsid w:val="007E6C84"/>
    <w:rsid w:val="007E6E0E"/>
    <w:rsid w:val="007E7670"/>
    <w:rsid w:val="007E7EE5"/>
    <w:rsid w:val="007F041B"/>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C17"/>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27027"/>
    <w:rsid w:val="00830A2A"/>
    <w:rsid w:val="00830E35"/>
    <w:rsid w:val="008316B9"/>
    <w:rsid w:val="00831DF6"/>
    <w:rsid w:val="00832596"/>
    <w:rsid w:val="008330DF"/>
    <w:rsid w:val="00834806"/>
    <w:rsid w:val="00834D98"/>
    <w:rsid w:val="0083673F"/>
    <w:rsid w:val="00836872"/>
    <w:rsid w:val="00836B3D"/>
    <w:rsid w:val="0083783A"/>
    <w:rsid w:val="0084127C"/>
    <w:rsid w:val="00842861"/>
    <w:rsid w:val="00843842"/>
    <w:rsid w:val="0084413F"/>
    <w:rsid w:val="0084535A"/>
    <w:rsid w:val="00845854"/>
    <w:rsid w:val="00845D2C"/>
    <w:rsid w:val="008463B0"/>
    <w:rsid w:val="008471AF"/>
    <w:rsid w:val="00847478"/>
    <w:rsid w:val="008477A3"/>
    <w:rsid w:val="008500B4"/>
    <w:rsid w:val="0085042F"/>
    <w:rsid w:val="008508D9"/>
    <w:rsid w:val="008510D1"/>
    <w:rsid w:val="0085127B"/>
    <w:rsid w:val="008512B8"/>
    <w:rsid w:val="00851ACF"/>
    <w:rsid w:val="00851E51"/>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491B"/>
    <w:rsid w:val="00884CC1"/>
    <w:rsid w:val="00884FBA"/>
    <w:rsid w:val="008855CC"/>
    <w:rsid w:val="00885A5A"/>
    <w:rsid w:val="00885BCA"/>
    <w:rsid w:val="00885D66"/>
    <w:rsid w:val="00886DF2"/>
    <w:rsid w:val="00886E59"/>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5B9"/>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2A"/>
    <w:rsid w:val="008C51FC"/>
    <w:rsid w:val="008C6C09"/>
    <w:rsid w:val="008C728C"/>
    <w:rsid w:val="008C7541"/>
    <w:rsid w:val="008C7664"/>
    <w:rsid w:val="008C7833"/>
    <w:rsid w:val="008C7B58"/>
    <w:rsid w:val="008C7D0F"/>
    <w:rsid w:val="008D0F4C"/>
    <w:rsid w:val="008D0FAD"/>
    <w:rsid w:val="008D181D"/>
    <w:rsid w:val="008D19BD"/>
    <w:rsid w:val="008D258A"/>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2"/>
    <w:rsid w:val="008E59FB"/>
    <w:rsid w:val="008E5D90"/>
    <w:rsid w:val="008E6AA7"/>
    <w:rsid w:val="008E7F47"/>
    <w:rsid w:val="008F0990"/>
    <w:rsid w:val="008F09E1"/>
    <w:rsid w:val="008F0ED5"/>
    <w:rsid w:val="008F12AF"/>
    <w:rsid w:val="008F1394"/>
    <w:rsid w:val="008F1B41"/>
    <w:rsid w:val="008F208D"/>
    <w:rsid w:val="008F245B"/>
    <w:rsid w:val="008F25E9"/>
    <w:rsid w:val="008F2B3D"/>
    <w:rsid w:val="008F2B8F"/>
    <w:rsid w:val="008F309D"/>
    <w:rsid w:val="008F369B"/>
    <w:rsid w:val="008F3999"/>
    <w:rsid w:val="008F4356"/>
    <w:rsid w:val="008F4B89"/>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3B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419"/>
    <w:rsid w:val="009375CC"/>
    <w:rsid w:val="00937799"/>
    <w:rsid w:val="009378F6"/>
    <w:rsid w:val="00940562"/>
    <w:rsid w:val="00940DA6"/>
    <w:rsid w:val="009417DC"/>
    <w:rsid w:val="00941AF0"/>
    <w:rsid w:val="00941C9D"/>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6C63"/>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4986"/>
    <w:rsid w:val="009657B0"/>
    <w:rsid w:val="00965BED"/>
    <w:rsid w:val="00966048"/>
    <w:rsid w:val="0096660A"/>
    <w:rsid w:val="0096687C"/>
    <w:rsid w:val="009669F4"/>
    <w:rsid w:val="0096728C"/>
    <w:rsid w:val="009674CE"/>
    <w:rsid w:val="009675DC"/>
    <w:rsid w:val="0096799F"/>
    <w:rsid w:val="00967F7A"/>
    <w:rsid w:val="00970E32"/>
    <w:rsid w:val="009717E4"/>
    <w:rsid w:val="00971C8D"/>
    <w:rsid w:val="00971E8D"/>
    <w:rsid w:val="0097245C"/>
    <w:rsid w:val="00972FD0"/>
    <w:rsid w:val="009732D7"/>
    <w:rsid w:val="00975738"/>
    <w:rsid w:val="009760E8"/>
    <w:rsid w:val="00976111"/>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6E"/>
    <w:rsid w:val="00994DC0"/>
    <w:rsid w:val="009957E6"/>
    <w:rsid w:val="00995C13"/>
    <w:rsid w:val="0099796D"/>
    <w:rsid w:val="00997A0E"/>
    <w:rsid w:val="00997A73"/>
    <w:rsid w:val="009A0131"/>
    <w:rsid w:val="009A02DC"/>
    <w:rsid w:val="009A0C39"/>
    <w:rsid w:val="009A101E"/>
    <w:rsid w:val="009A10AD"/>
    <w:rsid w:val="009A1429"/>
    <w:rsid w:val="009A1792"/>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4C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59FD"/>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285C"/>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42DD"/>
    <w:rsid w:val="00A16AC6"/>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6F8"/>
    <w:rsid w:val="00A26AFA"/>
    <w:rsid w:val="00A274FA"/>
    <w:rsid w:val="00A27B43"/>
    <w:rsid w:val="00A27B9E"/>
    <w:rsid w:val="00A30799"/>
    <w:rsid w:val="00A30A45"/>
    <w:rsid w:val="00A30CFE"/>
    <w:rsid w:val="00A31443"/>
    <w:rsid w:val="00A3237F"/>
    <w:rsid w:val="00A32B56"/>
    <w:rsid w:val="00A32CD0"/>
    <w:rsid w:val="00A33682"/>
    <w:rsid w:val="00A34741"/>
    <w:rsid w:val="00A34845"/>
    <w:rsid w:val="00A34D85"/>
    <w:rsid w:val="00A35075"/>
    <w:rsid w:val="00A354EB"/>
    <w:rsid w:val="00A35856"/>
    <w:rsid w:val="00A358ED"/>
    <w:rsid w:val="00A36457"/>
    <w:rsid w:val="00A374DD"/>
    <w:rsid w:val="00A37574"/>
    <w:rsid w:val="00A376BC"/>
    <w:rsid w:val="00A37ED9"/>
    <w:rsid w:val="00A401F4"/>
    <w:rsid w:val="00A408D9"/>
    <w:rsid w:val="00A4168F"/>
    <w:rsid w:val="00A42FAD"/>
    <w:rsid w:val="00A436E4"/>
    <w:rsid w:val="00A43F4B"/>
    <w:rsid w:val="00A444D6"/>
    <w:rsid w:val="00A44F8E"/>
    <w:rsid w:val="00A4534A"/>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6F54"/>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A3C"/>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191A"/>
    <w:rsid w:val="00AB2BF8"/>
    <w:rsid w:val="00AB314A"/>
    <w:rsid w:val="00AB4923"/>
    <w:rsid w:val="00AB54FF"/>
    <w:rsid w:val="00AB5F3D"/>
    <w:rsid w:val="00AB6987"/>
    <w:rsid w:val="00AB6E86"/>
    <w:rsid w:val="00AB7309"/>
    <w:rsid w:val="00AB768B"/>
    <w:rsid w:val="00AB7CCB"/>
    <w:rsid w:val="00AC20C8"/>
    <w:rsid w:val="00AC2F41"/>
    <w:rsid w:val="00AC38A3"/>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372B"/>
    <w:rsid w:val="00AE475F"/>
    <w:rsid w:val="00AE47E7"/>
    <w:rsid w:val="00AE49BD"/>
    <w:rsid w:val="00AE4E77"/>
    <w:rsid w:val="00AE4EA7"/>
    <w:rsid w:val="00AE50A2"/>
    <w:rsid w:val="00AE518E"/>
    <w:rsid w:val="00AE5415"/>
    <w:rsid w:val="00AE7657"/>
    <w:rsid w:val="00AE7C64"/>
    <w:rsid w:val="00AF04E5"/>
    <w:rsid w:val="00AF19CB"/>
    <w:rsid w:val="00AF20B3"/>
    <w:rsid w:val="00AF2658"/>
    <w:rsid w:val="00AF2747"/>
    <w:rsid w:val="00AF2F42"/>
    <w:rsid w:val="00AF49BC"/>
    <w:rsid w:val="00AF555C"/>
    <w:rsid w:val="00AF5C28"/>
    <w:rsid w:val="00AF5F52"/>
    <w:rsid w:val="00AF6B5E"/>
    <w:rsid w:val="00AF6C3B"/>
    <w:rsid w:val="00AF7C4E"/>
    <w:rsid w:val="00B004CD"/>
    <w:rsid w:val="00B017BB"/>
    <w:rsid w:val="00B01A96"/>
    <w:rsid w:val="00B0200B"/>
    <w:rsid w:val="00B023E3"/>
    <w:rsid w:val="00B02417"/>
    <w:rsid w:val="00B02A98"/>
    <w:rsid w:val="00B02D37"/>
    <w:rsid w:val="00B03407"/>
    <w:rsid w:val="00B03AE8"/>
    <w:rsid w:val="00B0476B"/>
    <w:rsid w:val="00B05337"/>
    <w:rsid w:val="00B05772"/>
    <w:rsid w:val="00B059C7"/>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621"/>
    <w:rsid w:val="00B348B5"/>
    <w:rsid w:val="00B34C72"/>
    <w:rsid w:val="00B355A1"/>
    <w:rsid w:val="00B3580C"/>
    <w:rsid w:val="00B35BF8"/>
    <w:rsid w:val="00B36BEF"/>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4C39"/>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304"/>
    <w:rsid w:val="00B624E2"/>
    <w:rsid w:val="00B62B7A"/>
    <w:rsid w:val="00B62BA9"/>
    <w:rsid w:val="00B62D01"/>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5C6"/>
    <w:rsid w:val="00B85BED"/>
    <w:rsid w:val="00B864AB"/>
    <w:rsid w:val="00B866A4"/>
    <w:rsid w:val="00B871A7"/>
    <w:rsid w:val="00B873FA"/>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FC7"/>
    <w:rsid w:val="00BA1510"/>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247"/>
    <w:rsid w:val="00BC5447"/>
    <w:rsid w:val="00BC5E1C"/>
    <w:rsid w:val="00BC665E"/>
    <w:rsid w:val="00BC6AAC"/>
    <w:rsid w:val="00BD02DA"/>
    <w:rsid w:val="00BD0480"/>
    <w:rsid w:val="00BD089D"/>
    <w:rsid w:val="00BD0D3C"/>
    <w:rsid w:val="00BD201A"/>
    <w:rsid w:val="00BD256D"/>
    <w:rsid w:val="00BD2D67"/>
    <w:rsid w:val="00BD3C34"/>
    <w:rsid w:val="00BD4553"/>
    <w:rsid w:val="00BD4919"/>
    <w:rsid w:val="00BD50AB"/>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3678"/>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072C9"/>
    <w:rsid w:val="00C072E9"/>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2EBF"/>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805C4"/>
    <w:rsid w:val="00C8088F"/>
    <w:rsid w:val="00C81351"/>
    <w:rsid w:val="00C81B5F"/>
    <w:rsid w:val="00C82ED5"/>
    <w:rsid w:val="00C8351B"/>
    <w:rsid w:val="00C841C6"/>
    <w:rsid w:val="00C84C4F"/>
    <w:rsid w:val="00C84D8E"/>
    <w:rsid w:val="00C84F5C"/>
    <w:rsid w:val="00C86810"/>
    <w:rsid w:val="00C8696C"/>
    <w:rsid w:val="00C87BF5"/>
    <w:rsid w:val="00C91088"/>
    <w:rsid w:val="00C9196A"/>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11BB"/>
    <w:rsid w:val="00CA1275"/>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2E"/>
    <w:rsid w:val="00CB2CBF"/>
    <w:rsid w:val="00CB3202"/>
    <w:rsid w:val="00CB37AC"/>
    <w:rsid w:val="00CB589F"/>
    <w:rsid w:val="00CB59F8"/>
    <w:rsid w:val="00CB6002"/>
    <w:rsid w:val="00CB718A"/>
    <w:rsid w:val="00CB7BFF"/>
    <w:rsid w:val="00CC0A31"/>
    <w:rsid w:val="00CC0C09"/>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5A77"/>
    <w:rsid w:val="00CD7528"/>
    <w:rsid w:val="00CD7621"/>
    <w:rsid w:val="00CD7906"/>
    <w:rsid w:val="00CD7C8D"/>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B3C"/>
    <w:rsid w:val="00CE7CEE"/>
    <w:rsid w:val="00CF0427"/>
    <w:rsid w:val="00CF08B7"/>
    <w:rsid w:val="00CF09B1"/>
    <w:rsid w:val="00CF1769"/>
    <w:rsid w:val="00CF19F5"/>
    <w:rsid w:val="00CF232D"/>
    <w:rsid w:val="00CF29F4"/>
    <w:rsid w:val="00CF3478"/>
    <w:rsid w:val="00CF34E5"/>
    <w:rsid w:val="00CF35DD"/>
    <w:rsid w:val="00CF3C00"/>
    <w:rsid w:val="00CF3DC1"/>
    <w:rsid w:val="00CF4868"/>
    <w:rsid w:val="00CF4D84"/>
    <w:rsid w:val="00CF5025"/>
    <w:rsid w:val="00CF5E56"/>
    <w:rsid w:val="00CF64AB"/>
    <w:rsid w:val="00CF69F0"/>
    <w:rsid w:val="00CF71AD"/>
    <w:rsid w:val="00CF7EE1"/>
    <w:rsid w:val="00D0087B"/>
    <w:rsid w:val="00D00E33"/>
    <w:rsid w:val="00D01E6F"/>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538"/>
    <w:rsid w:val="00D11625"/>
    <w:rsid w:val="00D119C0"/>
    <w:rsid w:val="00D1245E"/>
    <w:rsid w:val="00D12A52"/>
    <w:rsid w:val="00D12C41"/>
    <w:rsid w:val="00D13094"/>
    <w:rsid w:val="00D13221"/>
    <w:rsid w:val="00D14D2F"/>
    <w:rsid w:val="00D154BD"/>
    <w:rsid w:val="00D15AA2"/>
    <w:rsid w:val="00D1611A"/>
    <w:rsid w:val="00D1619C"/>
    <w:rsid w:val="00D16871"/>
    <w:rsid w:val="00D16C34"/>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88F"/>
    <w:rsid w:val="00D47EFB"/>
    <w:rsid w:val="00D50093"/>
    <w:rsid w:val="00D50A99"/>
    <w:rsid w:val="00D50B14"/>
    <w:rsid w:val="00D50DEE"/>
    <w:rsid w:val="00D5294B"/>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AEF"/>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1F12"/>
    <w:rsid w:val="00DB3879"/>
    <w:rsid w:val="00DB3EF0"/>
    <w:rsid w:val="00DB528C"/>
    <w:rsid w:val="00DB5360"/>
    <w:rsid w:val="00DB5D45"/>
    <w:rsid w:val="00DB627D"/>
    <w:rsid w:val="00DB63F7"/>
    <w:rsid w:val="00DB64AA"/>
    <w:rsid w:val="00DB663A"/>
    <w:rsid w:val="00DB6F53"/>
    <w:rsid w:val="00DB76D5"/>
    <w:rsid w:val="00DB7C33"/>
    <w:rsid w:val="00DB7CA0"/>
    <w:rsid w:val="00DC0A86"/>
    <w:rsid w:val="00DC1C10"/>
    <w:rsid w:val="00DC1F14"/>
    <w:rsid w:val="00DC25BD"/>
    <w:rsid w:val="00DC25DC"/>
    <w:rsid w:val="00DC271F"/>
    <w:rsid w:val="00DC2A31"/>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F74"/>
    <w:rsid w:val="00E07318"/>
    <w:rsid w:val="00E10154"/>
    <w:rsid w:val="00E1057B"/>
    <w:rsid w:val="00E12696"/>
    <w:rsid w:val="00E12C81"/>
    <w:rsid w:val="00E12F22"/>
    <w:rsid w:val="00E12F41"/>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6719"/>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4ABE"/>
    <w:rsid w:val="00E54C69"/>
    <w:rsid w:val="00E55D2D"/>
    <w:rsid w:val="00E5600F"/>
    <w:rsid w:val="00E5602B"/>
    <w:rsid w:val="00E56409"/>
    <w:rsid w:val="00E5726A"/>
    <w:rsid w:val="00E572F7"/>
    <w:rsid w:val="00E5768E"/>
    <w:rsid w:val="00E6032B"/>
    <w:rsid w:val="00E604A5"/>
    <w:rsid w:val="00E609F5"/>
    <w:rsid w:val="00E611E2"/>
    <w:rsid w:val="00E61B6D"/>
    <w:rsid w:val="00E61BA4"/>
    <w:rsid w:val="00E61F50"/>
    <w:rsid w:val="00E6248F"/>
    <w:rsid w:val="00E633B8"/>
    <w:rsid w:val="00E64203"/>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BCD"/>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7198"/>
    <w:rsid w:val="00E97FCB"/>
    <w:rsid w:val="00EA0B4B"/>
    <w:rsid w:val="00EA2370"/>
    <w:rsid w:val="00EA4139"/>
    <w:rsid w:val="00EA415E"/>
    <w:rsid w:val="00EA49D8"/>
    <w:rsid w:val="00EA4A3E"/>
    <w:rsid w:val="00EA56AA"/>
    <w:rsid w:val="00EA5C22"/>
    <w:rsid w:val="00EA5CCF"/>
    <w:rsid w:val="00EA6779"/>
    <w:rsid w:val="00EA6DC7"/>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3F6F"/>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E067D"/>
    <w:rsid w:val="00EE1170"/>
    <w:rsid w:val="00EE1878"/>
    <w:rsid w:val="00EE1D2E"/>
    <w:rsid w:val="00EE2003"/>
    <w:rsid w:val="00EE304B"/>
    <w:rsid w:val="00EE570C"/>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5D56"/>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B71"/>
    <w:rsid w:val="00F74FF8"/>
    <w:rsid w:val="00F75C87"/>
    <w:rsid w:val="00F761C7"/>
    <w:rsid w:val="00F76A6B"/>
    <w:rsid w:val="00F77BB9"/>
    <w:rsid w:val="00F802B0"/>
    <w:rsid w:val="00F805E9"/>
    <w:rsid w:val="00F81075"/>
    <w:rsid w:val="00F81088"/>
    <w:rsid w:val="00F810D3"/>
    <w:rsid w:val="00F81420"/>
    <w:rsid w:val="00F8163E"/>
    <w:rsid w:val="00F82B45"/>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346"/>
    <w:rsid w:val="00FA1F2A"/>
    <w:rsid w:val="00FA26CD"/>
    <w:rsid w:val="00FA4BF0"/>
    <w:rsid w:val="00FA514D"/>
    <w:rsid w:val="00FA6456"/>
    <w:rsid w:val="00FA6A98"/>
    <w:rsid w:val="00FA6D15"/>
    <w:rsid w:val="00FA73BE"/>
    <w:rsid w:val="00FB016C"/>
    <w:rsid w:val="00FB0496"/>
    <w:rsid w:val="00FB0ADC"/>
    <w:rsid w:val="00FB0B60"/>
    <w:rsid w:val="00FB0F4D"/>
    <w:rsid w:val="00FB167F"/>
    <w:rsid w:val="00FB1FA4"/>
    <w:rsid w:val="00FB32AC"/>
    <w:rsid w:val="00FB382C"/>
    <w:rsid w:val="00FB40F9"/>
    <w:rsid w:val="00FB40FC"/>
    <w:rsid w:val="00FB4D92"/>
    <w:rsid w:val="00FB4FC3"/>
    <w:rsid w:val="00FB50C5"/>
    <w:rsid w:val="00FB536D"/>
    <w:rsid w:val="00FB549D"/>
    <w:rsid w:val="00FB5685"/>
    <w:rsid w:val="00FB7334"/>
    <w:rsid w:val="00FB7637"/>
    <w:rsid w:val="00FB77F9"/>
    <w:rsid w:val="00FC0BCE"/>
    <w:rsid w:val="00FC1236"/>
    <w:rsid w:val="00FC17EA"/>
    <w:rsid w:val="00FC20B4"/>
    <w:rsid w:val="00FC2E53"/>
    <w:rsid w:val="00FC3164"/>
    <w:rsid w:val="00FC37FD"/>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347"/>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6476D4"/>
    <w:rsid w:val="01715407"/>
    <w:rsid w:val="01E464B8"/>
    <w:rsid w:val="021C29C7"/>
    <w:rsid w:val="022B0E5C"/>
    <w:rsid w:val="022E3E22"/>
    <w:rsid w:val="023A28FF"/>
    <w:rsid w:val="02464946"/>
    <w:rsid w:val="02512DC5"/>
    <w:rsid w:val="02581E50"/>
    <w:rsid w:val="025F2111"/>
    <w:rsid w:val="028D5D9D"/>
    <w:rsid w:val="02A66735"/>
    <w:rsid w:val="02D85A28"/>
    <w:rsid w:val="02F4445A"/>
    <w:rsid w:val="03333615"/>
    <w:rsid w:val="03421A72"/>
    <w:rsid w:val="03632E30"/>
    <w:rsid w:val="038D51FF"/>
    <w:rsid w:val="03950458"/>
    <w:rsid w:val="039B791C"/>
    <w:rsid w:val="03E5668B"/>
    <w:rsid w:val="03FA2DCF"/>
    <w:rsid w:val="03FE39A5"/>
    <w:rsid w:val="040A1451"/>
    <w:rsid w:val="04257CAB"/>
    <w:rsid w:val="048A7C5B"/>
    <w:rsid w:val="04BF35A7"/>
    <w:rsid w:val="04C13E58"/>
    <w:rsid w:val="052C0449"/>
    <w:rsid w:val="05441D3F"/>
    <w:rsid w:val="05544B21"/>
    <w:rsid w:val="0566089E"/>
    <w:rsid w:val="05670BEC"/>
    <w:rsid w:val="057B28FA"/>
    <w:rsid w:val="05A34A52"/>
    <w:rsid w:val="05D5530F"/>
    <w:rsid w:val="05EF21A1"/>
    <w:rsid w:val="06096073"/>
    <w:rsid w:val="060B3F2C"/>
    <w:rsid w:val="061F04BE"/>
    <w:rsid w:val="063237EF"/>
    <w:rsid w:val="06343B0A"/>
    <w:rsid w:val="064E34E8"/>
    <w:rsid w:val="06A66B16"/>
    <w:rsid w:val="06A961F0"/>
    <w:rsid w:val="06B96E76"/>
    <w:rsid w:val="06E71703"/>
    <w:rsid w:val="06EA7085"/>
    <w:rsid w:val="06FF1447"/>
    <w:rsid w:val="07287466"/>
    <w:rsid w:val="07481B68"/>
    <w:rsid w:val="07950DFE"/>
    <w:rsid w:val="07994D61"/>
    <w:rsid w:val="07C15475"/>
    <w:rsid w:val="07DF5F1D"/>
    <w:rsid w:val="07EF33C4"/>
    <w:rsid w:val="07F6438B"/>
    <w:rsid w:val="08287B33"/>
    <w:rsid w:val="083E2F6B"/>
    <w:rsid w:val="087054C5"/>
    <w:rsid w:val="088D288E"/>
    <w:rsid w:val="08CB7BA3"/>
    <w:rsid w:val="08EE143D"/>
    <w:rsid w:val="08F55335"/>
    <w:rsid w:val="09242161"/>
    <w:rsid w:val="093336F5"/>
    <w:rsid w:val="09583A2E"/>
    <w:rsid w:val="095879E9"/>
    <w:rsid w:val="096B7D90"/>
    <w:rsid w:val="096D47E3"/>
    <w:rsid w:val="097D0195"/>
    <w:rsid w:val="097E5D15"/>
    <w:rsid w:val="09900371"/>
    <w:rsid w:val="09BC05EC"/>
    <w:rsid w:val="09C01BCB"/>
    <w:rsid w:val="09F44C55"/>
    <w:rsid w:val="0A1E0C88"/>
    <w:rsid w:val="0A305BAD"/>
    <w:rsid w:val="0A34559A"/>
    <w:rsid w:val="0A371230"/>
    <w:rsid w:val="0A943608"/>
    <w:rsid w:val="0B1E4B11"/>
    <w:rsid w:val="0B32067B"/>
    <w:rsid w:val="0B3F48B7"/>
    <w:rsid w:val="0B5021D6"/>
    <w:rsid w:val="0B577298"/>
    <w:rsid w:val="0B64049F"/>
    <w:rsid w:val="0B772A1C"/>
    <w:rsid w:val="0BB772BD"/>
    <w:rsid w:val="0BCD76F4"/>
    <w:rsid w:val="0BF4406D"/>
    <w:rsid w:val="0C166903"/>
    <w:rsid w:val="0C264809"/>
    <w:rsid w:val="0C3C28EC"/>
    <w:rsid w:val="0C5B56DD"/>
    <w:rsid w:val="0C6D18FE"/>
    <w:rsid w:val="0CE44F4D"/>
    <w:rsid w:val="0CE75980"/>
    <w:rsid w:val="0D3A7C60"/>
    <w:rsid w:val="0D3C7FC3"/>
    <w:rsid w:val="0D5834B1"/>
    <w:rsid w:val="0D620B19"/>
    <w:rsid w:val="0D961FC5"/>
    <w:rsid w:val="0D9E6986"/>
    <w:rsid w:val="0DDC1FE1"/>
    <w:rsid w:val="0DE9706A"/>
    <w:rsid w:val="0E0632DA"/>
    <w:rsid w:val="0E1E46A1"/>
    <w:rsid w:val="0E3270CE"/>
    <w:rsid w:val="0E5E6115"/>
    <w:rsid w:val="0E6D2458"/>
    <w:rsid w:val="0E744B2C"/>
    <w:rsid w:val="0E910E05"/>
    <w:rsid w:val="0E9202FC"/>
    <w:rsid w:val="0E941A1C"/>
    <w:rsid w:val="0E9B4C74"/>
    <w:rsid w:val="0EDC08A6"/>
    <w:rsid w:val="0EFE5203"/>
    <w:rsid w:val="0F060119"/>
    <w:rsid w:val="0F434A05"/>
    <w:rsid w:val="0F5F3741"/>
    <w:rsid w:val="0FA933C0"/>
    <w:rsid w:val="10127C77"/>
    <w:rsid w:val="101C3C8A"/>
    <w:rsid w:val="10383F9B"/>
    <w:rsid w:val="105B33D4"/>
    <w:rsid w:val="106106BD"/>
    <w:rsid w:val="10621F2A"/>
    <w:rsid w:val="106C0B1D"/>
    <w:rsid w:val="10905146"/>
    <w:rsid w:val="10B846C4"/>
    <w:rsid w:val="10C15974"/>
    <w:rsid w:val="10CD306F"/>
    <w:rsid w:val="10D52C8F"/>
    <w:rsid w:val="10F2358E"/>
    <w:rsid w:val="110D37D1"/>
    <w:rsid w:val="111E5A3E"/>
    <w:rsid w:val="112761B1"/>
    <w:rsid w:val="113373E5"/>
    <w:rsid w:val="114F1D45"/>
    <w:rsid w:val="11537A88"/>
    <w:rsid w:val="11643A43"/>
    <w:rsid w:val="118F05F7"/>
    <w:rsid w:val="119D0440"/>
    <w:rsid w:val="11A56EF3"/>
    <w:rsid w:val="11B328A8"/>
    <w:rsid w:val="11DF6314"/>
    <w:rsid w:val="11E132E5"/>
    <w:rsid w:val="11E54C9F"/>
    <w:rsid w:val="11EA1F0A"/>
    <w:rsid w:val="121363D7"/>
    <w:rsid w:val="12513812"/>
    <w:rsid w:val="125A6232"/>
    <w:rsid w:val="12792632"/>
    <w:rsid w:val="12890ACB"/>
    <w:rsid w:val="12A56C5C"/>
    <w:rsid w:val="12AD2923"/>
    <w:rsid w:val="12AD5A91"/>
    <w:rsid w:val="12B17531"/>
    <w:rsid w:val="12B87441"/>
    <w:rsid w:val="12CB18A0"/>
    <w:rsid w:val="12FD25E3"/>
    <w:rsid w:val="130C4392"/>
    <w:rsid w:val="13207131"/>
    <w:rsid w:val="13291286"/>
    <w:rsid w:val="134D6463"/>
    <w:rsid w:val="135978AF"/>
    <w:rsid w:val="137F2DB6"/>
    <w:rsid w:val="13927DD4"/>
    <w:rsid w:val="13BB777D"/>
    <w:rsid w:val="13C40818"/>
    <w:rsid w:val="13F566D8"/>
    <w:rsid w:val="140D193D"/>
    <w:rsid w:val="142906E4"/>
    <w:rsid w:val="14680169"/>
    <w:rsid w:val="147238D3"/>
    <w:rsid w:val="147D17AD"/>
    <w:rsid w:val="14A83BE9"/>
    <w:rsid w:val="14B95E54"/>
    <w:rsid w:val="14ED31E8"/>
    <w:rsid w:val="15112A82"/>
    <w:rsid w:val="1550218B"/>
    <w:rsid w:val="15D371E2"/>
    <w:rsid w:val="15D91EBF"/>
    <w:rsid w:val="15FC62BD"/>
    <w:rsid w:val="160503CB"/>
    <w:rsid w:val="160E6061"/>
    <w:rsid w:val="166A70B6"/>
    <w:rsid w:val="16815604"/>
    <w:rsid w:val="16A24E38"/>
    <w:rsid w:val="16A34E1F"/>
    <w:rsid w:val="16C25DA4"/>
    <w:rsid w:val="16D276A1"/>
    <w:rsid w:val="170F5684"/>
    <w:rsid w:val="17212123"/>
    <w:rsid w:val="17316C6D"/>
    <w:rsid w:val="174A6123"/>
    <w:rsid w:val="17571F2E"/>
    <w:rsid w:val="17652D93"/>
    <w:rsid w:val="17751C24"/>
    <w:rsid w:val="178A3AD7"/>
    <w:rsid w:val="179A033A"/>
    <w:rsid w:val="17AE7804"/>
    <w:rsid w:val="17B07793"/>
    <w:rsid w:val="17BD72D1"/>
    <w:rsid w:val="17C96DB2"/>
    <w:rsid w:val="17E328F2"/>
    <w:rsid w:val="17E928DD"/>
    <w:rsid w:val="180059C8"/>
    <w:rsid w:val="180C0990"/>
    <w:rsid w:val="18207265"/>
    <w:rsid w:val="183B3024"/>
    <w:rsid w:val="1890336F"/>
    <w:rsid w:val="18DA283C"/>
    <w:rsid w:val="190017FB"/>
    <w:rsid w:val="191827B5"/>
    <w:rsid w:val="195D3039"/>
    <w:rsid w:val="1980314C"/>
    <w:rsid w:val="199031F5"/>
    <w:rsid w:val="199B5E06"/>
    <w:rsid w:val="19CA77E1"/>
    <w:rsid w:val="19E44576"/>
    <w:rsid w:val="1A0C2386"/>
    <w:rsid w:val="1A19040E"/>
    <w:rsid w:val="1A1B4EBB"/>
    <w:rsid w:val="1A2139BC"/>
    <w:rsid w:val="1A39548E"/>
    <w:rsid w:val="1A5A3C35"/>
    <w:rsid w:val="1A7145A6"/>
    <w:rsid w:val="1A7D0323"/>
    <w:rsid w:val="1A875B07"/>
    <w:rsid w:val="1AA50C28"/>
    <w:rsid w:val="1AD473DF"/>
    <w:rsid w:val="1AFF2A2E"/>
    <w:rsid w:val="1B09181C"/>
    <w:rsid w:val="1B0B32FF"/>
    <w:rsid w:val="1B4346C9"/>
    <w:rsid w:val="1B573B36"/>
    <w:rsid w:val="1B6F6D6A"/>
    <w:rsid w:val="1B740D26"/>
    <w:rsid w:val="1B764B24"/>
    <w:rsid w:val="1B914166"/>
    <w:rsid w:val="1B9334AA"/>
    <w:rsid w:val="1BD6553D"/>
    <w:rsid w:val="1BF5174F"/>
    <w:rsid w:val="1C3E30E2"/>
    <w:rsid w:val="1C3F55BC"/>
    <w:rsid w:val="1C40226B"/>
    <w:rsid w:val="1C5A616E"/>
    <w:rsid w:val="1C81576F"/>
    <w:rsid w:val="1C9438E4"/>
    <w:rsid w:val="1CA0249E"/>
    <w:rsid w:val="1CE264E8"/>
    <w:rsid w:val="1CE448A8"/>
    <w:rsid w:val="1CE8084C"/>
    <w:rsid w:val="1CEE2127"/>
    <w:rsid w:val="1D0F7552"/>
    <w:rsid w:val="1D25579E"/>
    <w:rsid w:val="1D332DE0"/>
    <w:rsid w:val="1D7F53DA"/>
    <w:rsid w:val="1D86351C"/>
    <w:rsid w:val="1DE9720E"/>
    <w:rsid w:val="1DF343E7"/>
    <w:rsid w:val="1E2A47F4"/>
    <w:rsid w:val="1E4E5CDA"/>
    <w:rsid w:val="1E79160D"/>
    <w:rsid w:val="1E8927F5"/>
    <w:rsid w:val="1E972D22"/>
    <w:rsid w:val="1E9F73B7"/>
    <w:rsid w:val="1EB5255F"/>
    <w:rsid w:val="1EF25090"/>
    <w:rsid w:val="1F132A46"/>
    <w:rsid w:val="1F1518B5"/>
    <w:rsid w:val="1F3564E9"/>
    <w:rsid w:val="1F6101EB"/>
    <w:rsid w:val="1F6A61A1"/>
    <w:rsid w:val="1F732F6A"/>
    <w:rsid w:val="1FBC4D16"/>
    <w:rsid w:val="1FBC76AD"/>
    <w:rsid w:val="1FEF3071"/>
    <w:rsid w:val="1FF916E4"/>
    <w:rsid w:val="20095AE1"/>
    <w:rsid w:val="203B6286"/>
    <w:rsid w:val="204B3A63"/>
    <w:rsid w:val="209E2481"/>
    <w:rsid w:val="20EA5FF2"/>
    <w:rsid w:val="212367E1"/>
    <w:rsid w:val="216134C5"/>
    <w:rsid w:val="2164266C"/>
    <w:rsid w:val="218A09E3"/>
    <w:rsid w:val="218B12E2"/>
    <w:rsid w:val="21CF69FD"/>
    <w:rsid w:val="21F84574"/>
    <w:rsid w:val="22043309"/>
    <w:rsid w:val="220A23E4"/>
    <w:rsid w:val="220A614E"/>
    <w:rsid w:val="2220553A"/>
    <w:rsid w:val="222602F9"/>
    <w:rsid w:val="22732B0F"/>
    <w:rsid w:val="22925F36"/>
    <w:rsid w:val="229C0B63"/>
    <w:rsid w:val="22B2588C"/>
    <w:rsid w:val="22BB40EC"/>
    <w:rsid w:val="22D56C52"/>
    <w:rsid w:val="22E36792"/>
    <w:rsid w:val="23052E11"/>
    <w:rsid w:val="23382CB7"/>
    <w:rsid w:val="23395878"/>
    <w:rsid w:val="23561D07"/>
    <w:rsid w:val="23795A37"/>
    <w:rsid w:val="238748E8"/>
    <w:rsid w:val="23A95CBD"/>
    <w:rsid w:val="23F066A4"/>
    <w:rsid w:val="2422470B"/>
    <w:rsid w:val="243A0633"/>
    <w:rsid w:val="24424FB0"/>
    <w:rsid w:val="24553187"/>
    <w:rsid w:val="245E07C6"/>
    <w:rsid w:val="2460453E"/>
    <w:rsid w:val="24676BDC"/>
    <w:rsid w:val="246F652F"/>
    <w:rsid w:val="247544F0"/>
    <w:rsid w:val="248F27AB"/>
    <w:rsid w:val="24D91C6D"/>
    <w:rsid w:val="24DD43B4"/>
    <w:rsid w:val="24DE65BD"/>
    <w:rsid w:val="250749B9"/>
    <w:rsid w:val="25367F91"/>
    <w:rsid w:val="254352E4"/>
    <w:rsid w:val="254664D6"/>
    <w:rsid w:val="25636A2B"/>
    <w:rsid w:val="259F3AC0"/>
    <w:rsid w:val="25C92794"/>
    <w:rsid w:val="25D53B41"/>
    <w:rsid w:val="261C18A0"/>
    <w:rsid w:val="263B66CB"/>
    <w:rsid w:val="264671EC"/>
    <w:rsid w:val="265E685B"/>
    <w:rsid w:val="266B3399"/>
    <w:rsid w:val="26A15BDC"/>
    <w:rsid w:val="26A526DC"/>
    <w:rsid w:val="26A63B72"/>
    <w:rsid w:val="26AE16FD"/>
    <w:rsid w:val="26B17556"/>
    <w:rsid w:val="26CA7376"/>
    <w:rsid w:val="26CE66C0"/>
    <w:rsid w:val="26D9491E"/>
    <w:rsid w:val="26D95D14"/>
    <w:rsid w:val="26EC030B"/>
    <w:rsid w:val="26FB6E7B"/>
    <w:rsid w:val="271356E9"/>
    <w:rsid w:val="273B2D65"/>
    <w:rsid w:val="27441EF5"/>
    <w:rsid w:val="275F00DC"/>
    <w:rsid w:val="2763465F"/>
    <w:rsid w:val="276534EA"/>
    <w:rsid w:val="2778426E"/>
    <w:rsid w:val="27EA082B"/>
    <w:rsid w:val="280147D4"/>
    <w:rsid w:val="280A588F"/>
    <w:rsid w:val="28112890"/>
    <w:rsid w:val="282219D0"/>
    <w:rsid w:val="283D3484"/>
    <w:rsid w:val="284A636C"/>
    <w:rsid w:val="28576547"/>
    <w:rsid w:val="285A0E99"/>
    <w:rsid w:val="288214F1"/>
    <w:rsid w:val="28880C4D"/>
    <w:rsid w:val="28CC695E"/>
    <w:rsid w:val="28D95810"/>
    <w:rsid w:val="294D0915"/>
    <w:rsid w:val="29615227"/>
    <w:rsid w:val="29885EBF"/>
    <w:rsid w:val="298F65F8"/>
    <w:rsid w:val="29B900D5"/>
    <w:rsid w:val="29B94EBA"/>
    <w:rsid w:val="29BA5290"/>
    <w:rsid w:val="29FF4569"/>
    <w:rsid w:val="2A136EA9"/>
    <w:rsid w:val="2A1800BA"/>
    <w:rsid w:val="2A1F4553"/>
    <w:rsid w:val="2A2D470E"/>
    <w:rsid w:val="2A63541A"/>
    <w:rsid w:val="2A644032"/>
    <w:rsid w:val="2AB96F12"/>
    <w:rsid w:val="2ADA644C"/>
    <w:rsid w:val="2B0379D1"/>
    <w:rsid w:val="2B1A6253"/>
    <w:rsid w:val="2B2B0594"/>
    <w:rsid w:val="2B6969E4"/>
    <w:rsid w:val="2B7D7783"/>
    <w:rsid w:val="2BA3140C"/>
    <w:rsid w:val="2BC65711"/>
    <w:rsid w:val="2C457944"/>
    <w:rsid w:val="2C4B0CAE"/>
    <w:rsid w:val="2C6963F3"/>
    <w:rsid w:val="2CA52B95"/>
    <w:rsid w:val="2CD77097"/>
    <w:rsid w:val="2CFC0C72"/>
    <w:rsid w:val="2CFF066C"/>
    <w:rsid w:val="2D4314AB"/>
    <w:rsid w:val="2D631EDB"/>
    <w:rsid w:val="2D841DFC"/>
    <w:rsid w:val="2D8A0748"/>
    <w:rsid w:val="2DC00706"/>
    <w:rsid w:val="2DD12008"/>
    <w:rsid w:val="2E1E7AD9"/>
    <w:rsid w:val="2E2D6A82"/>
    <w:rsid w:val="2E405B57"/>
    <w:rsid w:val="2E4A6F9E"/>
    <w:rsid w:val="2E595BB5"/>
    <w:rsid w:val="2E7252A0"/>
    <w:rsid w:val="2E7F7CB6"/>
    <w:rsid w:val="2EA72D69"/>
    <w:rsid w:val="2EE2703D"/>
    <w:rsid w:val="2F2B399A"/>
    <w:rsid w:val="2F4A4125"/>
    <w:rsid w:val="2F614A70"/>
    <w:rsid w:val="2FA0642A"/>
    <w:rsid w:val="2FAC4CF0"/>
    <w:rsid w:val="2FC26A9B"/>
    <w:rsid w:val="2FC55529"/>
    <w:rsid w:val="2FEA115F"/>
    <w:rsid w:val="30110DE2"/>
    <w:rsid w:val="30207DF1"/>
    <w:rsid w:val="30297444"/>
    <w:rsid w:val="307331DB"/>
    <w:rsid w:val="30755CD7"/>
    <w:rsid w:val="30896D24"/>
    <w:rsid w:val="30B36A06"/>
    <w:rsid w:val="30D85A19"/>
    <w:rsid w:val="311E4022"/>
    <w:rsid w:val="31321617"/>
    <w:rsid w:val="31445686"/>
    <w:rsid w:val="31566339"/>
    <w:rsid w:val="31880C30"/>
    <w:rsid w:val="31AA428D"/>
    <w:rsid w:val="3212751E"/>
    <w:rsid w:val="32152ECD"/>
    <w:rsid w:val="32277E22"/>
    <w:rsid w:val="323B2146"/>
    <w:rsid w:val="32537679"/>
    <w:rsid w:val="32847649"/>
    <w:rsid w:val="32D15453"/>
    <w:rsid w:val="333953DF"/>
    <w:rsid w:val="334700E7"/>
    <w:rsid w:val="335E433E"/>
    <w:rsid w:val="336E4B1E"/>
    <w:rsid w:val="33761D33"/>
    <w:rsid w:val="33815FC5"/>
    <w:rsid w:val="33821C4E"/>
    <w:rsid w:val="33C41E41"/>
    <w:rsid w:val="3454129D"/>
    <w:rsid w:val="34C86A26"/>
    <w:rsid w:val="34DB1568"/>
    <w:rsid w:val="353D7F83"/>
    <w:rsid w:val="35432D26"/>
    <w:rsid w:val="354C01C6"/>
    <w:rsid w:val="355E7CA7"/>
    <w:rsid w:val="3592207D"/>
    <w:rsid w:val="359E21D5"/>
    <w:rsid w:val="35A16557"/>
    <w:rsid w:val="35AF21C9"/>
    <w:rsid w:val="35C641AE"/>
    <w:rsid w:val="35C824CB"/>
    <w:rsid w:val="35D41F95"/>
    <w:rsid w:val="361231BE"/>
    <w:rsid w:val="361C2B47"/>
    <w:rsid w:val="362A2364"/>
    <w:rsid w:val="364801DC"/>
    <w:rsid w:val="364929A4"/>
    <w:rsid w:val="3693384A"/>
    <w:rsid w:val="36B17A28"/>
    <w:rsid w:val="36B41147"/>
    <w:rsid w:val="36C5295A"/>
    <w:rsid w:val="372805E8"/>
    <w:rsid w:val="37435A18"/>
    <w:rsid w:val="37517CD5"/>
    <w:rsid w:val="377F0B81"/>
    <w:rsid w:val="37817A9A"/>
    <w:rsid w:val="37DD129E"/>
    <w:rsid w:val="37E82428"/>
    <w:rsid w:val="37EE3E26"/>
    <w:rsid w:val="37FD5539"/>
    <w:rsid w:val="38083B66"/>
    <w:rsid w:val="380C3863"/>
    <w:rsid w:val="38137C6C"/>
    <w:rsid w:val="38887767"/>
    <w:rsid w:val="389749D2"/>
    <w:rsid w:val="38B643C2"/>
    <w:rsid w:val="38F23D57"/>
    <w:rsid w:val="390E5EBF"/>
    <w:rsid w:val="39233524"/>
    <w:rsid w:val="393649BA"/>
    <w:rsid w:val="39726574"/>
    <w:rsid w:val="398E3AF7"/>
    <w:rsid w:val="398E43A7"/>
    <w:rsid w:val="39931E71"/>
    <w:rsid w:val="39B931D7"/>
    <w:rsid w:val="39BC1DBE"/>
    <w:rsid w:val="39F74BA5"/>
    <w:rsid w:val="39FC5AAC"/>
    <w:rsid w:val="3A052D40"/>
    <w:rsid w:val="3A0A25D5"/>
    <w:rsid w:val="3A0A53FE"/>
    <w:rsid w:val="3A2847D2"/>
    <w:rsid w:val="3A7C3DD2"/>
    <w:rsid w:val="3AAD38DE"/>
    <w:rsid w:val="3AC56FA3"/>
    <w:rsid w:val="3ADD73E7"/>
    <w:rsid w:val="3B2F72DB"/>
    <w:rsid w:val="3B6E0E96"/>
    <w:rsid w:val="3B85046E"/>
    <w:rsid w:val="3BBA7996"/>
    <w:rsid w:val="3C027232"/>
    <w:rsid w:val="3C524497"/>
    <w:rsid w:val="3C5B4AA2"/>
    <w:rsid w:val="3C9E7B59"/>
    <w:rsid w:val="3CA2589D"/>
    <w:rsid w:val="3CAB2677"/>
    <w:rsid w:val="3CC07619"/>
    <w:rsid w:val="3CC166E8"/>
    <w:rsid w:val="3CE81030"/>
    <w:rsid w:val="3CE81DE5"/>
    <w:rsid w:val="3CF65BC2"/>
    <w:rsid w:val="3D2F3524"/>
    <w:rsid w:val="3D512286"/>
    <w:rsid w:val="3DA57D84"/>
    <w:rsid w:val="3DA866B5"/>
    <w:rsid w:val="3DA90DA4"/>
    <w:rsid w:val="3DD96B03"/>
    <w:rsid w:val="3DE508B2"/>
    <w:rsid w:val="3E211206"/>
    <w:rsid w:val="3E505054"/>
    <w:rsid w:val="3E52684D"/>
    <w:rsid w:val="3EB72B54"/>
    <w:rsid w:val="3EB8389C"/>
    <w:rsid w:val="3EB839A4"/>
    <w:rsid w:val="3ECA2888"/>
    <w:rsid w:val="3EEC283E"/>
    <w:rsid w:val="3F284ABC"/>
    <w:rsid w:val="3F340AE9"/>
    <w:rsid w:val="3F431DFA"/>
    <w:rsid w:val="3F8C5D8F"/>
    <w:rsid w:val="3FBB4C11"/>
    <w:rsid w:val="40162BA8"/>
    <w:rsid w:val="404E1296"/>
    <w:rsid w:val="40826936"/>
    <w:rsid w:val="40BD57DF"/>
    <w:rsid w:val="40D038D9"/>
    <w:rsid w:val="40D16C1F"/>
    <w:rsid w:val="40DA3242"/>
    <w:rsid w:val="40E52E63"/>
    <w:rsid w:val="40FC2A5F"/>
    <w:rsid w:val="410A6E2E"/>
    <w:rsid w:val="413872C8"/>
    <w:rsid w:val="41422428"/>
    <w:rsid w:val="41AC2F41"/>
    <w:rsid w:val="41C4627B"/>
    <w:rsid w:val="41C84587"/>
    <w:rsid w:val="41CC4B69"/>
    <w:rsid w:val="41DF6428"/>
    <w:rsid w:val="41E41C34"/>
    <w:rsid w:val="41EC0960"/>
    <w:rsid w:val="41FB27AE"/>
    <w:rsid w:val="42125082"/>
    <w:rsid w:val="423C76BC"/>
    <w:rsid w:val="428E6D0E"/>
    <w:rsid w:val="42C60143"/>
    <w:rsid w:val="431E19A4"/>
    <w:rsid w:val="43461977"/>
    <w:rsid w:val="434E199A"/>
    <w:rsid w:val="435E6138"/>
    <w:rsid w:val="438E13FA"/>
    <w:rsid w:val="438F39B4"/>
    <w:rsid w:val="43A22DDE"/>
    <w:rsid w:val="43DE6DD5"/>
    <w:rsid w:val="441223D3"/>
    <w:rsid w:val="441D0503"/>
    <w:rsid w:val="444906F3"/>
    <w:rsid w:val="4465680F"/>
    <w:rsid w:val="44663A8C"/>
    <w:rsid w:val="44726B97"/>
    <w:rsid w:val="44B377EF"/>
    <w:rsid w:val="44B40123"/>
    <w:rsid w:val="44D35AE0"/>
    <w:rsid w:val="44F0275C"/>
    <w:rsid w:val="45250609"/>
    <w:rsid w:val="45356EC9"/>
    <w:rsid w:val="45365B7D"/>
    <w:rsid w:val="45385DC2"/>
    <w:rsid w:val="453F4068"/>
    <w:rsid w:val="455D5AA7"/>
    <w:rsid w:val="457E653E"/>
    <w:rsid w:val="45A7023B"/>
    <w:rsid w:val="45F82262"/>
    <w:rsid w:val="45F9523A"/>
    <w:rsid w:val="4618176A"/>
    <w:rsid w:val="461C16C9"/>
    <w:rsid w:val="462801EA"/>
    <w:rsid w:val="46352244"/>
    <w:rsid w:val="464B74AB"/>
    <w:rsid w:val="467C48B8"/>
    <w:rsid w:val="46A02B92"/>
    <w:rsid w:val="46A13B9B"/>
    <w:rsid w:val="46B0157F"/>
    <w:rsid w:val="46DC7A34"/>
    <w:rsid w:val="471549C2"/>
    <w:rsid w:val="474D674C"/>
    <w:rsid w:val="475B1E40"/>
    <w:rsid w:val="478F70E2"/>
    <w:rsid w:val="47D93B3C"/>
    <w:rsid w:val="47E25116"/>
    <w:rsid w:val="47EF6F11"/>
    <w:rsid w:val="47F36DEA"/>
    <w:rsid w:val="481903DC"/>
    <w:rsid w:val="48244227"/>
    <w:rsid w:val="482A507D"/>
    <w:rsid w:val="4837068B"/>
    <w:rsid w:val="483765C1"/>
    <w:rsid w:val="483F3792"/>
    <w:rsid w:val="48790C97"/>
    <w:rsid w:val="48B00368"/>
    <w:rsid w:val="48D81826"/>
    <w:rsid w:val="48FB2EFD"/>
    <w:rsid w:val="495A0CAC"/>
    <w:rsid w:val="499E6DEB"/>
    <w:rsid w:val="49B87FE3"/>
    <w:rsid w:val="49C01457"/>
    <w:rsid w:val="49D56585"/>
    <w:rsid w:val="4A157CE8"/>
    <w:rsid w:val="4A797A02"/>
    <w:rsid w:val="4A8204BA"/>
    <w:rsid w:val="4A8B7C2C"/>
    <w:rsid w:val="4AD46071"/>
    <w:rsid w:val="4AF7620D"/>
    <w:rsid w:val="4B4614E8"/>
    <w:rsid w:val="4B5005B9"/>
    <w:rsid w:val="4B7C57BA"/>
    <w:rsid w:val="4B921482"/>
    <w:rsid w:val="4B92553B"/>
    <w:rsid w:val="4BAF4AED"/>
    <w:rsid w:val="4BF25DC9"/>
    <w:rsid w:val="4BFF5EF6"/>
    <w:rsid w:val="4C3D2543"/>
    <w:rsid w:val="4C586A34"/>
    <w:rsid w:val="4C760E14"/>
    <w:rsid w:val="4C7958F2"/>
    <w:rsid w:val="4C834F37"/>
    <w:rsid w:val="4C880782"/>
    <w:rsid w:val="4C9B5863"/>
    <w:rsid w:val="4CAD0D88"/>
    <w:rsid w:val="4CB3561F"/>
    <w:rsid w:val="4CD76308"/>
    <w:rsid w:val="4CEC0C42"/>
    <w:rsid w:val="4D1523D8"/>
    <w:rsid w:val="4D3D02E6"/>
    <w:rsid w:val="4D4863E7"/>
    <w:rsid w:val="4D8B22EB"/>
    <w:rsid w:val="4D972035"/>
    <w:rsid w:val="4DA22905"/>
    <w:rsid w:val="4DBE1B32"/>
    <w:rsid w:val="4DE805F1"/>
    <w:rsid w:val="4DF3347D"/>
    <w:rsid w:val="4E1131F6"/>
    <w:rsid w:val="4E177064"/>
    <w:rsid w:val="4E1F2065"/>
    <w:rsid w:val="4E304110"/>
    <w:rsid w:val="4E5C1022"/>
    <w:rsid w:val="4E635E94"/>
    <w:rsid w:val="4E685436"/>
    <w:rsid w:val="4E7520E4"/>
    <w:rsid w:val="4E9C58C3"/>
    <w:rsid w:val="4EAA486D"/>
    <w:rsid w:val="4EB27D4F"/>
    <w:rsid w:val="4EB44330"/>
    <w:rsid w:val="4F0B1437"/>
    <w:rsid w:val="4F11111B"/>
    <w:rsid w:val="4F1257BA"/>
    <w:rsid w:val="4F3F4946"/>
    <w:rsid w:val="4F707E6F"/>
    <w:rsid w:val="4F8053FC"/>
    <w:rsid w:val="4F9111A6"/>
    <w:rsid w:val="4F971A21"/>
    <w:rsid w:val="4FA02656"/>
    <w:rsid w:val="4FC62A9C"/>
    <w:rsid w:val="4FD73063"/>
    <w:rsid w:val="4FF91AB2"/>
    <w:rsid w:val="50250673"/>
    <w:rsid w:val="50611CD6"/>
    <w:rsid w:val="508544A0"/>
    <w:rsid w:val="51AD394F"/>
    <w:rsid w:val="51DA25F7"/>
    <w:rsid w:val="51DC6B68"/>
    <w:rsid w:val="521E6805"/>
    <w:rsid w:val="523E342D"/>
    <w:rsid w:val="52457097"/>
    <w:rsid w:val="526A5663"/>
    <w:rsid w:val="527C58B4"/>
    <w:rsid w:val="529A036B"/>
    <w:rsid w:val="52A36090"/>
    <w:rsid w:val="52C533D7"/>
    <w:rsid w:val="52DA5A00"/>
    <w:rsid w:val="52E31D12"/>
    <w:rsid w:val="52F87F54"/>
    <w:rsid w:val="532E6610"/>
    <w:rsid w:val="53572A1B"/>
    <w:rsid w:val="5389049C"/>
    <w:rsid w:val="53D1600F"/>
    <w:rsid w:val="53F74F19"/>
    <w:rsid w:val="5448499A"/>
    <w:rsid w:val="5453574E"/>
    <w:rsid w:val="545425B0"/>
    <w:rsid w:val="54733E3E"/>
    <w:rsid w:val="54835765"/>
    <w:rsid w:val="54AA48BC"/>
    <w:rsid w:val="54B211D4"/>
    <w:rsid w:val="554076FE"/>
    <w:rsid w:val="556971D6"/>
    <w:rsid w:val="557A3DCE"/>
    <w:rsid w:val="55965937"/>
    <w:rsid w:val="55AF412E"/>
    <w:rsid w:val="55D53BC5"/>
    <w:rsid w:val="55F629D4"/>
    <w:rsid w:val="560E52F8"/>
    <w:rsid w:val="56222B52"/>
    <w:rsid w:val="562F49D4"/>
    <w:rsid w:val="563733C6"/>
    <w:rsid w:val="566C4270"/>
    <w:rsid w:val="568913CC"/>
    <w:rsid w:val="569D5E4B"/>
    <w:rsid w:val="56C02EC5"/>
    <w:rsid w:val="56CE7427"/>
    <w:rsid w:val="574C26DA"/>
    <w:rsid w:val="574F541A"/>
    <w:rsid w:val="575136EE"/>
    <w:rsid w:val="57784EF5"/>
    <w:rsid w:val="577E2647"/>
    <w:rsid w:val="57B27F05"/>
    <w:rsid w:val="57E22E7A"/>
    <w:rsid w:val="57EC7962"/>
    <w:rsid w:val="5834280A"/>
    <w:rsid w:val="58417549"/>
    <w:rsid w:val="584B1309"/>
    <w:rsid w:val="58DA3CDB"/>
    <w:rsid w:val="591A2206"/>
    <w:rsid w:val="59252C90"/>
    <w:rsid w:val="59431968"/>
    <w:rsid w:val="597C1D6D"/>
    <w:rsid w:val="59B47F65"/>
    <w:rsid w:val="59E66CC0"/>
    <w:rsid w:val="5AA31307"/>
    <w:rsid w:val="5ABF30DC"/>
    <w:rsid w:val="5AE26C03"/>
    <w:rsid w:val="5AF01C06"/>
    <w:rsid w:val="5B2829B8"/>
    <w:rsid w:val="5B2C7EFD"/>
    <w:rsid w:val="5B5A4B3C"/>
    <w:rsid w:val="5C090A3C"/>
    <w:rsid w:val="5C631A75"/>
    <w:rsid w:val="5C9C31C1"/>
    <w:rsid w:val="5CC95B00"/>
    <w:rsid w:val="5CCA2369"/>
    <w:rsid w:val="5CD526CC"/>
    <w:rsid w:val="5CDC050F"/>
    <w:rsid w:val="5CE61B6B"/>
    <w:rsid w:val="5D450862"/>
    <w:rsid w:val="5D5501BE"/>
    <w:rsid w:val="5D6B6E06"/>
    <w:rsid w:val="5D6C32B8"/>
    <w:rsid w:val="5D8C1A3B"/>
    <w:rsid w:val="5D8F1C80"/>
    <w:rsid w:val="5D921D90"/>
    <w:rsid w:val="5DCC1AF5"/>
    <w:rsid w:val="5DCF25A2"/>
    <w:rsid w:val="5DE3706A"/>
    <w:rsid w:val="5E0429B5"/>
    <w:rsid w:val="5E1E1FC8"/>
    <w:rsid w:val="5E2A1226"/>
    <w:rsid w:val="5E317DD6"/>
    <w:rsid w:val="5E3D1E49"/>
    <w:rsid w:val="5E475A1D"/>
    <w:rsid w:val="5E504F85"/>
    <w:rsid w:val="5E9B2359"/>
    <w:rsid w:val="5EBB3B43"/>
    <w:rsid w:val="5EC72965"/>
    <w:rsid w:val="5EC81BF4"/>
    <w:rsid w:val="5ED76A99"/>
    <w:rsid w:val="5EDE3A4B"/>
    <w:rsid w:val="5F064435"/>
    <w:rsid w:val="5F120616"/>
    <w:rsid w:val="5F1A6ABC"/>
    <w:rsid w:val="5F2F12C0"/>
    <w:rsid w:val="5F645F89"/>
    <w:rsid w:val="5F700DD2"/>
    <w:rsid w:val="5F7929FD"/>
    <w:rsid w:val="5F9F342E"/>
    <w:rsid w:val="6008126F"/>
    <w:rsid w:val="602277B4"/>
    <w:rsid w:val="60504520"/>
    <w:rsid w:val="60905211"/>
    <w:rsid w:val="609A4D89"/>
    <w:rsid w:val="60B00540"/>
    <w:rsid w:val="60DD6815"/>
    <w:rsid w:val="6102237C"/>
    <w:rsid w:val="611F3077"/>
    <w:rsid w:val="61245C3D"/>
    <w:rsid w:val="61B07454"/>
    <w:rsid w:val="61B825BC"/>
    <w:rsid w:val="61C64385"/>
    <w:rsid w:val="61F47559"/>
    <w:rsid w:val="62007D8B"/>
    <w:rsid w:val="62132462"/>
    <w:rsid w:val="624C0E8E"/>
    <w:rsid w:val="62A509FF"/>
    <w:rsid w:val="62B20E8E"/>
    <w:rsid w:val="62C500E3"/>
    <w:rsid w:val="62C84A81"/>
    <w:rsid w:val="62CF719E"/>
    <w:rsid w:val="6316616F"/>
    <w:rsid w:val="63170B2B"/>
    <w:rsid w:val="633839B4"/>
    <w:rsid w:val="63784673"/>
    <w:rsid w:val="638D2974"/>
    <w:rsid w:val="6417181C"/>
    <w:rsid w:val="64385605"/>
    <w:rsid w:val="643A5879"/>
    <w:rsid w:val="646B1B68"/>
    <w:rsid w:val="646F19F0"/>
    <w:rsid w:val="64751D6C"/>
    <w:rsid w:val="647B624F"/>
    <w:rsid w:val="649D5FA6"/>
    <w:rsid w:val="64C46030"/>
    <w:rsid w:val="64C50DDA"/>
    <w:rsid w:val="64D0599C"/>
    <w:rsid w:val="64DA64C0"/>
    <w:rsid w:val="64DC06C7"/>
    <w:rsid w:val="64ED406F"/>
    <w:rsid w:val="64FF74A9"/>
    <w:rsid w:val="655D27A8"/>
    <w:rsid w:val="656B1A72"/>
    <w:rsid w:val="65B77329"/>
    <w:rsid w:val="65BD6BD7"/>
    <w:rsid w:val="65D95D54"/>
    <w:rsid w:val="65DD5B02"/>
    <w:rsid w:val="65E25E59"/>
    <w:rsid w:val="6601232A"/>
    <w:rsid w:val="66C33289"/>
    <w:rsid w:val="67096682"/>
    <w:rsid w:val="67106D88"/>
    <w:rsid w:val="6712026B"/>
    <w:rsid w:val="6743194F"/>
    <w:rsid w:val="6784366C"/>
    <w:rsid w:val="678A776F"/>
    <w:rsid w:val="67B048A5"/>
    <w:rsid w:val="67F15D5C"/>
    <w:rsid w:val="67FE0782"/>
    <w:rsid w:val="68196658"/>
    <w:rsid w:val="68344737"/>
    <w:rsid w:val="6837248C"/>
    <w:rsid w:val="683A063B"/>
    <w:rsid w:val="687D2EAB"/>
    <w:rsid w:val="68901B6C"/>
    <w:rsid w:val="689E250C"/>
    <w:rsid w:val="68FB4358"/>
    <w:rsid w:val="6908207B"/>
    <w:rsid w:val="69177A24"/>
    <w:rsid w:val="69260639"/>
    <w:rsid w:val="699A287D"/>
    <w:rsid w:val="69BD4C13"/>
    <w:rsid w:val="69C80622"/>
    <w:rsid w:val="69C86B5B"/>
    <w:rsid w:val="6A116D0D"/>
    <w:rsid w:val="6A130CD7"/>
    <w:rsid w:val="6A3D7C76"/>
    <w:rsid w:val="6A532242"/>
    <w:rsid w:val="6A6947B3"/>
    <w:rsid w:val="6A7B7095"/>
    <w:rsid w:val="6A7E68A8"/>
    <w:rsid w:val="6A932E7C"/>
    <w:rsid w:val="6A9359EA"/>
    <w:rsid w:val="6ABD6F1D"/>
    <w:rsid w:val="6ACF380B"/>
    <w:rsid w:val="6B0E066F"/>
    <w:rsid w:val="6B1747F7"/>
    <w:rsid w:val="6B2E3E21"/>
    <w:rsid w:val="6B361AC9"/>
    <w:rsid w:val="6B566699"/>
    <w:rsid w:val="6B7421BB"/>
    <w:rsid w:val="6BBE1707"/>
    <w:rsid w:val="6BCB3442"/>
    <w:rsid w:val="6BD62361"/>
    <w:rsid w:val="6BF54B38"/>
    <w:rsid w:val="6BF550B3"/>
    <w:rsid w:val="6C07719B"/>
    <w:rsid w:val="6C1664CB"/>
    <w:rsid w:val="6C1D6D9A"/>
    <w:rsid w:val="6C442980"/>
    <w:rsid w:val="6C486FA6"/>
    <w:rsid w:val="6C5F0204"/>
    <w:rsid w:val="6C767BAE"/>
    <w:rsid w:val="6C837788"/>
    <w:rsid w:val="6C9C242E"/>
    <w:rsid w:val="6CB00099"/>
    <w:rsid w:val="6CED7723"/>
    <w:rsid w:val="6CF71C06"/>
    <w:rsid w:val="6D2154B9"/>
    <w:rsid w:val="6D2C4685"/>
    <w:rsid w:val="6D321474"/>
    <w:rsid w:val="6D68298E"/>
    <w:rsid w:val="6DE26FC4"/>
    <w:rsid w:val="6DE70D91"/>
    <w:rsid w:val="6DEB41BC"/>
    <w:rsid w:val="6DFB4775"/>
    <w:rsid w:val="6E0748EF"/>
    <w:rsid w:val="6E211403"/>
    <w:rsid w:val="6E2129A1"/>
    <w:rsid w:val="6E661D1D"/>
    <w:rsid w:val="6E6E6FED"/>
    <w:rsid w:val="6E701A14"/>
    <w:rsid w:val="6EAB5982"/>
    <w:rsid w:val="6EAD2DEA"/>
    <w:rsid w:val="6EEE586F"/>
    <w:rsid w:val="6EF372AB"/>
    <w:rsid w:val="6EF868E0"/>
    <w:rsid w:val="6F1F535B"/>
    <w:rsid w:val="6F356C12"/>
    <w:rsid w:val="6F44041F"/>
    <w:rsid w:val="6F4C5F8B"/>
    <w:rsid w:val="6F4E57C6"/>
    <w:rsid w:val="6F621EF2"/>
    <w:rsid w:val="6F787F8C"/>
    <w:rsid w:val="6F7D2538"/>
    <w:rsid w:val="6FC45EB3"/>
    <w:rsid w:val="6FD26F3F"/>
    <w:rsid w:val="6FDC54B1"/>
    <w:rsid w:val="6FE91DE9"/>
    <w:rsid w:val="70027CBA"/>
    <w:rsid w:val="70033DBC"/>
    <w:rsid w:val="701233CB"/>
    <w:rsid w:val="7024268C"/>
    <w:rsid w:val="703F45D4"/>
    <w:rsid w:val="704226D6"/>
    <w:rsid w:val="706728F0"/>
    <w:rsid w:val="70992AD8"/>
    <w:rsid w:val="709B392A"/>
    <w:rsid w:val="70AF785C"/>
    <w:rsid w:val="70E91428"/>
    <w:rsid w:val="70E95364"/>
    <w:rsid w:val="70EA3BFE"/>
    <w:rsid w:val="710215FC"/>
    <w:rsid w:val="7117052A"/>
    <w:rsid w:val="711968D9"/>
    <w:rsid w:val="71671AB6"/>
    <w:rsid w:val="719942C8"/>
    <w:rsid w:val="71DC2BCC"/>
    <w:rsid w:val="71F72C8D"/>
    <w:rsid w:val="72066A07"/>
    <w:rsid w:val="72154C41"/>
    <w:rsid w:val="721E2B5F"/>
    <w:rsid w:val="724A1E64"/>
    <w:rsid w:val="724E36B4"/>
    <w:rsid w:val="72711689"/>
    <w:rsid w:val="72B16DE5"/>
    <w:rsid w:val="72C37512"/>
    <w:rsid w:val="72C44EA7"/>
    <w:rsid w:val="72E32133"/>
    <w:rsid w:val="72E50E8D"/>
    <w:rsid w:val="732E0739"/>
    <w:rsid w:val="733F2932"/>
    <w:rsid w:val="73501722"/>
    <w:rsid w:val="73587BE4"/>
    <w:rsid w:val="73755B24"/>
    <w:rsid w:val="739E35C0"/>
    <w:rsid w:val="73B51E75"/>
    <w:rsid w:val="73CA2AD1"/>
    <w:rsid w:val="73D92D70"/>
    <w:rsid w:val="73E40DAD"/>
    <w:rsid w:val="74041A55"/>
    <w:rsid w:val="740B52DF"/>
    <w:rsid w:val="74187805"/>
    <w:rsid w:val="741C6B32"/>
    <w:rsid w:val="74561EEC"/>
    <w:rsid w:val="748B71CF"/>
    <w:rsid w:val="74A52F54"/>
    <w:rsid w:val="74A63B39"/>
    <w:rsid w:val="74B129FA"/>
    <w:rsid w:val="74F67723"/>
    <w:rsid w:val="75040EF4"/>
    <w:rsid w:val="750532A6"/>
    <w:rsid w:val="75085E41"/>
    <w:rsid w:val="753D0713"/>
    <w:rsid w:val="753E3135"/>
    <w:rsid w:val="755E1F27"/>
    <w:rsid w:val="75842A89"/>
    <w:rsid w:val="759477BF"/>
    <w:rsid w:val="7605062E"/>
    <w:rsid w:val="76133609"/>
    <w:rsid w:val="76194050"/>
    <w:rsid w:val="76474DCD"/>
    <w:rsid w:val="764C7A74"/>
    <w:rsid w:val="7653001E"/>
    <w:rsid w:val="766227CA"/>
    <w:rsid w:val="766D79C1"/>
    <w:rsid w:val="76852F5D"/>
    <w:rsid w:val="76BC3B4D"/>
    <w:rsid w:val="76C258C2"/>
    <w:rsid w:val="76C34A9E"/>
    <w:rsid w:val="76E4426B"/>
    <w:rsid w:val="76F17A29"/>
    <w:rsid w:val="77220487"/>
    <w:rsid w:val="772A5E9A"/>
    <w:rsid w:val="77797EDF"/>
    <w:rsid w:val="77BB54CF"/>
    <w:rsid w:val="77F41FDA"/>
    <w:rsid w:val="784F6DF1"/>
    <w:rsid w:val="786D0F18"/>
    <w:rsid w:val="7897265F"/>
    <w:rsid w:val="789B283C"/>
    <w:rsid w:val="78A42797"/>
    <w:rsid w:val="78B449E2"/>
    <w:rsid w:val="78DB623D"/>
    <w:rsid w:val="78F32400"/>
    <w:rsid w:val="78F83F8D"/>
    <w:rsid w:val="790327D9"/>
    <w:rsid w:val="790A52F2"/>
    <w:rsid w:val="794F0BCE"/>
    <w:rsid w:val="79DE1521"/>
    <w:rsid w:val="79E35351"/>
    <w:rsid w:val="79F26CAA"/>
    <w:rsid w:val="7A175207"/>
    <w:rsid w:val="7A1A0171"/>
    <w:rsid w:val="7A1B43DE"/>
    <w:rsid w:val="7A5A7C13"/>
    <w:rsid w:val="7A934273"/>
    <w:rsid w:val="7AD56B43"/>
    <w:rsid w:val="7AEB2F31"/>
    <w:rsid w:val="7B331D1A"/>
    <w:rsid w:val="7B737828"/>
    <w:rsid w:val="7BA448FC"/>
    <w:rsid w:val="7BBD0AA3"/>
    <w:rsid w:val="7BE55007"/>
    <w:rsid w:val="7BEC3136"/>
    <w:rsid w:val="7BF15DF6"/>
    <w:rsid w:val="7C175D41"/>
    <w:rsid w:val="7C2D2698"/>
    <w:rsid w:val="7C7622DD"/>
    <w:rsid w:val="7C776EA4"/>
    <w:rsid w:val="7C9C67B2"/>
    <w:rsid w:val="7CBF4067"/>
    <w:rsid w:val="7CCB60C1"/>
    <w:rsid w:val="7CD25AD9"/>
    <w:rsid w:val="7CD662C0"/>
    <w:rsid w:val="7D1B3CD3"/>
    <w:rsid w:val="7D1F0177"/>
    <w:rsid w:val="7D274928"/>
    <w:rsid w:val="7D2C652F"/>
    <w:rsid w:val="7D6E50DA"/>
    <w:rsid w:val="7D805566"/>
    <w:rsid w:val="7DA43CC8"/>
    <w:rsid w:val="7DE04420"/>
    <w:rsid w:val="7DF132DE"/>
    <w:rsid w:val="7DF2563A"/>
    <w:rsid w:val="7E0427CB"/>
    <w:rsid w:val="7E043DA8"/>
    <w:rsid w:val="7E1F6DD3"/>
    <w:rsid w:val="7E4360C9"/>
    <w:rsid w:val="7E5C45A3"/>
    <w:rsid w:val="7E9B4B97"/>
    <w:rsid w:val="7ECB2BAC"/>
    <w:rsid w:val="7EFB3DBC"/>
    <w:rsid w:val="7F3E404B"/>
    <w:rsid w:val="7F7F231A"/>
    <w:rsid w:val="7FA77AA0"/>
    <w:rsid w:val="7FBD72C3"/>
    <w:rsid w:val="7FC44AF6"/>
    <w:rsid w:val="7FDB599C"/>
    <w:rsid w:val="7FFF5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6"/>
    <w:pPr>
      <w:keepNext/>
      <w:keepLines/>
      <w:spacing w:before="340" w:after="330" w:line="578" w:lineRule="auto"/>
      <w:outlineLvl w:val="0"/>
    </w:pPr>
    <w:rPr>
      <w:b/>
      <w:bCs/>
      <w:kern w:val="44"/>
      <w:sz w:val="44"/>
      <w:szCs w:val="44"/>
    </w:rPr>
  </w:style>
  <w:style w:type="paragraph" w:styleId="2">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52"/>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53"/>
    <w:qFormat/>
    <w:uiPriority w:val="0"/>
    <w:pPr>
      <w:keepNext/>
      <w:keepLines/>
      <w:spacing w:before="120" w:after="120" w:line="319" w:lineRule="auto"/>
      <w:outlineLvl w:val="5"/>
    </w:pPr>
    <w:rPr>
      <w:rFonts w:ascii="Calibri Light" w:hAnsi="Calibri Light" w:eastAsia="黑体"/>
      <w:b/>
      <w:bCs/>
      <w:sz w:val="24"/>
    </w:rPr>
  </w:style>
  <w:style w:type="character" w:default="1" w:styleId="41">
    <w:name w:val="Default Paragraph Font"/>
    <w:semiHidden/>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8">
    <w:name w:val="toc 7"/>
    <w:basedOn w:val="1"/>
    <w:next w:val="1"/>
    <w:semiHidden/>
    <w:qFormat/>
    <w:uiPriority w:val="0"/>
    <w:pPr>
      <w:ind w:left="1260"/>
      <w:jc w:val="left"/>
    </w:pPr>
    <w:rPr>
      <w:sz w:val="18"/>
      <w:szCs w:val="18"/>
    </w:rPr>
  </w:style>
  <w:style w:type="paragraph" w:styleId="9">
    <w:name w:val="table of authorities"/>
    <w:basedOn w:val="1"/>
    <w:next w:val="1"/>
    <w:unhideWhenUsed/>
    <w:qFormat/>
    <w:uiPriority w:val="99"/>
    <w:pPr>
      <w:ind w:left="420" w:leftChars="200"/>
    </w:pPr>
    <w:rPr>
      <w:rFonts w:ascii="等线" w:hAnsi="等线" w:eastAsia="等线"/>
      <w:szCs w:val="21"/>
    </w:rPr>
  </w:style>
  <w:style w:type="paragraph" w:styleId="10">
    <w:name w:val="Normal Indent"/>
    <w:basedOn w:val="1"/>
    <w:next w:val="1"/>
    <w:qFormat/>
    <w:uiPriority w:val="0"/>
    <w:pPr>
      <w:widowControl w:val="0"/>
      <w:adjustRightInd w:val="0"/>
      <w:spacing w:line="312" w:lineRule="atLeast"/>
      <w:ind w:firstLine="420"/>
      <w:jc w:val="both"/>
      <w:textAlignment w:val="baseline"/>
    </w:pPr>
    <w:rPr>
      <w:sz w:val="21"/>
      <w:lang w:val="en-US" w:eastAsia="zh-CN" w:bidi="ar-SA"/>
    </w:rPr>
  </w:style>
  <w:style w:type="paragraph" w:styleId="11">
    <w:name w:val="Document Map"/>
    <w:basedOn w:val="1"/>
    <w:semiHidden/>
    <w:qFormat/>
    <w:uiPriority w:val="0"/>
    <w:pPr>
      <w:shd w:val="clear" w:color="auto" w:fill="000080"/>
    </w:pPr>
  </w:style>
  <w:style w:type="paragraph" w:styleId="12">
    <w:name w:val="annotation text"/>
    <w:basedOn w:val="1"/>
    <w:link w:val="54"/>
    <w:qFormat/>
    <w:uiPriority w:val="0"/>
    <w:pPr>
      <w:jc w:val="left"/>
    </w:pPr>
  </w:style>
  <w:style w:type="paragraph" w:styleId="13">
    <w:name w:val="Body Text"/>
    <w:basedOn w:val="1"/>
    <w:next w:val="14"/>
    <w:link w:val="47"/>
    <w:qFormat/>
    <w:uiPriority w:val="0"/>
    <w:pPr>
      <w:spacing w:after="120"/>
    </w:pPr>
  </w:style>
  <w:style w:type="paragraph" w:customStyle="1" w:styleId="1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Body Text Indent"/>
    <w:basedOn w:val="1"/>
    <w:next w:val="1"/>
    <w:link w:val="55"/>
    <w:qFormat/>
    <w:uiPriority w:val="6"/>
    <w:pPr>
      <w:spacing w:after="120"/>
      <w:ind w:left="420" w:leftChars="200"/>
    </w:pPr>
  </w:style>
  <w:style w:type="paragraph" w:styleId="16">
    <w:name w:val="Block Text"/>
    <w:basedOn w:val="1"/>
    <w:next w:val="5"/>
    <w:qFormat/>
    <w:uiPriority w:val="0"/>
    <w:pPr>
      <w:widowControl w:val="0"/>
      <w:adjustRightInd w:val="0"/>
      <w:spacing w:line="300" w:lineRule="auto"/>
      <w:ind w:left="958" w:rightChars="-120"/>
      <w:jc w:val="left"/>
    </w:pPr>
    <w:rPr>
      <w:rFonts w:ascii="宋体" w:hAnsi="宋体" w:eastAsia="宋体" w:cs="Times New Roman"/>
      <w:kern w:val="2"/>
      <w:sz w:val="28"/>
      <w:lang w:val="en-US" w:eastAsia="zh-CN" w:bidi="ar-SA"/>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qFormat/>
    <w:uiPriority w:val="39"/>
    <w:pPr>
      <w:ind w:left="420"/>
      <w:jc w:val="left"/>
    </w:pPr>
    <w:rPr>
      <w:i/>
      <w:iCs/>
      <w:sz w:val="20"/>
      <w:szCs w:val="20"/>
    </w:rPr>
  </w:style>
  <w:style w:type="paragraph" w:styleId="19">
    <w:name w:val="Plain Text"/>
    <w:basedOn w:val="1"/>
    <w:next w:val="20"/>
    <w:link w:val="5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2"/>
    <w:basedOn w:val="1"/>
    <w:next w:val="1"/>
    <w:qFormat/>
    <w:uiPriority w:val="39"/>
    <w:pPr>
      <w:ind w:left="210"/>
      <w:jc w:val="left"/>
    </w:pPr>
    <w:rPr>
      <w:smallCaps/>
      <w:sz w:val="20"/>
      <w:szCs w:val="20"/>
    </w:rPr>
  </w:style>
  <w:style w:type="paragraph" w:styleId="21">
    <w:name w:val="toc 8"/>
    <w:basedOn w:val="1"/>
    <w:next w:val="1"/>
    <w:semiHidden/>
    <w:qFormat/>
    <w:uiPriority w:val="0"/>
    <w:pPr>
      <w:ind w:left="1470"/>
      <w:jc w:val="left"/>
    </w:pPr>
    <w:rPr>
      <w:sz w:val="18"/>
      <w:szCs w:val="18"/>
    </w:rPr>
  </w:style>
  <w:style w:type="paragraph" w:styleId="22">
    <w:name w:val="Date"/>
    <w:basedOn w:val="1"/>
    <w:next w:val="1"/>
    <w:link w:val="57"/>
    <w:qFormat/>
    <w:uiPriority w:val="7"/>
    <w:rPr>
      <w:color w:val="000000"/>
      <w:kern w:val="1"/>
      <w:sz w:val="30"/>
      <w:szCs w:val="20"/>
    </w:rPr>
  </w:style>
  <w:style w:type="paragraph" w:styleId="23">
    <w:name w:val="Body Text Indent 2"/>
    <w:basedOn w:val="1"/>
    <w:link w:val="58"/>
    <w:qFormat/>
    <w:uiPriority w:val="6"/>
    <w:pPr>
      <w:spacing w:after="120" w:line="480" w:lineRule="auto"/>
      <w:ind w:left="420" w:leftChars="200"/>
    </w:pPr>
  </w:style>
  <w:style w:type="paragraph" w:styleId="24">
    <w:name w:val="Balloon Text"/>
    <w:basedOn w:val="1"/>
    <w:link w:val="59"/>
    <w:qFormat/>
    <w:uiPriority w:val="6"/>
    <w:rPr>
      <w:sz w:val="18"/>
      <w:szCs w:val="18"/>
    </w:rPr>
  </w:style>
  <w:style w:type="paragraph" w:styleId="25">
    <w:name w:val="footer"/>
    <w:basedOn w:val="1"/>
    <w:link w:val="60"/>
    <w:qFormat/>
    <w:uiPriority w:val="6"/>
    <w:pPr>
      <w:tabs>
        <w:tab w:val="center" w:pos="4153"/>
        <w:tab w:val="right" w:pos="8306"/>
      </w:tabs>
      <w:snapToGrid w:val="0"/>
      <w:jc w:val="left"/>
    </w:pPr>
    <w:rPr>
      <w:sz w:val="18"/>
      <w:szCs w:val="18"/>
    </w:rPr>
  </w:style>
  <w:style w:type="paragraph" w:styleId="26">
    <w:name w:val="header"/>
    <w:basedOn w:val="1"/>
    <w:link w:val="61"/>
    <w:qFormat/>
    <w:uiPriority w:val="2"/>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99"/>
    <w:pPr>
      <w:ind w:left="200" w:hanging="200" w:hangingChars="200"/>
    </w:pPr>
  </w:style>
  <w:style w:type="paragraph" w:styleId="30">
    <w:name w:val="toc 6"/>
    <w:basedOn w:val="1"/>
    <w:next w:val="1"/>
    <w:semiHidden/>
    <w:qFormat/>
    <w:uiPriority w:val="0"/>
    <w:pPr>
      <w:ind w:left="1050"/>
      <w:jc w:val="left"/>
    </w:pPr>
    <w:rPr>
      <w:sz w:val="18"/>
      <w:szCs w:val="18"/>
    </w:rPr>
  </w:style>
  <w:style w:type="paragraph" w:styleId="31">
    <w:name w:val="Body Text Indent 3"/>
    <w:basedOn w:val="1"/>
    <w:link w:val="62"/>
    <w:qFormat/>
    <w:uiPriority w:val="6"/>
    <w:pPr>
      <w:spacing w:after="120"/>
      <w:ind w:left="420" w:leftChars="200"/>
    </w:pPr>
    <w:rPr>
      <w:sz w:val="16"/>
      <w:szCs w:val="16"/>
    </w:rPr>
  </w:style>
  <w:style w:type="paragraph" w:styleId="32">
    <w:name w:val="toc 9"/>
    <w:basedOn w:val="1"/>
    <w:next w:val="1"/>
    <w:semiHidden/>
    <w:qFormat/>
    <w:uiPriority w:val="0"/>
    <w:pPr>
      <w:ind w:left="1680"/>
      <w:jc w:val="left"/>
    </w:pPr>
    <w:rPr>
      <w:sz w:val="18"/>
      <w:szCs w:val="18"/>
    </w:r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link w:val="63"/>
    <w:qFormat/>
    <w:uiPriority w:val="0"/>
    <w:pPr>
      <w:spacing w:before="240" w:after="60"/>
      <w:jc w:val="center"/>
      <w:outlineLvl w:val="0"/>
    </w:pPr>
    <w:rPr>
      <w:rFonts w:ascii="Cambria" w:hAnsi="Cambria"/>
      <w:b/>
      <w:bCs/>
      <w:sz w:val="32"/>
      <w:szCs w:val="32"/>
    </w:rPr>
  </w:style>
  <w:style w:type="paragraph" w:styleId="36">
    <w:name w:val="annotation subject"/>
    <w:basedOn w:val="12"/>
    <w:next w:val="12"/>
    <w:link w:val="64"/>
    <w:qFormat/>
    <w:uiPriority w:val="0"/>
    <w:rPr>
      <w:b/>
      <w:bCs/>
    </w:rPr>
  </w:style>
  <w:style w:type="paragraph" w:styleId="37">
    <w:name w:val="Body Text First Indent"/>
    <w:basedOn w:val="13"/>
    <w:qFormat/>
    <w:uiPriority w:val="0"/>
    <w:pPr>
      <w:autoSpaceDE/>
      <w:autoSpaceDN/>
      <w:adjustRightInd/>
      <w:ind w:firstLine="420"/>
      <w:jc w:val="both"/>
    </w:pPr>
    <w:rPr>
      <w:rFonts w:ascii="Times New Roman"/>
      <w:kern w:val="2"/>
      <w:sz w:val="21"/>
      <w:szCs w:val="24"/>
    </w:rPr>
  </w:style>
  <w:style w:type="paragraph" w:styleId="38">
    <w:name w:val="Body Text First Indent 2"/>
    <w:basedOn w:val="15"/>
    <w:next w:val="1"/>
    <w:qFormat/>
    <w:uiPriority w:val="0"/>
    <w:pPr>
      <w:spacing w:after="120"/>
      <w:ind w:left="420" w:leftChars="200" w:firstLine="420"/>
    </w:pPr>
    <w:rPr>
      <w:rFonts w:cs="宋体"/>
      <w:sz w:val="21"/>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7"/>
    <w:rPr>
      <w:b/>
    </w:rPr>
  </w:style>
  <w:style w:type="character" w:styleId="43">
    <w:name w:val="page number"/>
    <w:qFormat/>
    <w:uiPriority w:val="6"/>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正文文本首行缩进1"/>
    <w:basedOn w:val="13"/>
    <w:qFormat/>
    <w:uiPriority w:val="0"/>
    <w:pPr>
      <w:ind w:firstLine="420" w:firstLineChars="100"/>
    </w:pPr>
    <w:rPr>
      <w:szCs w:val="21"/>
    </w:rPr>
  </w:style>
  <w:style w:type="character" w:customStyle="1" w:styleId="47">
    <w:name w:val="正文文本 字符"/>
    <w:link w:val="13"/>
    <w:qFormat/>
    <w:uiPriority w:val="0"/>
    <w:rPr>
      <w:kern w:val="2"/>
      <w:sz w:val="21"/>
      <w:szCs w:val="24"/>
    </w:rPr>
  </w:style>
  <w:style w:type="character" w:customStyle="1" w:styleId="48">
    <w:name w:val="标题 1 字符"/>
    <w:link w:val="3"/>
    <w:qFormat/>
    <w:uiPriority w:val="6"/>
    <w:rPr>
      <w:b/>
      <w:bCs/>
      <w:kern w:val="44"/>
      <w:sz w:val="44"/>
      <w:szCs w:val="44"/>
    </w:rPr>
  </w:style>
  <w:style w:type="character" w:customStyle="1" w:styleId="49">
    <w:name w:val="标题 2 字符"/>
    <w:link w:val="2"/>
    <w:qFormat/>
    <w:uiPriority w:val="9"/>
    <w:rPr>
      <w:rFonts w:ascii="Arial" w:hAnsi="Arial" w:eastAsia="黑体"/>
      <w:b/>
      <w:bCs/>
      <w:kern w:val="2"/>
      <w:sz w:val="32"/>
      <w:szCs w:val="32"/>
    </w:rPr>
  </w:style>
  <w:style w:type="character" w:customStyle="1" w:styleId="50">
    <w:name w:val="标题 3 字符"/>
    <w:link w:val="4"/>
    <w:qFormat/>
    <w:uiPriority w:val="0"/>
    <w:rPr>
      <w:b/>
      <w:bCs/>
      <w:kern w:val="2"/>
      <w:sz w:val="32"/>
      <w:szCs w:val="32"/>
    </w:rPr>
  </w:style>
  <w:style w:type="character" w:customStyle="1" w:styleId="51">
    <w:name w:val="标题 4 字符"/>
    <w:link w:val="5"/>
    <w:qFormat/>
    <w:uiPriority w:val="0"/>
    <w:rPr>
      <w:rFonts w:ascii="Calibri Light" w:hAnsi="Calibri Light"/>
      <w:b/>
      <w:bCs/>
      <w:kern w:val="2"/>
      <w:sz w:val="24"/>
      <w:szCs w:val="28"/>
    </w:rPr>
  </w:style>
  <w:style w:type="character" w:customStyle="1" w:styleId="52">
    <w:name w:val="标题 5 字符"/>
    <w:link w:val="6"/>
    <w:qFormat/>
    <w:uiPriority w:val="0"/>
    <w:rPr>
      <w:b/>
      <w:bCs/>
      <w:color w:val="000000"/>
      <w:sz w:val="28"/>
      <w:szCs w:val="28"/>
    </w:rPr>
  </w:style>
  <w:style w:type="character" w:customStyle="1" w:styleId="53">
    <w:name w:val="标题 6 字符"/>
    <w:link w:val="7"/>
    <w:qFormat/>
    <w:uiPriority w:val="0"/>
    <w:rPr>
      <w:rFonts w:ascii="Calibri Light" w:hAnsi="Calibri Light" w:eastAsia="黑体"/>
      <w:b/>
      <w:bCs/>
      <w:kern w:val="2"/>
      <w:sz w:val="24"/>
      <w:szCs w:val="24"/>
    </w:rPr>
  </w:style>
  <w:style w:type="character" w:customStyle="1" w:styleId="54">
    <w:name w:val="批注文字 字符"/>
    <w:link w:val="12"/>
    <w:qFormat/>
    <w:uiPriority w:val="0"/>
    <w:rPr>
      <w:kern w:val="2"/>
      <w:sz w:val="21"/>
      <w:szCs w:val="24"/>
    </w:rPr>
  </w:style>
  <w:style w:type="character" w:customStyle="1" w:styleId="55">
    <w:name w:val="正文文本缩进 字符"/>
    <w:link w:val="15"/>
    <w:qFormat/>
    <w:uiPriority w:val="6"/>
    <w:rPr>
      <w:kern w:val="2"/>
      <w:sz w:val="21"/>
      <w:szCs w:val="24"/>
    </w:rPr>
  </w:style>
  <w:style w:type="character" w:customStyle="1" w:styleId="56">
    <w:name w:val="纯文本 字符"/>
    <w:link w:val="19"/>
    <w:qFormat/>
    <w:uiPriority w:val="0"/>
    <w:rPr>
      <w:rFonts w:ascii="宋体" w:hAnsi="Courier New" w:eastAsia="宋体"/>
      <w:sz w:val="21"/>
      <w:szCs w:val="21"/>
      <w:lang w:val="en-US" w:eastAsia="zh-CN" w:bidi="ar-SA"/>
    </w:rPr>
  </w:style>
  <w:style w:type="character" w:customStyle="1" w:styleId="57">
    <w:name w:val="日期 字符"/>
    <w:link w:val="22"/>
    <w:qFormat/>
    <w:uiPriority w:val="7"/>
    <w:rPr>
      <w:color w:val="000000"/>
      <w:kern w:val="1"/>
      <w:sz w:val="30"/>
    </w:rPr>
  </w:style>
  <w:style w:type="character" w:customStyle="1" w:styleId="58">
    <w:name w:val="正文文本缩进 2 字符"/>
    <w:link w:val="23"/>
    <w:qFormat/>
    <w:uiPriority w:val="6"/>
    <w:rPr>
      <w:kern w:val="2"/>
      <w:sz w:val="21"/>
      <w:szCs w:val="24"/>
    </w:rPr>
  </w:style>
  <w:style w:type="character" w:customStyle="1" w:styleId="59">
    <w:name w:val="批注框文本 字符"/>
    <w:link w:val="24"/>
    <w:qFormat/>
    <w:uiPriority w:val="6"/>
    <w:rPr>
      <w:kern w:val="2"/>
      <w:sz w:val="18"/>
      <w:szCs w:val="18"/>
    </w:rPr>
  </w:style>
  <w:style w:type="character" w:customStyle="1" w:styleId="60">
    <w:name w:val="页脚 字符"/>
    <w:link w:val="25"/>
    <w:qFormat/>
    <w:uiPriority w:val="6"/>
    <w:rPr>
      <w:kern w:val="2"/>
      <w:sz w:val="18"/>
      <w:szCs w:val="18"/>
    </w:rPr>
  </w:style>
  <w:style w:type="character" w:customStyle="1" w:styleId="61">
    <w:name w:val="页眉 字符"/>
    <w:link w:val="26"/>
    <w:qFormat/>
    <w:uiPriority w:val="2"/>
    <w:rPr>
      <w:kern w:val="2"/>
      <w:sz w:val="18"/>
      <w:szCs w:val="18"/>
    </w:rPr>
  </w:style>
  <w:style w:type="character" w:customStyle="1" w:styleId="62">
    <w:name w:val="正文文本缩进 3 字符"/>
    <w:link w:val="31"/>
    <w:qFormat/>
    <w:uiPriority w:val="6"/>
    <w:rPr>
      <w:kern w:val="2"/>
      <w:sz w:val="16"/>
      <w:szCs w:val="16"/>
    </w:rPr>
  </w:style>
  <w:style w:type="character" w:customStyle="1" w:styleId="63">
    <w:name w:val="标题 字符"/>
    <w:link w:val="35"/>
    <w:qFormat/>
    <w:uiPriority w:val="0"/>
    <w:rPr>
      <w:rFonts w:ascii="Cambria" w:hAnsi="Cambria" w:eastAsia="宋体"/>
      <w:b/>
      <w:bCs/>
      <w:kern w:val="2"/>
      <w:sz w:val="32"/>
      <w:szCs w:val="32"/>
      <w:lang w:val="en-US" w:eastAsia="zh-CN" w:bidi="ar-SA"/>
    </w:rPr>
  </w:style>
  <w:style w:type="character" w:customStyle="1" w:styleId="64">
    <w:name w:val="批注主题 字符"/>
    <w:link w:val="36"/>
    <w:qFormat/>
    <w:uiPriority w:val="0"/>
    <w:rPr>
      <w:b/>
      <w:bCs/>
      <w:kern w:val="2"/>
      <w:sz w:val="21"/>
      <w:szCs w:val="24"/>
    </w:rPr>
  </w:style>
  <w:style w:type="paragraph" w:customStyle="1" w:styleId="65">
    <w:name w:val="Normal Indent"/>
    <w:basedOn w:val="1"/>
    <w:qFormat/>
    <w:uiPriority w:val="0"/>
    <w:pPr>
      <w:widowControl/>
      <w:ind w:firstLine="420"/>
      <w:jc w:val="left"/>
    </w:pPr>
    <w:rPr>
      <w:rFonts w:ascii="Times New Roman" w:hAnsi="Times New Roman"/>
      <w:kern w:val="0"/>
      <w:szCs w:val="20"/>
    </w:rPr>
  </w:style>
  <w:style w:type="paragraph" w:customStyle="1" w:styleId="66">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character" w:customStyle="1" w:styleId="67">
    <w:name w:val="font121"/>
    <w:qFormat/>
    <w:uiPriority w:val="0"/>
    <w:rPr>
      <w:rFonts w:ascii="Symbol" w:hAnsi="Symbol" w:cs="Symbol"/>
      <w:color w:val="000000"/>
      <w:sz w:val="20"/>
      <w:szCs w:val="20"/>
      <w:u w:val="none"/>
    </w:rPr>
  </w:style>
  <w:style w:type="character" w:customStyle="1" w:styleId="68">
    <w:name w:val="textfont"/>
    <w:qFormat/>
    <w:uiPriority w:val="0"/>
  </w:style>
  <w:style w:type="character" w:customStyle="1" w:styleId="69">
    <w:name w:val="_Style 68"/>
    <w:unhideWhenUsed/>
    <w:qFormat/>
    <w:uiPriority w:val="99"/>
    <w:rPr>
      <w:color w:val="605E5C"/>
      <w:shd w:val="clear" w:color="auto" w:fill="E1DFDD"/>
    </w:rPr>
  </w:style>
  <w:style w:type="character" w:customStyle="1" w:styleId="70">
    <w:name w:val="页眉 Char1"/>
    <w:qFormat/>
    <w:uiPriority w:val="6"/>
    <w:rPr>
      <w:rFonts w:ascii="Times New Roman" w:hAnsi="Times New Roman" w:eastAsia="宋体" w:cs="Times New Roman"/>
      <w:color w:val="000000"/>
      <w:kern w:val="1"/>
      <w:sz w:val="18"/>
      <w:szCs w:val="18"/>
      <w:lang w:val="zh-CN"/>
    </w:rPr>
  </w:style>
  <w:style w:type="character" w:customStyle="1" w:styleId="71">
    <w:name w:val="font31"/>
    <w:qFormat/>
    <w:uiPriority w:val="0"/>
    <w:rPr>
      <w:rFonts w:ascii="Calibri" w:hAnsi="Calibri" w:cs="Calibri"/>
      <w:color w:val="000000"/>
      <w:sz w:val="20"/>
      <w:szCs w:val="20"/>
      <w:u w:val="none"/>
    </w:rPr>
  </w:style>
  <w:style w:type="character" w:customStyle="1" w:styleId="72">
    <w:name w:val="日期 Char1"/>
    <w:qFormat/>
    <w:uiPriority w:val="0"/>
    <w:rPr>
      <w:kern w:val="2"/>
      <w:sz w:val="21"/>
      <w:szCs w:val="24"/>
    </w:rPr>
  </w:style>
  <w:style w:type="character" w:customStyle="1" w:styleId="73">
    <w:name w:val="标准正文格式 Char"/>
    <w:link w:val="74"/>
    <w:qFormat/>
    <w:uiPriority w:val="0"/>
    <w:rPr>
      <w:rFonts w:ascii="宋体" w:eastAsia="仿宋_GB2312" w:cs="宋体"/>
      <w:color w:val="000000"/>
      <w:sz w:val="24"/>
      <w:lang w:val="en-US" w:eastAsia="zh-CN" w:bidi="ar-SA"/>
    </w:rPr>
  </w:style>
  <w:style w:type="paragraph" w:customStyle="1" w:styleId="74">
    <w:name w:val="标准正文格式"/>
    <w:basedOn w:val="1"/>
    <w:link w:val="73"/>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75">
    <w:name w:val="_Style 74"/>
    <w:qFormat/>
    <w:uiPriority w:val="32"/>
    <w:rPr>
      <w:b/>
      <w:bCs/>
      <w:smallCaps/>
      <w:color w:val="C0504D"/>
      <w:spacing w:val="5"/>
      <w:u w:val="single"/>
    </w:rPr>
  </w:style>
  <w:style w:type="character" w:customStyle="1" w:styleId="76">
    <w:name w:val="列出段落 字符"/>
    <w:link w:val="77"/>
    <w:qFormat/>
    <w:uiPriority w:val="34"/>
    <w:rPr>
      <w:kern w:val="2"/>
      <w:sz w:val="21"/>
    </w:rPr>
  </w:style>
  <w:style w:type="paragraph" w:customStyle="1" w:styleId="77">
    <w:name w:val="列出段落1"/>
    <w:basedOn w:val="1"/>
    <w:link w:val="76"/>
    <w:qFormat/>
    <w:uiPriority w:val="34"/>
    <w:pPr>
      <w:ind w:firstLine="420" w:firstLineChars="200"/>
    </w:pPr>
    <w:rPr>
      <w:szCs w:val="20"/>
    </w:rPr>
  </w:style>
  <w:style w:type="character" w:customStyle="1" w:styleId="78">
    <w:name w:val="font41"/>
    <w:qFormat/>
    <w:uiPriority w:val="0"/>
    <w:rPr>
      <w:rFonts w:hint="eastAsia" w:ascii="宋体" w:hAnsi="宋体" w:eastAsia="宋体" w:cs="宋体"/>
      <w:b/>
      <w:color w:val="000000"/>
      <w:sz w:val="28"/>
      <w:szCs w:val="28"/>
      <w:u w:val="none"/>
    </w:rPr>
  </w:style>
  <w:style w:type="character" w:customStyle="1" w:styleId="79">
    <w:name w:val="纯文本 Char1"/>
    <w:qFormat/>
    <w:uiPriority w:val="0"/>
    <w:rPr>
      <w:rFonts w:ascii="宋体" w:hAnsi="Courier New" w:eastAsia="宋体"/>
      <w:sz w:val="21"/>
      <w:szCs w:val="21"/>
      <w:lang w:val="en-US" w:eastAsia="zh-CN" w:bidi="ar-SA"/>
    </w:rPr>
  </w:style>
  <w:style w:type="character" w:customStyle="1" w:styleId="80">
    <w:name w:val="正文文本 Char"/>
    <w:qFormat/>
    <w:uiPriority w:val="0"/>
    <w:rPr>
      <w:kern w:val="2"/>
      <w:sz w:val="21"/>
      <w:szCs w:val="24"/>
    </w:rPr>
  </w:style>
  <w:style w:type="character" w:customStyle="1" w:styleId="81">
    <w:name w:val="aa1"/>
    <w:qFormat/>
    <w:uiPriority w:val="0"/>
    <w:rPr>
      <w:rFonts w:hint="default" w:ascii="_x000B__x000C_" w:hAnsi="_x000B__x000C_"/>
      <w:color w:val="000000"/>
      <w:sz w:val="20"/>
      <w:szCs w:val="20"/>
      <w:u w:val="none"/>
    </w:rPr>
  </w:style>
  <w:style w:type="character" w:customStyle="1" w:styleId="82">
    <w:name w:val="font101"/>
    <w:qFormat/>
    <w:uiPriority w:val="0"/>
    <w:rPr>
      <w:rFonts w:hint="eastAsia" w:ascii="宋体" w:hAnsi="宋体" w:eastAsia="宋体" w:cs="宋体"/>
      <w:color w:val="000000"/>
      <w:sz w:val="20"/>
      <w:szCs w:val="20"/>
      <w:u w:val="none"/>
    </w:rPr>
  </w:style>
  <w:style w:type="character" w:customStyle="1" w:styleId="83">
    <w:name w:val="无间隔 Char"/>
    <w:link w:val="84"/>
    <w:qFormat/>
    <w:locked/>
    <w:uiPriority w:val="0"/>
    <w:rPr>
      <w:sz w:val="24"/>
      <w:lang w:val="en-US" w:eastAsia="zh-CN" w:bidi="ar-SA"/>
    </w:rPr>
  </w:style>
  <w:style w:type="paragraph" w:customStyle="1" w:styleId="84">
    <w:name w:val="无间隔1"/>
    <w:link w:val="83"/>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85">
    <w:name w:val="font51"/>
    <w:qFormat/>
    <w:uiPriority w:val="0"/>
    <w:rPr>
      <w:rFonts w:hint="eastAsia" w:ascii="宋体" w:hAnsi="宋体" w:eastAsia="宋体" w:cs="宋体"/>
      <w:color w:val="000000"/>
      <w:sz w:val="18"/>
      <w:szCs w:val="18"/>
      <w:u w:val="none"/>
    </w:rPr>
  </w:style>
  <w:style w:type="character" w:customStyle="1" w:styleId="86">
    <w:name w:val="纯文本 Char"/>
    <w:qFormat/>
    <w:uiPriority w:val="0"/>
    <w:rPr>
      <w:rFonts w:ascii="宋体" w:hAnsi="Courier New" w:eastAsia="宋体"/>
      <w:sz w:val="21"/>
      <w:szCs w:val="21"/>
      <w:lang w:val="en-US" w:eastAsia="zh-CN" w:bidi="ar-SA"/>
    </w:rPr>
  </w:style>
  <w:style w:type="character" w:customStyle="1" w:styleId="87">
    <w:name w:val="标题2"/>
    <w:qFormat/>
    <w:uiPriority w:val="0"/>
    <w:rPr>
      <w:rFonts w:ascii="微软雅黑" w:hAnsi="微软雅黑" w:eastAsia="微软雅黑"/>
      <w:b/>
      <w:bCs/>
      <w:color w:val="0D0D0D"/>
      <w:sz w:val="24"/>
    </w:rPr>
  </w:style>
  <w:style w:type="character" w:customStyle="1" w:styleId="88">
    <w:name w:val="font21"/>
    <w:qFormat/>
    <w:uiPriority w:val="0"/>
    <w:rPr>
      <w:rFonts w:hint="eastAsia" w:ascii="宋体" w:hAnsi="宋体" w:eastAsia="宋体" w:cs="宋体"/>
      <w:color w:val="000000"/>
      <w:sz w:val="18"/>
      <w:szCs w:val="18"/>
      <w:u w:val="none"/>
    </w:rPr>
  </w:style>
  <w:style w:type="character" w:customStyle="1" w:styleId="89">
    <w:name w:val="标题 2 Char"/>
    <w:qFormat/>
    <w:locked/>
    <w:uiPriority w:val="9"/>
    <w:rPr>
      <w:rFonts w:ascii="Arial" w:hAnsi="Arial" w:eastAsia="黑体"/>
      <w:b/>
      <w:bCs/>
      <w:kern w:val="2"/>
      <w:sz w:val="32"/>
      <w:szCs w:val="32"/>
      <w:lang w:val="en-US" w:eastAsia="zh-CN" w:bidi="ar-SA"/>
    </w:rPr>
  </w:style>
  <w:style w:type="character" w:customStyle="1" w:styleId="90">
    <w:name w:val="font81"/>
    <w:qFormat/>
    <w:uiPriority w:val="0"/>
    <w:rPr>
      <w:rFonts w:ascii="Arial" w:hAnsi="Arial" w:cs="Arial"/>
      <w:color w:val="000000"/>
      <w:sz w:val="20"/>
      <w:szCs w:val="20"/>
      <w:u w:val="none"/>
    </w:rPr>
  </w:style>
  <w:style w:type="character" w:customStyle="1" w:styleId="91">
    <w:name w:val="title-text"/>
    <w:qFormat/>
    <w:uiPriority w:val="0"/>
  </w:style>
  <w:style w:type="character" w:customStyle="1" w:styleId="92">
    <w:name w:val=" Char Char"/>
    <w:qFormat/>
    <w:uiPriority w:val="0"/>
    <w:rPr>
      <w:rFonts w:ascii="宋体" w:hAnsi="Courier New" w:eastAsia="宋体"/>
      <w:sz w:val="21"/>
      <w:szCs w:val="21"/>
      <w:lang w:val="en-US" w:eastAsia="zh-CN" w:bidi="ar-SA"/>
    </w:rPr>
  </w:style>
  <w:style w:type="character" w:customStyle="1" w:styleId="93">
    <w:name w:val=" Char Char Char"/>
    <w:qFormat/>
    <w:uiPriority w:val="0"/>
    <w:rPr>
      <w:rFonts w:ascii="宋体" w:hAnsi="Courier New" w:eastAsia="宋体"/>
      <w:sz w:val="21"/>
      <w:lang w:val="en-US" w:eastAsia="zh-CN"/>
    </w:rPr>
  </w:style>
  <w:style w:type="character" w:customStyle="1" w:styleId="94">
    <w:name w:val="bt11"/>
    <w:qFormat/>
    <w:uiPriority w:val="3"/>
    <w:rPr>
      <w:rFonts w:eastAsia="仿宋_GB2312"/>
      <w:b/>
      <w:color w:val="000000"/>
      <w:sz w:val="30"/>
      <w:szCs w:val="20"/>
      <w:u w:val="none"/>
    </w:rPr>
  </w:style>
  <w:style w:type="character" w:customStyle="1" w:styleId="95">
    <w:name w:val="NormalCharacter"/>
    <w:qFormat/>
    <w:uiPriority w:val="0"/>
    <w:rPr>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12"/>
      <w:szCs w:val="12"/>
      <w:u w:val="none"/>
    </w:rPr>
  </w:style>
  <w:style w:type="character" w:customStyle="1" w:styleId="97">
    <w:name w:val="表格文字 Char Char"/>
    <w:link w:val="98"/>
    <w:qFormat/>
    <w:uiPriority w:val="0"/>
    <w:rPr>
      <w:kern w:val="21"/>
      <w:sz w:val="21"/>
      <w:szCs w:val="21"/>
    </w:rPr>
  </w:style>
  <w:style w:type="paragraph" w:customStyle="1" w:styleId="98">
    <w:name w:val="表格文字"/>
    <w:basedOn w:val="99"/>
    <w:next w:val="13"/>
    <w:link w:val="97"/>
    <w:qFormat/>
    <w:uiPriority w:val="0"/>
    <w:pPr>
      <w:jc w:val="left"/>
    </w:pPr>
    <w:rPr>
      <w:kern w:val="21"/>
      <w:szCs w:val="21"/>
    </w:rPr>
  </w:style>
  <w:style w:type="paragraph" w:customStyle="1" w:styleId="99">
    <w:name w:val="表格"/>
    <w:qFormat/>
    <w:uiPriority w:val="0"/>
    <w:rPr>
      <w:rFonts w:ascii="Calibri" w:hAnsi="Calibri" w:eastAsia="宋体" w:cs="Times New Roman"/>
      <w:sz w:val="21"/>
      <w:lang w:val="en-US" w:eastAsia="zh-CN" w:bidi="ar-SA"/>
    </w:rPr>
  </w:style>
  <w:style w:type="character" w:customStyle="1" w:styleId="100">
    <w:name w:val="font01"/>
    <w:qFormat/>
    <w:uiPriority w:val="0"/>
    <w:rPr>
      <w:rFonts w:hint="eastAsia" w:ascii="宋体" w:hAnsi="宋体" w:eastAsia="宋体" w:cs="宋体"/>
      <w:b/>
      <w:color w:val="000000"/>
      <w:sz w:val="28"/>
      <w:szCs w:val="28"/>
      <w:u w:val="none"/>
    </w:rPr>
  </w:style>
  <w:style w:type="paragraph" w:customStyle="1" w:styleId="101">
    <w:name w:val="彩色列表1"/>
    <w:basedOn w:val="1"/>
    <w:qFormat/>
    <w:uiPriority w:val="34"/>
    <w:pPr>
      <w:ind w:firstLine="420" w:firstLineChars="200"/>
    </w:pPr>
  </w:style>
  <w:style w:type="paragraph" w:customStyle="1" w:styleId="102">
    <w:name w:val="正文_0"/>
    <w:qFormat/>
    <w:uiPriority w:val="0"/>
    <w:pPr>
      <w:widowControl w:val="0"/>
      <w:jc w:val="both"/>
    </w:pPr>
    <w:rPr>
      <w:rFonts w:ascii="Times New Roman" w:hAnsi="Times New Roman" w:eastAsia="微软雅黑" w:cs="宋体"/>
      <w:kern w:val="2"/>
      <w:sz w:val="21"/>
      <w:szCs w:val="21"/>
      <w:lang w:val="en-US" w:eastAsia="zh-CN" w:bidi="ar-SA"/>
    </w:rPr>
  </w:style>
  <w:style w:type="paragraph" w:customStyle="1" w:styleId="10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04">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5">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0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07">
    <w:name w:val="Char Char Char"/>
    <w:basedOn w:val="1"/>
    <w:qFormat/>
    <w:uiPriority w:val="0"/>
    <w:rPr>
      <w:rFonts w:ascii="Tahoma" w:hAnsi="Tahoma"/>
      <w:sz w:val="24"/>
      <w:szCs w:val="20"/>
    </w:rPr>
  </w:style>
  <w:style w:type="paragraph" w:customStyle="1" w:styleId="108">
    <w:name w:val="列出段落2"/>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09">
    <w:name w:val="默认段落字体 Para Char Char Char Char Char Char Char"/>
    <w:basedOn w:val="1"/>
    <w:qFormat/>
    <w:uiPriority w:val="0"/>
    <w:rPr>
      <w:rFonts w:ascii="Tahoma" w:hAnsi="Tahoma"/>
      <w:sz w:val="24"/>
      <w:szCs w:val="20"/>
    </w:rPr>
  </w:style>
  <w:style w:type="paragraph" w:customStyle="1" w:styleId="110">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11">
    <w:name w:val="Default"/>
    <w:next w:val="112"/>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3">
    <w:name w:val="列出段落3"/>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14">
    <w:name w:val="正文_0_1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BodyText1I2"/>
    <w:basedOn w:val="116"/>
    <w:qFormat/>
    <w:uiPriority w:val="0"/>
    <w:pPr>
      <w:ind w:firstLine="420" w:firstLineChars="200"/>
    </w:pPr>
  </w:style>
  <w:style w:type="paragraph" w:customStyle="1" w:styleId="116">
    <w:name w:val="BodyTextIndent"/>
    <w:basedOn w:val="1"/>
    <w:qFormat/>
    <w:uiPriority w:val="0"/>
    <w:pPr>
      <w:spacing w:after="120"/>
      <w:ind w:left="420" w:leftChars="200"/>
    </w:pPr>
  </w:style>
  <w:style w:type="paragraph" w:customStyle="1" w:styleId="117">
    <w:name w:val="正文内容"/>
    <w:basedOn w:val="1"/>
    <w:qFormat/>
    <w:uiPriority w:val="0"/>
    <w:pPr>
      <w:jc w:val="left"/>
    </w:pPr>
    <w:rPr>
      <w:rFonts w:ascii="微软雅黑" w:hAnsi="微软雅黑" w:eastAsia="微软雅黑" w:cs="宋体"/>
      <w:color w:val="0D0D0D"/>
      <w:kern w:val="0"/>
      <w:sz w:val="18"/>
      <w:szCs w:val="18"/>
    </w:rPr>
  </w:style>
  <w:style w:type="paragraph" w:styleId="118">
    <w:name w:val="List Paragraph"/>
    <w:basedOn w:val="1"/>
    <w:qFormat/>
    <w:uiPriority w:val="34"/>
    <w:pPr>
      <w:ind w:firstLine="420" w:firstLineChars="200"/>
    </w:pPr>
    <w:rPr>
      <w:rFonts w:ascii="Calibri" w:hAnsi="Calibri"/>
      <w:szCs w:val="22"/>
    </w:rPr>
  </w:style>
  <w:style w:type="paragraph" w:customStyle="1" w:styleId="119">
    <w:name w:val=" Char Char Char Char"/>
    <w:basedOn w:val="1"/>
    <w:qFormat/>
    <w:uiPriority w:val="0"/>
    <w:pPr>
      <w:spacing w:line="360" w:lineRule="auto"/>
      <w:ind w:firstLine="200" w:firstLineChars="200"/>
    </w:pPr>
    <w:rPr>
      <w:rFonts w:ascii="宋体" w:hAnsi="宋体" w:cs="宋体"/>
      <w:sz w:val="24"/>
    </w:rPr>
  </w:style>
  <w:style w:type="paragraph" w:customStyle="1" w:styleId="120">
    <w:name w:val="1111"/>
    <w:basedOn w:val="1"/>
    <w:qFormat/>
    <w:uiPriority w:val="0"/>
    <w:rPr>
      <w:sz w:val="18"/>
    </w:rPr>
  </w:style>
  <w:style w:type="paragraph" w:customStyle="1" w:styleId="121">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22">
    <w:name w:val="正文缩进1"/>
    <w:basedOn w:val="1"/>
    <w:next w:val="1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 Char1"/>
    <w:basedOn w:val="1"/>
    <w:qFormat/>
    <w:uiPriority w:val="0"/>
    <w:rPr>
      <w:rFonts w:ascii="仿宋_GB2312" w:eastAsia="仿宋_GB2312"/>
      <w:b/>
      <w:sz w:val="32"/>
      <w:szCs w:val="32"/>
    </w:rPr>
  </w:style>
  <w:style w:type="paragraph" w:customStyle="1" w:styleId="125">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6">
    <w:name w:val=" Char Char Char Char Char Char Char"/>
    <w:basedOn w:val="1"/>
    <w:qFormat/>
    <w:uiPriority w:val="0"/>
    <w:rPr>
      <w:rFonts w:ascii="仿宋_GB2312" w:eastAsia="仿宋_GB2312"/>
      <w:b/>
      <w:sz w:val="32"/>
      <w:szCs w:val="32"/>
    </w:rPr>
  </w:style>
  <w:style w:type="paragraph" w:customStyle="1" w:styleId="127">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28">
    <w:name w:val="[Normal]"/>
    <w:qFormat/>
    <w:uiPriority w:val="0"/>
    <w:rPr>
      <w:rFonts w:ascii="宋体" w:hAnsi="宋体" w:eastAsia="宋体" w:cs="Times New Roman"/>
      <w:sz w:val="24"/>
      <w:szCs w:val="22"/>
      <w:lang w:val="zh-CN" w:eastAsia="zh-CN" w:bidi="ar-SA"/>
    </w:rPr>
  </w:style>
  <w:style w:type="paragraph" w:customStyle="1" w:styleId="129">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30">
    <w:name w:val=" 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31">
    <w:name w:val="默认段落字体 Para Char"/>
    <w:basedOn w:val="1"/>
    <w:qFormat/>
    <w:uiPriority w:val="0"/>
    <w:rPr>
      <w:szCs w:val="20"/>
    </w:rPr>
  </w:style>
  <w:style w:type="paragraph" w:customStyle="1" w:styleId="132">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33">
    <w:name w:val="_Style 132"/>
    <w:unhideWhenUsed/>
    <w:qFormat/>
    <w:uiPriority w:val="99"/>
    <w:rPr>
      <w:rFonts w:ascii="Times New Roman" w:hAnsi="Times New Roman" w:eastAsia="宋体" w:cs="Times New Roman"/>
      <w:kern w:val="2"/>
      <w:sz w:val="21"/>
      <w:szCs w:val="24"/>
      <w:lang w:val="en-US" w:eastAsia="zh-CN" w:bidi="ar-SA"/>
    </w:rPr>
  </w:style>
  <w:style w:type="paragraph" w:customStyle="1" w:styleId="13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_Style 5"/>
    <w:basedOn w:val="1"/>
    <w:qFormat/>
    <w:uiPriority w:val="99"/>
    <w:pPr>
      <w:spacing w:line="360" w:lineRule="auto"/>
      <w:ind w:firstLine="420" w:firstLineChars="200"/>
    </w:pPr>
  </w:style>
  <w:style w:type="paragraph" w:customStyle="1" w:styleId="136">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37">
    <w:name w:val="my正文"/>
    <w:basedOn w:val="1"/>
    <w:qFormat/>
    <w:uiPriority w:val="0"/>
    <w:pPr>
      <w:spacing w:line="360" w:lineRule="auto"/>
      <w:ind w:firstLine="480" w:firstLineChars="200"/>
    </w:pPr>
    <w:rPr>
      <w:rFonts w:ascii="宋体" w:hAnsi="宋体" w:cs="Times New Roman"/>
      <w:sz w:val="24"/>
    </w:rPr>
  </w:style>
  <w:style w:type="paragraph" w:customStyle="1" w:styleId="138">
    <w:name w:val="Pa3"/>
    <w:basedOn w:val="1"/>
    <w:next w:val="1"/>
    <w:qFormat/>
    <w:uiPriority w:val="99"/>
    <w:pPr>
      <w:widowControl/>
      <w:spacing w:line="141" w:lineRule="atLeast"/>
    </w:pPr>
    <w:rPr>
      <w:rFonts w:ascii="Univers 57 Condensed" w:hAnsi="Times New Roman" w:eastAsia="Univers 57 Condensed" w:cs="Times New Roman"/>
      <w:snapToGrid/>
      <w:sz w:val="24"/>
      <w:szCs w:val="24"/>
    </w:rPr>
  </w:style>
  <w:style w:type="paragraph" w:customStyle="1" w:styleId="139">
    <w:name w:val="_Style 13"/>
    <w:basedOn w:val="1"/>
    <w:next w:val="118"/>
    <w:qFormat/>
    <w:uiPriority w:val="7"/>
    <w:pPr>
      <w:ind w:firstLine="420"/>
    </w:pPr>
    <w:rPr>
      <w:color w:val="000000"/>
      <w:kern w:val="1"/>
    </w:rPr>
  </w:style>
  <w:style w:type="paragraph" w:customStyle="1" w:styleId="140">
    <w:name w:val="保留正文"/>
    <w:basedOn w:val="13"/>
    <w:qFormat/>
    <w:uiPriority w:val="0"/>
    <w:pPr>
      <w:keepNext/>
      <w:spacing w:after="160"/>
    </w:pPr>
    <w:rPr>
      <w:rFonts w:ascii="Times New Roman" w:hAnsi="Times New Roman"/>
      <w:szCs w:val="20"/>
      <w:lang w:val="en-US" w:eastAsia="zh-CN"/>
    </w:rPr>
  </w:style>
  <w:style w:type="paragraph" w:customStyle="1" w:styleId="141">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42">
    <w:name w:val="_Style 3"/>
    <w:qFormat/>
    <w:uiPriority w:val="0"/>
    <w:rPr>
      <w:rFonts w:ascii="Calibri" w:hAnsi="Calibri" w:eastAsia="宋体" w:cs="Times New Roman"/>
      <w:sz w:val="22"/>
      <w:szCs w:val="22"/>
      <w:lang w:val="en-US" w:eastAsia="zh-CN" w:bidi="ar-SA"/>
    </w:rPr>
  </w:style>
  <w:style w:type="character" w:customStyle="1" w:styleId="143">
    <w:name w:val="font24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58.png"/><Relationship Id="rId72" Type="http://schemas.openxmlformats.org/officeDocument/2006/relationships/image" Target="media/image57.jpeg"/><Relationship Id="rId71" Type="http://schemas.openxmlformats.org/officeDocument/2006/relationships/image" Target="media/image56.jpeg"/><Relationship Id="rId70" Type="http://schemas.openxmlformats.org/officeDocument/2006/relationships/image" Target="media/image55.png"/><Relationship Id="rId7" Type="http://schemas.openxmlformats.org/officeDocument/2006/relationships/footer" Target="footer3.xml"/><Relationship Id="rId69" Type="http://schemas.openxmlformats.org/officeDocument/2006/relationships/image" Target="media/image54.jpeg"/><Relationship Id="rId68" Type="http://schemas.openxmlformats.org/officeDocument/2006/relationships/image" Target="media/image53.jpeg"/><Relationship Id="rId67" Type="http://schemas.openxmlformats.org/officeDocument/2006/relationships/image" Target="media/image52.png"/><Relationship Id="rId66" Type="http://schemas.openxmlformats.org/officeDocument/2006/relationships/image" Target="media/image51.jpeg"/><Relationship Id="rId65" Type="http://schemas.openxmlformats.org/officeDocument/2006/relationships/image" Target="media/image50.png"/><Relationship Id="rId64" Type="http://schemas.openxmlformats.org/officeDocument/2006/relationships/image" Target="media/image49.png"/><Relationship Id="rId63" Type="http://schemas.openxmlformats.org/officeDocument/2006/relationships/image" Target="media/image48.png"/><Relationship Id="rId62" Type="http://schemas.openxmlformats.org/officeDocument/2006/relationships/image" Target="media/image47.png"/><Relationship Id="rId61" Type="http://schemas.openxmlformats.org/officeDocument/2006/relationships/image" Target="media/image46.png"/><Relationship Id="rId60" Type="http://schemas.openxmlformats.org/officeDocument/2006/relationships/image" Target="media/image45.png"/><Relationship Id="rId6" Type="http://schemas.openxmlformats.org/officeDocument/2006/relationships/footer" Target="footer2.xml"/><Relationship Id="rId59" Type="http://schemas.openxmlformats.org/officeDocument/2006/relationships/image" Target="media/image44.jpeg"/><Relationship Id="rId58" Type="http://schemas.openxmlformats.org/officeDocument/2006/relationships/image" Target="media/image43.jpeg"/><Relationship Id="rId57" Type="http://schemas.openxmlformats.org/officeDocument/2006/relationships/image" Target="media/image42.png"/><Relationship Id="rId56" Type="http://schemas.openxmlformats.org/officeDocument/2006/relationships/image" Target="media/image41.png"/><Relationship Id="rId55" Type="http://schemas.openxmlformats.org/officeDocument/2006/relationships/image" Target="media/image40.png"/><Relationship Id="rId54" Type="http://schemas.openxmlformats.org/officeDocument/2006/relationships/image" Target="media/image39.jpeg"/><Relationship Id="rId53" Type="http://schemas.openxmlformats.org/officeDocument/2006/relationships/image" Target="media/image38.jpeg"/><Relationship Id="rId52" Type="http://schemas.openxmlformats.org/officeDocument/2006/relationships/image" Target="media/image37.jpeg"/><Relationship Id="rId51" Type="http://schemas.openxmlformats.org/officeDocument/2006/relationships/image" Target="media/image36.png"/><Relationship Id="rId50" Type="http://schemas.openxmlformats.org/officeDocument/2006/relationships/image" Target="media/image35.jpeg"/><Relationship Id="rId5" Type="http://schemas.openxmlformats.org/officeDocument/2006/relationships/footer" Target="footer1.xml"/><Relationship Id="rId49" Type="http://schemas.openxmlformats.org/officeDocument/2006/relationships/image" Target="media/image34.png"/><Relationship Id="rId48" Type="http://schemas.openxmlformats.org/officeDocument/2006/relationships/image" Target="media/image33.jpeg"/><Relationship Id="rId47" Type="http://schemas.openxmlformats.org/officeDocument/2006/relationships/image" Target="media/image32.png"/><Relationship Id="rId46" Type="http://schemas.openxmlformats.org/officeDocument/2006/relationships/image" Target="media/image31.png"/><Relationship Id="rId45" Type="http://schemas.openxmlformats.org/officeDocument/2006/relationships/image" Target="media/image30.jpeg"/><Relationship Id="rId44" Type="http://schemas.openxmlformats.org/officeDocument/2006/relationships/image" Target="media/image29.jpeg"/><Relationship Id="rId43" Type="http://schemas.openxmlformats.org/officeDocument/2006/relationships/image" Target="media/image28.png"/><Relationship Id="rId42" Type="http://schemas.openxmlformats.org/officeDocument/2006/relationships/image" Target="media/image27.png"/><Relationship Id="rId41" Type="http://schemas.openxmlformats.org/officeDocument/2006/relationships/image" Target="media/image26.png"/><Relationship Id="rId40" Type="http://schemas.openxmlformats.org/officeDocument/2006/relationships/image" Target="media/image25.png"/><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jpe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jpeg"/><Relationship Id="rId32" Type="http://schemas.openxmlformats.org/officeDocument/2006/relationships/image" Target="media/image17.jpeg"/><Relationship Id="rId31" Type="http://schemas.openxmlformats.org/officeDocument/2006/relationships/image" Target="media/image16.png"/><Relationship Id="rId30" Type="http://schemas.openxmlformats.org/officeDocument/2006/relationships/image" Target="media/image15.jpe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18927</Words>
  <Characters>19931</Characters>
  <Lines>478</Lines>
  <Paragraphs>134</Paragraphs>
  <TotalTime>38</TotalTime>
  <ScaleCrop>false</ScaleCrop>
  <LinksUpToDate>false</LinksUpToDate>
  <CharactersWithSpaces>21306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2023-10-25T05:56:00Z</dcterms:created>
  <dc:creator>system</dc:creator>
  <cp:lastModifiedBy>吴成丰</cp:lastModifiedBy>
  <cp:lastPrinted>2025-06-25T11:58:00Z</cp:lastPrinted>
  <dcterms:modified xsi:type="dcterms:W3CDTF">2025-07-07T10:33:25Z</dcterms:modified>
  <dc:title>温州市农业科学研究院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4939A90FF27D490A988D1D8E0FABC3F4_13</vt:lpwstr>
  </property>
  <property fmtid="{D5CDD505-2E9C-101B-9397-08002B2CF9AE}" pid="4" name="UFIDA_U9App_DataSourceXMLPart">
    <vt:lpwstr>{08A89356-7A66-46EE-B8F7-9E5F62F75698}</vt:lpwstr>
  </property>
  <property fmtid="{D5CDD505-2E9C-101B-9397-08002B2CF9AE}" pid="5" name="KSOTemplateDocerSaveRecord">
    <vt:lpwstr>eyJoZGlkIjoiZGMxYTExMDhmOTJhNzg3NTRmYjZjZmI5Y2NhMTIzM2EiLCJ1c2VySWQiOiIxMTczOTc3Njc3In0=</vt:lpwstr>
  </property>
</Properties>
</file>