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BAD85">
      <w:pPr>
        <w:autoSpaceDE w:val="0"/>
        <w:autoSpaceDN w:val="0"/>
        <w:spacing w:line="500" w:lineRule="atLeast"/>
        <w:jc w:val="center"/>
        <w:textAlignment w:val="bottom"/>
        <w:rPr>
          <w:rFonts w:ascii="宋体" w:hAnsi="宋体"/>
          <w:b/>
          <w:bCs/>
          <w:color w:val="auto"/>
          <w:spacing w:val="120"/>
          <w:sz w:val="72"/>
          <w:szCs w:val="72"/>
          <w:highlight w:val="none"/>
        </w:rPr>
      </w:pPr>
    </w:p>
    <w:p w14:paraId="5EA89048">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温州肯恩大学</w:t>
      </w:r>
    </w:p>
    <w:p w14:paraId="0F9ACCA8">
      <w:pPr>
        <w:spacing w:line="400" w:lineRule="atLeast"/>
        <w:jc w:val="center"/>
        <w:rPr>
          <w:rFonts w:ascii="宋体" w:hAnsi="宋体"/>
          <w:b/>
          <w:color w:val="auto"/>
          <w:sz w:val="52"/>
          <w:highlight w:val="none"/>
        </w:rPr>
      </w:pPr>
    </w:p>
    <w:p w14:paraId="2A460ACA">
      <w:pPr>
        <w:spacing w:line="400" w:lineRule="atLeast"/>
        <w:jc w:val="center"/>
        <w:rPr>
          <w:rFonts w:ascii="宋体" w:hAnsi="宋体"/>
          <w:b/>
          <w:color w:val="auto"/>
          <w:sz w:val="52"/>
          <w:highlight w:val="none"/>
        </w:rPr>
      </w:pPr>
    </w:p>
    <w:p w14:paraId="04011A0F">
      <w:pPr>
        <w:spacing w:line="400" w:lineRule="atLeast"/>
        <w:jc w:val="center"/>
        <w:rPr>
          <w:rFonts w:ascii="宋体" w:hAnsi="宋体"/>
          <w:b/>
          <w:color w:val="auto"/>
          <w:sz w:val="52"/>
          <w:highlight w:val="none"/>
        </w:rPr>
      </w:pPr>
    </w:p>
    <w:p w14:paraId="43B75297">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2B44D0E3">
      <w:pPr>
        <w:spacing w:line="400" w:lineRule="atLeast"/>
        <w:jc w:val="center"/>
        <w:rPr>
          <w:rFonts w:ascii="宋体" w:hAnsi="宋体"/>
          <w:b/>
          <w:color w:val="auto"/>
          <w:sz w:val="32"/>
          <w:highlight w:val="none"/>
        </w:rPr>
      </w:pPr>
    </w:p>
    <w:p w14:paraId="5766965F">
      <w:pPr>
        <w:jc w:val="center"/>
        <w:rPr>
          <w:rFonts w:ascii="宋体" w:hAnsi="宋体"/>
          <w:b/>
          <w:bCs/>
          <w:color w:val="auto"/>
          <w:sz w:val="24"/>
          <w:highlight w:val="none"/>
        </w:rPr>
      </w:pPr>
    </w:p>
    <w:p w14:paraId="52E5C743">
      <w:pPr>
        <w:jc w:val="center"/>
        <w:rPr>
          <w:rFonts w:ascii="宋体" w:hAnsi="宋体"/>
          <w:b/>
          <w:bCs/>
          <w:color w:val="auto"/>
          <w:sz w:val="24"/>
          <w:highlight w:val="none"/>
        </w:rPr>
      </w:pPr>
    </w:p>
    <w:p w14:paraId="15717376">
      <w:pPr>
        <w:jc w:val="center"/>
        <w:rPr>
          <w:rFonts w:ascii="宋体" w:hAnsi="宋体"/>
          <w:b/>
          <w:bCs/>
          <w:color w:val="auto"/>
          <w:sz w:val="24"/>
          <w:highlight w:val="none"/>
        </w:rPr>
      </w:pPr>
    </w:p>
    <w:p w14:paraId="174E9CFF">
      <w:pPr>
        <w:jc w:val="center"/>
        <w:rPr>
          <w:rFonts w:ascii="宋体" w:hAnsi="宋体"/>
          <w:b/>
          <w:bCs/>
          <w:color w:val="auto"/>
          <w:sz w:val="24"/>
          <w:highlight w:val="none"/>
        </w:rPr>
      </w:pPr>
    </w:p>
    <w:p w14:paraId="6E2AB8D4">
      <w:pPr>
        <w:tabs>
          <w:tab w:val="left" w:pos="4860"/>
        </w:tabs>
        <w:spacing w:line="600" w:lineRule="exact"/>
        <w:ind w:right="1143" w:firstLine="1685" w:firstLineChars="44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WZYX-C2025062101</w:t>
      </w:r>
    </w:p>
    <w:p w14:paraId="58753BDC">
      <w:pPr>
        <w:tabs>
          <w:tab w:val="left" w:pos="5245"/>
          <w:tab w:val="left" w:pos="9356"/>
        </w:tabs>
        <w:spacing w:line="600" w:lineRule="exact"/>
        <w:ind w:right="282" w:firstLine="1525" w:firstLineChars="400"/>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2025年学生团体人身意外伤害险及校责险</w:t>
      </w:r>
    </w:p>
    <w:p w14:paraId="68A10909">
      <w:pPr>
        <w:tabs>
          <w:tab w:val="left" w:pos="4860"/>
        </w:tabs>
        <w:spacing w:line="600" w:lineRule="exact"/>
        <w:ind w:right="1143" w:firstLine="1685" w:firstLineChars="442"/>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：校内公开招标</w:t>
      </w:r>
    </w:p>
    <w:p w14:paraId="46DC4092">
      <w:pPr>
        <w:jc w:val="center"/>
        <w:rPr>
          <w:rFonts w:ascii="宋体" w:hAnsi="宋体"/>
          <w:b/>
          <w:bCs/>
          <w:color w:val="auto"/>
          <w:sz w:val="24"/>
          <w:highlight w:val="none"/>
        </w:rPr>
      </w:pPr>
    </w:p>
    <w:p w14:paraId="26579E3A">
      <w:pPr>
        <w:jc w:val="center"/>
        <w:rPr>
          <w:rFonts w:ascii="宋体" w:hAnsi="宋体"/>
          <w:b/>
          <w:bCs/>
          <w:color w:val="auto"/>
          <w:sz w:val="24"/>
          <w:highlight w:val="none"/>
        </w:rPr>
      </w:pPr>
    </w:p>
    <w:p w14:paraId="25A0480D">
      <w:pPr>
        <w:jc w:val="center"/>
        <w:rPr>
          <w:rFonts w:ascii="宋体" w:hAnsi="宋体"/>
          <w:b/>
          <w:bCs/>
          <w:color w:val="auto"/>
          <w:sz w:val="24"/>
          <w:highlight w:val="none"/>
        </w:rPr>
      </w:pPr>
    </w:p>
    <w:p w14:paraId="08BD0B69">
      <w:pPr>
        <w:jc w:val="center"/>
        <w:rPr>
          <w:rFonts w:ascii="宋体" w:hAnsi="宋体"/>
          <w:b/>
          <w:bCs/>
          <w:color w:val="auto"/>
          <w:sz w:val="24"/>
          <w:highlight w:val="none"/>
        </w:rPr>
      </w:pPr>
    </w:p>
    <w:p w14:paraId="22F24F68">
      <w:pPr>
        <w:jc w:val="center"/>
        <w:rPr>
          <w:rFonts w:ascii="宋体" w:hAnsi="宋体"/>
          <w:b/>
          <w:bCs/>
          <w:color w:val="auto"/>
          <w:sz w:val="24"/>
          <w:highlight w:val="none"/>
        </w:rPr>
      </w:pPr>
    </w:p>
    <w:p w14:paraId="0381DDBA">
      <w:pPr>
        <w:jc w:val="center"/>
        <w:rPr>
          <w:rFonts w:ascii="宋体" w:hAnsi="宋体"/>
          <w:b/>
          <w:bCs/>
          <w:color w:val="auto"/>
          <w:sz w:val="24"/>
          <w:highlight w:val="none"/>
        </w:rPr>
      </w:pPr>
    </w:p>
    <w:p w14:paraId="31085C2E">
      <w:pPr>
        <w:spacing w:line="600" w:lineRule="exact"/>
        <w:ind w:firstLine="2042" w:firstLineChars="678"/>
        <w:rPr>
          <w:rFonts w:ascii="宋体" w:hAnsi="宋体"/>
          <w:b/>
          <w:color w:val="auto"/>
          <w:sz w:val="30"/>
          <w:szCs w:val="30"/>
          <w:highlight w:val="none"/>
        </w:rPr>
      </w:pPr>
      <w:r>
        <w:rPr>
          <w:rFonts w:hint="eastAsia" w:ascii="宋体" w:hAnsi="宋体"/>
          <w:b/>
          <w:color w:val="auto"/>
          <w:sz w:val="30"/>
          <w:szCs w:val="30"/>
          <w:highlight w:val="none"/>
        </w:rPr>
        <w:t>招  标  人：温州肯恩大学</w:t>
      </w:r>
    </w:p>
    <w:p w14:paraId="39251DCF">
      <w:pPr>
        <w:spacing w:line="600" w:lineRule="exact"/>
        <w:ind w:firstLine="2009" w:firstLineChars="52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02CC20B5">
      <w:pPr>
        <w:spacing w:line="600" w:lineRule="exact"/>
        <w:ind w:firstLine="1437" w:firstLineChars="377"/>
        <w:rPr>
          <w:rFonts w:ascii="宋体" w:hAnsi="宋体"/>
          <w:b/>
          <w:color w:val="auto"/>
          <w:spacing w:val="40"/>
          <w:sz w:val="30"/>
          <w:szCs w:val="30"/>
          <w:highlight w:val="none"/>
        </w:rPr>
      </w:pPr>
    </w:p>
    <w:p w14:paraId="61925785">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五年</w:t>
      </w:r>
      <w:r>
        <w:rPr>
          <w:rFonts w:hint="eastAsia" w:ascii="宋体" w:hAnsi="宋体" w:cs="宋体"/>
          <w:b/>
          <w:color w:val="auto"/>
          <w:spacing w:val="40"/>
          <w:sz w:val="30"/>
          <w:szCs w:val="30"/>
          <w:highlight w:val="none"/>
          <w:lang w:val="en-US" w:eastAsia="zh-CN"/>
        </w:rPr>
        <w:t>七</w:t>
      </w:r>
      <w:r>
        <w:rPr>
          <w:rFonts w:hint="eastAsia" w:ascii="宋体" w:hAnsi="宋体" w:cs="仿宋_GB2312"/>
          <w:b/>
          <w:color w:val="auto"/>
          <w:spacing w:val="40"/>
          <w:sz w:val="30"/>
          <w:szCs w:val="30"/>
          <w:highlight w:val="none"/>
        </w:rPr>
        <w:t>月</w:t>
      </w:r>
    </w:p>
    <w:p w14:paraId="56F6BD4A">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612E45B6">
      <w:pPr>
        <w:spacing w:line="600" w:lineRule="exact"/>
        <w:jc w:val="center"/>
        <w:rPr>
          <w:rFonts w:ascii="宋体" w:hAnsi="宋体"/>
          <w:b/>
          <w:bCs/>
          <w:color w:val="auto"/>
          <w:sz w:val="24"/>
          <w:highlight w:val="none"/>
        </w:rPr>
      </w:pPr>
    </w:p>
    <w:p w14:paraId="7F5F438C">
      <w:pPr>
        <w:pStyle w:val="44"/>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"_Toc8717" </w:instrText>
      </w:r>
      <w:r>
        <w:rPr>
          <w:color w:val="auto"/>
          <w:highlight w:val="none"/>
        </w:rPr>
        <w:fldChar w:fldCharType="separate"/>
      </w:r>
      <w:r>
        <w:rPr>
          <w:rFonts w:hint="eastAsia" w:ascii="宋体" w:hAnsi="宋体" w:eastAsia="宋体"/>
          <w:color w:val="auto"/>
          <w:szCs w:val="30"/>
          <w:highlight w:val="none"/>
        </w:rPr>
        <w:t>温州肯恩大学关于</w:t>
      </w:r>
      <w:r>
        <w:rPr>
          <w:rFonts w:hint="eastAsia" w:ascii="宋体" w:hAnsi="宋体" w:eastAsia="宋体"/>
          <w:color w:val="auto"/>
          <w:szCs w:val="30"/>
          <w:highlight w:val="none"/>
          <w:lang w:eastAsia="zh-CN"/>
        </w:rPr>
        <w:t>2025年学生团体人身意外伤害险及校责险</w:t>
      </w:r>
      <w:r>
        <w:rPr>
          <w:rFonts w:hint="eastAsia" w:ascii="宋体" w:hAnsi="宋体" w:eastAsia="宋体"/>
          <w:color w:val="auto"/>
          <w:szCs w:val="30"/>
          <w:highlight w:val="none"/>
        </w:rPr>
        <w:t>项目的</w:t>
      </w:r>
      <w:r>
        <w:rPr>
          <w:rFonts w:hint="eastAsia" w:ascii="宋体" w:hAnsi="宋体" w:eastAsia="宋体"/>
          <w:color w:val="auto"/>
          <w:szCs w:val="30"/>
          <w:highlight w:val="none"/>
          <w:lang w:val="en-US" w:eastAsia="zh-CN"/>
        </w:rPr>
        <w:t>校内</w:t>
      </w:r>
      <w:r>
        <w:rPr>
          <w:rFonts w:hint="eastAsia" w:ascii="宋体" w:hAnsi="宋体" w:eastAsia="宋体"/>
          <w:color w:val="auto"/>
          <w:szCs w:val="30"/>
          <w:highlight w:val="none"/>
        </w:rPr>
        <w:t>公开招标公告</w:t>
      </w:r>
      <w:r>
        <w:rPr>
          <w:color w:val="auto"/>
          <w:highlight w:val="none"/>
        </w:rPr>
        <w:tab/>
      </w:r>
      <w:r>
        <w:rPr>
          <w:color w:val="auto"/>
          <w:highlight w:val="none"/>
        </w:rPr>
        <w:fldChar w:fldCharType="begin"/>
      </w:r>
      <w:r>
        <w:rPr>
          <w:color w:val="auto"/>
          <w:highlight w:val="none"/>
        </w:rPr>
        <w:instrText xml:space="preserve"> PAGEREF _Toc8717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0452683F">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"_Toc10879" </w:instrText>
      </w:r>
      <w:r>
        <w:rPr>
          <w:color w:val="auto"/>
          <w:highlight w:val="none"/>
        </w:rPr>
        <w:fldChar w:fldCharType="separate"/>
      </w:r>
      <w:r>
        <w:rPr>
          <w:rFonts w:hint="eastAsia" w:ascii="宋体" w:hAnsi="宋体" w:eastAsia="宋体" w:cs="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_Toc10879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622D04B">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"_Toc30088" </w:instrText>
      </w:r>
      <w:r>
        <w:rPr>
          <w:color w:val="auto"/>
          <w:highlight w:val="none"/>
        </w:rPr>
        <w:fldChar w:fldCharType="separate"/>
      </w:r>
      <w:r>
        <w:rPr>
          <w:rFonts w:hint="eastAsia" w:ascii="宋体" w:hAnsi="宋体" w:eastAsia="宋体" w:cs="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_Toc30088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6CAF505">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"_Toc29119" </w:instrText>
      </w:r>
      <w:r>
        <w:rPr>
          <w:color w:val="auto"/>
          <w:highlight w:val="none"/>
        </w:rPr>
        <w:fldChar w:fldCharType="separate"/>
      </w:r>
      <w:r>
        <w:rPr>
          <w:rFonts w:hint="eastAsia" w:ascii="宋体" w:hAnsi="宋体"/>
          <w:color w:val="auto"/>
          <w:szCs w:val="26"/>
          <w:highlight w:val="none"/>
        </w:rPr>
        <w:t>二、  说明</w:t>
      </w:r>
      <w:r>
        <w:rPr>
          <w:color w:val="auto"/>
          <w:highlight w:val="none"/>
        </w:rPr>
        <w:tab/>
      </w:r>
      <w:r>
        <w:rPr>
          <w:color w:val="auto"/>
          <w:highlight w:val="none"/>
        </w:rPr>
        <w:fldChar w:fldCharType="begin"/>
      </w:r>
      <w:r>
        <w:rPr>
          <w:color w:val="auto"/>
          <w:highlight w:val="none"/>
        </w:rPr>
        <w:instrText xml:space="preserve"> PAGEREF _Toc29119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12E1998">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"_Toc1496"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_Toc1496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5C706C1">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"_Toc3393"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_Toc3393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24E7F0E">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"_Toc21018" </w:instrText>
      </w:r>
      <w:r>
        <w:rPr>
          <w:color w:val="auto"/>
          <w:highlight w:val="none"/>
        </w:rPr>
        <w:fldChar w:fldCharType="separate"/>
      </w:r>
      <w:r>
        <w:rPr>
          <w:rFonts w:hint="eastAsia" w:ascii="宋体" w:hAnsi="宋体" w:eastAsia="宋体" w:cs="Times New Roman"/>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_Toc21018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0BCCBCC">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"_Toc16321" </w:instrText>
      </w:r>
      <w:r>
        <w:rPr>
          <w:color w:val="auto"/>
          <w:highlight w:val="none"/>
        </w:rPr>
        <w:fldChar w:fldCharType="separate"/>
      </w:r>
      <w:r>
        <w:rPr>
          <w:rFonts w:hint="eastAsia" w:ascii="宋体" w:hAnsi="宋体" w:eastAsia="宋体" w:cs="Times New Roman"/>
          <w:color w:val="auto"/>
          <w:szCs w:val="26"/>
          <w:highlight w:val="none"/>
        </w:rPr>
        <w:t>六、 开标</w:t>
      </w:r>
      <w:r>
        <w:rPr>
          <w:color w:val="auto"/>
          <w:highlight w:val="none"/>
        </w:rPr>
        <w:tab/>
      </w:r>
      <w:r>
        <w:rPr>
          <w:color w:val="auto"/>
          <w:highlight w:val="none"/>
        </w:rPr>
        <w:fldChar w:fldCharType="begin"/>
      </w:r>
      <w:r>
        <w:rPr>
          <w:color w:val="auto"/>
          <w:highlight w:val="none"/>
        </w:rPr>
        <w:instrText xml:space="preserve"> PAGEREF _Toc16321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AF9BF1F">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"_Toc6630" </w:instrText>
      </w:r>
      <w:r>
        <w:rPr>
          <w:color w:val="auto"/>
          <w:highlight w:val="none"/>
        </w:rPr>
        <w:fldChar w:fldCharType="separate"/>
      </w:r>
      <w:r>
        <w:rPr>
          <w:rFonts w:hint="eastAsia" w:ascii="宋体" w:hAnsi="宋体" w:eastAsia="宋体" w:cs="Times New Roman"/>
          <w:color w:val="auto"/>
          <w:szCs w:val="26"/>
          <w:highlight w:val="none"/>
        </w:rPr>
        <w:t>七、 评标</w:t>
      </w:r>
      <w:r>
        <w:rPr>
          <w:color w:val="auto"/>
          <w:highlight w:val="none"/>
        </w:rPr>
        <w:tab/>
      </w:r>
      <w:r>
        <w:rPr>
          <w:color w:val="auto"/>
          <w:highlight w:val="none"/>
        </w:rPr>
        <w:fldChar w:fldCharType="begin"/>
      </w:r>
      <w:r>
        <w:rPr>
          <w:color w:val="auto"/>
          <w:highlight w:val="none"/>
        </w:rPr>
        <w:instrText xml:space="preserve"> PAGEREF _Toc6630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B20BE12">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"_Toc23321" </w:instrText>
      </w:r>
      <w:r>
        <w:rPr>
          <w:color w:val="auto"/>
          <w:highlight w:val="none"/>
        </w:rPr>
        <w:fldChar w:fldCharType="separate"/>
      </w:r>
      <w:r>
        <w:rPr>
          <w:rFonts w:hint="eastAsia" w:ascii="宋体" w:hAnsi="宋体" w:eastAsia="宋体" w:cs="Times New Roman"/>
          <w:color w:val="auto"/>
          <w:szCs w:val="26"/>
          <w:highlight w:val="none"/>
        </w:rPr>
        <w:t>八、 授予合同</w:t>
      </w:r>
      <w:r>
        <w:rPr>
          <w:color w:val="auto"/>
          <w:highlight w:val="none"/>
        </w:rPr>
        <w:tab/>
      </w:r>
      <w:r>
        <w:rPr>
          <w:color w:val="auto"/>
          <w:highlight w:val="none"/>
        </w:rPr>
        <w:fldChar w:fldCharType="begin"/>
      </w:r>
      <w:r>
        <w:rPr>
          <w:color w:val="auto"/>
          <w:highlight w:val="none"/>
        </w:rPr>
        <w:instrText xml:space="preserve"> PAGEREF _Toc23321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85092EE">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"_Toc15814" </w:instrText>
      </w:r>
      <w:r>
        <w:rPr>
          <w:color w:val="auto"/>
          <w:highlight w:val="none"/>
        </w:rPr>
        <w:fldChar w:fldCharType="separate"/>
      </w:r>
      <w:r>
        <w:rPr>
          <w:rFonts w:hint="eastAsia" w:ascii="宋体" w:hAnsi="宋体" w:eastAsia="宋体" w:cs="Times New Roman"/>
          <w:color w:val="auto"/>
          <w:szCs w:val="26"/>
          <w:highlight w:val="none"/>
        </w:rPr>
        <w:t>九、验收</w:t>
      </w:r>
      <w:r>
        <w:rPr>
          <w:color w:val="auto"/>
          <w:highlight w:val="none"/>
        </w:rPr>
        <w:tab/>
      </w:r>
      <w:r>
        <w:rPr>
          <w:color w:val="auto"/>
          <w:highlight w:val="none"/>
        </w:rPr>
        <w:fldChar w:fldCharType="begin"/>
      </w:r>
      <w:r>
        <w:rPr>
          <w:color w:val="auto"/>
          <w:highlight w:val="none"/>
        </w:rPr>
        <w:instrText xml:space="preserve"> PAGEREF _Toc15814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F1F6574">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"_Toc9055" </w:instrText>
      </w:r>
      <w:r>
        <w:rPr>
          <w:color w:val="auto"/>
          <w:highlight w:val="none"/>
        </w:rPr>
        <w:fldChar w:fldCharType="separate"/>
      </w:r>
      <w:r>
        <w:rPr>
          <w:rFonts w:hint="eastAsia" w:ascii="宋体" w:hAnsi="宋体" w:eastAsia="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_Toc9055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45A989A">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"_Toc7120"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_Toc7120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B0F97A4">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_Toc20036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65C5FF4">
      <w:pPr>
        <w:pStyle w:val="44"/>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"_Toc5185"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_Toc5185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5A00D27">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1DB88FDF">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3A5F392E">
      <w:pPr>
        <w:widowControl/>
        <w:jc w:val="left"/>
        <w:rPr>
          <w:rFonts w:ascii="宋体" w:hAnsi="宋体"/>
          <w:color w:val="auto"/>
          <w:highlight w:val="none"/>
        </w:rPr>
      </w:pPr>
      <w:r>
        <w:rPr>
          <w:rFonts w:ascii="宋体" w:hAnsi="宋体"/>
          <w:color w:val="auto"/>
          <w:highlight w:val="none"/>
        </w:rPr>
        <w:br w:type="page"/>
      </w:r>
    </w:p>
    <w:p w14:paraId="37C7E9A4">
      <w:pPr>
        <w:widowControl/>
        <w:jc w:val="left"/>
        <w:rPr>
          <w:rFonts w:ascii="宋体" w:hAnsi="宋体"/>
          <w:color w:val="auto"/>
          <w:highlight w:val="none"/>
        </w:rPr>
      </w:pPr>
    </w:p>
    <w:p w14:paraId="7A5EF617">
      <w:pPr>
        <w:widowControl/>
        <w:jc w:val="left"/>
        <w:rPr>
          <w:rFonts w:ascii="宋体" w:hAnsi="宋体"/>
          <w:b/>
          <w:bCs/>
          <w:color w:val="auto"/>
          <w:highlight w:val="none"/>
        </w:rPr>
      </w:pPr>
    </w:p>
    <w:p w14:paraId="10801DBA">
      <w:pPr>
        <w:pStyle w:val="3"/>
        <w:rPr>
          <w:rFonts w:ascii="宋体" w:hAnsi="宋体" w:eastAsia="宋体" w:cs="Arial"/>
          <w:color w:val="auto"/>
          <w:sz w:val="30"/>
          <w:szCs w:val="30"/>
          <w:highlight w:val="none"/>
        </w:rPr>
      </w:pPr>
      <w:bookmarkStart w:id="0" w:name="_Toc398293639"/>
      <w:bookmarkStart w:id="1" w:name="_Toc8717"/>
      <w:bookmarkStart w:id="2" w:name="_Toc492496682"/>
      <w:bookmarkStart w:id="3" w:name="_Toc221374621"/>
      <w:bookmarkStart w:id="4" w:name="_Toc348800908"/>
      <w:bookmarkStart w:id="5" w:name="_Toc249758859"/>
      <w:bookmarkStart w:id="6" w:name="_Toc221356881"/>
      <w:bookmarkStart w:id="7" w:name="_Toc221356946"/>
      <w:bookmarkStart w:id="8" w:name="_Toc222114874"/>
      <w:bookmarkStart w:id="9" w:name="_Toc221356880"/>
      <w:bookmarkStart w:id="10" w:name="_Toc249758707"/>
      <w:bookmarkStart w:id="11" w:name="_Toc221423613"/>
      <w:bookmarkStart w:id="12" w:name="_Toc241404197"/>
      <w:bookmarkStart w:id="13" w:name="_Toc221423614"/>
      <w:bookmarkStart w:id="14" w:name="_Toc337660883"/>
      <w:bookmarkStart w:id="15" w:name="_Toc245191309"/>
      <w:bookmarkStart w:id="16" w:name="_Toc222114873"/>
      <w:bookmarkStart w:id="17" w:name="_Toc262049413"/>
      <w:bookmarkStart w:id="18" w:name="_Toc223715993"/>
      <w:bookmarkStart w:id="19" w:name="_Toc262105498"/>
      <w:bookmarkStart w:id="20" w:name="_Toc239145349"/>
      <w:bookmarkStart w:id="21" w:name="_Toc245722276"/>
      <w:bookmarkStart w:id="22" w:name="_Toc221356945"/>
      <w:bookmarkStart w:id="23" w:name="_Toc223715992"/>
      <w:bookmarkStart w:id="24" w:name="_Toc246261260"/>
      <w:bookmarkStart w:id="25" w:name="_Toc221374620"/>
      <w:r>
        <w:rPr>
          <w:rFonts w:hint="eastAsia" w:ascii="宋体" w:hAnsi="宋体" w:eastAsia="宋体" w:cs="Arial"/>
          <w:color w:val="auto"/>
          <w:sz w:val="30"/>
          <w:szCs w:val="30"/>
          <w:highlight w:val="none"/>
        </w:rPr>
        <w:t>温州肯恩大学关于</w:t>
      </w:r>
      <w:r>
        <w:rPr>
          <w:rFonts w:hint="eastAsia" w:ascii="宋体" w:hAnsi="宋体" w:eastAsia="宋体" w:cs="Arial"/>
          <w:color w:val="auto"/>
          <w:sz w:val="30"/>
          <w:szCs w:val="30"/>
          <w:highlight w:val="none"/>
          <w:lang w:eastAsia="zh-CN"/>
        </w:rPr>
        <w:t>2025年学生团体人身意外伤害险及校责险</w:t>
      </w:r>
      <w:r>
        <w:rPr>
          <w:rFonts w:hint="eastAsia" w:ascii="宋体" w:hAnsi="宋体" w:eastAsia="宋体" w:cs="Arial"/>
          <w:color w:val="auto"/>
          <w:sz w:val="30"/>
          <w:szCs w:val="30"/>
          <w:highlight w:val="none"/>
        </w:rPr>
        <w:t>项目的</w:t>
      </w:r>
      <w:r>
        <w:rPr>
          <w:rFonts w:hint="eastAsia" w:ascii="宋体" w:hAnsi="宋体" w:eastAsia="宋体" w:cs="Arial"/>
          <w:color w:val="auto"/>
          <w:sz w:val="30"/>
          <w:szCs w:val="30"/>
          <w:highlight w:val="none"/>
          <w:lang w:val="en-US" w:eastAsia="zh-CN"/>
        </w:rPr>
        <w:t>校内</w:t>
      </w:r>
      <w:r>
        <w:rPr>
          <w:rFonts w:hint="eastAsia" w:ascii="宋体" w:hAnsi="宋体" w:eastAsia="宋体" w:cs="Arial"/>
          <w:color w:val="auto"/>
          <w:sz w:val="30"/>
          <w:szCs w:val="30"/>
          <w:highlight w:val="none"/>
        </w:rPr>
        <w:t>公开招标公告</w:t>
      </w:r>
      <w:bookmarkEnd w:id="0"/>
      <w:bookmarkEnd w:id="1"/>
      <w:bookmarkEnd w:id="2"/>
    </w:p>
    <w:p w14:paraId="31A34D28">
      <w:pPr>
        <w:rPr>
          <w:color w:val="auto"/>
          <w:highlight w:val="none"/>
        </w:rPr>
      </w:pPr>
    </w:p>
    <w:p w14:paraId="1601266A">
      <w:pPr>
        <w:widowControl/>
        <w:spacing w:before="60" w:after="60" w:line="400" w:lineRule="exact"/>
        <w:ind w:left="61" w:leftChars="29" w:right="60" w:firstLine="440" w:firstLineChars="200"/>
        <w:jc w:val="lef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温州元信工程项目管理有限公司受温州肯恩大学委托，就</w:t>
      </w:r>
      <w:r>
        <w:rPr>
          <w:rFonts w:hint="eastAsia" w:ascii="宋体" w:hAnsi="宋体" w:cs="hakuyoxingshu7000"/>
          <w:color w:val="auto"/>
          <w:kern w:val="0"/>
          <w:sz w:val="22"/>
          <w:szCs w:val="22"/>
          <w:highlight w:val="none"/>
          <w:lang w:eastAsia="zh-CN"/>
        </w:rPr>
        <w:t>2025年学生团体人身意外伤害险及校责险</w:t>
      </w:r>
      <w:r>
        <w:rPr>
          <w:rFonts w:hint="eastAsia" w:ascii="宋体" w:hAnsi="宋体" w:cs="hakuyoxingshu7000"/>
          <w:color w:val="auto"/>
          <w:kern w:val="0"/>
          <w:sz w:val="22"/>
          <w:szCs w:val="22"/>
          <w:highlight w:val="none"/>
        </w:rPr>
        <w:t>以</w:t>
      </w:r>
      <w:r>
        <w:rPr>
          <w:rFonts w:hint="eastAsia" w:ascii="宋体" w:hAnsi="宋体" w:cs="hakuyoxingshu7000"/>
          <w:color w:val="auto"/>
          <w:kern w:val="0"/>
          <w:sz w:val="22"/>
          <w:szCs w:val="22"/>
          <w:highlight w:val="none"/>
          <w:lang w:val="en-US" w:eastAsia="zh-CN"/>
        </w:rPr>
        <w:t>校内</w:t>
      </w:r>
      <w:r>
        <w:rPr>
          <w:rFonts w:hint="eastAsia" w:ascii="宋体" w:hAnsi="宋体" w:cs="hakuyoxingshu7000"/>
          <w:color w:val="auto"/>
          <w:kern w:val="0"/>
          <w:sz w:val="22"/>
          <w:szCs w:val="22"/>
          <w:highlight w:val="none"/>
        </w:rPr>
        <w:t>公开招标方式进行采购，欢迎国内合格的投标人前来投标。</w:t>
      </w:r>
    </w:p>
    <w:p w14:paraId="746A7D8F">
      <w:pPr>
        <w:pStyle w:val="122"/>
        <w:widowControl/>
        <w:numPr>
          <w:ilvl w:val="0"/>
          <w:numId w:val="1"/>
        </w:numPr>
        <w:spacing w:before="60" w:after="60" w:line="400" w:lineRule="exact"/>
        <w:ind w:right="60" w:firstLineChars="0"/>
        <w:jc w:val="left"/>
        <w:rPr>
          <w:rFonts w:ascii="宋体" w:hAnsi="宋体" w:cs="hakuyoxingshu7000"/>
          <w:bCs/>
          <w:color w:val="auto"/>
          <w:kern w:val="0"/>
          <w:sz w:val="22"/>
          <w:szCs w:val="22"/>
          <w:highlight w:val="none"/>
        </w:rPr>
      </w:pPr>
      <w:r>
        <w:rPr>
          <w:rFonts w:hint="eastAsia" w:ascii="宋体" w:hAnsi="宋体" w:cs="hakuyoxingshu7000"/>
          <w:b/>
          <w:bCs/>
          <w:color w:val="auto"/>
          <w:kern w:val="0"/>
          <w:sz w:val="22"/>
          <w:szCs w:val="22"/>
          <w:highlight w:val="none"/>
        </w:rPr>
        <w:t>招标编号:</w:t>
      </w:r>
      <w:r>
        <w:rPr>
          <w:rFonts w:hint="eastAsia" w:ascii="宋体" w:hAnsi="宋体" w:cs="hakuyoxingshu7000"/>
          <w:bCs/>
          <w:color w:val="auto"/>
          <w:kern w:val="0"/>
          <w:sz w:val="22"/>
          <w:szCs w:val="22"/>
          <w:highlight w:val="none"/>
        </w:rPr>
        <w:t xml:space="preserve"> </w:t>
      </w:r>
      <w:r>
        <w:rPr>
          <w:rFonts w:hint="eastAsia" w:ascii="宋体" w:hAnsi="宋体" w:cs="hakuyoxingshu7000"/>
          <w:bCs/>
          <w:color w:val="auto"/>
          <w:kern w:val="0"/>
          <w:sz w:val="22"/>
          <w:szCs w:val="22"/>
          <w:highlight w:val="none"/>
          <w:lang w:eastAsia="zh-CN"/>
        </w:rPr>
        <w:t>WZYX-C2025062101</w:t>
      </w:r>
    </w:p>
    <w:p w14:paraId="12457256">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采购类型：</w:t>
      </w:r>
      <w:r>
        <w:rPr>
          <w:rFonts w:hint="eastAsia" w:ascii="宋体" w:hAnsi="宋体" w:cs="hakuyoxingshu7000"/>
          <w:bCs/>
          <w:color w:val="auto"/>
          <w:kern w:val="0"/>
          <w:sz w:val="22"/>
          <w:szCs w:val="22"/>
          <w:highlight w:val="none"/>
        </w:rPr>
        <w:t>自行采购（非政府采购，委托代理）</w:t>
      </w:r>
    </w:p>
    <w:p w14:paraId="4C2080D1">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项目概况（内容、用途、数量、简要技术要求等）：</w:t>
      </w:r>
    </w:p>
    <w:p w14:paraId="1915C247">
      <w:pPr>
        <w:widowControl/>
        <w:spacing w:before="60" w:after="60" w:line="360" w:lineRule="exact"/>
        <w:ind w:left="60" w:right="60" w:firstLine="444"/>
        <w:jc w:val="left"/>
        <w:rPr>
          <w:rFonts w:hint="eastAsia" w:ascii="宋体" w:hAnsi="宋体" w:cs="宋体"/>
          <w:bCs/>
          <w:color w:val="auto"/>
          <w:kern w:val="0"/>
          <w:sz w:val="22"/>
          <w:szCs w:val="22"/>
          <w:highlight w:val="none"/>
          <w:lang w:val="en-US" w:eastAsia="zh-CN"/>
        </w:rPr>
      </w:pPr>
      <w:bookmarkStart w:id="26" w:name="B09_招标内容"/>
      <w:bookmarkEnd w:id="26"/>
      <w:r>
        <w:rPr>
          <w:rFonts w:hint="eastAsia" w:ascii="宋体" w:hAnsi="宋体" w:cs="宋体"/>
          <w:bCs/>
          <w:color w:val="auto"/>
          <w:kern w:val="0"/>
          <w:sz w:val="22"/>
          <w:szCs w:val="22"/>
          <w:highlight w:val="none"/>
          <w:lang w:val="en-US" w:eastAsia="zh-CN"/>
        </w:rPr>
        <w:t>项目内容：2025年学生团体人身意外伤害险及校责险，详见招标文件招标内容及要求相关部分。</w:t>
      </w:r>
    </w:p>
    <w:p w14:paraId="7894144C">
      <w:pPr>
        <w:widowControl/>
        <w:spacing w:before="60" w:after="60" w:line="360" w:lineRule="exact"/>
        <w:ind w:left="60" w:right="60" w:firstLine="444"/>
        <w:jc w:val="left"/>
        <w:rPr>
          <w:rFonts w:hint="eastAsia"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采购预算：学生团体人身意外伤害险每生每年30元</w:t>
      </w:r>
      <w:r>
        <w:rPr>
          <w:rFonts w:hint="eastAsia" w:ascii="宋体" w:hAnsi="宋体" w:cs="宋体"/>
          <w:bCs/>
          <w:color w:val="auto"/>
          <w:kern w:val="0"/>
          <w:sz w:val="22"/>
          <w:szCs w:val="22"/>
          <w:highlight w:val="none"/>
          <w:lang w:val="en-US" w:eastAsia="zh-CN"/>
        </w:rPr>
        <w:tab/>
      </w:r>
      <w:r>
        <w:rPr>
          <w:rFonts w:hint="eastAsia" w:ascii="宋体" w:hAnsi="宋体" w:cs="宋体"/>
          <w:bCs/>
          <w:color w:val="auto"/>
          <w:kern w:val="0"/>
          <w:sz w:val="22"/>
          <w:szCs w:val="22"/>
          <w:highlight w:val="none"/>
          <w:lang w:val="en-US" w:eastAsia="zh-CN"/>
        </w:rPr>
        <w:t>；校责险每生每年8元。</w:t>
      </w:r>
    </w:p>
    <w:p w14:paraId="7ECDB754">
      <w:pPr>
        <w:widowControl/>
        <w:spacing w:before="60" w:after="60" w:line="360" w:lineRule="exact"/>
        <w:ind w:left="60" w:right="60" w:firstLine="444"/>
        <w:jc w:val="left"/>
        <w:rPr>
          <w:rFonts w:hint="eastAsia"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采购人数：约5700人。</w:t>
      </w:r>
    </w:p>
    <w:p w14:paraId="5DEAB512">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投标人资格要求：</w:t>
      </w:r>
    </w:p>
    <w:p w14:paraId="1795694F">
      <w:pPr>
        <w:widowControl/>
        <w:spacing w:before="60" w:after="60" w:line="340" w:lineRule="exact"/>
        <w:ind w:left="718" w:leftChars="185" w:right="60" w:hanging="330" w:hangingChars="150"/>
        <w:jc w:val="left"/>
        <w:rPr>
          <w:rFonts w:hint="eastAsia" w:ascii="宋体" w:hAnsi="宋体" w:cs="hakuyoxingshu7000"/>
          <w:bCs/>
          <w:color w:val="auto"/>
          <w:kern w:val="0"/>
          <w:sz w:val="22"/>
          <w:szCs w:val="22"/>
          <w:highlight w:val="none"/>
          <w:lang w:val="en-US" w:eastAsia="zh-CN"/>
        </w:rPr>
      </w:pPr>
      <w:r>
        <w:rPr>
          <w:rFonts w:hint="eastAsia" w:ascii="宋体" w:hAnsi="宋体" w:cs="hakuyoxingshu7000"/>
          <w:bCs/>
          <w:color w:val="auto"/>
          <w:kern w:val="0"/>
          <w:sz w:val="22"/>
          <w:szCs w:val="22"/>
          <w:highlight w:val="none"/>
          <w:lang w:val="en-US" w:eastAsia="zh-CN"/>
        </w:rPr>
        <w:t>基本资格条件：</w:t>
      </w:r>
    </w:p>
    <w:p w14:paraId="1FC2D96B">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5840BB66">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（2）单位负责人为同一人或者存在直接控股、管理关系的不同投标人，不得参加同一合同项下的采购活动；</w:t>
      </w:r>
    </w:p>
    <w:p w14:paraId="3BDF789C">
      <w:pPr>
        <w:widowControl/>
        <w:spacing w:before="60" w:after="60" w:line="340" w:lineRule="exact"/>
        <w:ind w:left="718" w:leftChars="185" w:right="60" w:hanging="330" w:hangingChars="15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（3）本项目不接受联合体投标。</w:t>
      </w:r>
    </w:p>
    <w:p w14:paraId="2387D82A">
      <w:pPr>
        <w:widowControl/>
        <w:spacing w:before="60" w:after="60" w:line="340" w:lineRule="exact"/>
        <w:ind w:left="718" w:leftChars="185" w:right="60" w:hanging="330" w:hangingChars="150"/>
        <w:jc w:val="left"/>
        <w:rPr>
          <w:rFonts w:hint="eastAsia" w:ascii="宋体" w:hAnsi="宋体" w:eastAsia="宋体" w:cs="hakuyoxingshu7000"/>
          <w:bCs/>
          <w:color w:val="auto"/>
          <w:kern w:val="0"/>
          <w:sz w:val="22"/>
          <w:szCs w:val="22"/>
          <w:highlight w:val="none"/>
          <w:lang w:val="en-US" w:eastAsia="zh-CN"/>
        </w:rPr>
      </w:pPr>
      <w:r>
        <w:rPr>
          <w:rFonts w:hint="eastAsia" w:ascii="宋体" w:hAnsi="宋体" w:eastAsia="宋体" w:cs="hakuyoxingshu7000"/>
          <w:bCs/>
          <w:color w:val="auto"/>
          <w:kern w:val="0"/>
          <w:sz w:val="22"/>
          <w:szCs w:val="22"/>
          <w:highlight w:val="none"/>
          <w:lang w:val="en-US" w:eastAsia="zh-CN"/>
        </w:rPr>
        <w:t>特定条件：</w:t>
      </w:r>
    </w:p>
    <w:p w14:paraId="372D70BC">
      <w:pPr>
        <w:widowControl/>
        <w:spacing w:before="60" w:after="60" w:line="340" w:lineRule="exact"/>
        <w:ind w:left="718" w:leftChars="185" w:right="60" w:hanging="330" w:hangingChars="150"/>
        <w:jc w:val="left"/>
        <w:rPr>
          <w:rFonts w:hint="default" w:ascii="宋体" w:hAnsi="宋体" w:eastAsia="宋体" w:cs="hakuyoxingshu7000"/>
          <w:bCs/>
          <w:color w:val="auto"/>
          <w:kern w:val="0"/>
          <w:sz w:val="22"/>
          <w:szCs w:val="22"/>
          <w:highlight w:val="none"/>
          <w:lang w:val="en-US" w:eastAsia="zh-CN"/>
        </w:rPr>
      </w:pPr>
      <w:r>
        <w:rPr>
          <w:rFonts w:hint="eastAsia" w:ascii="宋体" w:hAnsi="宋体" w:eastAsia="宋体" w:cs="hakuyoxingshu7000"/>
          <w:bCs/>
          <w:color w:val="auto"/>
          <w:kern w:val="0"/>
          <w:sz w:val="22"/>
          <w:szCs w:val="22"/>
          <w:highlight w:val="none"/>
          <w:lang w:val="en-US" w:eastAsia="zh-CN"/>
        </w:rPr>
        <w:t>（1）投标人具有有效的《中华人民共和国经营保险业务许可证》；若是分公司或支公司参与投标的，须取得总公司针对本项目的书面授权（如有）。</w:t>
      </w:r>
    </w:p>
    <w:p w14:paraId="016BEE9E">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报名方式、时间及地址、招标文件发售：</w:t>
      </w:r>
    </w:p>
    <w:p w14:paraId="5717AC10">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40A9E228">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29198DD9">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应用，在获取采购文件菜单中选择项目，申请获取采购文件；仅需浏览采购文件的投标人可点击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3700BD5A">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523FB636">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6F125A2D">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投标时间及地点</w:t>
      </w:r>
    </w:p>
    <w:p w14:paraId="6D9AAC29">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投标文件提交截止时间：2025年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18</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0（北京时间）</w:t>
      </w:r>
    </w:p>
    <w:p w14:paraId="6CFC6F8A">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32ADC40E">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2025年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18</w:t>
      </w:r>
      <w:r>
        <w:rPr>
          <w:rFonts w:hint="eastAsia" w:ascii="宋体" w:hAnsi="宋体" w:cs="宋体"/>
          <w:color w:val="auto"/>
          <w:kern w:val="0"/>
          <w:sz w:val="22"/>
          <w:szCs w:val="22"/>
          <w:highlight w:val="none"/>
          <w:lang w:eastAsia="zh-CN"/>
        </w:rPr>
        <w:t>日</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lang w:eastAsia="zh-CN"/>
        </w:rPr>
        <w:t>:30</w:t>
      </w:r>
      <w:r>
        <w:rPr>
          <w:rFonts w:hint="eastAsia" w:ascii="宋体" w:hAnsi="宋体" w:cs="宋体"/>
          <w:color w:val="auto"/>
          <w:kern w:val="0"/>
          <w:sz w:val="22"/>
          <w:szCs w:val="22"/>
          <w:highlight w:val="none"/>
        </w:rPr>
        <w:t>（北京时间）</w:t>
      </w:r>
    </w:p>
    <w:p w14:paraId="506FE8B9">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074D6707">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投标保证金及交付方式：</w:t>
      </w:r>
    </w:p>
    <w:p w14:paraId="438161AA">
      <w:pPr>
        <w:widowControl/>
        <w:spacing w:before="60" w:after="60" w:line="340" w:lineRule="exact"/>
        <w:ind w:left="424" w:leftChars="202" w:right="60"/>
        <w:jc w:val="left"/>
        <w:rPr>
          <w:rFonts w:ascii="宋体" w:hAnsi="宋体" w:cs="hakuyoxingshu7000"/>
          <w:bCs/>
          <w:color w:val="auto"/>
          <w:kern w:val="0"/>
          <w:sz w:val="22"/>
          <w:szCs w:val="22"/>
          <w:highlight w:val="none"/>
        </w:rPr>
      </w:pPr>
      <w:bookmarkStart w:id="27" w:name="B29_谈判保证金"/>
      <w:bookmarkEnd w:id="27"/>
      <w:r>
        <w:rPr>
          <w:rFonts w:hint="eastAsia" w:ascii="宋体" w:hAnsi="宋体" w:cs="hakuyoxingshu7000"/>
          <w:b/>
          <w:color w:val="auto"/>
          <w:kern w:val="0"/>
          <w:sz w:val="22"/>
          <w:szCs w:val="22"/>
          <w:highlight w:val="none"/>
          <w:u w:val="single"/>
        </w:rPr>
        <w:t>本项目无需投标保证金。</w:t>
      </w:r>
    </w:p>
    <w:p w14:paraId="0C21BD9C">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其他事项：</w:t>
      </w:r>
    </w:p>
    <w:p w14:paraId="77BCD805">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1、本公告有效期自公告发布之日起</w:t>
      </w:r>
      <w:r>
        <w:rPr>
          <w:rFonts w:hint="eastAsia" w:ascii="宋体" w:hAnsi="宋体" w:cs="hakuyoxingshu7000"/>
          <w:bCs/>
          <w:color w:val="auto"/>
          <w:kern w:val="0"/>
          <w:sz w:val="22"/>
          <w:szCs w:val="22"/>
          <w:highlight w:val="none"/>
          <w:lang w:val="en-US" w:eastAsia="zh-CN"/>
        </w:rPr>
        <w:t>3</w:t>
      </w:r>
      <w:r>
        <w:rPr>
          <w:rFonts w:hint="eastAsia" w:ascii="宋体" w:hAnsi="宋体" w:cs="hakuyoxingshu7000"/>
          <w:bCs/>
          <w:color w:val="auto"/>
          <w:kern w:val="0"/>
          <w:sz w:val="22"/>
          <w:szCs w:val="22"/>
          <w:highlight w:val="none"/>
        </w:rPr>
        <w:t>个工作日。</w:t>
      </w:r>
    </w:p>
    <w:p w14:paraId="2D8C0EF5">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2、投标人认为招标文件使自己的权益受到损害的，可以自收到招标文件之日（发售截止日之后收到招标文件的，以发售截止日为准），以书面形式向招标人和招标代理机构提出质疑。</w:t>
      </w:r>
    </w:p>
    <w:p w14:paraId="247CB03F">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3、获取招标文件时须提交的文件资料：</w:t>
      </w:r>
    </w:p>
    <w:p w14:paraId="180EBDD2">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法定代表授权书或投标人介绍信（原件）；</w:t>
      </w:r>
    </w:p>
    <w:p w14:paraId="7C6828BD">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企业法人营业执照（影印件）；</w:t>
      </w:r>
    </w:p>
    <w:p w14:paraId="1E0B06A2">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投标人认为需要提供的其他资料.</w:t>
      </w:r>
    </w:p>
    <w:p w14:paraId="175AE20A">
      <w:pPr>
        <w:widowControl/>
        <w:spacing w:before="60" w:after="60" w:line="340" w:lineRule="exact"/>
        <w:ind w:left="424" w:leftChars="202" w:right="60" w:firstLine="220" w:firstLineChars="10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以上资料若为复印件，须加盖投标人公章。</w:t>
      </w:r>
    </w:p>
    <w:p w14:paraId="49B3203A">
      <w:pPr>
        <w:pStyle w:val="122"/>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联系方式</w:t>
      </w:r>
    </w:p>
    <w:p w14:paraId="32C546A5">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1.招标人：温州肯恩大学</w:t>
      </w:r>
    </w:p>
    <w:p w14:paraId="31923821">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15026DE5">
      <w:pPr>
        <w:widowControl/>
        <w:spacing w:line="360" w:lineRule="exact"/>
        <w:ind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联系人：</w:t>
      </w:r>
      <w:r>
        <w:rPr>
          <w:rFonts w:hint="eastAsia" w:ascii="宋体" w:hAnsi="宋体" w:cs="宋体"/>
          <w:bCs/>
          <w:color w:val="auto"/>
          <w:kern w:val="0"/>
          <w:sz w:val="22"/>
          <w:szCs w:val="22"/>
          <w:highlight w:val="none"/>
          <w:lang w:eastAsia="zh-CN"/>
        </w:rPr>
        <w:t>杨老师</w:t>
      </w:r>
    </w:p>
    <w:p w14:paraId="4CC0EA49">
      <w:pPr>
        <w:widowControl/>
        <w:spacing w:line="360" w:lineRule="exact"/>
        <w:ind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电话 / 传真：</w:t>
      </w:r>
      <w:r>
        <w:rPr>
          <w:rFonts w:hint="eastAsia" w:ascii="宋体" w:hAnsi="宋体" w:cs="宋体"/>
          <w:bCs/>
          <w:color w:val="auto"/>
          <w:kern w:val="0"/>
          <w:sz w:val="22"/>
          <w:szCs w:val="22"/>
          <w:highlight w:val="none"/>
          <w:lang w:eastAsia="zh-CN"/>
        </w:rPr>
        <w:t>0577-55870564</w:t>
      </w:r>
    </w:p>
    <w:p w14:paraId="43AB632A">
      <w:pPr>
        <w:widowControl/>
        <w:spacing w:line="360" w:lineRule="exac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质疑联系人：刘老师  </w:t>
      </w:r>
    </w:p>
    <w:p w14:paraId="3DA3ECFC">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质疑联系方式：0577-55870553</w:t>
      </w:r>
    </w:p>
    <w:p w14:paraId="61FC7E1E">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2.招标代理机构：温州元信工程项目管理有限公司</w:t>
      </w:r>
    </w:p>
    <w:p w14:paraId="6AC8D6E9">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地址：温州市新桥街道牛山广场3号楼1905室</w:t>
      </w:r>
    </w:p>
    <w:p w14:paraId="33663FA9">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陈先生、</w:t>
      </w:r>
      <w:r>
        <w:rPr>
          <w:rFonts w:hint="eastAsia" w:ascii="宋体" w:hAnsi="宋体" w:cs="宋体"/>
          <w:bCs/>
          <w:color w:val="auto"/>
          <w:kern w:val="0"/>
          <w:sz w:val="22"/>
          <w:szCs w:val="22"/>
          <w:highlight w:val="none"/>
        </w:rPr>
        <w:t>吴先生</w:t>
      </w:r>
    </w:p>
    <w:p w14:paraId="047C8C36">
      <w:pPr>
        <w:spacing w:line="360" w:lineRule="exact"/>
        <w:ind w:firstLine="440" w:firstLineChars="200"/>
        <w:rPr>
          <w:rFonts w:hint="eastAsia" w:ascii="宋体" w:hAnsi="宋体" w:cs="宋体"/>
          <w:bCs/>
          <w:color w:val="auto"/>
          <w:kern w:val="0"/>
          <w:sz w:val="22"/>
          <w:szCs w:val="22"/>
          <w:highlight w:val="none"/>
          <w:lang w:eastAsia="zh-CN"/>
        </w:rPr>
      </w:pPr>
      <w:r>
        <w:rPr>
          <w:rFonts w:hint="eastAsia" w:ascii="宋体" w:hAnsi="宋体" w:cs="宋体"/>
          <w:bCs/>
          <w:color w:val="auto"/>
          <w:kern w:val="0"/>
          <w:sz w:val="22"/>
          <w:szCs w:val="22"/>
          <w:highlight w:val="none"/>
        </w:rPr>
        <w:t>联系电话：0577-88557963、</w:t>
      </w:r>
      <w:r>
        <w:rPr>
          <w:rFonts w:hint="eastAsia" w:ascii="宋体" w:hAnsi="宋体" w:cs="宋体"/>
          <w:bCs/>
          <w:color w:val="auto"/>
          <w:kern w:val="0"/>
          <w:sz w:val="22"/>
          <w:szCs w:val="22"/>
          <w:highlight w:val="none"/>
          <w:lang w:val="en-US" w:eastAsia="zh-CN"/>
        </w:rPr>
        <w:t>18367896522、</w:t>
      </w:r>
      <w:r>
        <w:rPr>
          <w:rFonts w:hint="eastAsia" w:ascii="宋体" w:hAnsi="宋体" w:cs="宋体"/>
          <w:bCs/>
          <w:color w:val="auto"/>
          <w:kern w:val="0"/>
          <w:sz w:val="22"/>
          <w:szCs w:val="22"/>
          <w:highlight w:val="none"/>
        </w:rPr>
        <w:t>13385770450</w:t>
      </w:r>
    </w:p>
    <w:p w14:paraId="64BD439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质疑联系人：胡先生</w:t>
      </w:r>
    </w:p>
    <w:p w14:paraId="0B66689A">
      <w:pPr>
        <w:spacing w:line="360" w:lineRule="exact"/>
        <w:ind w:firstLine="440" w:firstLineChars="200"/>
        <w:rPr>
          <w:color w:val="auto"/>
          <w:highlight w:val="none"/>
        </w:rPr>
      </w:pPr>
      <w:r>
        <w:rPr>
          <w:rFonts w:hint="eastAsia" w:ascii="宋体" w:hAnsi="宋体" w:cs="宋体"/>
          <w:bCs/>
          <w:color w:val="auto"/>
          <w:kern w:val="0"/>
          <w:sz w:val="22"/>
          <w:szCs w:val="22"/>
          <w:highlight w:val="none"/>
        </w:rPr>
        <w:t>联系电话：</w:t>
      </w:r>
      <w:r>
        <w:rPr>
          <w:rFonts w:hint="eastAsia" w:ascii="宋体" w:hAnsi="宋体" w:cs="hakuyoxingshu7000"/>
          <w:bCs/>
          <w:color w:val="auto"/>
          <w:kern w:val="0"/>
          <w:sz w:val="22"/>
          <w:szCs w:val="22"/>
          <w:highlight w:val="none"/>
        </w:rPr>
        <w:t>15858758581</w:t>
      </w:r>
    </w:p>
    <w:p w14:paraId="376391B9">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3.招标监督管理部门：温州肯恩大学</w:t>
      </w:r>
    </w:p>
    <w:p w14:paraId="2701A82F">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监督联系人：林老师</w:t>
      </w:r>
    </w:p>
    <w:p w14:paraId="69749ABD">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联系电话：0577-55870046</w:t>
      </w:r>
    </w:p>
    <w:p w14:paraId="6E15F330">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7EE9710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C9E9850">
      <w:pPr>
        <w:pStyle w:val="3"/>
        <w:rPr>
          <w:rFonts w:ascii="宋体" w:hAnsi="宋体" w:eastAsia="宋体" w:cs="宋体"/>
          <w:color w:val="auto"/>
          <w:sz w:val="36"/>
          <w:szCs w:val="36"/>
          <w:highlight w:val="none"/>
        </w:rPr>
      </w:pPr>
      <w:bookmarkStart w:id="28" w:name="_Toc10879"/>
      <w:bookmarkStart w:id="29" w:name="_Toc7152"/>
      <w:bookmarkStart w:id="30" w:name="_Toc22767"/>
      <w:bookmarkStart w:id="31" w:name="_Toc27051"/>
      <w:bookmarkStart w:id="32" w:name="_Toc221423615"/>
      <w:bookmarkStart w:id="33" w:name="_Toc222114875"/>
      <w:bookmarkStart w:id="34" w:name="_Toc221356882"/>
      <w:bookmarkStart w:id="35" w:name="_Toc221356947"/>
      <w:bookmarkStart w:id="36" w:name="_Toc262105499"/>
      <w:bookmarkStart w:id="37" w:name="_Toc249758860"/>
      <w:bookmarkStart w:id="38" w:name="_Toc223715994"/>
      <w:bookmarkStart w:id="39" w:name="_Toc241404198"/>
      <w:bookmarkStart w:id="40" w:name="_Toc249758708"/>
      <w:bookmarkStart w:id="41" w:name="_Toc245191310"/>
      <w:bookmarkStart w:id="42" w:name="_Toc246261261"/>
      <w:bookmarkStart w:id="43" w:name="_Toc262049414"/>
      <w:bookmarkStart w:id="44" w:name="_Toc221374622"/>
      <w:bookmarkStart w:id="45" w:name="_Toc239145350"/>
      <w:bookmarkStart w:id="46" w:name="_Toc245722277"/>
      <w:r>
        <w:rPr>
          <w:rFonts w:hint="eastAsia" w:ascii="宋体" w:hAnsi="宋体" w:eastAsia="宋体" w:cs="宋体"/>
          <w:color w:val="auto"/>
          <w:sz w:val="36"/>
          <w:szCs w:val="36"/>
          <w:highlight w:val="none"/>
        </w:rPr>
        <w:t>第一部分    投标人须知</w:t>
      </w:r>
      <w:bookmarkEnd w:id="28"/>
      <w:bookmarkEnd w:id="29"/>
    </w:p>
    <w:p w14:paraId="1ECA9BEF">
      <w:pPr>
        <w:pStyle w:val="3"/>
        <w:spacing w:before="120" w:after="120"/>
        <w:rPr>
          <w:rFonts w:ascii="宋体" w:hAnsi="宋体" w:eastAsia="宋体" w:cs="宋体"/>
          <w:color w:val="auto"/>
          <w:sz w:val="26"/>
          <w:szCs w:val="26"/>
          <w:highlight w:val="none"/>
        </w:rPr>
      </w:pPr>
    </w:p>
    <w:p w14:paraId="4A1AFF9F">
      <w:pPr>
        <w:pStyle w:val="3"/>
        <w:spacing w:before="120" w:after="120"/>
        <w:rPr>
          <w:rFonts w:ascii="宋体" w:hAnsi="宋体" w:eastAsia="宋体" w:cs="宋体"/>
          <w:color w:val="auto"/>
          <w:sz w:val="26"/>
          <w:szCs w:val="26"/>
          <w:highlight w:val="none"/>
        </w:rPr>
      </w:pPr>
      <w:bookmarkStart w:id="47" w:name="_Toc30088"/>
      <w:bookmarkStart w:id="48" w:name="_Toc17373"/>
      <w:r>
        <w:rPr>
          <w:rFonts w:hint="eastAsia" w:ascii="宋体" w:hAnsi="宋体" w:eastAsia="宋体" w:cs="宋体"/>
          <w:color w:val="auto"/>
          <w:sz w:val="26"/>
          <w:szCs w:val="26"/>
          <w:highlight w:val="none"/>
        </w:rPr>
        <w:t>一、须知前附表</w:t>
      </w:r>
      <w:bookmarkEnd w:id="30"/>
      <w:bookmarkEnd w:id="31"/>
      <w:bookmarkEnd w:id="47"/>
      <w:bookmarkEnd w:id="48"/>
    </w:p>
    <w:tbl>
      <w:tblPr>
        <w:tblStyle w:val="62"/>
        <w:tblW w:w="4983" w:type="pct"/>
        <w:tblInd w:w="0" w:type="dxa"/>
        <w:tblLayout w:type="autofit"/>
        <w:tblCellMar>
          <w:top w:w="0" w:type="dxa"/>
          <w:left w:w="108" w:type="dxa"/>
          <w:bottom w:w="0" w:type="dxa"/>
          <w:right w:w="108" w:type="dxa"/>
        </w:tblCellMar>
      </w:tblPr>
      <w:tblGrid>
        <w:gridCol w:w="1041"/>
        <w:gridCol w:w="1478"/>
        <w:gridCol w:w="7409"/>
      </w:tblGrid>
      <w:tr w14:paraId="3D2249B6">
        <w:tblPrEx>
          <w:tblCellMar>
            <w:top w:w="0" w:type="dxa"/>
            <w:left w:w="108" w:type="dxa"/>
            <w:bottom w:w="0" w:type="dxa"/>
            <w:right w:w="108" w:type="dxa"/>
          </w:tblCellMar>
        </w:tblPrEx>
        <w:trPr>
          <w:trHeight w:val="567"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C56EB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C69E3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D930C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695094FF">
        <w:tblPrEx>
          <w:tblCellMar>
            <w:top w:w="0" w:type="dxa"/>
            <w:left w:w="108" w:type="dxa"/>
            <w:bottom w:w="0" w:type="dxa"/>
            <w:right w:w="108" w:type="dxa"/>
          </w:tblCellMar>
        </w:tblPrEx>
        <w:trPr>
          <w:trHeight w:val="967"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6AEB6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CD614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7E7CFB">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招标人：温州肯恩大学</w:t>
            </w:r>
          </w:p>
          <w:p w14:paraId="47945986">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eastAsia="zh-CN"/>
              </w:rPr>
              <w:t>杨老师</w:t>
            </w:r>
          </w:p>
          <w:p w14:paraId="6CAB061B">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电话 / 传真：</w:t>
            </w:r>
            <w:r>
              <w:rPr>
                <w:rFonts w:hint="eastAsia" w:ascii="宋体" w:hAnsi="宋体" w:cs="宋体"/>
                <w:color w:val="auto"/>
                <w:kern w:val="0"/>
                <w:sz w:val="22"/>
                <w:szCs w:val="22"/>
                <w:highlight w:val="none"/>
                <w:lang w:eastAsia="zh-CN"/>
              </w:rPr>
              <w:t>0577-55870564</w:t>
            </w:r>
          </w:p>
        </w:tc>
      </w:tr>
      <w:tr w14:paraId="3A8B7138">
        <w:tblPrEx>
          <w:tblCellMar>
            <w:top w:w="0" w:type="dxa"/>
            <w:left w:w="108" w:type="dxa"/>
            <w:bottom w:w="0" w:type="dxa"/>
            <w:right w:w="108" w:type="dxa"/>
          </w:tblCellMar>
        </w:tblPrEx>
        <w:trPr>
          <w:trHeight w:val="98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9F3C4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04626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招标代理机构</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5D94D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招标代理机构名称：温州元信工程项目管理有限公司</w:t>
            </w:r>
          </w:p>
          <w:p w14:paraId="26B68F5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14:paraId="3EC724AD">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联系人：陈先生、吴先生</w:t>
            </w:r>
          </w:p>
          <w:p w14:paraId="63DD75A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联系电话：0577-88557963、18367896522、13385770450</w:t>
            </w:r>
          </w:p>
        </w:tc>
      </w:tr>
      <w:tr w14:paraId="1FADAFA7">
        <w:tblPrEx>
          <w:tblCellMar>
            <w:top w:w="0" w:type="dxa"/>
            <w:left w:w="108" w:type="dxa"/>
            <w:bottom w:w="0" w:type="dxa"/>
            <w:right w:w="108" w:type="dxa"/>
          </w:tblCellMar>
        </w:tblPrEx>
        <w:trPr>
          <w:trHeight w:val="75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B703D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FDB45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招标名称</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47D1F7">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2025年学生团体人身意外伤害险及校责险</w:t>
            </w:r>
          </w:p>
          <w:p w14:paraId="0895E451">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lang w:eastAsia="zh-CN"/>
              </w:rPr>
              <w:t>WZYX-C2025062101</w:t>
            </w:r>
          </w:p>
        </w:tc>
      </w:tr>
      <w:tr w14:paraId="022CD7DF">
        <w:tblPrEx>
          <w:tblCellMar>
            <w:top w:w="0" w:type="dxa"/>
            <w:left w:w="108" w:type="dxa"/>
            <w:bottom w:w="0" w:type="dxa"/>
            <w:right w:w="108" w:type="dxa"/>
          </w:tblCellMar>
        </w:tblPrEx>
        <w:trPr>
          <w:trHeight w:val="75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377CC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2D071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招标内容</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B27533">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7DFCC4B5">
        <w:tblPrEx>
          <w:tblCellMar>
            <w:top w:w="0" w:type="dxa"/>
            <w:left w:w="108" w:type="dxa"/>
            <w:bottom w:w="0" w:type="dxa"/>
            <w:right w:w="108" w:type="dxa"/>
          </w:tblCellMar>
        </w:tblPrEx>
        <w:trPr>
          <w:trHeight w:val="75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5B673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76BF76">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96B930">
            <w:pPr>
              <w:spacing w:line="360" w:lineRule="exac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本项目为服务类采购，无核心产品。</w:t>
            </w:r>
          </w:p>
        </w:tc>
      </w:tr>
      <w:tr w14:paraId="760532AC">
        <w:tblPrEx>
          <w:tblCellMar>
            <w:top w:w="0" w:type="dxa"/>
            <w:left w:w="108" w:type="dxa"/>
            <w:bottom w:w="0" w:type="dxa"/>
            <w:right w:w="108" w:type="dxa"/>
          </w:tblCellMar>
        </w:tblPrEx>
        <w:trPr>
          <w:trHeight w:val="116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63F8B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D01A4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2E1CF4">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详见招标公告</w:t>
            </w:r>
          </w:p>
        </w:tc>
      </w:tr>
      <w:tr w14:paraId="38CCDCD6">
        <w:tblPrEx>
          <w:tblCellMar>
            <w:top w:w="0" w:type="dxa"/>
            <w:left w:w="108" w:type="dxa"/>
            <w:bottom w:w="0" w:type="dxa"/>
            <w:right w:w="108" w:type="dxa"/>
          </w:tblCellMar>
        </w:tblPrEx>
        <w:trPr>
          <w:trHeight w:val="73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94F9F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EEDFF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EFC3C5">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FE"/>
            </w:r>
            <w:r>
              <w:rPr>
                <w:rFonts w:hint="eastAsia" w:ascii="宋体" w:hAnsi="宋体" w:cs="宋体"/>
                <w:color w:val="auto"/>
                <w:highlight w:val="none"/>
                <w:lang w:val="zh-CN"/>
              </w:rPr>
              <w:t>不接受</w:t>
            </w:r>
          </w:p>
          <w:p w14:paraId="0AD26126">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highlight w:val="none"/>
                <w:lang w:val="zh-CN"/>
              </w:rPr>
              <w:sym w:font="Wingdings 2" w:char="00A3"/>
            </w:r>
            <w:r>
              <w:rPr>
                <w:rFonts w:hint="eastAsia" w:ascii="宋体" w:hAnsi="宋体" w:cs="宋体"/>
                <w:color w:val="auto"/>
                <w:highlight w:val="none"/>
                <w:lang w:val="zh-CN"/>
              </w:rPr>
              <w:t>接受</w:t>
            </w:r>
            <w:r>
              <w:rPr>
                <w:rFonts w:hint="eastAsia" w:ascii="宋体" w:hAnsi="宋体" w:cs="宋体"/>
                <w:color w:val="auto"/>
                <w:kern w:val="0"/>
                <w:sz w:val="22"/>
                <w:szCs w:val="22"/>
                <w:highlight w:val="none"/>
              </w:rPr>
              <w:t>，应满足下列要求：</w:t>
            </w:r>
          </w:p>
          <w:p w14:paraId="5998716F">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14:paraId="63450EC3">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0959483D">
            <w:pPr>
              <w:pStyle w:val="33"/>
              <w:rPr>
                <w:rFonts w:hAnsi="宋体" w:cs="宋体"/>
                <w:color w:val="auto"/>
                <w:highlight w:val="none"/>
                <w:lang w:val="zh-CN"/>
              </w:rPr>
            </w:pPr>
            <w:r>
              <w:rPr>
                <w:rFonts w:hint="eastAsia" w:hAnsi="宋体" w:cs="宋体"/>
                <w:color w:val="auto"/>
                <w:sz w:val="22"/>
                <w:szCs w:val="22"/>
                <w:highlight w:val="none"/>
              </w:rPr>
              <w:t>（3）联合体成员不超过两家。</w:t>
            </w:r>
          </w:p>
        </w:tc>
      </w:tr>
      <w:tr w14:paraId="6BFEA899">
        <w:tblPrEx>
          <w:tblCellMar>
            <w:top w:w="0" w:type="dxa"/>
            <w:left w:w="108" w:type="dxa"/>
            <w:bottom w:w="0" w:type="dxa"/>
            <w:right w:w="108" w:type="dxa"/>
          </w:tblCellMar>
        </w:tblPrEx>
        <w:trPr>
          <w:trHeight w:val="73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341EA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3F7A2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EEF04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322F554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p w14:paraId="5B21EE4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如有需要投标人自行前往项目现场进行踏勘，投标人因现场踏勘影响投标报价、方案编制的，由投标人自行承担。因投标人自身不能参加现场勘察或现场踏勘不全面的，投标人不得因此提出修改投标报价或提出索赔等要求。</w:t>
            </w:r>
          </w:p>
        </w:tc>
      </w:tr>
      <w:tr w14:paraId="30B2EB5A">
        <w:tblPrEx>
          <w:tblCellMar>
            <w:top w:w="0" w:type="dxa"/>
            <w:left w:w="108" w:type="dxa"/>
            <w:bottom w:w="0" w:type="dxa"/>
            <w:right w:w="108" w:type="dxa"/>
          </w:tblCellMar>
        </w:tblPrEx>
        <w:trPr>
          <w:trHeight w:val="73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9DB84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6280B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89E2A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5CB960F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1CA205F8">
        <w:tblPrEx>
          <w:tblCellMar>
            <w:top w:w="0" w:type="dxa"/>
            <w:left w:w="108" w:type="dxa"/>
            <w:bottom w:w="0" w:type="dxa"/>
            <w:right w:w="108" w:type="dxa"/>
          </w:tblCellMar>
        </w:tblPrEx>
        <w:trPr>
          <w:trHeight w:val="73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2E33C1">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2050C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A397D5">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7ACCA947">
        <w:tblPrEx>
          <w:tblCellMar>
            <w:top w:w="0" w:type="dxa"/>
            <w:left w:w="108" w:type="dxa"/>
            <w:bottom w:w="0" w:type="dxa"/>
            <w:right w:w="108" w:type="dxa"/>
          </w:tblCellMar>
        </w:tblPrEx>
        <w:trPr>
          <w:trHeight w:val="73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1E220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9106C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B9F219">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FE"/>
            </w:r>
            <w:r>
              <w:rPr>
                <w:rFonts w:hint="eastAsia" w:ascii="宋体" w:hAnsi="宋体" w:cs="宋体"/>
                <w:color w:val="auto"/>
                <w:highlight w:val="none"/>
                <w:lang w:val="zh-CN"/>
              </w:rPr>
              <w:t>不允许</w:t>
            </w:r>
          </w:p>
          <w:p w14:paraId="2F2B52EF">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sym w:font="Wingdings 2" w:char="00A3"/>
            </w:r>
            <w:r>
              <w:rPr>
                <w:rFonts w:hint="eastAsia" w:ascii="宋体" w:hAnsi="宋体" w:cs="宋体"/>
                <w:color w:val="auto"/>
                <w:highlight w:val="none"/>
                <w:lang w:val="zh-CN"/>
              </w:rPr>
              <w:t>允许</w:t>
            </w:r>
            <w:r>
              <w:rPr>
                <w:rFonts w:hint="eastAsia" w:ascii="宋体" w:hAnsi="宋体" w:cs="宋体"/>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非核心内容允许大中型企业向小微企业合理分包，若分包需在投标文件内提供分包意向书，明确分包内容及金额比例。</w:t>
            </w:r>
          </w:p>
        </w:tc>
      </w:tr>
      <w:tr w14:paraId="4A71BD53">
        <w:tblPrEx>
          <w:tblCellMar>
            <w:top w:w="0" w:type="dxa"/>
            <w:left w:w="108" w:type="dxa"/>
            <w:bottom w:w="0" w:type="dxa"/>
            <w:right w:w="108" w:type="dxa"/>
          </w:tblCellMar>
        </w:tblPrEx>
        <w:trPr>
          <w:trHeight w:val="108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CE72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460EB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4C9F7F">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491726FC">
        <w:tblPrEx>
          <w:tblCellMar>
            <w:top w:w="0" w:type="dxa"/>
            <w:left w:w="108" w:type="dxa"/>
            <w:bottom w:w="0" w:type="dxa"/>
            <w:right w:w="108" w:type="dxa"/>
          </w:tblCellMar>
        </w:tblPrEx>
        <w:trPr>
          <w:trHeight w:val="68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9D76F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29F19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095DA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2D60D052">
        <w:tblPrEx>
          <w:tblCellMar>
            <w:top w:w="0" w:type="dxa"/>
            <w:left w:w="108" w:type="dxa"/>
            <w:bottom w:w="0" w:type="dxa"/>
            <w:right w:w="108" w:type="dxa"/>
          </w:tblCellMar>
        </w:tblPrEx>
        <w:trPr>
          <w:trHeight w:val="846"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E3FF2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D8BCA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F8AD9E">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11ECB76A">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A3E472">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CC8B9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D8A24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74832FF3">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5343D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38B30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2399A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45455DC9">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70CA3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5C07D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1E2FD56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AE002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详见招标公告</w:t>
            </w:r>
          </w:p>
          <w:p w14:paraId="29D1F04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51F72F9E">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ED060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E645A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3BA7BE">
            <w:pPr>
              <w:pStyle w:val="24"/>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供应商》（投标人自行去政采云系统上进行下载）.</w:t>
            </w:r>
          </w:p>
          <w:p w14:paraId="08A98358">
            <w:pPr>
              <w:pStyle w:val="24"/>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11B93AAA">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7831A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698B85">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47A545EC">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3991E5">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招标人按照《中华人民共和国政府采购法》等有关法律、法规的规定组建评标委员会，评标委员会由招标人代表和有关技术、经济等方面的专家组成，成员人数为3人（含）以上单数，除招标人代表外的专家将在评标专家库中随机抽取产生。</w:t>
            </w:r>
          </w:p>
        </w:tc>
      </w:tr>
      <w:tr w14:paraId="53806A79">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78120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01F8DD">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3CED64">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6AEE04B0">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7842D32D">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40EAF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5C740A">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投标人信用查询</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6BEFF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7664689A">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（2）投标人信用信息查询记录和证据留存的具体方式：网页截图打印；</w:t>
            </w:r>
          </w:p>
          <w:p w14:paraId="7AA0FE4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231F9277">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1988FDDA">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216A0EEB">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（4）具有以上（3）所述信息记录的投标人，其投标做无效投标处理。</w:t>
            </w:r>
          </w:p>
        </w:tc>
      </w:tr>
      <w:tr w14:paraId="3969F975">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C3E43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F8D8A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78C809">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（1）中标投标人在中标通知书发出之日起30日历天内与招标人签订合同。</w:t>
            </w:r>
          </w:p>
          <w:p w14:paraId="391E85E1">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（2）中标投标人与招标人签订合同后，2日历天内将合同扫描件电子版发给招标代理机构：邮箱：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1E753C6A">
        <w:tblPrEx>
          <w:tblCellMar>
            <w:top w:w="0" w:type="dxa"/>
            <w:left w:w="108" w:type="dxa"/>
            <w:bottom w:w="0" w:type="dxa"/>
            <w:right w:w="108" w:type="dxa"/>
          </w:tblCellMar>
        </w:tblPrEx>
        <w:trPr>
          <w:trHeight w:val="795"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4A0A01">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734BB5">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FECC9B">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合同签订后，招标人依法加强对合同履约进行管理，并在中标单位服务、项目验收等重要关节，如实填写《合同验收报告》（或考核资料），并及时向同级财政部门报告验收过程中遇到的问题。</w:t>
            </w:r>
          </w:p>
        </w:tc>
      </w:tr>
      <w:tr w14:paraId="3EB4DF71">
        <w:tblPrEx>
          <w:tblCellMar>
            <w:top w:w="0" w:type="dxa"/>
            <w:left w:w="108" w:type="dxa"/>
            <w:bottom w:w="0" w:type="dxa"/>
            <w:right w:w="108" w:type="dxa"/>
          </w:tblCellMar>
        </w:tblPrEx>
        <w:trPr>
          <w:trHeight w:val="90"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4EBE61">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FD2342">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FC8453">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招标人负责解释。</w:t>
            </w:r>
          </w:p>
        </w:tc>
      </w:tr>
      <w:tr w14:paraId="60518DDF">
        <w:tblPrEx>
          <w:tblCellMar>
            <w:top w:w="0" w:type="dxa"/>
            <w:left w:w="108" w:type="dxa"/>
            <w:bottom w:w="0" w:type="dxa"/>
            <w:right w:w="108" w:type="dxa"/>
          </w:tblCellMar>
        </w:tblPrEx>
        <w:trPr>
          <w:trHeight w:val="1063" w:hRule="atLeast"/>
        </w:trPr>
        <w:tc>
          <w:tcPr>
            <w:tcW w:w="5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6ACE4B">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32360C">
            <w:pPr>
              <w:spacing w:line="40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招标代理服务费</w:t>
            </w:r>
            <w:r>
              <w:rPr>
                <w:rFonts w:hint="eastAsia" w:ascii="宋体" w:hAnsi="宋体" w:cs="宋体"/>
                <w:color w:val="auto"/>
                <w:sz w:val="22"/>
                <w:szCs w:val="22"/>
                <w:highlight w:val="none"/>
                <w:lang w:val="en-US" w:eastAsia="zh-CN"/>
              </w:rPr>
              <w:t>及履约验收费用</w:t>
            </w:r>
          </w:p>
        </w:tc>
        <w:tc>
          <w:tcPr>
            <w:tcW w:w="373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A328E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（1）本次招标代理服务费按照固定金额4500元向中标人收取，中标人在领取中标通知书之前一次性支付给招标代理机构，投标人在报价时应充分考虑该部分费用；</w:t>
            </w:r>
          </w:p>
          <w:p w14:paraId="729FCC9F">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000000" w:themeColor="text1"/>
                <w:sz w:val="22"/>
                <w:szCs w:val="22"/>
                <w:highlight w:val="none"/>
                <w:lang w:val="en-US" w:eastAsia="zh-CN"/>
                <w14:textFill>
                  <w14:solidFill>
                    <w14:schemeClr w14:val="tx1"/>
                  </w14:solidFill>
                </w14:textFill>
              </w:rPr>
              <w:t>履约</w:t>
            </w:r>
            <w:r>
              <w:rPr>
                <w:rFonts w:hint="eastAsia" w:ascii="新宋体" w:hAnsi="新宋体" w:eastAsia="新宋体" w:cs="新宋体"/>
                <w:color w:val="000000" w:themeColor="text1"/>
                <w:sz w:val="22"/>
                <w:szCs w:val="22"/>
                <w:highlight w:val="none"/>
                <w14:textFill>
                  <w14:solidFill>
                    <w14:schemeClr w14:val="tx1"/>
                  </w14:solidFill>
                </w14:textFill>
              </w:rPr>
              <w:t>验收服务费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各</w:t>
            </w:r>
            <w:r>
              <w:rPr>
                <w:rFonts w:hint="eastAsia" w:ascii="宋体" w:hAnsi="宋体" w:cs="宋体"/>
                <w:color w:val="auto"/>
                <w:sz w:val="22"/>
                <w:szCs w:val="22"/>
                <w:highlight w:val="none"/>
                <w:lang w:val="en-US" w:eastAsia="zh-CN"/>
              </w:rPr>
              <w:t>标项均</w:t>
            </w:r>
            <w:r>
              <w:rPr>
                <w:rFonts w:hint="eastAsia" w:ascii="新宋体" w:hAnsi="新宋体" w:eastAsia="新宋体" w:cs="新宋体"/>
                <w:color w:val="000000" w:themeColor="text1"/>
                <w:sz w:val="22"/>
                <w:szCs w:val="22"/>
                <w:highlight w:val="none"/>
                <w14:textFill>
                  <w14:solidFill>
                    <w14:schemeClr w14:val="tx1"/>
                  </w14:solidFill>
                </w14:textFill>
              </w:rPr>
              <w:t>按</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3500元</w:t>
            </w:r>
            <w:r>
              <w:rPr>
                <w:rFonts w:hint="eastAsia" w:ascii="新宋体" w:hAnsi="新宋体" w:eastAsia="新宋体" w:cs="新宋体"/>
                <w:color w:val="000000" w:themeColor="text1"/>
                <w:sz w:val="22"/>
                <w:szCs w:val="22"/>
                <w:highlight w:val="none"/>
                <w14:textFill>
                  <w14:solidFill>
                    <w14:schemeClr w14:val="tx1"/>
                  </w14:solidFill>
                </w14:textFill>
              </w:rPr>
              <w:t>计取</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auto"/>
                <w:sz w:val="22"/>
                <w:szCs w:val="22"/>
                <w:highlight w:val="none"/>
              </w:rPr>
              <w:t>由</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在领取成交通知书之前一次性支付给采购代理机构</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人</w:t>
            </w:r>
            <w:r>
              <w:rPr>
                <w:rFonts w:hint="eastAsia" w:ascii="宋体" w:hAnsi="宋体" w:cs="宋体"/>
                <w:color w:val="000000" w:themeColor="text1"/>
                <w:sz w:val="22"/>
                <w:szCs w:val="22"/>
                <w:highlight w:val="none"/>
                <w14:textFill>
                  <w14:solidFill>
                    <w14:schemeClr w14:val="tx1"/>
                  </w14:solidFill>
                </w14:textFill>
              </w:rPr>
              <w:t>在报价时应充分考虑该部分费用。</w:t>
            </w:r>
          </w:p>
          <w:p w14:paraId="36371F6E">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）招标代理服务费可以是现金、支票或汇票。</w:t>
            </w:r>
          </w:p>
          <w:p w14:paraId="67375225">
            <w:pPr>
              <w:pStyle w:val="757"/>
              <w:spacing w:line="400" w:lineRule="exact"/>
              <w:rPr>
                <w:rFonts w:cs="宋体"/>
                <w:color w:val="auto"/>
                <w:sz w:val="22"/>
                <w:highlight w:val="none"/>
                <w:lang w:val="en-US"/>
              </w:rPr>
            </w:pPr>
            <w:r>
              <w:rPr>
                <w:rFonts w:hint="eastAsia" w:cs="宋体"/>
                <w:color w:val="auto"/>
                <w:sz w:val="22"/>
                <w:highlight w:val="none"/>
              </w:rPr>
              <w:t>（</w:t>
            </w:r>
            <w:r>
              <w:rPr>
                <w:rFonts w:hint="eastAsia" w:cs="宋体"/>
                <w:color w:val="auto"/>
                <w:sz w:val="22"/>
                <w:highlight w:val="none"/>
                <w:lang w:val="en-US" w:eastAsia="zh-CN"/>
              </w:rPr>
              <w:t>4</w:t>
            </w:r>
            <w:r>
              <w:rPr>
                <w:rFonts w:hint="eastAsia" w:cs="宋体"/>
                <w:color w:val="auto"/>
                <w:sz w:val="22"/>
                <w:highlight w:val="none"/>
                <w:lang w:val="en-US"/>
              </w:rPr>
              <w:t>）银行信息</w:t>
            </w:r>
          </w:p>
          <w:p w14:paraId="1DAEFAC0">
            <w:pPr>
              <w:pStyle w:val="757"/>
              <w:spacing w:line="400" w:lineRule="exact"/>
              <w:ind w:firstLine="440" w:firstLineChars="200"/>
              <w:rPr>
                <w:rFonts w:hint="eastAsia" w:ascii="宋体" w:hAnsi="宋体" w:eastAsia="宋体" w:cs="宋体"/>
                <w:color w:val="auto"/>
                <w:sz w:val="22"/>
                <w:highlight w:val="none"/>
                <w:lang w:val="en-US"/>
              </w:rPr>
            </w:pPr>
            <w:r>
              <w:rPr>
                <w:rFonts w:hint="eastAsia" w:cs="宋体"/>
                <w:color w:val="auto"/>
                <w:sz w:val="22"/>
                <w:highlight w:val="none"/>
                <w:lang w:val="en-US"/>
              </w:rPr>
              <w:t>户    名</w:t>
            </w:r>
            <w:r>
              <w:rPr>
                <w:rFonts w:hint="eastAsia" w:cs="宋体"/>
                <w:color w:val="auto"/>
                <w:sz w:val="22"/>
                <w:highlight w:val="none"/>
                <w:lang w:val="en-US" w:eastAsia="zh-CN"/>
              </w:rPr>
              <w:t>：</w:t>
            </w:r>
            <w:r>
              <w:rPr>
                <w:rFonts w:hint="eastAsia" w:cs="宋体"/>
                <w:color w:val="auto"/>
                <w:sz w:val="22"/>
                <w:highlight w:val="none"/>
                <w:lang w:val="en-US"/>
              </w:rPr>
              <w:t>温州</w:t>
            </w:r>
            <w:r>
              <w:rPr>
                <w:rFonts w:hint="eastAsia" w:ascii="宋体" w:hAnsi="宋体" w:eastAsia="宋体" w:cs="宋体"/>
                <w:color w:val="auto"/>
                <w:sz w:val="22"/>
                <w:highlight w:val="none"/>
                <w:lang w:val="en-US"/>
              </w:rPr>
              <w:t>元信工程项目管理有限公司</w:t>
            </w:r>
          </w:p>
          <w:p w14:paraId="7B5C04A3">
            <w:pPr>
              <w:pStyle w:val="757"/>
              <w:spacing w:line="400" w:lineRule="exact"/>
              <w:ind w:firstLine="440" w:firstLineChars="200"/>
              <w:rPr>
                <w:rFonts w:hint="eastAsia" w:ascii="宋体" w:hAnsi="宋体" w:eastAsia="宋体" w:cs="宋体"/>
                <w:color w:val="auto"/>
                <w:sz w:val="22"/>
                <w:highlight w:val="none"/>
                <w:lang w:val="en-US"/>
              </w:rPr>
            </w:pPr>
            <w:r>
              <w:rPr>
                <w:rFonts w:hint="eastAsia" w:ascii="宋体" w:hAnsi="宋体" w:eastAsia="宋体" w:cs="宋体"/>
                <w:color w:val="auto"/>
                <w:sz w:val="22"/>
                <w:highlight w:val="none"/>
                <w:lang w:val="en-US"/>
              </w:rPr>
              <w:t>账户号码</w:t>
            </w:r>
            <w:r>
              <w:rPr>
                <w:rFonts w:hint="eastAsia" w:cs="宋体"/>
                <w:color w:val="auto"/>
                <w:sz w:val="22"/>
                <w:highlight w:val="none"/>
                <w:lang w:val="en-US" w:eastAsia="zh-CN"/>
              </w:rPr>
              <w:t>：</w:t>
            </w:r>
            <w:r>
              <w:rPr>
                <w:rFonts w:hint="eastAsia" w:ascii="宋体" w:hAnsi="宋体" w:eastAsia="宋体" w:cs="宋体"/>
                <w:color w:val="auto"/>
                <w:sz w:val="22"/>
                <w:highlight w:val="none"/>
                <w:lang w:val="en-US"/>
              </w:rPr>
              <w:t>201000300425754</w:t>
            </w:r>
          </w:p>
          <w:p w14:paraId="2B5F5EF6">
            <w:pPr>
              <w:spacing w:line="400" w:lineRule="exact"/>
              <w:ind w:firstLine="440" w:firstLineChars="200"/>
              <w:rPr>
                <w:rFonts w:hint="eastAsia" w:ascii="宋体" w:hAnsi="宋体" w:cs="宋体"/>
                <w:color w:val="auto"/>
                <w:sz w:val="22"/>
                <w:szCs w:val="22"/>
                <w:highlight w:val="none"/>
                <w:lang w:val="zh-CN"/>
              </w:rPr>
            </w:pPr>
            <w:r>
              <w:rPr>
                <w:rFonts w:hint="eastAsia" w:ascii="宋体" w:hAnsi="宋体" w:eastAsia="宋体" w:cs="宋体"/>
                <w:color w:val="auto"/>
                <w:sz w:val="22"/>
                <w:highlight w:val="none"/>
                <w:lang w:val="en-US"/>
              </w:rPr>
              <w:t>开户银行</w:t>
            </w:r>
            <w:r>
              <w:rPr>
                <w:rFonts w:hint="eastAsia" w:cs="宋体"/>
                <w:color w:val="auto"/>
                <w:sz w:val="22"/>
                <w:highlight w:val="none"/>
                <w:lang w:val="en-US" w:eastAsia="zh-CN"/>
              </w:rPr>
              <w:t>：</w:t>
            </w:r>
            <w:r>
              <w:rPr>
                <w:rFonts w:hint="eastAsia" w:ascii="宋体" w:hAnsi="宋体" w:eastAsia="宋体" w:cs="宋体"/>
                <w:color w:val="auto"/>
                <w:sz w:val="22"/>
                <w:highlight w:val="none"/>
                <w:lang w:val="en-US"/>
              </w:rPr>
              <w:t>瓯海农村商业银行股份有限公司新桥支行高翔分理处</w:t>
            </w:r>
          </w:p>
        </w:tc>
      </w:tr>
      <w:tr w14:paraId="514EE078">
        <w:tblPrEx>
          <w:tblCellMar>
            <w:top w:w="0" w:type="dxa"/>
            <w:left w:w="108" w:type="dxa"/>
            <w:bottom w:w="0" w:type="dxa"/>
            <w:right w:w="108" w:type="dxa"/>
          </w:tblCellMar>
        </w:tblPrEx>
        <w:trPr>
          <w:trHeight w:val="817" w:hRule="atLeast"/>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8AA5BE">
            <w:pPr>
              <w:spacing w:line="400" w:lineRule="exact"/>
              <w:jc w:val="center"/>
              <w:rPr>
                <w:rFonts w:hint="eastAsia" w:ascii="宋体" w:hAnsi="宋体" w:cs="宋体"/>
                <w:color w:val="auto"/>
                <w:kern w:val="0"/>
                <w:sz w:val="22"/>
                <w:szCs w:val="22"/>
                <w:highlight w:val="none"/>
              </w:rPr>
            </w:pPr>
            <w:r>
              <w:rPr>
                <w:rFonts w:hint="eastAsia" w:ascii="宋体" w:hAnsi="宋体" w:cs="宋体"/>
                <w:kern w:val="0"/>
                <w:sz w:val="22"/>
                <w:szCs w:val="22"/>
                <w:highlight w:val="none"/>
                <w:lang w:val="en-US" w:eastAsia="zh-CN"/>
              </w:rPr>
              <w:t>26</w:t>
            </w:r>
          </w:p>
        </w:tc>
        <w:tc>
          <w:tcPr>
            <w:tcW w:w="14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A866DC">
            <w:pPr>
              <w:spacing w:line="400" w:lineRule="exact"/>
              <w:rPr>
                <w:rFonts w:hint="eastAsia" w:ascii="宋体" w:hAnsi="宋体" w:cs="宋体"/>
                <w:color w:val="auto"/>
                <w:sz w:val="22"/>
                <w:szCs w:val="22"/>
                <w:highlight w:val="none"/>
              </w:rPr>
            </w:pPr>
            <w:r>
              <w:rPr>
                <w:rFonts w:hint="eastAsia" w:ascii="宋体" w:hAnsi="宋体" w:cs="宋体"/>
                <w:sz w:val="22"/>
                <w:szCs w:val="22"/>
                <w:highlight w:val="none"/>
                <w:lang w:val="en-US" w:eastAsia="zh-CN"/>
              </w:rPr>
              <w:t>政采云</w:t>
            </w:r>
            <w:r>
              <w:rPr>
                <w:rFonts w:hint="eastAsia" w:ascii="宋体" w:hAnsi="宋体" w:cs="宋体"/>
                <w:sz w:val="22"/>
                <w:szCs w:val="22"/>
                <w:highlight w:val="none"/>
              </w:rPr>
              <w:t>采购平台收费</w:t>
            </w:r>
          </w:p>
        </w:tc>
        <w:tc>
          <w:tcPr>
            <w:tcW w:w="740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5284F1">
            <w:pPr>
              <w:spacing w:line="400" w:lineRule="exac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政采云</w:t>
            </w:r>
            <w:r>
              <w:rPr>
                <w:rFonts w:hint="eastAsia" w:ascii="宋体" w:hAnsi="宋体" w:eastAsia="宋体" w:cs="宋体"/>
                <w:sz w:val="22"/>
                <w:szCs w:val="22"/>
                <w:highlight w:val="none"/>
              </w:rPr>
              <w:t>采购平台项目采购收费标准(</w:t>
            </w:r>
            <w:r>
              <w:rPr>
                <w:rFonts w:hint="eastAsia" w:ascii="宋体" w:hAnsi="宋体" w:eastAsia="宋体" w:cs="宋体"/>
                <w:sz w:val="22"/>
                <w:szCs w:val="22"/>
                <w:highlight w:val="none"/>
                <w:lang w:val="en-US" w:eastAsia="zh-CN"/>
              </w:rPr>
              <w:t>温州肯恩大学</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w:t>
            </w:r>
          </w:p>
          <w:p w14:paraId="2FF92CA1">
            <w:pPr>
              <w:spacing w:line="40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一、收费标准</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按800元收取</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 xml:space="preserve"> </w:t>
            </w:r>
          </w:p>
          <w:p w14:paraId="01C11049">
            <w:pPr>
              <w:spacing w:line="40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二、收费对象</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中标供应商</w:t>
            </w:r>
            <w:r>
              <w:rPr>
                <w:rFonts w:hint="eastAsia" w:ascii="宋体" w:hAnsi="宋体" w:cs="宋体"/>
                <w:sz w:val="22"/>
                <w:szCs w:val="22"/>
                <w:highlight w:val="none"/>
                <w:lang w:val="en-US" w:eastAsia="zh-CN"/>
              </w:rPr>
              <w:t>。</w:t>
            </w:r>
          </w:p>
          <w:p w14:paraId="4BFC1F0A">
            <w:pPr>
              <w:spacing w:line="400" w:lineRule="exac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三、缴款内容</w:t>
            </w:r>
            <w:r>
              <w:rPr>
                <w:rFonts w:hint="eastAsia" w:ascii="宋体" w:hAnsi="宋体" w:cs="宋体"/>
                <w:sz w:val="22"/>
                <w:szCs w:val="22"/>
                <w:highlight w:val="none"/>
                <w:lang w:val="en-US" w:eastAsia="zh-CN"/>
              </w:rPr>
              <w:t>：</w:t>
            </w:r>
          </w:p>
          <w:p w14:paraId="213565B1">
            <w:pPr>
              <w:spacing w:line="400" w:lineRule="exact"/>
              <w:rPr>
                <w:rFonts w:hint="eastAsia"/>
                <w:highlight w:val="none"/>
              </w:rPr>
            </w:pPr>
            <w:r>
              <w:rPr>
                <w:rFonts w:hint="eastAsia" w:ascii="宋体" w:hAnsi="宋体" w:eastAsia="宋体" w:cs="宋体"/>
                <w:sz w:val="22"/>
                <w:szCs w:val="22"/>
                <w:highlight w:val="none"/>
                <w:lang w:val="en-US" w:eastAsia="zh-CN"/>
              </w:rPr>
              <w:t>各供应商于每次中标结果公示后支付该项目的技术服务费。</w:t>
            </w:r>
          </w:p>
        </w:tc>
      </w:t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3AC62BFD">
      <w:pPr>
        <w:pStyle w:val="3"/>
        <w:rPr>
          <w:rFonts w:ascii="宋体" w:hAnsi="宋体" w:eastAsia="宋体" w:cs="Arial"/>
          <w:color w:val="auto"/>
          <w:sz w:val="36"/>
          <w:szCs w:val="36"/>
          <w:highlight w:val="none"/>
        </w:rPr>
      </w:pPr>
    </w:p>
    <w:p w14:paraId="1A0FF8B6">
      <w:pPr>
        <w:rPr>
          <w:rFonts w:ascii="宋体" w:hAnsi="宋体" w:cs="Arial"/>
          <w:color w:val="auto"/>
          <w:sz w:val="36"/>
          <w:szCs w:val="36"/>
          <w:highlight w:val="none"/>
        </w:rPr>
      </w:pPr>
      <w:r>
        <w:rPr>
          <w:rFonts w:hint="eastAsia" w:ascii="宋体" w:hAnsi="宋体" w:cs="Arial"/>
          <w:color w:val="auto"/>
          <w:sz w:val="36"/>
          <w:szCs w:val="36"/>
          <w:highlight w:val="none"/>
        </w:rPr>
        <w:br w:type="page"/>
      </w:r>
    </w:p>
    <w:p w14:paraId="48019F98">
      <w:pPr>
        <w:spacing w:before="100" w:beforeAutospacing="1" w:after="100" w:afterAutospacing="1" w:line="440" w:lineRule="exact"/>
        <w:jc w:val="center"/>
        <w:outlineLvl w:val="0"/>
        <w:rPr>
          <w:rFonts w:ascii="宋体" w:hAnsi="宋体"/>
          <w:b/>
          <w:bCs/>
          <w:color w:val="auto"/>
          <w:sz w:val="26"/>
          <w:szCs w:val="26"/>
          <w:highlight w:val="none"/>
        </w:rPr>
      </w:pPr>
      <w:bookmarkStart w:id="49" w:name="_Toc223715995"/>
      <w:bookmarkStart w:id="50" w:name="_Toc29119"/>
      <w:bookmarkStart w:id="51" w:name="_Toc241404199"/>
      <w:bookmarkStart w:id="52" w:name="_Toc245191311"/>
      <w:bookmarkStart w:id="53" w:name="_Toc221423616"/>
      <w:bookmarkStart w:id="54" w:name="_Toc245722278"/>
      <w:bookmarkStart w:id="55" w:name="_Toc221374623"/>
      <w:bookmarkStart w:id="56" w:name="_Toc262105500"/>
      <w:bookmarkStart w:id="57" w:name="_Toc222114876"/>
      <w:bookmarkStart w:id="58" w:name="_Toc262049415"/>
      <w:bookmarkStart w:id="59" w:name="_Toc249758861"/>
      <w:bookmarkStart w:id="60" w:name="_Toc246261262"/>
      <w:bookmarkStart w:id="61" w:name="_Toc249758709"/>
      <w:bookmarkStart w:id="62" w:name="_Toc221356948"/>
      <w:bookmarkStart w:id="63" w:name="_Toc221356883"/>
      <w:bookmarkStart w:id="64" w:name="_Toc239145351"/>
      <w:r>
        <w:rPr>
          <w:rFonts w:hint="eastAsia" w:ascii="宋体" w:hAnsi="宋体"/>
          <w:b/>
          <w:bCs/>
          <w:color w:val="auto"/>
          <w:sz w:val="26"/>
          <w:szCs w:val="26"/>
          <w:highlight w:val="none"/>
        </w:rPr>
        <w:t>二、  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F76C046">
      <w:pPr>
        <w:numPr>
          <w:ilvl w:val="0"/>
          <w:numId w:val="4"/>
        </w:numPr>
        <w:tabs>
          <w:tab w:val="left" w:pos="540"/>
          <w:tab w:val="left" w:pos="900"/>
        </w:tabs>
        <w:spacing w:line="460" w:lineRule="exact"/>
        <w:rPr>
          <w:rFonts w:ascii="宋体" w:hAnsi="宋体" w:cs="hakuyoxingshu7000"/>
          <w:b/>
          <w:color w:val="auto"/>
          <w:sz w:val="22"/>
          <w:szCs w:val="22"/>
          <w:highlight w:val="none"/>
        </w:rPr>
      </w:pPr>
      <w:bookmarkStart w:id="65" w:name="_Toc239145352"/>
      <w:bookmarkStart w:id="66" w:name="_Toc262049416"/>
      <w:bookmarkStart w:id="67" w:name="_Toc222114877"/>
      <w:bookmarkStart w:id="68" w:name="_Toc221356884"/>
      <w:bookmarkStart w:id="69" w:name="_Toc246261263"/>
      <w:bookmarkStart w:id="70" w:name="_Toc223715996"/>
      <w:bookmarkStart w:id="71" w:name="_Toc249758710"/>
      <w:bookmarkStart w:id="72" w:name="_Toc221423617"/>
      <w:bookmarkStart w:id="73" w:name="_Toc245191312"/>
      <w:bookmarkStart w:id="74" w:name="_Toc262105501"/>
      <w:bookmarkStart w:id="75" w:name="_Toc221356949"/>
      <w:bookmarkStart w:id="76" w:name="_Toc221374624"/>
      <w:bookmarkStart w:id="77" w:name="_Toc241404200"/>
      <w:bookmarkStart w:id="78" w:name="_Toc249758862"/>
      <w:bookmarkStart w:id="79" w:name="_Toc245722279"/>
      <w:r>
        <w:rPr>
          <w:rFonts w:hint="eastAsia" w:ascii="宋体" w:hAnsi="宋体" w:cs="hakuyoxingshu7000"/>
          <w:b/>
          <w:color w:val="auto"/>
          <w:sz w:val="22"/>
          <w:szCs w:val="22"/>
          <w:highlight w:val="none"/>
        </w:rPr>
        <w:t>投标人应保证所提供文件资料的真实性，所有文件资料必须是针对本次投标的。如发现投标人提供了虚假文件资料，其投标将被拒绝，并自行承担相应的法律责任。。</w:t>
      </w:r>
    </w:p>
    <w:p w14:paraId="23A4E741">
      <w:pPr>
        <w:numPr>
          <w:ilvl w:val="0"/>
          <w:numId w:val="4"/>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投标人代表</w:t>
      </w:r>
    </w:p>
    <w:p w14:paraId="1C780820">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指全权代表投标人参加投标活动并签署投标文件的人。如果投标人代表不是法定代表人，须持有《法定代表人授权书》。</w:t>
      </w:r>
    </w:p>
    <w:p w14:paraId="257405EB">
      <w:pPr>
        <w:numPr>
          <w:ilvl w:val="0"/>
          <w:numId w:val="4"/>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投标费用</w:t>
      </w:r>
    </w:p>
    <w:p w14:paraId="44870964">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投标人应承担所有与准备和参加投标有关费用，不论投标的结果如何，招标人和招标代理机构均无义务和责任承担这些费用。</w:t>
      </w:r>
    </w:p>
    <w:p w14:paraId="76515158">
      <w:pPr>
        <w:numPr>
          <w:ilvl w:val="0"/>
          <w:numId w:val="4"/>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特别说明：</w:t>
      </w:r>
    </w:p>
    <w:p w14:paraId="3905270A">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1F7FCC69">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0FED0071">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bookmarkStart w:id="80"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86C597">
      <w:pPr>
        <w:spacing w:line="400" w:lineRule="exact"/>
        <w:ind w:left="431" w:leftChars="202" w:hanging="7"/>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80"/>
    </w:p>
    <w:p w14:paraId="2465A99A">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FDCE833">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4107AD9">
      <w:pPr>
        <w:numPr>
          <w:ilvl w:val="1"/>
          <w:numId w:val="5"/>
        </w:numPr>
        <w:tabs>
          <w:tab w:val="left" w:pos="420"/>
          <w:tab w:val="clear" w:pos="992"/>
        </w:tabs>
        <w:spacing w:line="400" w:lineRule="exact"/>
        <w:ind w:left="431" w:leftChars="202" w:hanging="7"/>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1928C7E5">
      <w:pPr>
        <w:pStyle w:val="29"/>
        <w:ind w:left="1103" w:right="19" w:firstLine="560"/>
        <w:rPr>
          <w:color w:val="auto"/>
          <w:highlight w:val="none"/>
          <w:lang w:eastAsia="zh-CN"/>
        </w:rPr>
      </w:pPr>
    </w:p>
    <w:p w14:paraId="1C8FB960">
      <w:pPr>
        <w:spacing w:before="100" w:beforeAutospacing="1" w:after="100" w:afterAutospacing="1" w:line="440" w:lineRule="exact"/>
        <w:jc w:val="center"/>
        <w:outlineLvl w:val="0"/>
        <w:rPr>
          <w:rFonts w:ascii="宋体" w:hAnsi="宋体"/>
          <w:b/>
          <w:bCs/>
          <w:color w:val="auto"/>
          <w:sz w:val="26"/>
          <w:szCs w:val="26"/>
          <w:highlight w:val="none"/>
        </w:rPr>
      </w:pPr>
      <w:bookmarkStart w:id="81" w:name="_Toc1496"/>
      <w:r>
        <w:rPr>
          <w:rFonts w:hint="eastAsia" w:ascii="宋体" w:hAnsi="宋体"/>
          <w:b/>
          <w:bCs/>
          <w:color w:val="auto"/>
          <w:sz w:val="26"/>
          <w:szCs w:val="26"/>
          <w:highlight w:val="none"/>
        </w:rPr>
        <w:t>三、 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1"/>
    </w:p>
    <w:p w14:paraId="54B40984">
      <w:pPr>
        <w:numPr>
          <w:ilvl w:val="0"/>
          <w:numId w:val="6"/>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41256060">
      <w:pPr>
        <w:numPr>
          <w:ilvl w:val="0"/>
          <w:numId w:val="6"/>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w:t>
      </w:r>
    </w:p>
    <w:p w14:paraId="64A2BB23">
      <w:pPr>
        <w:tabs>
          <w:tab w:val="left" w:pos="540"/>
        </w:tabs>
        <w:spacing w:line="460" w:lineRule="exact"/>
        <w:ind w:left="420"/>
        <w:rPr>
          <w:rFonts w:ascii="宋体" w:hAnsi="宋体" w:cs="hakuyoxingshu7000"/>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r>
        <w:rPr>
          <w:rFonts w:hint="eastAsia" w:ascii="宋体" w:hAnsi="宋体" w:cs="hakuyoxingshu7000"/>
          <w:color w:val="auto"/>
          <w:sz w:val="22"/>
          <w:szCs w:val="22"/>
          <w:highlight w:val="none"/>
        </w:rPr>
        <w:t>。</w:t>
      </w:r>
    </w:p>
    <w:p w14:paraId="3AF2F4F7">
      <w:pPr>
        <w:numPr>
          <w:ilvl w:val="0"/>
          <w:numId w:val="6"/>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招标文件的修改</w:t>
      </w:r>
    </w:p>
    <w:p w14:paraId="721308D2">
      <w:pPr>
        <w:numPr>
          <w:ilvl w:val="1"/>
          <w:numId w:val="7"/>
        </w:numPr>
        <w:tabs>
          <w:tab w:val="left" w:pos="360"/>
          <w:tab w:val="clear" w:pos="992"/>
        </w:tabs>
        <w:spacing w:line="460" w:lineRule="exact"/>
        <w:ind w:left="360" w:hanging="360"/>
        <w:rPr>
          <w:rFonts w:ascii="宋体" w:hAnsi="宋体" w:cs="Arial"/>
          <w:color w:val="auto"/>
          <w:sz w:val="22"/>
          <w:szCs w:val="22"/>
          <w:highlight w:val="none"/>
        </w:rPr>
      </w:pPr>
      <w:r>
        <w:rPr>
          <w:rFonts w:hint="eastAsia" w:ascii="宋体" w:hAnsi="宋体" w:cs="Arial"/>
          <w:color w:val="auto"/>
          <w:sz w:val="22"/>
          <w:szCs w:val="22"/>
          <w:highlight w:val="none"/>
        </w:rPr>
        <w:t>在投标截止期前，招标人无论是出于何种原因，均可对招标文件用补充文件的方式进行修改。该澄清和修改的内容为招标文件的组成部分。</w:t>
      </w:r>
    </w:p>
    <w:p w14:paraId="1A2D5338">
      <w:pPr>
        <w:numPr>
          <w:ilvl w:val="0"/>
          <w:numId w:val="6"/>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招标文件如有补充更正均见“浙江政府采购”（https://zfcg.czt.zj.gov.cn/）。投标人须在开标前一日自行查看是否有补充更正文件，并按补充更正文件要求投标，否则责任自负。</w:t>
      </w:r>
    </w:p>
    <w:p w14:paraId="412703C3">
      <w:pPr>
        <w:spacing w:before="100" w:beforeAutospacing="1" w:after="100" w:afterAutospacing="1" w:line="440" w:lineRule="exact"/>
        <w:jc w:val="center"/>
        <w:outlineLvl w:val="0"/>
        <w:rPr>
          <w:rFonts w:ascii="宋体" w:hAnsi="宋体"/>
          <w:b/>
          <w:bCs/>
          <w:color w:val="auto"/>
          <w:sz w:val="26"/>
          <w:szCs w:val="26"/>
          <w:highlight w:val="none"/>
        </w:rPr>
      </w:pPr>
      <w:bookmarkStart w:id="82" w:name="_Toc249758711"/>
      <w:bookmarkStart w:id="83" w:name="_Toc262049417"/>
      <w:bookmarkStart w:id="84" w:name="_Toc3393"/>
      <w:bookmarkStart w:id="85" w:name="_Toc241404201"/>
      <w:bookmarkStart w:id="86" w:name="_Toc246261264"/>
      <w:bookmarkStart w:id="87" w:name="_Toc221356950"/>
      <w:bookmarkStart w:id="88" w:name="_Toc221423618"/>
      <w:bookmarkStart w:id="89" w:name="_Toc239145353"/>
      <w:bookmarkStart w:id="90" w:name="_Toc221374625"/>
      <w:bookmarkStart w:id="91" w:name="_Toc221356885"/>
      <w:bookmarkStart w:id="92" w:name="_Toc262105502"/>
      <w:bookmarkStart w:id="93" w:name="_Toc249758863"/>
      <w:bookmarkStart w:id="94" w:name="_Toc223715997"/>
      <w:bookmarkStart w:id="95" w:name="_Toc222114878"/>
      <w:bookmarkStart w:id="96" w:name="_Toc245722280"/>
      <w:bookmarkStart w:id="97" w:name="_Toc245191313"/>
      <w:r>
        <w:rPr>
          <w:rFonts w:hint="eastAsia" w:ascii="宋体" w:hAnsi="宋体"/>
          <w:b/>
          <w:bCs/>
          <w:color w:val="auto"/>
          <w:sz w:val="26"/>
          <w:szCs w:val="26"/>
          <w:highlight w:val="none"/>
        </w:rPr>
        <w:t>四、 投标文件的编制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9E9CB9C">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投标人应认真阅读招标文件中所有事项格式、条款和技术规范等。</w:t>
      </w:r>
      <w:r>
        <w:rPr>
          <w:rFonts w:hint="eastAsia" w:ascii="宋体" w:hAnsi="宋体"/>
          <w:b/>
          <w:color w:val="auto"/>
          <w:sz w:val="22"/>
          <w:szCs w:val="22"/>
          <w:highlight w:val="none"/>
        </w:rPr>
        <w:t>投标人没有按照招标文件要求提交全部资料，或者没有对招标文件各个方面做出实质性响应，导致投标被拒绝的风险由投标人自行承担。</w:t>
      </w:r>
    </w:p>
    <w:p w14:paraId="3175C54E">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07FF5CD9">
      <w:pPr>
        <w:tabs>
          <w:tab w:val="left" w:pos="360"/>
        </w:tabs>
        <w:spacing w:line="460" w:lineRule="exact"/>
        <w:ind w:firstLine="221" w:firstLineChars="100"/>
        <w:rPr>
          <w:rFonts w:ascii="宋体" w:hAnsi="宋体" w:cs="Arial"/>
          <w:b/>
          <w:color w:val="auto"/>
          <w:sz w:val="22"/>
          <w:szCs w:val="22"/>
          <w:highlight w:val="none"/>
        </w:rPr>
      </w:pPr>
      <w:r>
        <w:rPr>
          <w:rFonts w:hint="eastAsia" w:ascii="宋体" w:hAnsi="宋体" w:cs="Arial"/>
          <w:b/>
          <w:color w:val="auto"/>
          <w:sz w:val="22"/>
          <w:szCs w:val="22"/>
          <w:highlight w:val="none"/>
        </w:rPr>
        <w:t xml:space="preserve">  投标文件由资格文件、商务技术文件、报价文件三部分构成：</w:t>
      </w:r>
    </w:p>
    <w:p w14:paraId="46944CE1">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76C2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61107D5">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48FD134E">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内 容</w:t>
            </w:r>
          </w:p>
        </w:tc>
        <w:tc>
          <w:tcPr>
            <w:tcW w:w="1523" w:type="dxa"/>
            <w:vAlign w:val="center"/>
          </w:tcPr>
          <w:p w14:paraId="327DEF39">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备注</w:t>
            </w:r>
          </w:p>
        </w:tc>
      </w:tr>
      <w:tr w14:paraId="6D7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3F756E1">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1</w:t>
            </w:r>
          </w:p>
        </w:tc>
        <w:tc>
          <w:tcPr>
            <w:tcW w:w="7514" w:type="dxa"/>
            <w:vAlign w:val="center"/>
          </w:tcPr>
          <w:p w14:paraId="1C305A19">
            <w:pPr>
              <w:rPr>
                <w:rFonts w:ascii="宋体" w:hAnsi="宋体" w:cs="新宋体"/>
                <w:bCs/>
                <w:color w:val="auto"/>
                <w:sz w:val="22"/>
                <w:szCs w:val="22"/>
                <w:highlight w:val="none"/>
              </w:rPr>
            </w:pPr>
            <w:r>
              <w:rPr>
                <w:rFonts w:hint="eastAsia" w:ascii="宋体" w:hAnsi="宋体" w:cs="新宋体"/>
                <w:bCs/>
                <w:color w:val="auto"/>
                <w:sz w:val="22"/>
                <w:szCs w:val="22"/>
                <w:highlight w:val="none"/>
              </w:rPr>
              <w:t>营业执照(或事业法人登记证书或其它工商等登记证明材料；自然人参与招标，提供身份证)、税务登记证(或其它缴纳证明材料)、社保登记证（或其它缴纳证明材料）；实施“五证合一、一照一码”登记制度改革的，只需提供改革后取得的营业执照；</w:t>
            </w:r>
          </w:p>
        </w:tc>
        <w:tc>
          <w:tcPr>
            <w:tcW w:w="1523" w:type="dxa"/>
            <w:vAlign w:val="center"/>
          </w:tcPr>
          <w:p w14:paraId="0D3630C6">
            <w:pPr>
              <w:overflowPunct w:val="0"/>
              <w:spacing w:line="430" w:lineRule="exact"/>
              <w:jc w:val="center"/>
              <w:rPr>
                <w:rFonts w:ascii="宋体" w:hAnsi="宋体" w:cs="新宋体"/>
                <w:b/>
                <w:color w:val="auto"/>
                <w:sz w:val="22"/>
                <w:szCs w:val="22"/>
                <w:highlight w:val="none"/>
              </w:rPr>
            </w:pPr>
          </w:p>
        </w:tc>
      </w:tr>
      <w:tr w14:paraId="5B07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236EC11">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7514" w:type="dxa"/>
            <w:vAlign w:val="center"/>
          </w:tcPr>
          <w:p w14:paraId="0134B2C6">
            <w:pPr>
              <w:rPr>
                <w:rFonts w:ascii="宋体" w:hAnsi="宋体" w:cs="新宋体"/>
                <w:bCs/>
                <w:color w:val="auto"/>
                <w:sz w:val="22"/>
                <w:szCs w:val="22"/>
                <w:highlight w:val="none"/>
              </w:rPr>
            </w:pPr>
            <w:r>
              <w:rPr>
                <w:rFonts w:hint="eastAsia" w:ascii="宋体" w:hAnsi="宋体" w:cs="新宋体"/>
                <w:bCs/>
                <w:color w:val="auto"/>
                <w:sz w:val="22"/>
                <w:szCs w:val="22"/>
                <w:highlight w:val="none"/>
              </w:rPr>
              <w:t>法定代表人声明书或法定代表人授权书</w:t>
            </w:r>
          </w:p>
        </w:tc>
        <w:tc>
          <w:tcPr>
            <w:tcW w:w="1523" w:type="dxa"/>
            <w:vMerge w:val="restart"/>
            <w:vAlign w:val="center"/>
          </w:tcPr>
          <w:p w14:paraId="4E26C71E">
            <w:pPr>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附件一</w:t>
            </w:r>
          </w:p>
        </w:tc>
      </w:tr>
      <w:tr w14:paraId="2C25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129E95E">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7514" w:type="dxa"/>
            <w:vAlign w:val="center"/>
          </w:tcPr>
          <w:p w14:paraId="455357C0">
            <w:pPr>
              <w:rPr>
                <w:rFonts w:ascii="宋体" w:hAnsi="宋体" w:cs="新宋体"/>
                <w:bCs/>
                <w:color w:val="auto"/>
                <w:sz w:val="22"/>
                <w:szCs w:val="22"/>
                <w:highlight w:val="none"/>
              </w:rPr>
            </w:pPr>
            <w:r>
              <w:rPr>
                <w:rFonts w:hint="eastAsia" w:ascii="宋体" w:hAnsi="宋体" w:cs="新宋体"/>
                <w:bCs/>
                <w:color w:val="auto"/>
                <w:sz w:val="22"/>
                <w:szCs w:val="22"/>
                <w:highlight w:val="none"/>
              </w:rPr>
              <w:t>投标人参与招标活动投标资格声明函</w:t>
            </w:r>
          </w:p>
        </w:tc>
        <w:tc>
          <w:tcPr>
            <w:tcW w:w="1523" w:type="dxa"/>
            <w:vMerge w:val="continue"/>
            <w:vAlign w:val="center"/>
          </w:tcPr>
          <w:p w14:paraId="5A1C20F3">
            <w:pPr>
              <w:spacing w:line="400" w:lineRule="exact"/>
              <w:jc w:val="center"/>
              <w:rPr>
                <w:rFonts w:ascii="宋体" w:hAnsi="宋体"/>
                <w:color w:val="auto"/>
                <w:sz w:val="22"/>
                <w:szCs w:val="22"/>
                <w:highlight w:val="none"/>
              </w:rPr>
            </w:pPr>
          </w:p>
        </w:tc>
      </w:tr>
      <w:tr w14:paraId="214C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shd w:val="clear" w:color="auto" w:fill="auto"/>
            <w:vAlign w:val="center"/>
          </w:tcPr>
          <w:p w14:paraId="330C51DC">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4</w:t>
            </w:r>
          </w:p>
        </w:tc>
        <w:tc>
          <w:tcPr>
            <w:tcW w:w="7514" w:type="dxa"/>
            <w:shd w:val="clear" w:color="auto" w:fill="auto"/>
            <w:vAlign w:val="center"/>
          </w:tcPr>
          <w:p w14:paraId="33EE70E9">
            <w:pPr>
              <w:rPr>
                <w:rFonts w:ascii="宋体" w:hAnsi="宋体" w:cs="新宋体"/>
                <w:bCs/>
                <w:color w:val="auto"/>
                <w:sz w:val="22"/>
                <w:szCs w:val="22"/>
                <w:highlight w:val="none"/>
              </w:rPr>
            </w:pPr>
            <w:r>
              <w:rPr>
                <w:rFonts w:hint="eastAsia" w:ascii="宋体" w:hAnsi="宋体" w:cs="新宋体"/>
                <w:bCs/>
                <w:color w:val="auto"/>
                <w:sz w:val="22"/>
                <w:szCs w:val="22"/>
                <w:highlight w:val="none"/>
              </w:rPr>
              <w:t>诚信投标承诺书</w:t>
            </w:r>
          </w:p>
        </w:tc>
        <w:tc>
          <w:tcPr>
            <w:tcW w:w="1523" w:type="dxa"/>
            <w:vMerge w:val="continue"/>
            <w:vAlign w:val="center"/>
          </w:tcPr>
          <w:p w14:paraId="339EA833">
            <w:pPr>
              <w:spacing w:line="400" w:lineRule="exact"/>
              <w:jc w:val="center"/>
              <w:rPr>
                <w:rFonts w:ascii="宋体" w:hAnsi="宋体"/>
                <w:color w:val="auto"/>
                <w:sz w:val="22"/>
                <w:szCs w:val="22"/>
                <w:highlight w:val="none"/>
              </w:rPr>
            </w:pPr>
          </w:p>
        </w:tc>
      </w:tr>
      <w:tr w14:paraId="476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5F048FA1">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5</w:t>
            </w:r>
          </w:p>
        </w:tc>
        <w:tc>
          <w:tcPr>
            <w:tcW w:w="7514" w:type="dxa"/>
            <w:vAlign w:val="center"/>
          </w:tcPr>
          <w:p w14:paraId="127A4B12">
            <w:pPr>
              <w:spacing w:line="400" w:lineRule="exact"/>
              <w:rPr>
                <w:rFonts w:ascii="宋体" w:cs="新宋体"/>
                <w:bCs/>
                <w:color w:val="auto"/>
                <w:sz w:val="22"/>
                <w:szCs w:val="22"/>
                <w:highlight w:val="none"/>
              </w:rPr>
            </w:pPr>
            <w:r>
              <w:rPr>
                <w:rFonts w:hint="eastAsia" w:ascii="宋体" w:hAnsi="宋体" w:cs="新宋体"/>
                <w:bCs/>
                <w:color w:val="auto"/>
                <w:sz w:val="22"/>
                <w:szCs w:val="22"/>
                <w:highlight w:val="none"/>
              </w:rPr>
              <w:t>投标人“信用中国”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3ED01F41">
            <w:pPr>
              <w:spacing w:line="400" w:lineRule="exact"/>
              <w:jc w:val="center"/>
              <w:rPr>
                <w:rFonts w:ascii="宋体" w:hAnsi="宋体"/>
                <w:color w:val="auto"/>
                <w:sz w:val="22"/>
                <w:szCs w:val="22"/>
                <w:highlight w:val="none"/>
              </w:rPr>
            </w:pPr>
          </w:p>
        </w:tc>
      </w:tr>
      <w:tr w14:paraId="4FF0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68F1478B">
            <w:pPr>
              <w:overflowPunct w:val="0"/>
              <w:spacing w:line="430" w:lineRule="exact"/>
              <w:jc w:val="center"/>
              <w:rPr>
                <w:rFonts w:hint="eastAsia" w:ascii="宋体" w:hAnsi="宋体" w:eastAsia="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7514" w:type="dxa"/>
            <w:vAlign w:val="center"/>
          </w:tcPr>
          <w:p w14:paraId="73A04D89">
            <w:pPr>
              <w:spacing w:line="400" w:lineRule="exact"/>
              <w:rPr>
                <w:rFonts w:hint="eastAsia" w:ascii="宋体" w:hAnsi="宋体" w:cs="新宋体"/>
                <w:bCs/>
                <w:color w:val="auto"/>
                <w:sz w:val="22"/>
                <w:szCs w:val="22"/>
                <w:highlight w:val="none"/>
              </w:rPr>
            </w:pPr>
            <w:r>
              <w:rPr>
                <w:rFonts w:hint="eastAsia" w:ascii="宋体" w:hAnsi="宋体" w:eastAsia="宋体" w:cs="hakuyoxingshu7000"/>
                <w:bCs/>
                <w:color w:val="auto"/>
                <w:kern w:val="0"/>
                <w:sz w:val="22"/>
                <w:szCs w:val="22"/>
                <w:highlight w:val="none"/>
                <w:lang w:val="en-US" w:eastAsia="zh-CN"/>
              </w:rPr>
              <w:t>投标人具有有效的《中华人民共和国经营保险业务许可证》；若是分公司或支公司参与投标的，须取得总公司针对本项目的书面授权（如有）</w:t>
            </w:r>
          </w:p>
        </w:tc>
        <w:tc>
          <w:tcPr>
            <w:tcW w:w="1523" w:type="dxa"/>
            <w:vAlign w:val="center"/>
          </w:tcPr>
          <w:p w14:paraId="7C8572F4">
            <w:pPr>
              <w:spacing w:line="400" w:lineRule="exact"/>
              <w:jc w:val="center"/>
              <w:rPr>
                <w:rFonts w:ascii="宋体" w:hAnsi="宋体"/>
                <w:color w:val="auto"/>
                <w:sz w:val="22"/>
                <w:szCs w:val="22"/>
                <w:highlight w:val="none"/>
              </w:rPr>
            </w:pPr>
          </w:p>
        </w:tc>
      </w:tr>
    </w:tbl>
    <w:p w14:paraId="6BAA947C">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14:paraId="6B9F0A46">
      <w:pPr>
        <w:numPr>
          <w:ilvl w:val="0"/>
          <w:numId w:val="9"/>
        </w:numPr>
        <w:spacing w:line="430" w:lineRule="exact"/>
        <w:rPr>
          <w:rFonts w:ascii="宋体" w:hAns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招标活动，由单位负责人签署相关文件材料；</w:t>
      </w:r>
    </w:p>
    <w:p w14:paraId="5F83AF25">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（2）商务技术文件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76"/>
        <w:gridCol w:w="1520"/>
      </w:tblGrid>
      <w:tr w14:paraId="21B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4F01715C">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序号</w:t>
            </w:r>
          </w:p>
        </w:tc>
        <w:tc>
          <w:tcPr>
            <w:tcW w:w="7676" w:type="dxa"/>
            <w:tcBorders>
              <w:top w:val="single" w:color="auto" w:sz="4" w:space="0"/>
              <w:left w:val="single" w:color="auto" w:sz="4" w:space="0"/>
              <w:bottom w:val="single" w:color="auto" w:sz="4" w:space="0"/>
              <w:right w:val="single" w:color="auto" w:sz="4" w:space="0"/>
            </w:tcBorders>
            <w:vAlign w:val="center"/>
          </w:tcPr>
          <w:p w14:paraId="5EBDC924">
            <w:pPr>
              <w:spacing w:line="430" w:lineRule="exact"/>
              <w:rPr>
                <w:rFonts w:ascii="宋体" w:hAnsi="宋体" w:cs="仿宋"/>
                <w:b/>
                <w:color w:val="auto"/>
                <w:sz w:val="22"/>
                <w:szCs w:val="22"/>
                <w:highlight w:val="none"/>
              </w:rPr>
            </w:pPr>
            <w:r>
              <w:rPr>
                <w:rFonts w:hint="eastAsia" w:ascii="宋体" w:hAnsi="宋体" w:cs="仿宋"/>
                <w:b/>
                <w:color w:val="auto"/>
                <w:sz w:val="22"/>
                <w:szCs w:val="22"/>
                <w:highlight w:val="none"/>
              </w:rPr>
              <w:t>内容</w:t>
            </w:r>
          </w:p>
        </w:tc>
        <w:tc>
          <w:tcPr>
            <w:tcW w:w="1520" w:type="dxa"/>
            <w:tcBorders>
              <w:top w:val="single" w:color="auto" w:sz="4" w:space="0"/>
              <w:left w:val="single" w:color="auto" w:sz="4" w:space="0"/>
              <w:bottom w:val="single" w:color="auto" w:sz="4" w:space="0"/>
              <w:right w:val="single" w:color="auto" w:sz="4" w:space="0"/>
            </w:tcBorders>
            <w:vAlign w:val="center"/>
          </w:tcPr>
          <w:p w14:paraId="722B8EFA">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备 注</w:t>
            </w:r>
          </w:p>
        </w:tc>
      </w:tr>
      <w:tr w14:paraId="4CFD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1ABDC6FE">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7676" w:type="dxa"/>
            <w:tcBorders>
              <w:top w:val="single" w:color="auto" w:sz="4" w:space="0"/>
              <w:left w:val="single" w:color="auto" w:sz="4" w:space="0"/>
              <w:bottom w:val="single" w:color="auto" w:sz="4" w:space="0"/>
              <w:right w:val="single" w:color="auto" w:sz="4" w:space="0"/>
            </w:tcBorders>
            <w:vAlign w:val="center"/>
          </w:tcPr>
          <w:p w14:paraId="6EA0D4EC">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投标函</w:t>
            </w:r>
          </w:p>
        </w:tc>
        <w:tc>
          <w:tcPr>
            <w:tcW w:w="1520" w:type="dxa"/>
            <w:tcBorders>
              <w:top w:val="single" w:color="auto" w:sz="4" w:space="0"/>
              <w:left w:val="single" w:color="auto" w:sz="4" w:space="0"/>
              <w:bottom w:val="single" w:color="auto" w:sz="4" w:space="0"/>
              <w:right w:val="single" w:color="auto" w:sz="4" w:space="0"/>
            </w:tcBorders>
            <w:vAlign w:val="center"/>
          </w:tcPr>
          <w:p w14:paraId="3BEB6534">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附件三</w:t>
            </w:r>
          </w:p>
        </w:tc>
      </w:tr>
      <w:tr w14:paraId="6122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126B263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7676" w:type="dxa"/>
            <w:tcBorders>
              <w:top w:val="single" w:color="auto" w:sz="4" w:space="0"/>
              <w:left w:val="single" w:color="auto" w:sz="4" w:space="0"/>
              <w:bottom w:val="single" w:color="auto" w:sz="4" w:space="0"/>
              <w:right w:val="single" w:color="auto" w:sz="4" w:space="0"/>
            </w:tcBorders>
            <w:vAlign w:val="center"/>
          </w:tcPr>
          <w:p w14:paraId="18E9361F">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0" w:type="dxa"/>
            <w:tcBorders>
              <w:top w:val="single" w:color="auto" w:sz="4" w:space="0"/>
              <w:left w:val="single" w:color="auto" w:sz="4" w:space="0"/>
              <w:bottom w:val="single" w:color="auto" w:sz="4" w:space="0"/>
              <w:right w:val="single" w:color="auto" w:sz="4" w:space="0"/>
            </w:tcBorders>
            <w:vAlign w:val="center"/>
          </w:tcPr>
          <w:p w14:paraId="69027656">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附件四</w:t>
            </w:r>
          </w:p>
        </w:tc>
      </w:tr>
      <w:tr w14:paraId="15A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7A2E0EFE">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7676" w:type="dxa"/>
            <w:tcBorders>
              <w:top w:val="single" w:color="auto" w:sz="4" w:space="0"/>
              <w:left w:val="single" w:color="auto" w:sz="4" w:space="0"/>
              <w:bottom w:val="single" w:color="auto" w:sz="4" w:space="0"/>
              <w:right w:val="single" w:color="auto" w:sz="4" w:space="0"/>
            </w:tcBorders>
            <w:vAlign w:val="center"/>
          </w:tcPr>
          <w:p w14:paraId="58CD09BC">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资信证明文件（本部分为技术资信评分内容，投标人根据自身实际情况提供）</w:t>
            </w:r>
          </w:p>
        </w:tc>
        <w:tc>
          <w:tcPr>
            <w:tcW w:w="1520" w:type="dxa"/>
            <w:tcBorders>
              <w:top w:val="single" w:color="auto" w:sz="4" w:space="0"/>
              <w:left w:val="single" w:color="auto" w:sz="4" w:space="0"/>
              <w:bottom w:val="single" w:color="auto" w:sz="4" w:space="0"/>
              <w:right w:val="single" w:color="auto" w:sz="4" w:space="0"/>
            </w:tcBorders>
            <w:vAlign w:val="center"/>
          </w:tcPr>
          <w:p w14:paraId="4090465D">
            <w:pPr>
              <w:spacing w:line="430" w:lineRule="exact"/>
              <w:jc w:val="center"/>
              <w:rPr>
                <w:rFonts w:ascii="宋体" w:hAnsi="宋体" w:cs="仿宋"/>
                <w:color w:val="auto"/>
                <w:sz w:val="22"/>
                <w:szCs w:val="22"/>
                <w:highlight w:val="none"/>
              </w:rPr>
            </w:pPr>
          </w:p>
        </w:tc>
      </w:tr>
      <w:tr w14:paraId="5779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374DC4FB">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676" w:type="dxa"/>
            <w:tcBorders>
              <w:top w:val="single" w:color="auto" w:sz="4" w:space="0"/>
              <w:left w:val="single" w:color="auto" w:sz="4" w:space="0"/>
              <w:bottom w:val="single" w:color="auto" w:sz="4" w:space="0"/>
              <w:right w:val="single" w:color="auto" w:sz="4" w:space="0"/>
            </w:tcBorders>
            <w:vAlign w:val="center"/>
          </w:tcPr>
          <w:p w14:paraId="2840B65C">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项目案例业绩</w:t>
            </w:r>
          </w:p>
        </w:tc>
        <w:tc>
          <w:tcPr>
            <w:tcW w:w="1520" w:type="dxa"/>
            <w:tcBorders>
              <w:top w:val="single" w:color="auto" w:sz="4" w:space="0"/>
              <w:left w:val="single" w:color="auto" w:sz="4" w:space="0"/>
              <w:bottom w:val="single" w:color="auto" w:sz="4" w:space="0"/>
              <w:right w:val="single" w:color="auto" w:sz="4" w:space="0"/>
            </w:tcBorders>
            <w:vAlign w:val="center"/>
          </w:tcPr>
          <w:p w14:paraId="54F154F6">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1E2A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5B64A381">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a</w:t>
            </w:r>
          </w:p>
        </w:tc>
        <w:tc>
          <w:tcPr>
            <w:tcW w:w="7676" w:type="dxa"/>
            <w:tcBorders>
              <w:top w:val="single" w:color="auto" w:sz="4" w:space="0"/>
              <w:left w:val="single" w:color="auto" w:sz="4" w:space="0"/>
              <w:bottom w:val="single" w:color="auto" w:sz="4" w:space="0"/>
              <w:right w:val="single" w:color="auto" w:sz="4" w:space="0"/>
            </w:tcBorders>
            <w:vAlign w:val="center"/>
          </w:tcPr>
          <w:p w14:paraId="5E0834FC">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业绩证明材料</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DEB1A1B">
            <w:pPr>
              <w:spacing w:line="430" w:lineRule="exact"/>
              <w:jc w:val="center"/>
              <w:rPr>
                <w:rFonts w:ascii="宋体" w:hAnsi="宋体" w:cs="宋体"/>
                <w:color w:val="auto"/>
                <w:sz w:val="22"/>
                <w:szCs w:val="22"/>
                <w:highlight w:val="none"/>
              </w:rPr>
            </w:pPr>
          </w:p>
        </w:tc>
      </w:tr>
      <w:tr w14:paraId="1293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7A844589">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5)</w:t>
            </w:r>
          </w:p>
        </w:tc>
        <w:tc>
          <w:tcPr>
            <w:tcW w:w="7676" w:type="dxa"/>
            <w:tcBorders>
              <w:top w:val="single" w:color="auto" w:sz="4" w:space="0"/>
              <w:left w:val="single" w:color="auto" w:sz="4" w:space="0"/>
              <w:bottom w:val="single" w:color="auto" w:sz="4" w:space="0"/>
              <w:right w:val="single" w:color="auto" w:sz="4" w:space="0"/>
            </w:tcBorders>
            <w:vAlign w:val="center"/>
          </w:tcPr>
          <w:p w14:paraId="6C2B2480">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拟派项目组成员表</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3FFB9E2">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1AEA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00C9CC0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6</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tcPr>
          <w:p w14:paraId="47240BEF">
            <w:pPr>
              <w:spacing w:line="460" w:lineRule="exact"/>
              <w:rPr>
                <w:rFonts w:ascii="宋体" w:hAnsi="宋体"/>
                <w:color w:val="auto"/>
                <w:sz w:val="22"/>
                <w:szCs w:val="22"/>
                <w:highlight w:val="none"/>
              </w:rPr>
            </w:pPr>
            <w:r>
              <w:rPr>
                <w:rFonts w:hint="eastAsia" w:ascii="宋体" w:hAnsi="宋体"/>
                <w:b/>
                <w:color w:val="auto"/>
                <w:sz w:val="22"/>
                <w:szCs w:val="22"/>
                <w:highlight w:val="none"/>
                <w:u w:val="single"/>
              </w:rPr>
              <w:t>针对本次项目采购需求提出的详细方案（包括但不限于技术资信分评分细则要求的各个方案）</w:t>
            </w:r>
          </w:p>
        </w:tc>
        <w:tc>
          <w:tcPr>
            <w:tcW w:w="1520" w:type="dxa"/>
            <w:tcBorders>
              <w:top w:val="single" w:color="auto" w:sz="4" w:space="0"/>
              <w:left w:val="single" w:color="auto" w:sz="4" w:space="0"/>
              <w:bottom w:val="single" w:color="auto" w:sz="4" w:space="0"/>
              <w:right w:val="single" w:color="auto" w:sz="4" w:space="0"/>
            </w:tcBorders>
            <w:vAlign w:val="center"/>
          </w:tcPr>
          <w:p w14:paraId="292049DD">
            <w:pPr>
              <w:jc w:val="center"/>
              <w:rPr>
                <w:rFonts w:ascii="宋体" w:hAnsi="宋体" w:cs="仿宋"/>
                <w:color w:val="auto"/>
                <w:sz w:val="22"/>
                <w:szCs w:val="22"/>
                <w:highlight w:val="none"/>
              </w:rPr>
            </w:pPr>
          </w:p>
        </w:tc>
      </w:tr>
      <w:tr w14:paraId="6320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20A5704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 xml:space="preserve"> 7</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4A37A109">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给予招标人的各种优惠及承诺</w:t>
            </w:r>
          </w:p>
        </w:tc>
        <w:tc>
          <w:tcPr>
            <w:tcW w:w="1520" w:type="dxa"/>
            <w:tcBorders>
              <w:top w:val="single" w:color="auto" w:sz="4" w:space="0"/>
              <w:left w:val="single" w:color="auto" w:sz="4" w:space="0"/>
              <w:bottom w:val="single" w:color="auto" w:sz="4" w:space="0"/>
              <w:right w:val="single" w:color="auto" w:sz="4" w:space="0"/>
            </w:tcBorders>
            <w:vAlign w:val="center"/>
          </w:tcPr>
          <w:p w14:paraId="05625E2C">
            <w:pPr>
              <w:jc w:val="center"/>
              <w:rPr>
                <w:rFonts w:ascii="宋体" w:hAnsi="宋体" w:cs="仿宋"/>
                <w:color w:val="auto"/>
                <w:sz w:val="22"/>
                <w:szCs w:val="22"/>
                <w:highlight w:val="none"/>
              </w:rPr>
            </w:pPr>
          </w:p>
        </w:tc>
      </w:tr>
      <w:tr w14:paraId="5201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1F32E57C">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8</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344B8BE5">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结合招标文件评分细则投标人认为需要提供的其他技术资料</w:t>
            </w:r>
          </w:p>
        </w:tc>
        <w:tc>
          <w:tcPr>
            <w:tcW w:w="1520" w:type="dxa"/>
            <w:tcBorders>
              <w:top w:val="single" w:color="auto" w:sz="4" w:space="0"/>
              <w:left w:val="single" w:color="auto" w:sz="4" w:space="0"/>
              <w:bottom w:val="single" w:color="auto" w:sz="4" w:space="0"/>
              <w:right w:val="single" w:color="auto" w:sz="4" w:space="0"/>
            </w:tcBorders>
            <w:vAlign w:val="center"/>
          </w:tcPr>
          <w:p w14:paraId="753AE704">
            <w:pPr>
              <w:rPr>
                <w:rFonts w:ascii="宋体" w:hAnsi="宋体" w:cs="仿宋"/>
                <w:color w:val="auto"/>
                <w:sz w:val="22"/>
                <w:szCs w:val="22"/>
                <w:highlight w:val="none"/>
              </w:rPr>
            </w:pPr>
          </w:p>
        </w:tc>
      </w:tr>
    </w:tbl>
    <w:p w14:paraId="34F04C66">
      <w:pPr>
        <w:spacing w:line="430" w:lineRule="exact"/>
        <w:ind w:left="187" w:leftChars="85" w:hanging="9" w:hangingChars="4"/>
        <w:rPr>
          <w:rFonts w:ascii="宋体" w:hAnsi="宋体" w:cs="hakuyoxingshu7000"/>
          <w:bCs/>
          <w:color w:val="auto"/>
          <w:sz w:val="22"/>
          <w:szCs w:val="22"/>
          <w:highlight w:val="none"/>
        </w:rPr>
      </w:pPr>
      <w:r>
        <w:rPr>
          <w:rFonts w:hint="eastAsia" w:ascii="宋体" w:hAnsi="宋体" w:cs="hakuyoxingshu7000"/>
          <w:b/>
          <w:color w:val="auto"/>
          <w:sz w:val="22"/>
          <w:szCs w:val="22"/>
          <w:highlight w:val="none"/>
        </w:rPr>
        <w:t>说明：</w:t>
      </w:r>
    </w:p>
    <w:p w14:paraId="70C81370">
      <w:pPr>
        <w:numPr>
          <w:ilvl w:val="0"/>
          <w:numId w:val="10"/>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投标人可根据招标文件中的技术规格书以及技术资信评分表，提供投标人认为需要提供的文件和资料。</w:t>
      </w:r>
    </w:p>
    <w:p w14:paraId="2196B3F1">
      <w:pPr>
        <w:numPr>
          <w:ilvl w:val="0"/>
          <w:numId w:val="10"/>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投标人可在投标文件中对招标文件中的技术要求选用替代标准、补充或更改，但这些替代标准及补充更改必须相当于或优于招标文件中提出的相应技术要求，并使招标人满意。同时在技术偏离表中作出详细说明。</w:t>
      </w:r>
    </w:p>
    <w:p w14:paraId="63319FD3">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 xml:space="preserve">（3） </w:t>
      </w:r>
      <w:r>
        <w:rPr>
          <w:rFonts w:hint="eastAsia" w:ascii="宋体" w:hAnsi="宋体" w:cs="hakuyoxingshu7000"/>
          <w:b/>
          <w:bCs/>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63"/>
        <w:gridCol w:w="1507"/>
      </w:tblGrid>
      <w:tr w14:paraId="7A33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CFEEDA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6963" w:type="dxa"/>
            <w:vAlign w:val="center"/>
          </w:tcPr>
          <w:p w14:paraId="2C9815AC">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07" w:type="dxa"/>
            <w:vAlign w:val="center"/>
          </w:tcPr>
          <w:p w14:paraId="65DC7B58">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150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34554DF">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1)</w:t>
            </w:r>
          </w:p>
        </w:tc>
        <w:tc>
          <w:tcPr>
            <w:tcW w:w="6963" w:type="dxa"/>
            <w:vAlign w:val="center"/>
          </w:tcPr>
          <w:p w14:paraId="1535F32E">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07" w:type="dxa"/>
            <w:vAlign w:val="center"/>
          </w:tcPr>
          <w:p w14:paraId="339F52B4">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bl>
    <w:p w14:paraId="09869558">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547D0EDD">
      <w:pPr>
        <w:numPr>
          <w:ilvl w:val="0"/>
          <w:numId w:val="11"/>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038CA5BA">
      <w:pPr>
        <w:numPr>
          <w:ilvl w:val="0"/>
          <w:numId w:val="11"/>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5BDDB044">
      <w:pPr>
        <w:numPr>
          <w:ilvl w:val="0"/>
          <w:numId w:val="11"/>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11CD208B">
      <w:pPr>
        <w:numPr>
          <w:ilvl w:val="0"/>
          <w:numId w:val="11"/>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1FB40E79">
      <w:pPr>
        <w:numPr>
          <w:ilvl w:val="0"/>
          <w:numId w:val="8"/>
        </w:numPr>
        <w:tabs>
          <w:tab w:val="clear" w:pos="420"/>
        </w:tabs>
        <w:spacing w:line="400" w:lineRule="exact"/>
        <w:ind w:left="540" w:hanging="540"/>
        <w:rPr>
          <w:rFonts w:ascii="宋体" w:hAnsi="宋体"/>
          <w:bCs/>
          <w:color w:val="auto"/>
          <w:sz w:val="22"/>
          <w:szCs w:val="22"/>
          <w:highlight w:val="none"/>
        </w:rPr>
      </w:pPr>
      <w:bookmarkStart w:id="98" w:name="_Toc262049418"/>
      <w:bookmarkStart w:id="99" w:name="_Toc223715998"/>
      <w:bookmarkStart w:id="100" w:name="_Toc222114879"/>
      <w:bookmarkStart w:id="101" w:name="_Toc249758864"/>
      <w:bookmarkStart w:id="102" w:name="_Toc246261265"/>
      <w:bookmarkStart w:id="103" w:name="_Toc245722281"/>
      <w:bookmarkStart w:id="104" w:name="_Toc262105503"/>
      <w:bookmarkStart w:id="105" w:name="_Toc239145354"/>
      <w:bookmarkStart w:id="106" w:name="_Toc221374626"/>
      <w:bookmarkStart w:id="107" w:name="_Toc249758712"/>
      <w:bookmarkStart w:id="108" w:name="_Toc241404202"/>
      <w:bookmarkStart w:id="109" w:name="_Toc245191314"/>
      <w:bookmarkStart w:id="110" w:name="_Toc221423619"/>
      <w:bookmarkStart w:id="111" w:name="_Toc221356951"/>
      <w:bookmarkStart w:id="112" w:name="_Toc221356887"/>
      <w:r>
        <w:rPr>
          <w:rFonts w:hint="eastAsia" w:ascii="宋体" w:hAnsi="宋体"/>
          <w:bCs/>
          <w:color w:val="auto"/>
          <w:sz w:val="22"/>
          <w:szCs w:val="22"/>
          <w:highlight w:val="none"/>
        </w:rPr>
        <w:t>投标文件编制</w:t>
      </w:r>
    </w:p>
    <w:p w14:paraId="3569884C">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5064E1F0">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由投标人自行承担。</w:t>
      </w:r>
    </w:p>
    <w:p w14:paraId="69819F7A">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17EE7AC8">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14D29372">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5A3C8152">
      <w:pPr>
        <w:numPr>
          <w:ilvl w:val="1"/>
          <w:numId w:val="12"/>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2E34CC79">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4F678BC4">
      <w:pPr>
        <w:numPr>
          <w:ilvl w:val="1"/>
          <w:numId w:val="13"/>
        </w:numPr>
        <w:tabs>
          <w:tab w:val="clear" w:pos="992"/>
        </w:tabs>
        <w:spacing w:line="400" w:lineRule="exact"/>
        <w:ind w:left="6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单位公章：电子投标响应文件中所需加盖公章部分均采用CA电子签章，</w:t>
      </w:r>
      <w:r>
        <w:rPr>
          <w:rFonts w:hint="eastAsia" w:ascii="宋体" w:hAnsi="宋体" w:cs="宋体"/>
          <w:color w:val="auto"/>
          <w:kern w:val="0"/>
          <w:sz w:val="22"/>
          <w:szCs w:val="22"/>
          <w:highlight w:val="none"/>
        </w:rPr>
        <w:t>如投标人以联合体形式参与投标的，由联合体牵头人进行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5537A816">
      <w:pPr>
        <w:numPr>
          <w:ilvl w:val="1"/>
          <w:numId w:val="13"/>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先制作word版打印，在相应位置签字或盖章后再扫描上传。</w:t>
      </w:r>
    </w:p>
    <w:p w14:paraId="1F15E7F0">
      <w:pPr>
        <w:numPr>
          <w:ilvl w:val="1"/>
          <w:numId w:val="13"/>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5D502E5B">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51534196">
      <w:pPr>
        <w:numPr>
          <w:ilvl w:val="1"/>
          <w:numId w:val="14"/>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加密标书,加密标书文件后缀格式为.jmbs</w:t>
      </w:r>
      <w:r>
        <w:rPr>
          <w:rFonts w:hint="eastAsia" w:ascii="宋体" w:hAnsi="宋体" w:cs="Arial"/>
          <w:color w:val="auto"/>
          <w:sz w:val="22"/>
          <w:szCs w:val="22"/>
          <w:highlight w:val="none"/>
          <w:lang w:val="zh-CN"/>
        </w:rPr>
        <w:t>。</w:t>
      </w:r>
    </w:p>
    <w:p w14:paraId="5F405182">
      <w:pPr>
        <w:numPr>
          <w:ilvl w:val="1"/>
          <w:numId w:val="14"/>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1AB85285">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0D66AF4A">
      <w:pPr>
        <w:numPr>
          <w:ilvl w:val="1"/>
          <w:numId w:val="15"/>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投标人未按规定上传电子响应文件的；</w:t>
      </w:r>
    </w:p>
    <w:p w14:paraId="10C0D482">
      <w:pPr>
        <w:numPr>
          <w:ilvl w:val="1"/>
          <w:numId w:val="15"/>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在解密期限内投标人电子响应文件解密失败，且经异常处理后政采云电子交易系统仍未能解决的。</w:t>
      </w:r>
    </w:p>
    <w:p w14:paraId="1551EAC6">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投标报价</w:t>
      </w:r>
    </w:p>
    <w:p w14:paraId="2B68E114">
      <w:pPr>
        <w:numPr>
          <w:ilvl w:val="1"/>
          <w:numId w:val="16"/>
        </w:numPr>
        <w:tabs>
          <w:tab w:val="clear" w:pos="992"/>
        </w:tabs>
        <w:spacing w:line="400" w:lineRule="exact"/>
        <w:ind w:left="420" w:hanging="347"/>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投标报价是指投标人</w:t>
      </w:r>
      <w:r>
        <w:rPr>
          <w:rFonts w:hint="eastAsia" w:ascii="宋体" w:hAnsi="宋体" w:cs="宋体"/>
          <w:b/>
          <w:bCs/>
          <w:color w:val="auto"/>
          <w:sz w:val="22"/>
          <w:highlight w:val="none"/>
          <w:u w:val="single"/>
        </w:rPr>
        <w:t>在正确地完全履行合同义务后采购人应支付给投标人所有的合同价款，</w:t>
      </w:r>
      <w:r>
        <w:rPr>
          <w:rFonts w:hint="eastAsia" w:ascii="宋体" w:hAnsi="宋体" w:cs="宋体"/>
          <w:b/>
          <w:color w:val="auto"/>
          <w:sz w:val="22"/>
          <w:szCs w:val="22"/>
          <w:highlight w:val="none"/>
          <w:u w:val="single"/>
        </w:rPr>
        <w:t>包括各种服务、人工费、</w:t>
      </w:r>
      <w:r>
        <w:rPr>
          <w:rFonts w:hint="eastAsia" w:ascii="宋体" w:hAnsi="宋体" w:cs="宋体"/>
          <w:b/>
          <w:color w:val="auto"/>
          <w:sz w:val="22"/>
          <w:szCs w:val="22"/>
          <w:highlight w:val="none"/>
          <w:u w:val="single"/>
          <w:lang w:val="en-US" w:eastAsia="zh-CN"/>
        </w:rPr>
        <w:t>保险</w:t>
      </w:r>
      <w:r>
        <w:rPr>
          <w:rFonts w:hint="eastAsia" w:ascii="宋体" w:hAnsi="宋体" w:cs="宋体"/>
          <w:b/>
          <w:color w:val="auto"/>
          <w:sz w:val="22"/>
          <w:szCs w:val="22"/>
          <w:highlight w:val="none"/>
          <w:u w:val="single"/>
        </w:rPr>
        <w:t>费、利润、各种税费、验收（含第三方验收）、采购代理服务费、售后服务</w:t>
      </w:r>
      <w:r>
        <w:rPr>
          <w:rFonts w:hint="eastAsia" w:ascii="宋体" w:hAnsi="宋体" w:cs="宋体"/>
          <w:b/>
          <w:color w:val="auto"/>
          <w:sz w:val="22"/>
          <w:szCs w:val="22"/>
          <w:highlight w:val="none"/>
          <w:u w:val="single"/>
          <w:lang w:eastAsia="zh-CN"/>
        </w:rPr>
        <w:t>、</w:t>
      </w:r>
      <w:r>
        <w:rPr>
          <w:rFonts w:hint="eastAsia" w:ascii="新宋体" w:eastAsia="新宋体"/>
          <w:b/>
          <w:bCs/>
          <w:color w:val="auto"/>
          <w:sz w:val="22"/>
          <w:szCs w:val="22"/>
          <w:highlight w:val="none"/>
          <w:u w:val="single"/>
        </w:rPr>
        <w:t>政采云平台技术服务费</w:t>
      </w:r>
      <w:r>
        <w:rPr>
          <w:rFonts w:hint="eastAsia" w:ascii="宋体" w:hAnsi="宋体" w:cs="宋体"/>
          <w:b/>
          <w:color w:val="auto"/>
          <w:sz w:val="22"/>
          <w:szCs w:val="22"/>
          <w:highlight w:val="none"/>
          <w:u w:val="single"/>
        </w:rPr>
        <w:t>等完成本项目所需的一切本身和不可或缺的所有开支、政策性文件规定及合同包含的所有风险、责任等各项全部费用，实行固定费用总包干，投标人应根据上述因素自行考虑含入投标总价。</w:t>
      </w:r>
    </w:p>
    <w:p w14:paraId="3D87187A">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已含在投标总价中。</w:t>
      </w:r>
    </w:p>
    <w:p w14:paraId="4EAE9ECA">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52A29A41">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6150C428">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3ECB3C69">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57FA57BF">
      <w:pPr>
        <w:numPr>
          <w:ilvl w:val="1"/>
          <w:numId w:val="1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39E5A28E">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2975A93D">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39CCAE52">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31D4AD81">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7BECF250">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5C84F04F">
      <w:pPr>
        <w:numPr>
          <w:ilvl w:val="0"/>
          <w:numId w:val="8"/>
        </w:numPr>
        <w:tabs>
          <w:tab w:val="clear" w:pos="420"/>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投标有效期</w:t>
      </w:r>
    </w:p>
    <w:p w14:paraId="6938BE99">
      <w:pPr>
        <w:numPr>
          <w:ilvl w:val="1"/>
          <w:numId w:val="18"/>
        </w:numPr>
        <w:tabs>
          <w:tab w:val="clear" w:pos="992"/>
        </w:tabs>
        <w:spacing w:line="40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0E6C6631">
      <w:pPr>
        <w:numPr>
          <w:ilvl w:val="1"/>
          <w:numId w:val="18"/>
        </w:numPr>
        <w:tabs>
          <w:tab w:val="clear" w:pos="992"/>
        </w:tabs>
        <w:spacing w:line="400" w:lineRule="exact"/>
        <w:ind w:left="420"/>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59D6C051">
      <w:pPr>
        <w:spacing w:before="100" w:beforeAutospacing="1" w:after="100" w:afterAutospacing="1" w:line="400" w:lineRule="exact"/>
        <w:jc w:val="center"/>
        <w:outlineLvl w:val="0"/>
        <w:rPr>
          <w:rFonts w:ascii="宋体" w:hAnsi="宋体"/>
          <w:b/>
          <w:bCs/>
          <w:color w:val="auto"/>
          <w:sz w:val="26"/>
          <w:szCs w:val="26"/>
          <w:highlight w:val="none"/>
        </w:rPr>
      </w:pPr>
      <w:bookmarkStart w:id="113" w:name="_Toc21018"/>
      <w:bookmarkStart w:id="114" w:name="_Toc16296"/>
      <w:r>
        <w:rPr>
          <w:rFonts w:hint="eastAsia" w:ascii="宋体" w:hAnsi="宋体"/>
          <w:b/>
          <w:bCs/>
          <w:color w:val="auto"/>
          <w:sz w:val="26"/>
          <w:szCs w:val="26"/>
          <w:highlight w:val="none"/>
        </w:rPr>
        <w:t>五、 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764B102">
      <w:pPr>
        <w:numPr>
          <w:ilvl w:val="0"/>
          <w:numId w:val="19"/>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59D22C3A">
      <w:pPr>
        <w:numPr>
          <w:ilvl w:val="1"/>
          <w:numId w:val="20"/>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“电子响应文件”的上传、递交，具体详见《政府采购项目电子交易管理操作指南-供应商》（投标人自行去政采云系统上进行下载）：</w:t>
      </w:r>
    </w:p>
    <w:p w14:paraId="13F2369F">
      <w:pPr>
        <w:pStyle w:val="25"/>
        <w:numPr>
          <w:ilvl w:val="0"/>
          <w:numId w:val="21"/>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电子响应文件制作完成并生成加密标书，在投标响应截止时间前，投标人需将加密的响应文件上传至政采云平台，接到解密通知后，解密投标响应文件。</w:t>
      </w:r>
    </w:p>
    <w:p w14:paraId="0D250CE3">
      <w:pPr>
        <w:pStyle w:val="25"/>
        <w:numPr>
          <w:ilvl w:val="0"/>
          <w:numId w:val="21"/>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16E6516D">
      <w:pPr>
        <w:numPr>
          <w:ilvl w:val="1"/>
          <w:numId w:val="20"/>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15CF92E4">
      <w:pPr>
        <w:pStyle w:val="25"/>
        <w:numPr>
          <w:ilvl w:val="0"/>
          <w:numId w:val="22"/>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auto"/>
          <w:highlight w:val="none"/>
        </w:rPr>
        <w:fldChar w:fldCharType="separate"/>
      </w:r>
      <w:r>
        <w:rPr>
          <w:rFonts w:hint="eastAsia" w:ascii="宋体" w:hAnsi="宋体" w:cs="宋体"/>
          <w:color w:val="auto"/>
          <w:sz w:val="22"/>
          <w:szCs w:val="22"/>
          <w:highlight w:val="none"/>
        </w:rPr>
        <w:t>投标人在系统里上传好加密标书后，可以（建议）在投标响应截止时间前将系统生成的备份标书（后缀格式为.bfbs）以电子邮件形式传送至采购代理机构邮箱Yxgc666@126.com，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传送的备份标书需打包压缩并加密，加密密码由投标人自行保管。</w:t>
      </w:r>
    </w:p>
    <w:p w14:paraId="691FCFA3">
      <w:pPr>
        <w:pStyle w:val="25"/>
        <w:numPr>
          <w:ilvl w:val="0"/>
          <w:numId w:val="22"/>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2F8AA460">
      <w:pPr>
        <w:numPr>
          <w:ilvl w:val="1"/>
          <w:numId w:val="20"/>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投标人需保证上传的电子响应文件与提交的备份响应文件必须同时生成且内容完全一致。</w:t>
      </w:r>
    </w:p>
    <w:p w14:paraId="3CAB08FF">
      <w:pPr>
        <w:numPr>
          <w:ilvl w:val="0"/>
          <w:numId w:val="19"/>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5DA8E1BE">
      <w:pPr>
        <w:numPr>
          <w:ilvl w:val="1"/>
          <w:numId w:val="23"/>
        </w:numPr>
        <w:tabs>
          <w:tab w:val="clear" w:pos="992"/>
        </w:tabs>
        <w:spacing w:line="400" w:lineRule="exact"/>
        <w:ind w:left="640"/>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0B385AE1">
      <w:pPr>
        <w:numPr>
          <w:ilvl w:val="1"/>
          <w:numId w:val="23"/>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投标人可根据自身意愿确认是否将备份标书压缩包的解密密码传送至采购代理机构邮箱</w:t>
      </w:r>
      <w:r>
        <w:rPr>
          <w:rFonts w:hint="eastAsia" w:ascii="宋体" w:hAnsi="宋体" w:cs="Arial"/>
          <w:color w:val="auto"/>
          <w:sz w:val="22"/>
          <w:szCs w:val="22"/>
          <w:highlight w:val="none"/>
        </w:rPr>
        <w:t>Yxgc666@126.com,</w:t>
      </w:r>
      <w:r>
        <w:rPr>
          <w:rFonts w:hint="eastAsia" w:ascii="宋体" w:hAnsi="宋体" w:cs="Arial"/>
          <w:color w:val="auto"/>
          <w:sz w:val="22"/>
          <w:szCs w:val="22"/>
          <w:highlight w:val="none"/>
          <w:lang w:val="zh-CN"/>
        </w:rPr>
        <w:t>采购代理机构收到解密密码后通过【异常处理】的端口对投标人的备份响应文件进行上传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5938D5CA">
      <w:pPr>
        <w:numPr>
          <w:ilvl w:val="1"/>
          <w:numId w:val="23"/>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4BC15049">
      <w:pPr>
        <w:numPr>
          <w:ilvl w:val="0"/>
          <w:numId w:val="19"/>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206F7A62">
      <w:pPr>
        <w:numPr>
          <w:ilvl w:val="1"/>
          <w:numId w:val="2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1D6B31F">
      <w:pPr>
        <w:numPr>
          <w:ilvl w:val="1"/>
          <w:numId w:val="24"/>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196915FA">
      <w:pPr>
        <w:numPr>
          <w:ilvl w:val="0"/>
          <w:numId w:val="19"/>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3FE6D40B">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258DD0ED">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285C0DB1">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7E5F7196">
      <w:pPr>
        <w:numPr>
          <w:ilvl w:val="1"/>
          <w:numId w:val="25"/>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5DF4C56B">
      <w:pPr>
        <w:spacing w:before="100" w:beforeAutospacing="1" w:after="100" w:afterAutospacing="1" w:line="400" w:lineRule="exact"/>
        <w:jc w:val="center"/>
        <w:outlineLvl w:val="0"/>
        <w:rPr>
          <w:rFonts w:ascii="宋体" w:hAnsi="宋体"/>
          <w:b/>
          <w:bCs/>
          <w:color w:val="auto"/>
          <w:sz w:val="26"/>
          <w:szCs w:val="26"/>
          <w:highlight w:val="none"/>
        </w:rPr>
      </w:pPr>
      <w:bookmarkStart w:id="115" w:name="_Toc262049419"/>
      <w:bookmarkStart w:id="116" w:name="_Toc249758713"/>
      <w:bookmarkStart w:id="117" w:name="_Toc221374627"/>
      <w:bookmarkStart w:id="118" w:name="_Toc246261266"/>
      <w:bookmarkStart w:id="119" w:name="_Toc221356952"/>
      <w:bookmarkStart w:id="120" w:name="_Toc221423620"/>
      <w:bookmarkStart w:id="121" w:name="_Toc223715999"/>
      <w:bookmarkStart w:id="122" w:name="_Toc222114880"/>
      <w:bookmarkStart w:id="123" w:name="_Toc262105504"/>
      <w:bookmarkStart w:id="124" w:name="_Toc239145355"/>
      <w:bookmarkStart w:id="125" w:name="_Toc16321"/>
      <w:bookmarkStart w:id="126" w:name="_Toc221356888"/>
      <w:bookmarkStart w:id="127" w:name="_Toc241404203"/>
      <w:bookmarkStart w:id="128" w:name="_Toc249758865"/>
      <w:bookmarkStart w:id="129" w:name="_Toc245191315"/>
      <w:bookmarkStart w:id="130" w:name="_Toc245722282"/>
      <w:bookmarkStart w:id="131" w:name="_Toc5474"/>
      <w:r>
        <w:rPr>
          <w:rFonts w:hint="eastAsia" w:ascii="宋体" w:hAnsi="宋体"/>
          <w:b/>
          <w:bCs/>
          <w:color w:val="auto"/>
          <w:sz w:val="26"/>
          <w:szCs w:val="26"/>
          <w:highlight w:val="none"/>
        </w:rPr>
        <w:t>六、 开标</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1EEC924">
      <w:pPr>
        <w:numPr>
          <w:ilvl w:val="0"/>
          <w:numId w:val="26"/>
        </w:numPr>
        <w:tabs>
          <w:tab w:val="clear" w:pos="420"/>
        </w:tabs>
        <w:spacing w:line="400" w:lineRule="exact"/>
        <w:rPr>
          <w:rFonts w:ascii="宋体" w:hAnsi="宋体" w:cs="Arial"/>
          <w:bCs/>
          <w:color w:val="auto"/>
          <w:sz w:val="22"/>
          <w:szCs w:val="22"/>
          <w:highlight w:val="none"/>
        </w:rPr>
      </w:pPr>
      <w:bookmarkStart w:id="132" w:name="_Toc262105505"/>
      <w:bookmarkStart w:id="133" w:name="_Toc239145356"/>
      <w:bookmarkStart w:id="134" w:name="_Toc262049420"/>
      <w:bookmarkStart w:id="135" w:name="_Toc246261267"/>
      <w:bookmarkStart w:id="136" w:name="_Toc222114881"/>
      <w:bookmarkStart w:id="137" w:name="_Toc221356953"/>
      <w:bookmarkStart w:id="138" w:name="_Toc221374628"/>
      <w:bookmarkStart w:id="139" w:name="_Toc221423621"/>
      <w:bookmarkStart w:id="140" w:name="_Toc245722283"/>
      <w:bookmarkStart w:id="141" w:name="_Toc245191316"/>
      <w:bookmarkStart w:id="142" w:name="_Toc241404204"/>
      <w:bookmarkStart w:id="143" w:name="_Toc249758866"/>
      <w:bookmarkStart w:id="144" w:name="_Toc223716000"/>
      <w:bookmarkStart w:id="145" w:name="_Toc249758714"/>
      <w:bookmarkStart w:id="146" w:name="_Toc221356889"/>
      <w:r>
        <w:rPr>
          <w:rFonts w:hint="eastAsia" w:ascii="宋体" w:hAnsi="宋体" w:cs="Arial"/>
          <w:bCs/>
          <w:color w:val="auto"/>
          <w:sz w:val="22"/>
          <w:szCs w:val="22"/>
          <w:highlight w:val="none"/>
        </w:rPr>
        <w:t>开标形式</w:t>
      </w:r>
    </w:p>
    <w:p w14:paraId="18FB1765">
      <w:pPr>
        <w:tabs>
          <w:tab w:val="left" w:pos="540"/>
        </w:tabs>
        <w:spacing w:line="40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28B65FE9">
      <w:pPr>
        <w:numPr>
          <w:ilvl w:val="0"/>
          <w:numId w:val="2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4A6A2DC6">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13335C2A">
      <w:pPr>
        <w:numPr>
          <w:ilvl w:val="1"/>
          <w:numId w:val="27"/>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C46A283">
      <w:pPr>
        <w:numPr>
          <w:ilvl w:val="0"/>
          <w:numId w:val="26"/>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76751117">
      <w:pPr>
        <w:numPr>
          <w:ilvl w:val="1"/>
          <w:numId w:val="28"/>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261A39FF">
      <w:pPr>
        <w:numPr>
          <w:ilvl w:val="1"/>
          <w:numId w:val="28"/>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18C48CE2">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00731869">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4BECBB96">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5BB96852">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0CE4A61F">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218B2EAB">
      <w:pPr>
        <w:numPr>
          <w:ilvl w:val="0"/>
          <w:numId w:val="29"/>
        </w:numPr>
        <w:overflowPunct w:val="0"/>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460323CA">
      <w:pPr>
        <w:overflowPunct w:val="0"/>
        <w:spacing w:line="400" w:lineRule="exact"/>
        <w:ind w:left="110"/>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4D61FBDF">
      <w:pPr>
        <w:overflowPunct w:val="0"/>
        <w:spacing w:line="400" w:lineRule="exact"/>
        <w:ind w:firstLine="1281" w:firstLineChars="580"/>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33743288">
      <w:pPr>
        <w:numPr>
          <w:ilvl w:val="1"/>
          <w:numId w:val="28"/>
        </w:numPr>
        <w:tabs>
          <w:tab w:val="clear" w:pos="992"/>
        </w:tabs>
        <w:spacing w:line="40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14:paraId="57EB0DED">
      <w:pPr>
        <w:numPr>
          <w:ilvl w:val="1"/>
          <w:numId w:val="28"/>
        </w:numPr>
        <w:tabs>
          <w:tab w:val="clear" w:pos="992"/>
        </w:tabs>
        <w:spacing w:line="400" w:lineRule="exact"/>
        <w:ind w:left="540" w:hanging="540"/>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评审结束后，在“政采云平台”系统平台上公布各采购人的详细情况及中标（成交）候选投标人名单的公告等。</w:t>
      </w:r>
    </w:p>
    <w:p w14:paraId="5D680E50">
      <w:pPr>
        <w:tabs>
          <w:tab w:val="left" w:pos="540"/>
        </w:tabs>
        <w:spacing w:line="40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38AA4431">
      <w:pPr>
        <w:spacing w:before="100" w:beforeAutospacing="1" w:after="100" w:afterAutospacing="1" w:line="400" w:lineRule="exact"/>
        <w:jc w:val="center"/>
        <w:outlineLvl w:val="0"/>
        <w:rPr>
          <w:rFonts w:ascii="宋体" w:hAnsi="宋体"/>
          <w:b/>
          <w:bCs/>
          <w:color w:val="auto"/>
          <w:sz w:val="26"/>
          <w:szCs w:val="26"/>
          <w:highlight w:val="none"/>
        </w:rPr>
      </w:pPr>
      <w:bookmarkStart w:id="147" w:name="_Toc20819"/>
      <w:bookmarkStart w:id="148" w:name="_Toc6630"/>
      <w:r>
        <w:rPr>
          <w:rFonts w:hint="eastAsia" w:ascii="宋体" w:hAnsi="宋体"/>
          <w:b/>
          <w:bCs/>
          <w:color w:val="auto"/>
          <w:sz w:val="26"/>
          <w:szCs w:val="26"/>
          <w:highlight w:val="none"/>
        </w:rPr>
        <w:t>七、 评标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0BF334B">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08D47C8D">
      <w:pPr>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3人（含）以上单数，除采购人代表外的专家将在评标专家库中随机抽取产生。</w:t>
      </w:r>
    </w:p>
    <w:p w14:paraId="3D7AF324">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1D27D183">
      <w:pPr>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2C746A31">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155F4684">
      <w:pPr>
        <w:numPr>
          <w:ilvl w:val="1"/>
          <w:numId w:val="31"/>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资格性审查。</w:t>
      </w:r>
    </w:p>
    <w:p w14:paraId="000ACADC">
      <w:pPr>
        <w:pStyle w:val="122"/>
        <w:numPr>
          <w:ilvl w:val="0"/>
          <w:numId w:val="32"/>
        </w:numPr>
        <w:tabs>
          <w:tab w:val="left" w:pos="425"/>
        </w:tabs>
        <w:overflowPunct w:val="0"/>
        <w:spacing w:line="400" w:lineRule="exact"/>
        <w:ind w:hanging="136"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530F1220">
      <w:pPr>
        <w:pStyle w:val="122"/>
        <w:numPr>
          <w:ilvl w:val="0"/>
          <w:numId w:val="32"/>
        </w:numPr>
        <w:tabs>
          <w:tab w:val="left" w:pos="425"/>
        </w:tabs>
        <w:overflowPunct w:val="0"/>
        <w:spacing w:line="400" w:lineRule="exact"/>
        <w:ind w:hanging="136"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681635AC">
      <w:pPr>
        <w:numPr>
          <w:ilvl w:val="1"/>
          <w:numId w:val="31"/>
        </w:numPr>
        <w:tabs>
          <w:tab w:val="clear" w:pos="992"/>
        </w:tabs>
        <w:spacing w:line="40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18F1365F">
      <w:pPr>
        <w:numPr>
          <w:ilvl w:val="1"/>
          <w:numId w:val="31"/>
        </w:numPr>
        <w:tabs>
          <w:tab w:val="clear" w:pos="992"/>
        </w:tabs>
        <w:spacing w:line="400" w:lineRule="exact"/>
        <w:ind w:left="540" w:hanging="540"/>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4BF9D8CB">
      <w:pPr>
        <w:numPr>
          <w:ilvl w:val="0"/>
          <w:numId w:val="30"/>
        </w:numPr>
        <w:tabs>
          <w:tab w:val="clear" w:pos="420"/>
        </w:tabs>
        <w:spacing w:line="400" w:lineRule="exact"/>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66D7C0A4">
      <w:pPr>
        <w:numPr>
          <w:ilvl w:val="1"/>
          <w:numId w:val="33"/>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757AA307">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557AC91C">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3AB4FD66">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40EEC282">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2B3C22F3">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509CFEB8">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0D3AC12D">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26365D39">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57CBDD11">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6AA7776F">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5C30B302">
      <w:pPr>
        <w:numPr>
          <w:ilvl w:val="0"/>
          <w:numId w:val="34"/>
        </w:numPr>
        <w:spacing w:line="400" w:lineRule="exact"/>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0A9356AB">
      <w:pPr>
        <w:numPr>
          <w:ilvl w:val="1"/>
          <w:numId w:val="33"/>
        </w:numPr>
        <w:tabs>
          <w:tab w:val="clear" w:pos="992"/>
        </w:tabs>
        <w:spacing w:line="40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01A2912D">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43016883">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659B3EB0">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57D149DD">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4）出现其他不符合招标文件中规定的实质性要求的投标文件，是否为偏离实质性要求由评标委员会认定。</w:t>
      </w:r>
    </w:p>
    <w:p w14:paraId="7989A376">
      <w:pPr>
        <w:numPr>
          <w:ilvl w:val="1"/>
          <w:numId w:val="33"/>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53653479">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22D1BFDC">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7FE89BEA">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294DD69D">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6E5D388E">
      <w:pPr>
        <w:spacing w:line="400" w:lineRule="exact"/>
        <w:ind w:firstLine="418" w:firstLineChars="19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268F41B0">
      <w:pPr>
        <w:numPr>
          <w:ilvl w:val="1"/>
          <w:numId w:val="33"/>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085472C7">
      <w:pPr>
        <w:numPr>
          <w:ilvl w:val="0"/>
          <w:numId w:val="35"/>
        </w:numPr>
        <w:spacing w:line="400" w:lineRule="exact"/>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因政采云平台原因无法读取或电子开评标无法正常进行，采购机构将情况上报行业监管部门同意后，重新组织采购活动。</w:t>
      </w:r>
    </w:p>
    <w:p w14:paraId="71625571">
      <w:pPr>
        <w:numPr>
          <w:ilvl w:val="0"/>
          <w:numId w:val="35"/>
        </w:numPr>
        <w:spacing w:line="400" w:lineRule="exact"/>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截止时间止及评审期间，有效供应商原则上不得少于3家。出现供应商不足3家时，采购文件经评标委员会确认无倾向性，且存在竞争性，可按原采购方式继续进行采购活动；少于2家的该项目废标，由采购人决定是否重新组织采购。</w:t>
      </w:r>
    </w:p>
    <w:p w14:paraId="3D60752F">
      <w:pPr>
        <w:numPr>
          <w:ilvl w:val="1"/>
          <w:numId w:val="33"/>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2C3AC30F">
      <w:pPr>
        <w:numPr>
          <w:ilvl w:val="1"/>
          <w:numId w:val="33"/>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实质上没有响应招标文件要求的投标将被否决，投标人不得通过修正或撤销不合要求的偏离或保留从而使其投标成为实质上响应的投标。</w:t>
      </w:r>
    </w:p>
    <w:p w14:paraId="654CB67B">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05B7F94B">
      <w:pPr>
        <w:numPr>
          <w:ilvl w:val="1"/>
          <w:numId w:val="3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4FB39289">
      <w:pPr>
        <w:numPr>
          <w:ilvl w:val="1"/>
          <w:numId w:val="3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5FFCA81">
      <w:pPr>
        <w:numPr>
          <w:ilvl w:val="1"/>
          <w:numId w:val="36"/>
        </w:numPr>
        <w:tabs>
          <w:tab w:val="clear" w:pos="992"/>
        </w:tabs>
        <w:spacing w:line="40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582E2F55">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7420F30D">
      <w:pPr>
        <w:spacing w:line="40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40BEACA8">
      <w:pPr>
        <w:spacing w:line="40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360AE8E6">
      <w:pPr>
        <w:spacing w:line="40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020BAC02">
      <w:pPr>
        <w:spacing w:line="400" w:lineRule="exact"/>
        <w:ind w:firstLine="418" w:firstLineChars="190"/>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251236E7">
      <w:pPr>
        <w:numPr>
          <w:ilvl w:val="1"/>
          <w:numId w:val="36"/>
        </w:numPr>
        <w:tabs>
          <w:tab w:val="clear" w:pos="992"/>
        </w:tabs>
        <w:spacing w:line="400" w:lineRule="exact"/>
        <w:ind w:left="640"/>
        <w:rPr>
          <w:rFonts w:ascii="宋体" w:hAnsi="宋体" w:cs="Arial"/>
          <w:b/>
          <w:bCs/>
          <w:color w:val="auto"/>
          <w:sz w:val="22"/>
          <w:szCs w:val="22"/>
          <w:highlight w:val="none"/>
          <w:u w:val="single"/>
        </w:rPr>
      </w:pPr>
      <w:r>
        <w:rPr>
          <w:rFonts w:hint="eastAsia" w:ascii="宋体" w:hAnsi="宋体" w:cs="宋体"/>
          <w:color w:val="auto"/>
          <w:kern w:val="0"/>
          <w:sz w:val="22"/>
          <w:szCs w:val="22"/>
          <w:highlight w:val="none"/>
          <w:u w:val="single"/>
        </w:rPr>
        <w:t>▲</w:t>
      </w:r>
      <w:r>
        <w:rPr>
          <w:rFonts w:hint="eastAsia" w:ascii="宋体" w:hAnsi="宋体" w:cs="宋体"/>
          <w:b/>
          <w:bCs/>
          <w:color w:val="auto"/>
          <w:kern w:val="0"/>
          <w:sz w:val="22"/>
          <w:szCs w:val="22"/>
          <w:highlight w:val="none"/>
          <w:u w:val="single"/>
        </w:rPr>
        <w:t>评标委员会认为投标人的报价明显低于其他通过符合性审查投标人的报价，有可能影响产品质</w:t>
      </w:r>
      <w:r>
        <w:rPr>
          <w:rFonts w:hint="eastAsia" w:ascii="宋体" w:hAnsi="宋体" w:cs="Arial"/>
          <w:b/>
          <w:bCs/>
          <w:color w:val="auto"/>
          <w:sz w:val="22"/>
          <w:szCs w:val="22"/>
          <w:highlight w:val="none"/>
          <w:u w:val="single"/>
        </w:rPr>
        <w:t>量或者不能诚信履约的，将要求其在合理时间内在“政采云平台”上作出在线澄清并提供书面说明，必要时提交相关证明材料；投标人不能证明其报价合理性的，评标委员会应当将其作为无效投标处理。</w:t>
      </w:r>
    </w:p>
    <w:p w14:paraId="1DF9B5EA">
      <w:pPr>
        <w:numPr>
          <w:ilvl w:val="1"/>
          <w:numId w:val="3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3F56834C">
      <w:pPr>
        <w:numPr>
          <w:ilvl w:val="1"/>
          <w:numId w:val="36"/>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042ADF5A">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3B62B35B">
      <w:pPr>
        <w:numPr>
          <w:ilvl w:val="1"/>
          <w:numId w:val="37"/>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C9D07BA">
      <w:pPr>
        <w:numPr>
          <w:ilvl w:val="1"/>
          <w:numId w:val="37"/>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3345CC03">
      <w:pPr>
        <w:numPr>
          <w:ilvl w:val="1"/>
          <w:numId w:val="37"/>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7E7FBBE">
      <w:pPr>
        <w:numPr>
          <w:ilvl w:val="1"/>
          <w:numId w:val="37"/>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0FB8CF3C">
      <w:pPr>
        <w:numPr>
          <w:ilvl w:val="1"/>
          <w:numId w:val="37"/>
        </w:numPr>
        <w:tabs>
          <w:tab w:val="clear" w:pos="992"/>
        </w:tabs>
        <w:spacing w:line="400" w:lineRule="exact"/>
        <w:ind w:left="418" w:leftChars="-68" w:hanging="561" w:hangingChars="255"/>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5720084B">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4FB86B0D">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423A12BB">
      <w:pPr>
        <w:numPr>
          <w:ilvl w:val="1"/>
          <w:numId w:val="38"/>
        </w:numPr>
        <w:tabs>
          <w:tab w:val="clear" w:pos="992"/>
        </w:tabs>
        <w:spacing w:line="400" w:lineRule="exact"/>
        <w:ind w:left="640"/>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和）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3810EC84">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F409F12">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5279C174">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60A0336C">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343F2BFC">
      <w:pPr>
        <w:spacing w:line="40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61992193">
      <w:pPr>
        <w:numPr>
          <w:ilvl w:val="1"/>
          <w:numId w:val="38"/>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61B9C55A">
      <w:pPr>
        <w:numPr>
          <w:ilvl w:val="0"/>
          <w:numId w:val="30"/>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2694C2AF">
      <w:pPr>
        <w:numPr>
          <w:ilvl w:val="1"/>
          <w:numId w:val="39"/>
        </w:numPr>
        <w:tabs>
          <w:tab w:val="clear" w:pos="992"/>
        </w:tabs>
        <w:spacing w:line="400" w:lineRule="exact"/>
        <w:ind w:left="640"/>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788164FC">
      <w:pPr>
        <w:numPr>
          <w:ilvl w:val="2"/>
          <w:numId w:val="40"/>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4A47F278">
      <w:pPr>
        <w:numPr>
          <w:ilvl w:val="2"/>
          <w:numId w:val="40"/>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26DDDF4B">
      <w:pPr>
        <w:numPr>
          <w:ilvl w:val="2"/>
          <w:numId w:val="40"/>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2DE3DC37">
      <w:pPr>
        <w:numPr>
          <w:ilvl w:val="2"/>
          <w:numId w:val="40"/>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6A15C644">
      <w:pPr>
        <w:numPr>
          <w:ilvl w:val="2"/>
          <w:numId w:val="40"/>
        </w:numPr>
        <w:tabs>
          <w:tab w:val="left" w:pos="993"/>
        </w:tabs>
        <w:spacing w:line="40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0A35BB1D">
      <w:pPr>
        <w:numPr>
          <w:ilvl w:val="1"/>
          <w:numId w:val="39"/>
        </w:numPr>
        <w:tabs>
          <w:tab w:val="clear" w:pos="992"/>
        </w:tabs>
        <w:spacing w:line="400" w:lineRule="exact"/>
        <w:ind w:left="640"/>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7C63F25">
      <w:pPr>
        <w:spacing w:before="100" w:beforeAutospacing="1" w:after="100" w:afterAutospacing="1" w:line="400" w:lineRule="exact"/>
        <w:jc w:val="center"/>
        <w:outlineLvl w:val="0"/>
        <w:rPr>
          <w:rFonts w:ascii="宋体" w:hAnsi="宋体"/>
          <w:b/>
          <w:bCs/>
          <w:color w:val="auto"/>
          <w:sz w:val="26"/>
          <w:szCs w:val="26"/>
          <w:highlight w:val="none"/>
        </w:rPr>
      </w:pPr>
      <w:bookmarkStart w:id="149" w:name="_Toc306613654"/>
      <w:bookmarkStart w:id="150" w:name="_Toc4694"/>
      <w:bookmarkStart w:id="151" w:name="_Toc23321"/>
      <w:bookmarkStart w:id="152" w:name="_Toc34508136"/>
      <w:bookmarkStart w:id="153" w:name="_Toc34221901"/>
      <w:r>
        <w:rPr>
          <w:rFonts w:hint="eastAsia" w:ascii="宋体" w:hAnsi="宋体"/>
          <w:b/>
          <w:bCs/>
          <w:color w:val="auto"/>
          <w:sz w:val="26"/>
          <w:szCs w:val="26"/>
          <w:highlight w:val="none"/>
        </w:rPr>
        <w:t xml:space="preserve">八、 </w:t>
      </w:r>
      <w:bookmarkStart w:id="154" w:name="_Toc32607"/>
      <w:r>
        <w:rPr>
          <w:rFonts w:hint="eastAsia" w:ascii="宋体" w:hAnsi="宋体"/>
          <w:b/>
          <w:bCs/>
          <w:color w:val="auto"/>
          <w:sz w:val="26"/>
          <w:szCs w:val="26"/>
          <w:highlight w:val="none"/>
        </w:rPr>
        <w:t>授予合同</w:t>
      </w:r>
      <w:bookmarkEnd w:id="149"/>
      <w:bookmarkEnd w:id="150"/>
      <w:bookmarkEnd w:id="151"/>
      <w:bookmarkEnd w:id="152"/>
      <w:bookmarkEnd w:id="153"/>
      <w:bookmarkEnd w:id="154"/>
    </w:p>
    <w:p w14:paraId="606DCA83">
      <w:pPr>
        <w:numPr>
          <w:ilvl w:val="0"/>
          <w:numId w:val="4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3566BFE3">
      <w:pPr>
        <w:numPr>
          <w:ilvl w:val="1"/>
          <w:numId w:val="42"/>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31F8E168">
      <w:pPr>
        <w:numPr>
          <w:ilvl w:val="1"/>
          <w:numId w:val="42"/>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2C0125CD">
      <w:pPr>
        <w:numPr>
          <w:ilvl w:val="1"/>
          <w:numId w:val="42"/>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07C65F02">
      <w:pPr>
        <w:numPr>
          <w:ilvl w:val="1"/>
          <w:numId w:val="42"/>
        </w:numPr>
        <w:tabs>
          <w:tab w:val="clear" w:pos="992"/>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32B5C787">
      <w:pPr>
        <w:numPr>
          <w:ilvl w:val="0"/>
          <w:numId w:val="41"/>
        </w:numPr>
        <w:tabs>
          <w:tab w:val="clear" w:pos="420"/>
        </w:tabs>
        <w:spacing w:line="400" w:lineRule="exact"/>
        <w:ind w:left="18" w:hanging="17" w:hangingChars="8"/>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51816879">
      <w:pPr>
        <w:numPr>
          <w:ilvl w:val="1"/>
          <w:numId w:val="43"/>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710DD431">
      <w:pPr>
        <w:numPr>
          <w:ilvl w:val="1"/>
          <w:numId w:val="43"/>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047A4A0A">
      <w:pPr>
        <w:numPr>
          <w:ilvl w:val="1"/>
          <w:numId w:val="43"/>
        </w:numPr>
        <w:tabs>
          <w:tab w:val="clear" w:pos="1110"/>
        </w:tabs>
        <w:spacing w:line="400" w:lineRule="exact"/>
        <w:ind w:left="18" w:hanging="18" w:hangingChars="8"/>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2FE158B3">
      <w:pPr>
        <w:numPr>
          <w:ilvl w:val="1"/>
          <w:numId w:val="43"/>
        </w:numPr>
        <w:tabs>
          <w:tab w:val="clear" w:pos="1110"/>
        </w:tabs>
        <w:spacing w:line="400" w:lineRule="exact"/>
        <w:ind w:left="18" w:hanging="17" w:hangingChars="8"/>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40055B57">
      <w:pPr>
        <w:numPr>
          <w:ilvl w:val="0"/>
          <w:numId w:val="41"/>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w:t>
      </w:r>
      <w:r>
        <w:rPr>
          <w:rFonts w:hint="eastAsia" w:ascii="宋体" w:hAnsi="宋体" w:cs="Arial"/>
          <w:bCs/>
          <w:color w:val="auto"/>
          <w:sz w:val="22"/>
          <w:szCs w:val="22"/>
          <w:highlight w:val="none"/>
        </w:rPr>
        <w:t>投标人</w:t>
      </w:r>
      <w:r>
        <w:rPr>
          <w:rFonts w:ascii="宋体" w:hAnsi="宋体" w:cs="Arial"/>
          <w:bCs/>
          <w:color w:val="auto"/>
          <w:sz w:val="22"/>
          <w:szCs w:val="22"/>
          <w:highlight w:val="none"/>
        </w:rPr>
        <w:t>诚信等因素，可以要求</w:t>
      </w:r>
      <w:r>
        <w:rPr>
          <w:rFonts w:hint="eastAsia" w:ascii="宋体" w:hAnsi="宋体" w:cs="Arial"/>
          <w:bCs/>
          <w:color w:val="auto"/>
          <w:sz w:val="22"/>
          <w:szCs w:val="22"/>
          <w:highlight w:val="none"/>
        </w:rPr>
        <w:t>投标人</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6E9FEB0A">
      <w:pPr>
        <w:numPr>
          <w:ilvl w:val="0"/>
          <w:numId w:val="41"/>
        </w:numPr>
        <w:tabs>
          <w:tab w:val="clear" w:pos="420"/>
        </w:tabs>
        <w:spacing w:line="400" w:lineRule="exact"/>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中标（成交）资格，或自愿放弃中标（成交）资格的投标人，需承担代理费和专家评审费等费用。</w:t>
      </w:r>
    </w:p>
    <w:p w14:paraId="6C003EEC">
      <w:pPr>
        <w:spacing w:before="100" w:beforeAutospacing="1" w:after="100" w:afterAutospacing="1" w:line="400" w:lineRule="exact"/>
        <w:jc w:val="center"/>
        <w:outlineLvl w:val="0"/>
        <w:rPr>
          <w:rFonts w:ascii="宋体" w:hAnsi="宋体"/>
          <w:b/>
          <w:bCs/>
          <w:color w:val="auto"/>
          <w:sz w:val="26"/>
          <w:szCs w:val="26"/>
          <w:highlight w:val="none"/>
        </w:rPr>
      </w:pPr>
      <w:bookmarkStart w:id="155" w:name="_Toc25540"/>
      <w:bookmarkStart w:id="156" w:name="_Toc15814"/>
      <w:bookmarkStart w:id="157" w:name="_Toc11317"/>
      <w:r>
        <w:rPr>
          <w:rFonts w:hint="eastAsia" w:ascii="宋体" w:hAnsi="宋体"/>
          <w:b/>
          <w:bCs/>
          <w:color w:val="auto"/>
          <w:sz w:val="26"/>
          <w:szCs w:val="26"/>
          <w:highlight w:val="none"/>
        </w:rPr>
        <w:t>九、验收</w:t>
      </w:r>
      <w:bookmarkEnd w:id="155"/>
      <w:bookmarkEnd w:id="156"/>
      <w:bookmarkEnd w:id="157"/>
    </w:p>
    <w:p w14:paraId="04FD2DB6">
      <w:pPr>
        <w:numPr>
          <w:ilvl w:val="0"/>
          <w:numId w:val="44"/>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37F3A012">
      <w:pPr>
        <w:numPr>
          <w:ilvl w:val="0"/>
          <w:numId w:val="44"/>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采购人可以邀请参加本项目的其他投标人或者第三方机构参与验收。参与验收的投标人或者第三方机构的意见作为验收书的参考资料一并存档。</w:t>
      </w:r>
    </w:p>
    <w:p w14:paraId="2D9DA463">
      <w:pPr>
        <w:numPr>
          <w:ilvl w:val="0"/>
          <w:numId w:val="44"/>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1790062">
      <w:pPr>
        <w:numPr>
          <w:ilvl w:val="0"/>
          <w:numId w:val="44"/>
        </w:numPr>
        <w:tabs>
          <w:tab w:val="clear" w:pos="420"/>
        </w:tabs>
        <w:spacing w:line="400" w:lineRule="exact"/>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11DCF28A">
      <w:pPr>
        <w:numPr>
          <w:ilvl w:val="0"/>
          <w:numId w:val="44"/>
        </w:numPr>
        <w:tabs>
          <w:tab w:val="clear" w:pos="420"/>
        </w:tabs>
        <w:spacing w:line="400" w:lineRule="exact"/>
        <w:rPr>
          <w:rFonts w:ascii="宋体" w:hAnsi="宋体"/>
          <w:color w:val="auto"/>
          <w:sz w:val="22"/>
          <w:szCs w:val="22"/>
          <w:highlight w:val="none"/>
        </w:rPr>
      </w:pPr>
      <w:bookmarkStart w:id="158" w:name="_Hlt75236290"/>
      <w:bookmarkEnd w:id="158"/>
      <w:bookmarkStart w:id="159" w:name="_Hlt74730295"/>
      <w:bookmarkEnd w:id="159"/>
      <w:bookmarkStart w:id="160" w:name="_Hlt74729768"/>
      <w:bookmarkEnd w:id="160"/>
      <w:bookmarkStart w:id="161" w:name="_Hlt68072998"/>
      <w:bookmarkEnd w:id="161"/>
      <w:bookmarkStart w:id="162" w:name="_Hlt75236011"/>
      <w:bookmarkEnd w:id="162"/>
      <w:bookmarkStart w:id="163" w:name="_Hlt75236101"/>
      <w:bookmarkEnd w:id="163"/>
      <w:bookmarkStart w:id="164" w:name="_Hlt68073093"/>
      <w:bookmarkEnd w:id="164"/>
      <w:bookmarkStart w:id="165" w:name="_Hlt74707468"/>
      <w:bookmarkEnd w:id="165"/>
      <w:bookmarkStart w:id="166" w:name="_Hlt68403820"/>
      <w:bookmarkEnd w:id="166"/>
      <w:bookmarkStart w:id="167" w:name="_Hlt68072990"/>
      <w:bookmarkEnd w:id="167"/>
      <w:bookmarkStart w:id="168" w:name="_Hlt74714665"/>
      <w:bookmarkEnd w:id="168"/>
      <w:bookmarkStart w:id="169" w:name="_Hlt68057669"/>
      <w:bookmarkEnd w:id="169"/>
      <w:r>
        <w:rPr>
          <w:rFonts w:hint="eastAsia" w:ascii="宋体" w:hAnsi="宋体" w:cs="Arial"/>
          <w:b/>
          <w:color w:val="auto"/>
          <w:sz w:val="22"/>
          <w:szCs w:val="22"/>
          <w:highlight w:val="none"/>
        </w:rPr>
        <w:t>履约验收费用由投标人承担，因投标人原因造成验收不通过的，再次验收的费用仍由投标人承担。如采用简易验收的，则不需要支付该笔费用。</w:t>
      </w:r>
    </w:p>
    <w:p w14:paraId="7BB8A3DA">
      <w:pPr>
        <w:rPr>
          <w:rFonts w:ascii="宋体" w:hAnsi="宋体" w:cs="Arial"/>
          <w:bCs/>
          <w:color w:val="auto"/>
          <w:sz w:val="22"/>
          <w:szCs w:val="22"/>
          <w:highlight w:val="none"/>
        </w:rPr>
      </w:pPr>
      <w:r>
        <w:rPr>
          <w:rFonts w:ascii="宋体" w:hAnsi="宋体" w:cs="Arial"/>
          <w:bCs/>
          <w:color w:val="auto"/>
          <w:sz w:val="22"/>
          <w:szCs w:val="22"/>
          <w:highlight w:val="none"/>
        </w:rPr>
        <w:br w:type="page"/>
      </w:r>
    </w:p>
    <w:p w14:paraId="19624C33">
      <w:pPr>
        <w:pStyle w:val="3"/>
        <w:spacing w:line="360" w:lineRule="auto"/>
        <w:rPr>
          <w:rFonts w:ascii="宋体" w:hAnsi="宋体" w:eastAsia="宋体" w:cs="Arial"/>
          <w:color w:val="auto"/>
          <w:sz w:val="36"/>
          <w:szCs w:val="36"/>
          <w:highlight w:val="none"/>
        </w:rPr>
      </w:pPr>
      <w:bookmarkStart w:id="170" w:name="_Toc262049421"/>
      <w:bookmarkStart w:id="171" w:name="_Toc249758715"/>
      <w:bookmarkStart w:id="172" w:name="_Toc239145357"/>
      <w:bookmarkStart w:id="173" w:name="_Toc222114882"/>
      <w:bookmarkStart w:id="174" w:name="_Toc262105506"/>
      <w:bookmarkStart w:id="175" w:name="_Toc223716001"/>
      <w:bookmarkStart w:id="176" w:name="_Toc249758867"/>
      <w:bookmarkStart w:id="177" w:name="_Toc221423622"/>
      <w:bookmarkStart w:id="178" w:name="_Toc9055"/>
      <w:bookmarkStart w:id="179" w:name="_Toc246261268"/>
      <w:bookmarkStart w:id="180" w:name="_Toc245191317"/>
      <w:bookmarkStart w:id="181" w:name="_Toc245722284"/>
      <w:bookmarkStart w:id="182" w:name="_Toc241404205"/>
      <w:bookmarkStart w:id="183" w:name="_Toc221356954"/>
      <w:bookmarkStart w:id="184" w:name="_Toc221374629"/>
      <w:bookmarkStart w:id="185" w:name="_Toc221356890"/>
      <w:r>
        <w:rPr>
          <w:rFonts w:hint="eastAsia" w:ascii="宋体" w:hAnsi="宋体" w:eastAsia="宋体" w:cs="Arial"/>
          <w:color w:val="auto"/>
          <w:sz w:val="36"/>
          <w:szCs w:val="36"/>
          <w:highlight w:val="none"/>
        </w:rPr>
        <w:t>第二部分   招标内容及要求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A27A17B">
      <w:pPr>
        <w:autoSpaceDE w:val="0"/>
        <w:autoSpaceDN w:val="0"/>
        <w:adjustRightInd w:val="0"/>
        <w:snapToGrid w:val="0"/>
        <w:spacing w:line="440" w:lineRule="exact"/>
        <w:jc w:val="left"/>
        <w:textAlignment w:val="bottom"/>
        <w:rPr>
          <w:rFonts w:ascii="宋体" w:hAnsi="宋体" w:cs="宋体"/>
          <w:b/>
          <w:color w:val="auto"/>
          <w:sz w:val="22"/>
          <w:szCs w:val="22"/>
          <w:highlight w:val="none"/>
        </w:rPr>
      </w:pPr>
      <w:r>
        <w:rPr>
          <w:rFonts w:hint="eastAsia" w:ascii="宋体" w:hAnsi="宋体" w:cs="宋体"/>
          <w:b/>
          <w:color w:val="auto"/>
          <w:sz w:val="22"/>
          <w:szCs w:val="22"/>
          <w:highlight w:val="none"/>
        </w:rPr>
        <w:t>一、招标说明</w:t>
      </w:r>
    </w:p>
    <w:p w14:paraId="7AA152F2">
      <w:pPr>
        <w:numPr>
          <w:ilvl w:val="2"/>
          <w:numId w:val="0"/>
        </w:numPr>
        <w:tabs>
          <w:tab w:val="left" w:pos="525"/>
        </w:tabs>
        <w:autoSpaceDE w:val="0"/>
        <w:autoSpaceDN w:val="0"/>
        <w:adjustRightInd w:val="0"/>
        <w:snapToGrid w:val="0"/>
        <w:spacing w:line="460" w:lineRule="exact"/>
        <w:ind w:firstLine="527"/>
        <w:textAlignment w:val="bottom"/>
        <w:rPr>
          <w:rFonts w:ascii="宋体" w:hAnsi="宋体"/>
          <w:color w:val="auto"/>
          <w:sz w:val="22"/>
          <w:szCs w:val="22"/>
          <w:highlight w:val="none"/>
        </w:rPr>
      </w:pPr>
      <w:r>
        <w:rPr>
          <w:rFonts w:hint="eastAsia" w:ascii="宋体" w:hAnsi="宋体"/>
          <w:color w:val="auto"/>
          <w:sz w:val="22"/>
          <w:szCs w:val="22"/>
          <w:highlight w:val="none"/>
        </w:rPr>
        <w:t>1.本次招标为</w:t>
      </w:r>
      <w:r>
        <w:rPr>
          <w:rFonts w:hint="eastAsia" w:ascii="宋体" w:hAnsi="宋体"/>
          <w:color w:val="auto"/>
          <w:sz w:val="22"/>
          <w:szCs w:val="22"/>
          <w:highlight w:val="none"/>
          <w:lang w:eastAsia="zh-CN"/>
        </w:rPr>
        <w:t>2025年学生团体人身意外伤害险及校责险</w:t>
      </w:r>
      <w:r>
        <w:rPr>
          <w:rFonts w:hint="eastAsia" w:ascii="宋体" w:hAnsi="宋体"/>
          <w:color w:val="auto"/>
          <w:sz w:val="22"/>
          <w:szCs w:val="22"/>
          <w:highlight w:val="none"/>
        </w:rPr>
        <w:t>采购。提供相应的技术、售后服务，需满足本招标文件及相关标准、规范的要求。</w:t>
      </w:r>
    </w:p>
    <w:p w14:paraId="6F8DE93B">
      <w:pPr>
        <w:numPr>
          <w:ilvl w:val="2"/>
          <w:numId w:val="0"/>
        </w:numPr>
        <w:tabs>
          <w:tab w:val="left" w:pos="525"/>
        </w:tabs>
        <w:autoSpaceDE w:val="0"/>
        <w:autoSpaceDN w:val="0"/>
        <w:adjustRightInd w:val="0"/>
        <w:snapToGrid w:val="0"/>
        <w:spacing w:line="460" w:lineRule="exact"/>
        <w:ind w:firstLine="527"/>
        <w:textAlignment w:val="bottom"/>
        <w:rPr>
          <w:rFonts w:ascii="宋体" w:hAnsi="宋体"/>
          <w:color w:val="auto"/>
          <w:sz w:val="22"/>
          <w:szCs w:val="22"/>
          <w:highlight w:val="none"/>
        </w:rPr>
      </w:pPr>
      <w:r>
        <w:rPr>
          <w:rFonts w:hint="eastAsia" w:ascii="宋体" w:hAnsi="宋体"/>
          <w:color w:val="auto"/>
          <w:sz w:val="22"/>
          <w:szCs w:val="22"/>
          <w:highlight w:val="none"/>
        </w:rPr>
        <w:t>3.投标方须对招标文件中涉及到的知识产权负责，并保证不伤害业主的利益。在法律范围内，所有文字、商标和技术侵权造成的相关费用，业主概不负责。</w:t>
      </w:r>
    </w:p>
    <w:p w14:paraId="1691CFD3">
      <w:pPr>
        <w:widowControl/>
        <w:numPr>
          <w:ilvl w:val="0"/>
          <w:numId w:val="45"/>
        </w:numPr>
        <w:spacing w:line="440" w:lineRule="exact"/>
        <w:rPr>
          <w:rFonts w:ascii="宋体" w:hAnsi="宋体"/>
          <w:b/>
          <w:color w:val="auto"/>
          <w:sz w:val="22"/>
          <w:szCs w:val="22"/>
          <w:highlight w:val="none"/>
        </w:rPr>
      </w:pPr>
      <w:r>
        <w:rPr>
          <w:rFonts w:hint="eastAsia" w:ascii="宋体" w:hAnsi="宋体"/>
          <w:b/>
          <w:color w:val="auto"/>
          <w:sz w:val="22"/>
          <w:szCs w:val="22"/>
          <w:highlight w:val="none"/>
        </w:rPr>
        <w:t>采购清单</w:t>
      </w:r>
    </w:p>
    <w:tbl>
      <w:tblPr>
        <w:tblStyle w:val="62"/>
        <w:tblW w:w="9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4"/>
        <w:gridCol w:w="2129"/>
        <w:gridCol w:w="1829"/>
        <w:gridCol w:w="1829"/>
        <w:gridCol w:w="3658"/>
      </w:tblGrid>
      <w:tr w14:paraId="13D63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474" w:type="dxa"/>
            <w:vAlign w:val="center"/>
          </w:tcPr>
          <w:p w14:paraId="2C73CCF1">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129" w:type="dxa"/>
            <w:vAlign w:val="center"/>
          </w:tcPr>
          <w:p w14:paraId="6D8B27A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采购内容</w:t>
            </w:r>
          </w:p>
        </w:tc>
        <w:tc>
          <w:tcPr>
            <w:tcW w:w="3658" w:type="dxa"/>
            <w:gridSpan w:val="2"/>
            <w:vAlign w:val="center"/>
          </w:tcPr>
          <w:p w14:paraId="447579C6">
            <w:pPr>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采购单价（元）</w:t>
            </w:r>
          </w:p>
        </w:tc>
        <w:tc>
          <w:tcPr>
            <w:tcW w:w="3658" w:type="dxa"/>
            <w:vAlign w:val="center"/>
          </w:tcPr>
          <w:p w14:paraId="1951B70E">
            <w:pPr>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数量</w:t>
            </w:r>
          </w:p>
        </w:tc>
      </w:tr>
      <w:tr w14:paraId="5D3C6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74" w:type="dxa"/>
            <w:vMerge w:val="restart"/>
            <w:vAlign w:val="center"/>
          </w:tcPr>
          <w:p w14:paraId="7F35081F">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129" w:type="dxa"/>
            <w:vMerge w:val="restart"/>
            <w:vAlign w:val="center"/>
          </w:tcPr>
          <w:p w14:paraId="70A468EB">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2025年学生团体人身意外伤害险及校责险</w:t>
            </w:r>
          </w:p>
        </w:tc>
        <w:tc>
          <w:tcPr>
            <w:tcW w:w="1829" w:type="dxa"/>
            <w:vAlign w:val="center"/>
          </w:tcPr>
          <w:p w14:paraId="36C51A08">
            <w:pPr>
              <w:jc w:val="center"/>
              <w:rPr>
                <w:rFonts w:hint="eastAsia"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学生</w:t>
            </w:r>
            <w:r>
              <w:rPr>
                <w:rFonts w:hint="eastAsia" w:ascii="宋体" w:hAnsi="宋体" w:cs="宋体"/>
                <w:color w:val="auto"/>
                <w:sz w:val="22"/>
                <w:szCs w:val="22"/>
                <w:highlight w:val="none"/>
                <w:lang w:eastAsia="zh-CN"/>
              </w:rPr>
              <w:t>团体人身意外伤害保险</w:t>
            </w:r>
          </w:p>
        </w:tc>
        <w:tc>
          <w:tcPr>
            <w:tcW w:w="1829" w:type="dxa"/>
            <w:vAlign w:val="center"/>
          </w:tcPr>
          <w:p w14:paraId="43A072CB">
            <w:pPr>
              <w:jc w:val="center"/>
              <w:rPr>
                <w:rFonts w:hint="eastAsia" w:ascii="宋体" w:hAnsi="宋体" w:cs="宋体"/>
                <w:b/>
                <w:bCs/>
                <w:color w:val="auto"/>
                <w:sz w:val="22"/>
                <w:szCs w:val="22"/>
                <w:highlight w:val="none"/>
                <w:lang w:val="en-US" w:eastAsia="zh-CN"/>
              </w:rPr>
            </w:pPr>
            <w:r>
              <w:rPr>
                <w:rFonts w:hint="eastAsia" w:ascii="宋体" w:hAnsi="宋体" w:cs="宋体"/>
                <w:color w:val="auto"/>
                <w:sz w:val="22"/>
                <w:szCs w:val="22"/>
                <w:highlight w:val="none"/>
                <w:lang w:eastAsia="zh-CN"/>
              </w:rPr>
              <w:t>校责险</w:t>
            </w:r>
          </w:p>
        </w:tc>
        <w:tc>
          <w:tcPr>
            <w:tcW w:w="3658" w:type="dxa"/>
            <w:vMerge w:val="restart"/>
            <w:vAlign w:val="center"/>
          </w:tcPr>
          <w:p w14:paraId="172A0339">
            <w:pPr>
              <w:keepNext w:val="0"/>
              <w:keepLines w:val="0"/>
              <w:pageBreakBefore w:val="0"/>
              <w:widowControl/>
              <w:kinsoku/>
              <w:wordWrap/>
              <w:topLinePunct w:val="0"/>
              <w:bidi w:val="0"/>
              <w:spacing w:line="360" w:lineRule="exact"/>
              <w:jc w:val="center"/>
              <w:textAlignment w:val="center"/>
              <w:rPr>
                <w:rFonts w:ascii="宋体" w:hAnsi="宋体" w:cs="宋体"/>
                <w:color w:val="auto"/>
                <w:sz w:val="22"/>
                <w:szCs w:val="22"/>
                <w:highlight w:val="none"/>
              </w:rPr>
            </w:pPr>
            <w:r>
              <w:rPr>
                <w:rFonts w:hint="eastAsia" w:ascii="宋体" w:hAnsi="宋体" w:cs="宋体"/>
                <w:b/>
                <w:bCs/>
                <w:color w:val="auto"/>
                <w:sz w:val="22"/>
                <w:szCs w:val="22"/>
                <w:highlight w:val="none"/>
                <w:lang w:val="en-US" w:eastAsia="zh-CN"/>
              </w:rPr>
              <w:t>整体采购人数约5700人，其中本科约4923人，研究生约702人，另55人为机动数量（人数为预估人数，实际投保人数以采购人核准投保明细人数为准）</w:t>
            </w:r>
          </w:p>
        </w:tc>
      </w:tr>
      <w:tr w14:paraId="555A8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74" w:type="dxa"/>
            <w:vMerge w:val="continue"/>
            <w:vAlign w:val="center"/>
          </w:tcPr>
          <w:p w14:paraId="574DFC13">
            <w:pPr>
              <w:jc w:val="center"/>
              <w:rPr>
                <w:rFonts w:ascii="宋体" w:hAnsi="宋体" w:cs="宋体"/>
                <w:color w:val="auto"/>
                <w:sz w:val="22"/>
                <w:szCs w:val="22"/>
                <w:highlight w:val="none"/>
              </w:rPr>
            </w:pPr>
          </w:p>
        </w:tc>
        <w:tc>
          <w:tcPr>
            <w:tcW w:w="2129" w:type="dxa"/>
            <w:vMerge w:val="continue"/>
            <w:vAlign w:val="center"/>
          </w:tcPr>
          <w:p w14:paraId="0F462C30">
            <w:pPr>
              <w:jc w:val="center"/>
              <w:rPr>
                <w:rFonts w:hint="eastAsia" w:ascii="宋体" w:hAnsi="宋体" w:eastAsia="宋体" w:cs="宋体"/>
                <w:color w:val="auto"/>
                <w:sz w:val="22"/>
                <w:szCs w:val="22"/>
                <w:highlight w:val="none"/>
                <w:lang w:eastAsia="zh-CN"/>
              </w:rPr>
            </w:pPr>
          </w:p>
        </w:tc>
        <w:tc>
          <w:tcPr>
            <w:tcW w:w="1829" w:type="dxa"/>
            <w:vAlign w:val="center"/>
          </w:tcPr>
          <w:p w14:paraId="1AA9717A">
            <w:pPr>
              <w:jc w:val="center"/>
              <w:rPr>
                <w:rFonts w:ascii="宋体" w:hAnsi="宋体" w:cs="宋体"/>
                <w:color w:val="auto"/>
                <w:sz w:val="22"/>
                <w:szCs w:val="22"/>
                <w:highlight w:val="none"/>
              </w:rPr>
            </w:pPr>
            <w:r>
              <w:rPr>
                <w:rFonts w:hint="eastAsia" w:ascii="宋体" w:hAnsi="宋体" w:cs="宋体"/>
                <w:kern w:val="0"/>
                <w:sz w:val="22"/>
                <w:highlight w:val="none"/>
                <w:lang w:val="zh-CN"/>
              </w:rPr>
              <w:t>每生每年</w:t>
            </w:r>
            <w:r>
              <w:rPr>
                <w:rFonts w:hint="eastAsia" w:ascii="宋体" w:hAnsi="宋体" w:cs="宋体"/>
                <w:kern w:val="0"/>
                <w:sz w:val="22"/>
                <w:highlight w:val="none"/>
                <w:lang w:val="en-US" w:eastAsia="zh-CN"/>
              </w:rPr>
              <w:t>30</w:t>
            </w:r>
            <w:r>
              <w:rPr>
                <w:rFonts w:hint="eastAsia" w:ascii="宋体" w:hAnsi="宋体" w:cs="宋体"/>
                <w:kern w:val="0"/>
                <w:sz w:val="22"/>
                <w:highlight w:val="none"/>
                <w:lang w:val="zh-CN"/>
              </w:rPr>
              <w:t>元</w:t>
            </w:r>
          </w:p>
        </w:tc>
        <w:tc>
          <w:tcPr>
            <w:tcW w:w="1829" w:type="dxa"/>
            <w:vAlign w:val="center"/>
          </w:tcPr>
          <w:p w14:paraId="0B4BBA11">
            <w:pPr>
              <w:jc w:val="center"/>
              <w:rPr>
                <w:rFonts w:ascii="宋体" w:hAnsi="宋体" w:cs="宋体"/>
                <w:color w:val="auto"/>
                <w:sz w:val="22"/>
                <w:szCs w:val="22"/>
                <w:highlight w:val="none"/>
              </w:rPr>
            </w:pPr>
            <w:r>
              <w:rPr>
                <w:rFonts w:hint="eastAsia" w:ascii="宋体" w:hAnsi="宋体" w:cs="宋体"/>
                <w:kern w:val="0"/>
                <w:sz w:val="22"/>
                <w:highlight w:val="none"/>
                <w:lang w:val="zh-CN"/>
              </w:rPr>
              <w:t>每生每年8元</w:t>
            </w:r>
          </w:p>
        </w:tc>
        <w:tc>
          <w:tcPr>
            <w:tcW w:w="3658" w:type="dxa"/>
            <w:vMerge w:val="continue"/>
            <w:vAlign w:val="center"/>
          </w:tcPr>
          <w:p w14:paraId="2ADD18C4">
            <w:pPr>
              <w:keepNext w:val="0"/>
              <w:keepLines w:val="0"/>
              <w:pageBreakBefore w:val="0"/>
              <w:widowControl/>
              <w:kinsoku/>
              <w:wordWrap/>
              <w:topLinePunct w:val="0"/>
              <w:bidi w:val="0"/>
              <w:spacing w:line="360" w:lineRule="exact"/>
              <w:jc w:val="center"/>
              <w:textAlignment w:val="center"/>
              <w:rPr>
                <w:rFonts w:ascii="宋体" w:hAnsi="宋体" w:cs="宋体"/>
                <w:color w:val="auto"/>
                <w:sz w:val="22"/>
                <w:szCs w:val="22"/>
                <w:highlight w:val="none"/>
              </w:rPr>
            </w:pPr>
          </w:p>
        </w:tc>
      </w:tr>
      <w:tr w14:paraId="5BDFF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919" w:type="dxa"/>
            <w:gridSpan w:val="5"/>
            <w:vAlign w:val="center"/>
          </w:tcPr>
          <w:p w14:paraId="7A51959E">
            <w:pPr>
              <w:keepNext w:val="0"/>
              <w:keepLines w:val="0"/>
              <w:pageBreakBefore w:val="0"/>
              <w:widowControl/>
              <w:kinsoku/>
              <w:wordWrap/>
              <w:topLinePunct w:val="0"/>
              <w:bidi w:val="0"/>
              <w:spacing w:line="3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w:t>
            </w:r>
          </w:p>
          <w:p w14:paraId="086BB8F3">
            <w:pPr>
              <w:keepNext w:val="0"/>
              <w:keepLines w:val="0"/>
              <w:pageBreakBefore w:val="0"/>
              <w:widowControl/>
              <w:numPr>
                <w:ilvl w:val="0"/>
                <w:numId w:val="46"/>
              </w:numPr>
              <w:kinsoku/>
              <w:wordWrap/>
              <w:topLinePunct w:val="0"/>
              <w:bidi w:val="0"/>
              <w:spacing w:line="360" w:lineRule="exact"/>
              <w:ind w:left="425" w:leftChars="0" w:hanging="425" w:firstLineChars="0"/>
              <w:jc w:val="left"/>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采购单价作为合同结算单价，投标人无须进行修改报价。</w:t>
            </w:r>
          </w:p>
          <w:p w14:paraId="6846ACBD">
            <w:pPr>
              <w:pStyle w:val="75"/>
              <w:numPr>
                <w:ilvl w:val="0"/>
                <w:numId w:val="46"/>
              </w:numPr>
              <w:ind w:left="425" w:leftChars="0" w:hanging="425" w:firstLineChars="0"/>
              <w:rPr>
                <w:rFonts w:hint="default" w:ascii="宋体" w:hAnsi="宋体" w:eastAsia="宋体" w:cs="宋体"/>
                <w:b/>
                <w:bCs/>
                <w:color w:val="000000"/>
                <w:sz w:val="22"/>
                <w:szCs w:val="22"/>
                <w:highlight w:val="none"/>
                <w:u w:val="single"/>
                <w:lang w:val="en-US" w:eastAsia="zh-CN"/>
              </w:rPr>
            </w:pPr>
            <w:r>
              <w:rPr>
                <w:rFonts w:hint="eastAsia" w:ascii="宋体" w:hAnsi="宋体" w:eastAsia="宋体" w:cs="宋体"/>
                <w:color w:val="000000"/>
                <w:sz w:val="22"/>
                <w:szCs w:val="22"/>
                <w:highlight w:val="none"/>
              </w:rPr>
              <w:t>最终结算根据实际</w:t>
            </w:r>
            <w:r>
              <w:rPr>
                <w:rFonts w:hint="eastAsia" w:ascii="新宋体" w:hAnsi="新宋体" w:eastAsia="新宋体" w:cs="新宋体"/>
                <w:color w:val="auto"/>
                <w:sz w:val="22"/>
                <w:szCs w:val="22"/>
                <w:highlight w:val="none"/>
                <w:lang w:val="en-US" w:eastAsia="zh-CN"/>
              </w:rPr>
              <w:t>投保</w:t>
            </w:r>
            <w:r>
              <w:rPr>
                <w:rFonts w:hint="eastAsia" w:ascii="宋体" w:hAnsi="宋体" w:eastAsia="宋体" w:cs="宋体"/>
                <w:color w:val="000000"/>
                <w:sz w:val="22"/>
                <w:szCs w:val="22"/>
                <w:highlight w:val="none"/>
              </w:rPr>
              <w:t>人数按单价据实结算。</w:t>
            </w:r>
          </w:p>
          <w:p w14:paraId="6122B7C0">
            <w:pPr>
              <w:pStyle w:val="75"/>
              <w:numPr>
                <w:ilvl w:val="0"/>
                <w:numId w:val="46"/>
              </w:numPr>
              <w:ind w:left="425" w:leftChars="0" w:hanging="425" w:firstLineChars="0"/>
              <w:rPr>
                <w:rFonts w:hint="eastAsia" w:ascii="宋体" w:hAnsi="宋体" w:eastAsia="宋体" w:cs="宋体"/>
                <w:b/>
                <w:color w:val="auto"/>
                <w:sz w:val="22"/>
                <w:highlight w:val="none"/>
                <w:u w:val="single"/>
              </w:rPr>
            </w:pPr>
            <w:r>
              <w:rPr>
                <w:rFonts w:hint="eastAsia" w:ascii="宋体" w:hAnsi="宋体" w:eastAsia="宋体" w:cs="宋体"/>
                <w:b/>
                <w:bCs/>
                <w:color w:val="000000"/>
                <w:sz w:val="22"/>
                <w:szCs w:val="22"/>
                <w:highlight w:val="none"/>
                <w:u w:val="single"/>
                <w:lang w:val="en-US" w:eastAsia="zh-CN"/>
              </w:rPr>
              <w:t>▲本项目</w:t>
            </w:r>
            <w:r>
              <w:rPr>
                <w:rFonts w:hint="eastAsia" w:ascii="宋体" w:hAnsi="宋体" w:cs="宋体"/>
                <w:b/>
                <w:bCs/>
                <w:color w:val="000000"/>
                <w:sz w:val="22"/>
                <w:szCs w:val="22"/>
                <w:highlight w:val="none"/>
                <w:u w:val="single"/>
                <w:lang w:val="en-US" w:eastAsia="zh-CN"/>
              </w:rPr>
              <w:t>对现方案理赔金额的上浮率进行报价；现方案理赔金额分别</w:t>
            </w:r>
            <w:r>
              <w:rPr>
                <w:rFonts w:hint="eastAsia" w:ascii="宋体" w:hAnsi="宋体" w:eastAsia="宋体" w:cs="宋体"/>
                <w:b/>
                <w:bCs/>
                <w:color w:val="000000"/>
                <w:sz w:val="22"/>
                <w:szCs w:val="22"/>
                <w:highlight w:val="none"/>
                <w:u w:val="single"/>
                <w:lang w:val="en-US" w:eastAsia="zh-CN"/>
              </w:rPr>
              <w:t>为：每次事故每人赔偿限额100万元、每校每次事故赔偿限额780万元、每次事故每人财产损失赔偿限额1万元、每人年财产损失赔偿限额1万元、每校每年累计赔偿限额1560万元、每人意外伤害10万元、每人意外医疗1万元、住院津贴保额9000元、每人每天住院津贴50元/人/天。</w:t>
            </w:r>
          </w:p>
          <w:p w14:paraId="39EB7E8C">
            <w:pPr>
              <w:pStyle w:val="75"/>
              <w:numPr>
                <w:ilvl w:val="0"/>
                <w:numId w:val="46"/>
              </w:numPr>
              <w:ind w:left="425" w:leftChars="0" w:hanging="425" w:firstLineChars="0"/>
              <w:rPr>
                <w:rFonts w:hint="default" w:ascii="宋体" w:hAnsi="宋体" w:eastAsia="宋体" w:cs="宋体"/>
                <w:b/>
                <w:bCs/>
                <w:color w:val="000000"/>
                <w:sz w:val="22"/>
                <w:szCs w:val="22"/>
                <w:highlight w:val="none"/>
                <w:u w:val="single"/>
                <w:lang w:val="en-US" w:eastAsia="zh-CN"/>
              </w:rPr>
            </w:pPr>
            <w:r>
              <w:rPr>
                <w:rFonts w:hint="eastAsia" w:ascii="宋体" w:hAnsi="宋体" w:eastAsia="宋体" w:cs="宋体"/>
                <w:b/>
                <w:color w:val="auto"/>
                <w:sz w:val="22"/>
                <w:highlight w:val="none"/>
                <w:u w:val="single"/>
              </w:rPr>
              <w:t>▲</w:t>
            </w:r>
            <w:r>
              <w:rPr>
                <w:rFonts w:hint="eastAsia" w:ascii="宋体" w:hAnsi="宋体" w:eastAsia="宋体" w:cs="Arial"/>
                <w:b/>
                <w:bCs/>
                <w:color w:val="auto"/>
                <w:sz w:val="22"/>
                <w:highlight w:val="none"/>
                <w:u w:val="single"/>
              </w:rPr>
              <w:t>本项目</w:t>
            </w:r>
            <w:r>
              <w:rPr>
                <w:rFonts w:hint="eastAsia" w:ascii="宋体" w:hAnsi="宋体" w:eastAsia="宋体" w:cs="Arial"/>
                <w:b/>
                <w:bCs/>
                <w:color w:val="auto"/>
                <w:sz w:val="22"/>
                <w:highlight w:val="none"/>
                <w:u w:val="single"/>
                <w:lang w:val="en-US" w:eastAsia="zh-CN"/>
              </w:rPr>
              <w:t>最低</w:t>
            </w:r>
            <w:r>
              <w:rPr>
                <w:rFonts w:hint="eastAsia" w:ascii="宋体" w:hAnsi="宋体" w:eastAsia="宋体" w:cs="Arial"/>
                <w:b/>
                <w:bCs/>
                <w:color w:val="auto"/>
                <w:sz w:val="22"/>
                <w:highlight w:val="none"/>
                <w:u w:val="single"/>
              </w:rPr>
              <w:t>上浮率</w:t>
            </w:r>
            <w:r>
              <w:rPr>
                <w:rFonts w:hint="eastAsia" w:ascii="宋体" w:hAnsi="宋体" w:eastAsia="宋体" w:cs="Arial"/>
                <w:b/>
                <w:bCs/>
                <w:color w:val="auto"/>
                <w:sz w:val="22"/>
                <w:highlight w:val="none"/>
                <w:u w:val="single"/>
                <w:lang w:val="en-US" w:eastAsia="zh-CN"/>
              </w:rPr>
              <w:t>为0%</w:t>
            </w:r>
            <w:r>
              <w:rPr>
                <w:rFonts w:hint="eastAsia" w:ascii="宋体" w:hAnsi="宋体" w:eastAsia="宋体" w:cs="Arial"/>
                <w:b/>
                <w:bCs/>
                <w:color w:val="auto"/>
                <w:sz w:val="22"/>
                <w:highlight w:val="none"/>
                <w:u w:val="single"/>
              </w:rPr>
              <w:t>；</w:t>
            </w:r>
            <w:r>
              <w:rPr>
                <w:rFonts w:hint="eastAsia" w:ascii="宋体" w:hAnsi="宋体" w:eastAsia="宋体" w:cs="宋体"/>
                <w:b/>
                <w:color w:val="auto"/>
                <w:sz w:val="22"/>
                <w:highlight w:val="none"/>
                <w:u w:val="single"/>
                <w:lang w:val="en-US" w:eastAsia="zh-CN"/>
              </w:rPr>
              <w:t>最终理赔金额=</w:t>
            </w:r>
            <w:r>
              <w:rPr>
                <w:rFonts w:hint="eastAsia" w:ascii="宋体" w:hAnsi="宋体" w:cs="Times New Roman"/>
                <w:b/>
                <w:bCs w:val="0"/>
                <w:color w:val="auto"/>
                <w:sz w:val="22"/>
                <w:szCs w:val="22"/>
                <w:highlight w:val="none"/>
                <w:u w:val="single"/>
                <w:lang w:val="en-US" w:eastAsia="zh-CN"/>
              </w:rPr>
              <w:t>现方案</w:t>
            </w:r>
            <w:r>
              <w:rPr>
                <w:rFonts w:hint="eastAsia" w:ascii="宋体" w:hAnsi="宋体" w:eastAsia="宋体" w:cs="Times New Roman"/>
                <w:b/>
                <w:bCs w:val="0"/>
                <w:color w:val="auto"/>
                <w:sz w:val="22"/>
                <w:szCs w:val="22"/>
                <w:highlight w:val="none"/>
                <w:u w:val="single"/>
                <w:lang w:val="en-US" w:eastAsia="zh-CN"/>
              </w:rPr>
              <w:t>理赔金额*（1+上浮率</w:t>
            </w:r>
            <w:r>
              <w:rPr>
                <w:rFonts w:hint="eastAsia" w:ascii="宋体" w:hAnsi="宋体" w:eastAsia="宋体" w:cs="Times New Roman"/>
                <w:b/>
                <w:bCs w:val="0"/>
                <w:color w:val="auto"/>
                <w:sz w:val="22"/>
                <w:szCs w:val="22"/>
                <w:highlight w:val="none"/>
                <w:lang w:val="en-US" w:eastAsia="zh-CN"/>
              </w:rPr>
              <w:t>）</w:t>
            </w:r>
          </w:p>
        </w:tc>
      </w:tr>
    </w:tbl>
    <w:p w14:paraId="07EB7A78">
      <w:pPr>
        <w:widowControl/>
        <w:numPr>
          <w:ilvl w:val="0"/>
          <w:numId w:val="45"/>
        </w:numPr>
        <w:spacing w:line="440" w:lineRule="exact"/>
        <w:rPr>
          <w:rFonts w:ascii="宋体" w:hAnsi="宋体"/>
          <w:b/>
          <w:color w:val="auto"/>
          <w:sz w:val="22"/>
          <w:szCs w:val="22"/>
          <w:highlight w:val="none"/>
        </w:rPr>
      </w:pPr>
      <w:r>
        <w:rPr>
          <w:rFonts w:hint="eastAsia" w:ascii="宋体" w:hAnsi="宋体"/>
          <w:b/>
          <w:color w:val="auto"/>
          <w:sz w:val="22"/>
          <w:szCs w:val="22"/>
          <w:highlight w:val="none"/>
        </w:rPr>
        <w:t>技术要求</w:t>
      </w:r>
    </w:p>
    <w:p w14:paraId="715456D1">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宋体" w:hAnsi="宋体" w:eastAsia="宋体" w:cs="宋体"/>
          <w:b/>
          <w:bCs/>
          <w:color w:val="auto"/>
          <w:sz w:val="22"/>
          <w:szCs w:val="22"/>
          <w:highlight w:val="none"/>
          <w:lang w:val="en-US" w:eastAsia="zh-CN"/>
        </w:rPr>
      </w:pPr>
      <w:bookmarkStart w:id="186" w:name="_Toc262049424"/>
      <w:bookmarkStart w:id="187" w:name="_Toc245722286"/>
      <w:bookmarkStart w:id="188" w:name="_Toc239145359"/>
      <w:bookmarkStart w:id="189" w:name="_Toc221356892"/>
      <w:bookmarkStart w:id="190" w:name="_Toc249758870"/>
      <w:bookmarkStart w:id="191" w:name="_Toc221423624"/>
      <w:bookmarkStart w:id="192" w:name="_Toc249758719"/>
      <w:bookmarkStart w:id="193" w:name="_Toc249758718"/>
      <w:bookmarkStart w:id="194" w:name="_Toc221374631"/>
      <w:bookmarkStart w:id="195" w:name="_Toc246261270"/>
      <w:bookmarkStart w:id="196" w:name="_Toc221356956"/>
      <w:bookmarkStart w:id="197" w:name="_Toc262105509"/>
      <w:bookmarkStart w:id="198" w:name="_Toc222114884"/>
      <w:bookmarkStart w:id="199" w:name="_Toc241404207"/>
      <w:bookmarkStart w:id="200" w:name="_Toc245191319"/>
      <w:bookmarkStart w:id="201" w:name="_Toc223716003"/>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适用范围</w:t>
      </w:r>
    </w:p>
    <w:p w14:paraId="29C2B1E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全校注册本科生约</w:t>
      </w:r>
      <w:r>
        <w:rPr>
          <w:rFonts w:hint="eastAsia" w:ascii="宋体" w:hAnsi="宋体" w:eastAsia="宋体" w:cs="宋体"/>
          <w:b w:val="0"/>
          <w:bCs w:val="0"/>
          <w:color w:val="auto"/>
          <w:sz w:val="22"/>
          <w:szCs w:val="22"/>
          <w:highlight w:val="none"/>
          <w:lang w:val="en-US" w:eastAsia="zh-CN"/>
        </w:rPr>
        <w:t>4923</w:t>
      </w:r>
      <w:r>
        <w:rPr>
          <w:rFonts w:hint="eastAsia" w:ascii="宋体" w:hAnsi="宋体" w:eastAsia="宋体" w:cs="宋体"/>
          <w:b w:val="0"/>
          <w:bCs w:val="0"/>
          <w:color w:val="auto"/>
          <w:sz w:val="22"/>
          <w:szCs w:val="22"/>
          <w:highlight w:val="none"/>
        </w:rPr>
        <w:t>人，研究生约</w:t>
      </w:r>
      <w:r>
        <w:rPr>
          <w:rFonts w:hint="eastAsia" w:ascii="宋体" w:hAnsi="宋体" w:eastAsia="宋体" w:cs="宋体"/>
          <w:b w:val="0"/>
          <w:bCs w:val="0"/>
          <w:color w:val="auto"/>
          <w:sz w:val="22"/>
          <w:szCs w:val="22"/>
          <w:highlight w:val="none"/>
          <w:lang w:val="en-US" w:eastAsia="zh-CN"/>
        </w:rPr>
        <w:t>702</w:t>
      </w:r>
      <w:r>
        <w:rPr>
          <w:rFonts w:hint="eastAsia" w:ascii="宋体" w:hAnsi="宋体" w:eastAsia="宋体" w:cs="宋体"/>
          <w:b w:val="0"/>
          <w:bCs w:val="0"/>
          <w:color w:val="auto"/>
          <w:sz w:val="22"/>
          <w:szCs w:val="22"/>
          <w:highlight w:val="none"/>
        </w:rPr>
        <w:t>人。</w:t>
      </w:r>
      <w:r>
        <w:rPr>
          <w:rFonts w:hint="eastAsia" w:ascii="宋体" w:hAnsi="宋体" w:cs="宋体"/>
          <w:b w:val="0"/>
          <w:bCs w:val="0"/>
          <w:color w:val="auto"/>
          <w:sz w:val="22"/>
          <w:szCs w:val="22"/>
          <w:highlight w:val="none"/>
          <w:lang w:val="en-US" w:eastAsia="zh-CN"/>
        </w:rPr>
        <w:t>投保时间</w:t>
      </w:r>
      <w:r>
        <w:rPr>
          <w:rFonts w:hint="eastAsia" w:ascii="新宋体" w:hAnsi="新宋体" w:eastAsia="新宋体" w:cs="新宋体"/>
          <w:color w:val="auto"/>
          <w:sz w:val="22"/>
          <w:szCs w:val="22"/>
          <w:highlight w:val="none"/>
          <w:lang w:val="en-US" w:eastAsia="zh-CN"/>
        </w:rPr>
        <w:t>自学生报到日零时起生效，将接续现有的保险生效期，投保有效期一年。</w:t>
      </w:r>
      <w:r>
        <w:rPr>
          <w:rFonts w:hint="eastAsia" w:ascii="宋体" w:hAnsi="宋体" w:eastAsia="宋体" w:cs="宋体"/>
          <w:b w:val="0"/>
          <w:bCs w:val="0"/>
          <w:color w:val="auto"/>
          <w:sz w:val="22"/>
          <w:szCs w:val="22"/>
          <w:highlight w:val="none"/>
        </w:rPr>
        <w:t>采购人将按实际学生人数支付相应的保险费用</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 xml:space="preserve"> </w:t>
      </w:r>
    </w:p>
    <w:p w14:paraId="21706781">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w:t>
      </w:r>
      <w:r>
        <w:rPr>
          <w:rFonts w:hint="eastAsia" w:ascii="宋体" w:hAnsi="宋体" w:cs="宋体"/>
          <w:b/>
          <w:bCs/>
          <w:color w:val="auto"/>
          <w:sz w:val="22"/>
          <w:szCs w:val="22"/>
          <w:highlight w:val="none"/>
          <w:lang w:val="en-US" w:eastAsia="zh-CN"/>
        </w:rPr>
        <w:t>保险方案</w:t>
      </w:r>
    </w:p>
    <w:p w14:paraId="2FEE2749">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1、1）</w:t>
      </w:r>
      <w:r>
        <w:rPr>
          <w:rFonts w:hint="eastAsia" w:ascii="宋体" w:hAnsi="宋体" w:eastAsia="宋体" w:cs="宋体"/>
          <w:b/>
          <w:bCs/>
          <w:color w:val="auto"/>
          <w:sz w:val="22"/>
          <w:szCs w:val="22"/>
          <w:highlight w:val="none"/>
          <w:lang w:val="en-US" w:eastAsia="zh-CN"/>
        </w:rPr>
        <w:t>校责险</w:t>
      </w:r>
      <w:r>
        <w:rPr>
          <w:rFonts w:hint="eastAsia" w:ascii="宋体" w:hAnsi="宋体" w:eastAsia="宋体" w:cs="宋体"/>
          <w:b/>
          <w:bCs/>
          <w:color w:val="auto"/>
          <w:sz w:val="22"/>
          <w:szCs w:val="22"/>
          <w:highlight w:val="none"/>
        </w:rPr>
        <w:t>基本保险责任</w:t>
      </w:r>
    </w:p>
    <w:p w14:paraId="7F6CB82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在保险期间内，在中华人民共和国境内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港澳台地区除外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,在被保险人的在校活动中或由被保险人统一</w:t>
      </w:r>
      <w:r>
        <w:rPr>
          <w:rFonts w:hint="eastAsia" w:ascii="宋体" w:hAnsi="宋体" w:eastAsia="宋体" w:cs="宋体"/>
          <w:b w:val="0"/>
          <w:bCs w:val="0"/>
          <w:color w:val="auto"/>
          <w:sz w:val="22"/>
          <w:szCs w:val="22"/>
          <w:highlight w:val="none"/>
        </w:rPr>
        <w:t>组织或安排的活动过程中，因被保险人疏忽或过失发生下列情况导致学生的人身伤亡和财产损失，依法应由被保险人承担的经济赔偿责任，保险人按照本保险合同的约定负责赔偿：</w:t>
      </w:r>
    </w:p>
    <w:p w14:paraId="1836758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）被保险人的校舍、场地、其他公共设施，以及提供给学生使用的学具、教育教学和生活设施、设备不符合国家规定的标准，或者有明显不安全因素；</w:t>
      </w:r>
    </w:p>
    <w:p w14:paraId="779C202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）被保险人的安全保卫、消防、设施设备管理等安全管理制度有疏漏，或者管理混乱，存在安全隐患，而未及时采取措施；</w:t>
      </w:r>
    </w:p>
    <w:p w14:paraId="061DC41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）被保险人向学生提供的药品、食品、饮用水以及玩具、文具或者其他物品不符合国家、行业和被保险人所在地市的卫生、安全标准；</w:t>
      </w:r>
    </w:p>
    <w:p w14:paraId="0300AAE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）被保险人组织学生参加教育教学活动或者校外活动，未按规定对学生进行必要的安全教育，并未在可预见的范围内采取必要的安全措施；</w:t>
      </w:r>
    </w:p>
    <w:p w14:paraId="17B5CD0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）被保险人的教师或者其他工作人员患有不适宜担任教学工作的疾病，但被保险人未采取必要措</w:t>
      </w:r>
      <w:r>
        <w:rPr>
          <w:rFonts w:hint="eastAsia" w:ascii="宋体" w:hAnsi="宋体" w:eastAsia="宋体" w:cs="宋体"/>
          <w:b w:val="0"/>
          <w:bCs w:val="0"/>
          <w:color w:val="auto"/>
          <w:sz w:val="22"/>
          <w:szCs w:val="22"/>
          <w:highlight w:val="none"/>
        </w:rPr>
        <w:t>施；</w:t>
      </w:r>
    </w:p>
    <w:p w14:paraId="0B53330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）学生有特异体质或特定疾病，不宜参加某种教学活动，被保险人知道或者应当知道，但未予以必要注意；</w:t>
      </w:r>
    </w:p>
    <w:p w14:paraId="68EA44E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）学生在校期间突发疾病或者受到伤害，被保险人发现，但未根据实际情况及时采取相应措施，导致不良后果加重；</w:t>
      </w:r>
    </w:p>
    <w:p w14:paraId="1220F51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）教师或者其他工作人员侮辱、殴打、体罚或者变相体罚学生；</w:t>
      </w:r>
    </w:p>
    <w:p w14:paraId="18D7883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）教师或者其他工作人员擅离工作岗位，不履行职责，或者虽在工作岗位但未履行职责，或者违反工作要求、操作规程或职业道德；</w:t>
      </w:r>
    </w:p>
    <w:p w14:paraId="6D2A252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）被保险人知道或者应当知道学生患有传染性疾病，未采取必要的隔离防范措施导致其他学生感染；</w:t>
      </w:r>
    </w:p>
    <w:p w14:paraId="1AACDB4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rPr>
        <w:t>）被保险人有未依法履行职责的其他情形；</w:t>
      </w:r>
    </w:p>
    <w:p w14:paraId="1B6B5A2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0185BA0A">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附加保险责任</w:t>
      </w:r>
    </w:p>
    <w:p w14:paraId="64B1530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附加境外人身损害责任保险保险责任</w:t>
      </w:r>
    </w:p>
    <w:p w14:paraId="698D603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在保险期间内，在校学生参加由</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组织的在中华人民共和国境外或香港、澳门、台湾</w:t>
      </w:r>
      <w:r>
        <w:rPr>
          <w:rFonts w:hint="eastAsia" w:ascii="宋体" w:hAnsi="宋体" w:eastAsia="宋体" w:cs="宋体"/>
          <w:color w:val="auto"/>
          <w:sz w:val="22"/>
          <w:szCs w:val="22"/>
          <w:highlight w:val="none"/>
        </w:rPr>
        <w:t>地区</w:t>
      </w:r>
      <w:r>
        <w:rPr>
          <w:rFonts w:hint="eastAsia" w:ascii="宋体" w:hAnsi="宋体" w:eastAsia="宋体" w:cs="宋体"/>
          <w:b w:val="0"/>
          <w:bCs w:val="0"/>
          <w:color w:val="auto"/>
          <w:sz w:val="22"/>
          <w:szCs w:val="22"/>
          <w:highlight w:val="none"/>
        </w:rPr>
        <w:t>的校外活动期间发生人身损害事故，依照中华人民共和国法律应由</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承担经济赔偿责任的，</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根据本附加险和主险的约定，在保险单中载明的赔偿限额内负责赔偿。</w:t>
      </w:r>
    </w:p>
    <w:p w14:paraId="56EF6B2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实际支付的事先经</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书面同意的与本附加险保险事故直接相关的法律费用，</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根据本附加险和主险的约定，在保险单中载明的赔偿限额内负责赔偿。</w:t>
      </w:r>
    </w:p>
    <w:p w14:paraId="3C7BFBB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除合同另有约定外，</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对本附加险每次事故法律费用的赔偿金额在赔偿金额以外另行计算，并且赔偿时不扣减免赔额（率），但对本附加险与主险及其他附加险的每次事故法律费用的赔偿总额不超过保险单中载明的每次事故赔偿限额的10%。</w:t>
      </w:r>
    </w:p>
    <w:p w14:paraId="62118CC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在保险期间内，</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对本附加险与主险及其他附加险的法律费用的累计赔偿金额不超过保险单中载明的累计赔偿限额的50%。</w:t>
      </w:r>
    </w:p>
    <w:p w14:paraId="238539D9">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w:t>
      </w:r>
      <w:r>
        <w:rPr>
          <w:rFonts w:hint="eastAsia" w:ascii="宋体" w:hAnsi="宋体" w:cs="宋体"/>
          <w:b/>
          <w:bCs/>
          <w:color w:val="auto"/>
          <w:sz w:val="22"/>
          <w:szCs w:val="22"/>
          <w:highlight w:val="none"/>
          <w:lang w:val="en-US" w:eastAsia="zh-CN"/>
        </w:rPr>
        <w:t>1）学生团体人身意外伤害险</w:t>
      </w:r>
      <w:r>
        <w:rPr>
          <w:rFonts w:hint="eastAsia" w:ascii="宋体" w:hAnsi="宋体" w:eastAsia="宋体" w:cs="宋体"/>
          <w:b/>
          <w:bCs/>
          <w:color w:val="auto"/>
          <w:sz w:val="22"/>
          <w:szCs w:val="22"/>
          <w:highlight w:val="none"/>
          <w:lang w:val="en-US" w:eastAsia="zh-CN"/>
        </w:rPr>
        <w:t>基本保险责任</w:t>
      </w:r>
    </w:p>
    <w:p w14:paraId="6072B1D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）意外伤害身故责任：</w:t>
      </w:r>
      <w:r>
        <w:rPr>
          <w:rFonts w:hint="eastAsia" w:ascii="宋体" w:hAnsi="宋体" w:eastAsia="宋体" w:cs="宋体"/>
          <w:b w:val="0"/>
          <w:bCs w:val="0"/>
          <w:color w:val="auto"/>
          <w:sz w:val="22"/>
          <w:szCs w:val="22"/>
          <w:highlight w:val="none"/>
        </w:rPr>
        <w:t>在保险期间内，若学生因遭受意外事故，并自事故发生之日起一定时间内（如 180 日内）因该事故身故，保险公司将按保险合同约定的意外伤害保险金额向学生的家属给付保险金，对该</w:t>
      </w:r>
      <w:r>
        <w:rPr>
          <w:rFonts w:hint="eastAsia" w:ascii="宋体" w:hAnsi="宋体" w:eastAsia="宋体" w:cs="宋体"/>
          <w:b w:val="0"/>
          <w:bCs w:val="0"/>
          <w:color w:val="auto"/>
          <w:sz w:val="22"/>
          <w:szCs w:val="22"/>
          <w:highlight w:val="none"/>
          <w:lang w:eastAsia="zh-CN"/>
        </w:rPr>
        <w:t>学生</w:t>
      </w:r>
      <w:r>
        <w:rPr>
          <w:rFonts w:hint="eastAsia" w:ascii="宋体" w:hAnsi="宋体" w:eastAsia="宋体" w:cs="宋体"/>
          <w:b w:val="0"/>
          <w:bCs w:val="0"/>
          <w:color w:val="auto"/>
          <w:sz w:val="22"/>
          <w:szCs w:val="22"/>
          <w:highlight w:val="none"/>
        </w:rPr>
        <w:t>的保险责任终止。</w:t>
      </w:r>
    </w:p>
    <w:p w14:paraId="23C63B3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）意外伤害伤残责任：</w:t>
      </w:r>
      <w:r>
        <w:rPr>
          <w:rFonts w:hint="eastAsia" w:ascii="宋体" w:hAnsi="宋体" w:eastAsia="宋体" w:cs="宋体"/>
          <w:b w:val="0"/>
          <w:bCs w:val="0"/>
          <w:color w:val="auto"/>
          <w:sz w:val="22"/>
          <w:szCs w:val="22"/>
          <w:highlight w:val="none"/>
        </w:rPr>
        <w:t>在保险期间内，</w:t>
      </w:r>
      <w:r>
        <w:rPr>
          <w:rFonts w:hint="eastAsia" w:ascii="宋体" w:hAnsi="宋体" w:eastAsia="宋体" w:cs="宋体"/>
          <w:b w:val="0"/>
          <w:bCs w:val="0"/>
          <w:color w:val="auto"/>
          <w:sz w:val="22"/>
          <w:szCs w:val="22"/>
          <w:highlight w:val="none"/>
          <w:lang w:eastAsia="zh-CN"/>
        </w:rPr>
        <w:t>学生因遭受意外事故，并自事故发生之日起一定时间内（如 180 日内）因该事故造成</w:t>
      </w:r>
      <w:r>
        <w:rPr>
          <w:rFonts w:hint="eastAsia" w:ascii="宋体" w:hAnsi="宋体" w:cs="宋体"/>
          <w:b w:val="0"/>
          <w:bCs w:val="0"/>
          <w:color w:val="auto"/>
          <w:sz w:val="22"/>
          <w:szCs w:val="22"/>
          <w:highlight w:val="none"/>
          <w:lang w:eastAsia="zh-CN"/>
        </w:rPr>
        <w:t>《人身保险伤残评定及代码》（GB/T 44893—2024）</w:t>
      </w:r>
      <w:r>
        <w:rPr>
          <w:rFonts w:hint="eastAsia" w:ascii="宋体" w:hAnsi="宋体" w:eastAsia="宋体" w:cs="宋体"/>
          <w:b w:val="0"/>
          <w:bCs w:val="0"/>
          <w:color w:val="auto"/>
          <w:sz w:val="22"/>
          <w:szCs w:val="22"/>
          <w:highlight w:val="none"/>
          <w:lang w:eastAsia="zh-CN"/>
        </w:rPr>
        <w:t xml:space="preserve"> 所列残疾之一的，保险公司按照伤残比例等级表所列比例乘以其意外伤害保险金额给付意外残疾保险金。如果治疗仍未结束，按事故发生之日起第 180 日的身体情况进行残疾鉴定，并据此给付意外残疾保险金。</w:t>
      </w:r>
    </w:p>
    <w:p w14:paraId="0A1BE03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）意外伤害医疗责任：</w:t>
      </w:r>
      <w:r>
        <w:rPr>
          <w:rFonts w:hint="eastAsia" w:ascii="宋体" w:hAnsi="宋体" w:eastAsia="宋体" w:cs="宋体"/>
          <w:b w:val="0"/>
          <w:bCs w:val="0"/>
          <w:color w:val="auto"/>
          <w:sz w:val="22"/>
          <w:szCs w:val="22"/>
          <w:highlight w:val="none"/>
        </w:rPr>
        <w:t>在保险期间内，</w:t>
      </w:r>
      <w:r>
        <w:rPr>
          <w:rFonts w:hint="eastAsia" w:ascii="宋体" w:hAnsi="宋体" w:eastAsia="宋体" w:cs="宋体"/>
          <w:b w:val="0"/>
          <w:bCs w:val="0"/>
          <w:color w:val="auto"/>
          <w:sz w:val="22"/>
          <w:szCs w:val="22"/>
          <w:highlight w:val="none"/>
          <w:lang w:eastAsia="zh-CN"/>
        </w:rPr>
        <w:t>学生因遭受意外事故导致产生合理且必要的医疗费用，保险公司将在约定的保障范围与保障金额范围内，依据保险合同约定承担相应的保险金给付责任。这包括意外事故发生后的急救费用、门诊费用、住院费用、手术费用、药品费用、康复费用等。</w:t>
      </w:r>
    </w:p>
    <w:p w14:paraId="5EC50A1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）意外住院津贴责任：</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一</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t>被保险人遭受意外伤害或自本保险合同生效之日起30天(或保险单约定的等待期)后(续保者自续保生效日后)罹患疾病，经中华人民共和国境内(不含港、澳、台地区，下同)二级以上(含二级)或保险人认可的其他医疗机构诊断必须住院治疗，保险人对被保险人每次住院的实际住院天数减去保险单载明的免赔天数，按照投保时双方约定的日补贴金额给付住院补贴金。</w:t>
      </w:r>
    </w:p>
    <w:p w14:paraId="20156BB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(二)被保险人住院治疗，到保险期满仍未结束的，除另有约定外，保险人继续给付住院补贴金，最长可至本保险合同期满之日起第30日止。</w:t>
      </w:r>
    </w:p>
    <w:p w14:paraId="2049DE9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三)被保险人每次住院治疗的住院补贴金的给付天数以保单约定的每次给付天数为限；若被保险人多次住院，保险人对被保险人给付住院补贴金的，以保单约定的累计给付天数为限。实际给付天数达到保单约定的累计给付天数，保险人对该被保险人的本款保险责任终止。</w:t>
      </w:r>
    </w:p>
    <w:p w14:paraId="53269941">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附加保险责任</w:t>
      </w:r>
    </w:p>
    <w:p w14:paraId="6B0C852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附加境外人身损害责任保险保险责任</w:t>
      </w:r>
    </w:p>
    <w:p w14:paraId="0D9F506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在保险期间内，在校学生参加由</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组织的在中华人民共和国境外或香港、澳门、台湾</w:t>
      </w:r>
      <w:r>
        <w:rPr>
          <w:rFonts w:hint="eastAsia" w:ascii="宋体" w:hAnsi="宋体" w:eastAsia="宋体" w:cs="宋体"/>
          <w:color w:val="auto"/>
          <w:sz w:val="22"/>
          <w:szCs w:val="22"/>
          <w:highlight w:val="none"/>
        </w:rPr>
        <w:t>地区</w:t>
      </w:r>
      <w:r>
        <w:rPr>
          <w:rFonts w:hint="eastAsia" w:ascii="宋体" w:hAnsi="宋体" w:eastAsia="宋体" w:cs="宋体"/>
          <w:b w:val="0"/>
          <w:bCs w:val="0"/>
          <w:color w:val="auto"/>
          <w:sz w:val="22"/>
          <w:szCs w:val="22"/>
          <w:highlight w:val="none"/>
        </w:rPr>
        <w:t>的校外活动期间发生人身损害事故，依照中华人民共和国法律应由</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承担经济赔偿责任的，</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根据本附加险和主险的约定，在保险单中载明的赔偿限额内负责赔偿。</w:t>
      </w:r>
    </w:p>
    <w:p w14:paraId="5B1702B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实际支付的事先经</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书面同意的与本附加险保险事故直接相关的法律费用，</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根据本附加险和主险的约定，在保险单中载明的赔偿限额内负责赔偿。</w:t>
      </w:r>
    </w:p>
    <w:p w14:paraId="1693125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除合同另有约定外，</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对本附加险每次事故法律费用的赔偿金额在赔偿金额以外另行计算，并且赔偿时不扣减免赔额（率），但对本附加险与主险及其他附加险的每次事故法律费用的赔偿总额不超过保险单中载明的每次事故赔偿限额的10%。</w:t>
      </w:r>
    </w:p>
    <w:p w14:paraId="01FF1F6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在保险期间内，</w:t>
      </w:r>
      <w:r>
        <w:rPr>
          <w:rFonts w:hint="eastAsia" w:ascii="宋体" w:hAnsi="宋体" w:eastAsia="宋体" w:cs="宋体"/>
          <w:b w:val="0"/>
          <w:bCs w:val="0"/>
          <w:color w:val="auto"/>
          <w:sz w:val="22"/>
          <w:szCs w:val="22"/>
          <w:highlight w:val="none"/>
          <w:u w:val="none"/>
        </w:rPr>
        <w:t>保险人</w:t>
      </w:r>
      <w:r>
        <w:rPr>
          <w:rFonts w:hint="eastAsia" w:ascii="宋体" w:hAnsi="宋体" w:eastAsia="宋体" w:cs="宋体"/>
          <w:b w:val="0"/>
          <w:bCs w:val="0"/>
          <w:color w:val="auto"/>
          <w:sz w:val="22"/>
          <w:szCs w:val="22"/>
          <w:highlight w:val="none"/>
        </w:rPr>
        <w:t>对本附加险与主险及其他附加险的法律费用的累计赔偿金额不超过保险单中载明的累计赔偿限额的50%。</w:t>
      </w:r>
    </w:p>
    <w:p w14:paraId="1DDAFB2A">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扩展条款</w:t>
      </w:r>
    </w:p>
    <w:p w14:paraId="75EF33B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（1）新增学生自动纳入保险条款</w:t>
      </w:r>
    </w:p>
    <w:p w14:paraId="6B6D80E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▲兹经双方同意，对于在投保年度</w:t>
      </w:r>
      <w:r>
        <w:rPr>
          <w:rFonts w:hint="eastAsia" w:ascii="宋体" w:hAnsi="宋体" w:eastAsia="宋体" w:cs="宋体"/>
          <w:color w:val="auto"/>
          <w:sz w:val="22"/>
          <w:szCs w:val="22"/>
          <w:highlight w:val="none"/>
          <w:u w:val="single"/>
          <w:lang w:val="en-US" w:eastAsia="zh-CN"/>
        </w:rPr>
        <w:t>采购人</w:t>
      </w:r>
      <w:r>
        <w:rPr>
          <w:rFonts w:hint="eastAsia" w:ascii="宋体" w:hAnsi="宋体" w:eastAsia="宋体" w:cs="宋体"/>
          <w:b w:val="0"/>
          <w:bCs w:val="0"/>
          <w:color w:val="auto"/>
          <w:sz w:val="22"/>
          <w:szCs w:val="22"/>
          <w:highlight w:val="none"/>
          <w:u w:val="single"/>
        </w:rPr>
        <w:t>的新增学生的情况，自该学生完成注册当时起，自动纳入本保险保障范围。对于年度新增学生比例在5%以内的情况保险人免予收取增加的保险费。</w:t>
      </w:r>
    </w:p>
    <w:p w14:paraId="3DE524B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（2）恶劣天气扩展条款</w:t>
      </w:r>
    </w:p>
    <w:p w14:paraId="629C661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兹经双方同意，本保险扩展承保在校学生到达学校后接到按气象部门认定的恶劣天气造成的学生必须停课的通知后，在校学生因为该项停课而直接从校园返回住所途中发生的伤害所引起的被保险人依法应承担的经济赔偿责任。 </w:t>
      </w:r>
    </w:p>
    <w:p w14:paraId="4216CF3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（3）保密条款</w:t>
      </w:r>
    </w:p>
    <w:p w14:paraId="19B84BF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兹经双方同意，保险人在处理相关事故时必须保密，非经被保险人同意，不得向任何媒体、社会等公众披露事故的原因、责任、赔偿金额、包括未成年人隐私等与赔偿相关的信息。保险人必须根据事故的实际情况，客观定损定责，不得威胁被保险人向上级报告来影响赔付。</w:t>
      </w:r>
    </w:p>
    <w:p w14:paraId="2D4058B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（4）自然灾害及不可抗力扩展条款</w:t>
      </w:r>
    </w:p>
    <w:p w14:paraId="5A3B8FD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兹经双方同意，本保险扩展承保校园范围内,直接由于自然灾害及不可抗力（地震、洪水、台风、雷击等）造成在校学生人身损害时被保险人依法应负的赔偿责任。</w:t>
      </w:r>
    </w:p>
    <w:p w14:paraId="35BAC93E">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承保及保全服务要求</w:t>
      </w:r>
    </w:p>
    <w:p w14:paraId="2552FA5B">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cs="宋体"/>
          <w:b/>
          <w:bCs/>
          <w:color w:val="auto"/>
          <w:sz w:val="22"/>
          <w:szCs w:val="22"/>
          <w:highlight w:val="none"/>
          <w:lang w:val="en-US" w:eastAsia="zh-CN"/>
        </w:rPr>
        <w:t>服务要求</w:t>
      </w:r>
    </w:p>
    <w:p w14:paraId="24859965">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（1）住院津贴保障每次赔偿天数不超过90天，累计不超过180天。</w:t>
      </w:r>
    </w:p>
    <w:p w14:paraId="06A93D90">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校责险</w:t>
      </w:r>
      <w:r>
        <w:rPr>
          <w:rFonts w:hint="eastAsia" w:ascii="宋体" w:hAnsi="宋体" w:eastAsia="宋体" w:cs="宋体"/>
          <w:b/>
          <w:bCs/>
          <w:color w:val="auto"/>
          <w:sz w:val="22"/>
          <w:szCs w:val="22"/>
          <w:highlight w:val="none"/>
        </w:rPr>
        <w:t>采取不记名投保的方式（只用学生人数，不用提供学生花名册），对于学校投保人数5%以内的人员变动，保险公司也不再额外收取或退还保费，保险公司仅对人员增加超过5%的部分收取保费，对人员减少的部分不再退还保费</w:t>
      </w:r>
      <w:r>
        <w:rPr>
          <w:rFonts w:hint="eastAsia" w:ascii="宋体" w:hAnsi="宋体" w:cs="宋体"/>
          <w:b/>
          <w:bCs/>
          <w:color w:val="auto"/>
          <w:sz w:val="22"/>
          <w:szCs w:val="22"/>
          <w:highlight w:val="none"/>
          <w:lang w:eastAsia="zh-CN"/>
        </w:rPr>
        <w:t>。</w:t>
      </w:r>
    </w:p>
    <w:p w14:paraId="5BE32A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w:t>
      </w:r>
      <w:r>
        <w:rPr>
          <w:rFonts w:hint="eastAsia" w:ascii="宋体" w:hAnsi="宋体" w:cs="宋体"/>
          <w:b/>
          <w:bCs/>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）学生团体人身意外伤害保险</w:t>
      </w:r>
      <w:r>
        <w:rPr>
          <w:rFonts w:hint="eastAsia" w:ascii="宋体" w:hAnsi="宋体" w:eastAsia="宋体" w:cs="宋体"/>
          <w:b/>
          <w:bCs/>
          <w:color w:val="auto"/>
          <w:sz w:val="22"/>
          <w:szCs w:val="22"/>
          <w:highlight w:val="none"/>
        </w:rPr>
        <w:t>采取记名投保的方式（提供学生花名册），对于学校投保人数5%以内的人员变动，保险公司也不再额外收取或退还保费，保险公司仅对人员增加超过5%的部分收取保费，对人员减少的部分不再退还保费</w:t>
      </w:r>
      <w:r>
        <w:rPr>
          <w:rFonts w:hint="eastAsia" w:ascii="宋体" w:hAnsi="宋体" w:cs="宋体"/>
          <w:b/>
          <w:bCs/>
          <w:color w:val="auto"/>
          <w:sz w:val="22"/>
          <w:szCs w:val="22"/>
          <w:highlight w:val="none"/>
          <w:lang w:eastAsia="zh-CN"/>
        </w:rPr>
        <w:t>。</w:t>
      </w:r>
    </w:p>
    <w:p w14:paraId="22823E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w:t>
      </w:r>
      <w:r>
        <w:rPr>
          <w:rFonts w:hint="eastAsia" w:ascii="宋体" w:hAnsi="宋体" w:cs="宋体"/>
          <w:b/>
          <w:bCs/>
          <w:color w:val="auto"/>
          <w:kern w:val="2"/>
          <w:sz w:val="22"/>
          <w:szCs w:val="22"/>
          <w:highlight w:val="none"/>
          <w:lang w:val="en-US" w:eastAsia="zh-CN" w:bidi="ar-SA"/>
        </w:rPr>
        <w:t>4</w:t>
      </w:r>
      <w:r>
        <w:rPr>
          <w:rFonts w:hint="eastAsia" w:ascii="宋体" w:hAnsi="宋体" w:eastAsia="宋体" w:cs="宋体"/>
          <w:b/>
          <w:bCs/>
          <w:color w:val="auto"/>
          <w:kern w:val="2"/>
          <w:sz w:val="22"/>
          <w:szCs w:val="22"/>
          <w:highlight w:val="none"/>
          <w:lang w:val="en-US" w:eastAsia="zh-CN" w:bidi="ar-SA"/>
        </w:rPr>
        <w:t>）</w:t>
      </w:r>
      <w:r>
        <w:rPr>
          <w:rFonts w:hint="eastAsia" w:ascii="宋体" w:hAnsi="宋体" w:eastAsia="宋体" w:cs="宋体"/>
          <w:b/>
          <w:bCs/>
          <w:color w:val="auto"/>
          <w:sz w:val="22"/>
          <w:szCs w:val="22"/>
          <w:highlight w:val="none"/>
          <w:lang w:eastAsia="zh-CN"/>
        </w:rPr>
        <w:t>出险时以学校提供的出险学生在校学生证明为主要依据。</w:t>
      </w:r>
    </w:p>
    <w:p w14:paraId="42970BBC">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理赔服务要求</w:t>
      </w:r>
    </w:p>
    <w:p w14:paraId="129FB91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1）应当成立以公司负责人为主的校园责任保险理赔服务团队，由有经验的专业理赔人员负责具体的理赔服务工作。理赔人员要保证工作时间内在岗，不能因为主要理赔人员的缺勤而影响到正常的理赔工作</w:t>
      </w:r>
      <w:r>
        <w:rPr>
          <w:rFonts w:hint="eastAsia" w:ascii="宋体" w:hAnsi="宋体" w:eastAsia="宋体" w:cs="宋体"/>
          <w:b w:val="0"/>
          <w:bCs w:val="0"/>
          <w:color w:val="auto"/>
          <w:sz w:val="22"/>
          <w:szCs w:val="22"/>
          <w:highlight w:val="none"/>
          <w:lang w:eastAsia="zh-CN"/>
        </w:rPr>
        <w:t>。</w:t>
      </w:r>
    </w:p>
    <w:p w14:paraId="50FBA9E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2）应当设立专门的服务热线电话，负责受理校园责任保险的事故报案、咨询、疑难问题解答和投诉处理。对于事故报案和客户投诉，</w:t>
      </w:r>
      <w:r>
        <w:rPr>
          <w:rFonts w:hint="eastAsia" w:ascii="宋体" w:hAnsi="宋体" w:eastAsia="宋体" w:cs="宋体"/>
          <w:b w:val="0"/>
          <w:bCs w:val="0"/>
          <w:color w:val="auto"/>
          <w:sz w:val="22"/>
          <w:szCs w:val="22"/>
          <w:highlight w:val="none"/>
          <w:lang w:eastAsia="zh-CN"/>
        </w:rPr>
        <w:t>成交人</w:t>
      </w:r>
      <w:r>
        <w:rPr>
          <w:rFonts w:hint="eastAsia" w:ascii="宋体" w:hAnsi="宋体" w:eastAsia="宋体" w:cs="宋体"/>
          <w:b w:val="0"/>
          <w:bCs w:val="0"/>
          <w:color w:val="auto"/>
          <w:sz w:val="22"/>
          <w:szCs w:val="22"/>
          <w:highlight w:val="none"/>
        </w:rPr>
        <w:t>应当在1个工作日内向教育风险管理顾问就重要事项作出明确答复</w:t>
      </w:r>
      <w:r>
        <w:rPr>
          <w:rFonts w:hint="eastAsia" w:ascii="宋体" w:hAnsi="宋体" w:eastAsia="宋体" w:cs="宋体"/>
          <w:b w:val="0"/>
          <w:bCs w:val="0"/>
          <w:color w:val="auto"/>
          <w:sz w:val="22"/>
          <w:szCs w:val="22"/>
          <w:highlight w:val="none"/>
          <w:lang w:eastAsia="zh-CN"/>
        </w:rPr>
        <w:t>。</w:t>
      </w:r>
    </w:p>
    <w:p w14:paraId="4006AD51">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（3）保险理赔追诉期</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被保险人</w:t>
      </w:r>
      <w:r>
        <w:rPr>
          <w:rFonts w:hint="eastAsia" w:ascii="宋体" w:hAnsi="宋体" w:cs="宋体"/>
          <w:b/>
          <w:bCs/>
          <w:color w:val="auto"/>
          <w:sz w:val="22"/>
          <w:szCs w:val="22"/>
          <w:highlight w:val="none"/>
          <w:lang w:val="en-US" w:eastAsia="zh-CN"/>
        </w:rPr>
        <w:t>向保险人请求赔偿或者给付保险金的诉讼时效</w:t>
      </w:r>
      <w:r>
        <w:rPr>
          <w:rFonts w:hint="eastAsia" w:ascii="宋体" w:hAnsi="宋体" w:eastAsia="宋体" w:cs="宋体"/>
          <w:b/>
          <w:bCs/>
          <w:color w:val="auto"/>
          <w:sz w:val="22"/>
          <w:szCs w:val="22"/>
          <w:highlight w:val="none"/>
          <w:lang w:val="en-US" w:eastAsia="zh-CN"/>
        </w:rPr>
        <w:t>为两年。</w:t>
      </w:r>
    </w:p>
    <w:p w14:paraId="558B0D9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）对收到的索赔材料进行审核，并在2个工作日内向被保险人反馈是否立案。需要补充提供证明材料的应当在反馈立案的同时一次性提出。对决定拒赔或者不予立案的，出具正式的书面意见</w:t>
      </w:r>
      <w:r>
        <w:rPr>
          <w:rFonts w:hint="eastAsia" w:ascii="宋体" w:hAnsi="宋体" w:eastAsia="宋体" w:cs="宋体"/>
          <w:b w:val="0"/>
          <w:bCs w:val="0"/>
          <w:color w:val="auto"/>
          <w:sz w:val="22"/>
          <w:szCs w:val="22"/>
          <w:highlight w:val="none"/>
          <w:lang w:eastAsia="zh-CN"/>
        </w:rPr>
        <w:t>。</w:t>
      </w:r>
    </w:p>
    <w:p w14:paraId="6C98DCE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对属于保险责任范围，且索赔材料齐全的校园责任险案件，赔付时效基础为：赔付金额2000元以内须3个（含）工作日内；赔付金额2001元至20000元须5个（含）工作日内；赔付金额20001元至100000元须7个（含）工作日；赔付金额10万元以上须10个（含）工作日内，开具赔款通知书。（自收齐索赔材料之日起计算）</w:t>
      </w:r>
    </w:p>
    <w:p w14:paraId="63663BDD">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特色服务要求</w:t>
      </w:r>
    </w:p>
    <w:p w14:paraId="4FF216D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校园责任保险为了更好服务于温州市教育行业，</w:t>
      </w:r>
      <w:r>
        <w:rPr>
          <w:rFonts w:hint="eastAsia" w:ascii="宋体" w:hAnsi="宋体" w:eastAsia="宋体" w:cs="宋体"/>
          <w:b w:val="0"/>
          <w:bCs w:val="0"/>
          <w:color w:val="auto"/>
          <w:sz w:val="22"/>
          <w:szCs w:val="22"/>
          <w:highlight w:val="none"/>
          <w:lang w:val="en-US" w:eastAsia="zh-CN"/>
        </w:rPr>
        <w:t>投标人</w:t>
      </w:r>
      <w:r>
        <w:rPr>
          <w:rFonts w:hint="eastAsia" w:ascii="宋体" w:hAnsi="宋体" w:eastAsia="宋体" w:cs="宋体"/>
          <w:b w:val="0"/>
          <w:bCs w:val="0"/>
          <w:color w:val="auto"/>
          <w:sz w:val="22"/>
          <w:szCs w:val="22"/>
          <w:highlight w:val="none"/>
        </w:rPr>
        <w:t>应充分了解温州市教育行业的现状及风险状况，并在基础服务项目上增加以下服务内容：</w:t>
      </w:r>
    </w:p>
    <w:p w14:paraId="3648B9F3">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法律援助服务</w:t>
      </w:r>
    </w:p>
    <w:p w14:paraId="094523F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成交人</w:t>
      </w:r>
      <w:r>
        <w:rPr>
          <w:rFonts w:hint="eastAsia" w:ascii="宋体" w:hAnsi="宋体" w:eastAsia="宋体" w:cs="宋体"/>
          <w:b w:val="0"/>
          <w:bCs w:val="0"/>
          <w:color w:val="auto"/>
          <w:sz w:val="22"/>
          <w:szCs w:val="22"/>
          <w:highlight w:val="none"/>
        </w:rPr>
        <w:t>应当成立专门的法律服务小组，在发生校内人身伤害事故时，协助学校妥善处理善后事宜，为学校提供法律和保险服务</w:t>
      </w:r>
      <w:r>
        <w:rPr>
          <w:rFonts w:hint="eastAsia" w:ascii="宋体" w:hAnsi="宋体" w:eastAsia="宋体" w:cs="宋体"/>
          <w:b w:val="0"/>
          <w:bCs w:val="0"/>
          <w:color w:val="auto"/>
          <w:sz w:val="22"/>
          <w:szCs w:val="22"/>
          <w:highlight w:val="none"/>
          <w:lang w:eastAsia="zh-CN"/>
        </w:rPr>
        <w:t>。</w:t>
      </w:r>
    </w:p>
    <w:p w14:paraId="47D44ADB">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人性化赔付</w:t>
      </w:r>
    </w:p>
    <w:p w14:paraId="2A60B94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1）对难以快速确定保险责任和赔偿金额，但具有特殊社会意义的索赔案件，或者对解决学校与家长之间的纠纷具有重要作用的索赔案件，保险公司应制定出专门针对此类索赔案件的解决方案。方案要切实可行，充分考虑教育行业风险的特殊性和索赔案件的个体差异性</w:t>
      </w:r>
      <w:r>
        <w:rPr>
          <w:rFonts w:hint="eastAsia" w:ascii="宋体" w:hAnsi="宋体" w:eastAsia="宋体" w:cs="宋体"/>
          <w:b w:val="0"/>
          <w:bCs w:val="0"/>
          <w:color w:val="auto"/>
          <w:sz w:val="22"/>
          <w:szCs w:val="22"/>
          <w:highlight w:val="none"/>
          <w:lang w:eastAsia="zh-CN"/>
        </w:rPr>
        <w:t>。</w:t>
      </w:r>
    </w:p>
    <w:p w14:paraId="0EC5342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2）建有校园责任保险快速理赔机制和绿色理赔通道</w:t>
      </w:r>
      <w:r>
        <w:rPr>
          <w:rFonts w:hint="eastAsia" w:ascii="宋体" w:hAnsi="宋体" w:eastAsia="宋体" w:cs="宋体"/>
          <w:b w:val="0"/>
          <w:bCs w:val="0"/>
          <w:color w:val="auto"/>
          <w:sz w:val="22"/>
          <w:szCs w:val="22"/>
          <w:highlight w:val="none"/>
          <w:lang w:eastAsia="zh-CN"/>
        </w:rPr>
        <w:t>。</w:t>
      </w:r>
    </w:p>
    <w:p w14:paraId="7F36891A">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3）简易定责服务:对于校方责任不明确的案件，在参考相关法律法规和规章制度后做出最终定责意见</w:t>
      </w:r>
      <w:r>
        <w:rPr>
          <w:rFonts w:hint="eastAsia" w:ascii="宋体" w:hAnsi="宋体" w:eastAsia="宋体" w:cs="宋体"/>
          <w:b w:val="0"/>
          <w:bCs w:val="0"/>
          <w:color w:val="auto"/>
          <w:sz w:val="22"/>
          <w:szCs w:val="22"/>
          <w:highlight w:val="none"/>
          <w:lang w:eastAsia="zh-CN"/>
        </w:rPr>
        <w:t>。</w:t>
      </w:r>
    </w:p>
    <w:p w14:paraId="262EE29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4）重大事故协调处理机制:为减少校内发生的重大人身伤亡事故对校方的影响，尽快恢复正常的教育教学秩序，承保公司应当组建“重大事故临时处理小组”，负责协调重大事故的赔偿解决方案。</w:t>
      </w:r>
    </w:p>
    <w:p w14:paraId="6FA355C6">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防灾防损服务</w:t>
      </w:r>
    </w:p>
    <w:p w14:paraId="401E073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根据采购</w:t>
      </w:r>
      <w:r>
        <w:rPr>
          <w:rFonts w:hint="eastAsia" w:ascii="宋体" w:hAnsi="宋体" w:eastAsia="宋体" w:cs="宋体"/>
          <w:b w:val="0"/>
          <w:bCs w:val="0"/>
          <w:color w:val="auto"/>
          <w:sz w:val="22"/>
          <w:szCs w:val="22"/>
          <w:highlight w:val="none"/>
          <w:lang w:val="en-US" w:eastAsia="zh-CN"/>
        </w:rPr>
        <w:t>人</w:t>
      </w:r>
      <w:r>
        <w:rPr>
          <w:rFonts w:hint="eastAsia" w:ascii="宋体" w:hAnsi="宋体" w:eastAsia="宋体" w:cs="宋体"/>
          <w:b w:val="0"/>
          <w:bCs w:val="0"/>
          <w:color w:val="auto"/>
          <w:sz w:val="22"/>
          <w:szCs w:val="22"/>
          <w:highlight w:val="none"/>
        </w:rPr>
        <w:t>需求为采购</w:t>
      </w:r>
      <w:r>
        <w:rPr>
          <w:rFonts w:hint="eastAsia" w:ascii="宋体" w:hAnsi="宋体" w:eastAsia="宋体" w:cs="宋体"/>
          <w:b w:val="0"/>
          <w:bCs w:val="0"/>
          <w:color w:val="auto"/>
          <w:sz w:val="22"/>
          <w:szCs w:val="22"/>
          <w:highlight w:val="none"/>
          <w:lang w:val="en-US" w:eastAsia="zh-CN"/>
        </w:rPr>
        <w:t>人</w:t>
      </w:r>
      <w:r>
        <w:rPr>
          <w:rFonts w:hint="eastAsia" w:ascii="宋体" w:hAnsi="宋体" w:eastAsia="宋体" w:cs="宋体"/>
          <w:b w:val="0"/>
          <w:bCs w:val="0"/>
          <w:color w:val="auto"/>
          <w:sz w:val="22"/>
          <w:szCs w:val="22"/>
          <w:highlight w:val="none"/>
        </w:rPr>
        <w:t>提供教育风险管理、校园安全活动等防灾防损服务，提高学生风险防范意识，防灾防损服务费以保费的10%为限。</w:t>
      </w:r>
    </w:p>
    <w:p w14:paraId="615874FC">
      <w:pPr>
        <w:widowControl/>
        <w:numPr>
          <w:ilvl w:val="0"/>
          <w:numId w:val="45"/>
        </w:numPr>
        <w:spacing w:line="440" w:lineRule="exact"/>
        <w:rPr>
          <w:rFonts w:ascii="宋体" w:hAnsi="宋体"/>
          <w:b/>
          <w:color w:val="auto"/>
          <w:sz w:val="22"/>
          <w:szCs w:val="22"/>
          <w:highlight w:val="none"/>
        </w:rPr>
      </w:pPr>
      <w:r>
        <w:rPr>
          <w:rFonts w:hint="eastAsia" w:ascii="宋体" w:hAnsi="宋体"/>
          <w:b/>
          <w:color w:val="auto"/>
          <w:sz w:val="22"/>
          <w:szCs w:val="22"/>
          <w:highlight w:val="none"/>
        </w:rPr>
        <w:t>其他</w:t>
      </w:r>
    </w:p>
    <w:p w14:paraId="36DBF494">
      <w:pPr>
        <w:numPr>
          <w:ilvl w:val="0"/>
          <w:numId w:val="47"/>
        </w:num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服务期限：一年。</w:t>
      </w:r>
    </w:p>
    <w:p w14:paraId="3A700E95">
      <w:pPr>
        <w:numPr>
          <w:ilvl w:val="0"/>
          <w:numId w:val="47"/>
        </w:num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val="en-US" w:eastAsia="zh-CN"/>
        </w:rPr>
        <w:t>投保时间：</w:t>
      </w:r>
      <w:r>
        <w:rPr>
          <w:rFonts w:hint="eastAsia" w:ascii="宋体" w:hAnsi="宋体" w:cs="宋体"/>
          <w:b w:val="0"/>
          <w:bCs w:val="0"/>
          <w:color w:val="auto"/>
          <w:sz w:val="22"/>
          <w:szCs w:val="22"/>
          <w:highlight w:val="none"/>
          <w:lang w:val="en-US" w:eastAsia="zh-CN"/>
        </w:rPr>
        <w:t>投保时间</w:t>
      </w:r>
      <w:r>
        <w:rPr>
          <w:rFonts w:hint="eastAsia" w:ascii="新宋体" w:hAnsi="新宋体" w:eastAsia="新宋体" w:cs="新宋体"/>
          <w:color w:val="auto"/>
          <w:sz w:val="22"/>
          <w:szCs w:val="22"/>
          <w:highlight w:val="none"/>
          <w:lang w:val="en-US" w:eastAsia="zh-CN"/>
        </w:rPr>
        <w:t>自学生报到日零时起生效，将接续现有的保险生效期，投保有效期一年</w:t>
      </w:r>
      <w:r>
        <w:rPr>
          <w:rFonts w:hint="eastAsia" w:ascii="宋体" w:hAnsi="宋体" w:cs="宋体"/>
          <w:b/>
          <w:bCs/>
          <w:color w:val="auto"/>
          <w:sz w:val="22"/>
          <w:highlight w:val="none"/>
          <w:lang w:val="en-US" w:eastAsia="zh-CN"/>
        </w:rPr>
        <w:t>。</w:t>
      </w:r>
    </w:p>
    <w:p w14:paraId="3BAC9BF0">
      <w:pPr>
        <w:numPr>
          <w:ilvl w:val="0"/>
          <w:numId w:val="47"/>
        </w:numPr>
        <w:snapToGrid w:val="0"/>
        <w:spacing w:line="400" w:lineRule="exact"/>
        <w:ind w:firstLine="418" w:firstLineChars="200"/>
        <w:rPr>
          <w:rFonts w:ascii="宋体" w:hAnsi="宋体" w:cs="宋体"/>
          <w:b/>
          <w:bCs/>
          <w:color w:val="auto"/>
          <w:sz w:val="22"/>
          <w:highlight w:val="none"/>
        </w:rPr>
      </w:pPr>
      <w:r>
        <w:rPr>
          <w:rFonts w:hint="eastAsia" w:ascii="宋体" w:hAnsi="宋体" w:cs="宋体"/>
          <w:b/>
          <w:bCs/>
          <w:color w:val="auto"/>
          <w:spacing w:val="-6"/>
          <w:sz w:val="22"/>
          <w:highlight w:val="none"/>
          <w:lang w:val="en-US" w:eastAsia="zh-CN"/>
        </w:rPr>
        <w:t>服务地点：甲方指定地点</w:t>
      </w:r>
      <w:r>
        <w:rPr>
          <w:rFonts w:hint="eastAsia" w:ascii="宋体" w:hAnsi="宋体" w:cs="宋体"/>
          <w:b/>
          <w:bCs/>
          <w:color w:val="auto"/>
          <w:spacing w:val="-6"/>
          <w:sz w:val="22"/>
          <w:highlight w:val="none"/>
        </w:rPr>
        <w:t>。</w:t>
      </w:r>
    </w:p>
    <w:p w14:paraId="57B42AFA">
      <w:pPr>
        <w:numPr>
          <w:ilvl w:val="0"/>
          <w:numId w:val="47"/>
        </w:num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付款方式：</w:t>
      </w:r>
      <w:r>
        <w:rPr>
          <w:rFonts w:hint="eastAsia" w:ascii="宋体" w:hAnsi="宋体" w:cs="宋体"/>
          <w:b/>
          <w:bCs/>
          <w:color w:val="auto"/>
          <w:sz w:val="22"/>
          <w:highlight w:val="none"/>
          <w:u w:val="single"/>
        </w:rPr>
        <w:t>▲保单生效</w:t>
      </w:r>
      <w:r>
        <w:rPr>
          <w:rFonts w:hint="eastAsia" w:ascii="宋体" w:hAnsi="宋体" w:cs="宋体"/>
          <w:b/>
          <w:bCs/>
          <w:color w:val="auto"/>
          <w:sz w:val="22"/>
          <w:highlight w:val="none"/>
          <w:u w:val="single"/>
          <w:lang w:val="en-US" w:eastAsia="zh-CN"/>
        </w:rPr>
        <w:t>后</w:t>
      </w:r>
      <w:r>
        <w:rPr>
          <w:rFonts w:hint="eastAsia" w:ascii="宋体" w:hAnsi="宋体" w:cs="宋体"/>
          <w:b/>
          <w:bCs/>
          <w:color w:val="auto"/>
          <w:sz w:val="22"/>
          <w:highlight w:val="none"/>
          <w:u w:val="single"/>
        </w:rPr>
        <w:t>一个月内</w:t>
      </w:r>
      <w:r>
        <w:rPr>
          <w:rFonts w:hint="eastAsia" w:ascii="宋体" w:hAnsi="宋体" w:cs="宋体"/>
          <w:b/>
          <w:bCs/>
          <w:color w:val="auto"/>
          <w:sz w:val="22"/>
          <w:highlight w:val="none"/>
          <w:u w:val="single"/>
          <w:lang w:val="en-US" w:eastAsia="zh-CN"/>
        </w:rPr>
        <w:t>验收合格后</w:t>
      </w:r>
      <w:r>
        <w:rPr>
          <w:rFonts w:hint="eastAsia" w:ascii="宋体" w:hAnsi="宋体" w:cs="宋体"/>
          <w:b/>
          <w:bCs/>
          <w:color w:val="auto"/>
          <w:sz w:val="22"/>
          <w:highlight w:val="none"/>
          <w:u w:val="single"/>
        </w:rPr>
        <w:t>，采购人</w:t>
      </w:r>
      <w:r>
        <w:rPr>
          <w:rFonts w:hint="eastAsia" w:ascii="宋体" w:hAnsi="宋体" w:cs="宋体"/>
          <w:b/>
          <w:bCs/>
          <w:color w:val="auto"/>
          <w:sz w:val="22"/>
          <w:highlight w:val="none"/>
          <w:u w:val="single"/>
          <w:lang w:val="en-US" w:eastAsia="zh-CN"/>
        </w:rPr>
        <w:t>在</w:t>
      </w:r>
      <w:r>
        <w:rPr>
          <w:rFonts w:hint="eastAsia" w:ascii="宋体" w:hAnsi="宋体" w:cs="宋体"/>
          <w:b/>
          <w:bCs/>
          <w:color w:val="auto"/>
          <w:sz w:val="22"/>
          <w:highlight w:val="none"/>
          <w:u w:val="single"/>
        </w:rPr>
        <w:t>收到中标人开具的发票后</w:t>
      </w:r>
      <w:r>
        <w:rPr>
          <w:rFonts w:hint="eastAsia" w:ascii="宋体" w:hAnsi="宋体" w:cs="宋体"/>
          <w:b/>
          <w:bCs/>
          <w:color w:val="auto"/>
          <w:sz w:val="22"/>
          <w:highlight w:val="none"/>
          <w:u w:val="single"/>
          <w:lang w:val="en-US" w:eastAsia="zh-CN"/>
        </w:rPr>
        <w:t>15</w:t>
      </w:r>
      <w:r>
        <w:rPr>
          <w:rFonts w:hint="eastAsia" w:ascii="宋体" w:hAnsi="宋体" w:cs="宋体"/>
          <w:b/>
          <w:bCs/>
          <w:color w:val="auto"/>
          <w:sz w:val="22"/>
          <w:highlight w:val="none"/>
          <w:u w:val="single"/>
        </w:rPr>
        <w:t>个工作日内通过汇款方式一次性支付。（注：按照实际投保人数计算）</w:t>
      </w:r>
    </w:p>
    <w:p w14:paraId="53E4AEE9">
      <w:pPr>
        <w:numPr>
          <w:ilvl w:val="0"/>
          <w:numId w:val="47"/>
        </w:numPr>
        <w:snapToGrid w:val="0"/>
        <w:spacing w:line="40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本次采购校方责任保险和</w:t>
      </w:r>
      <w:r>
        <w:rPr>
          <w:rFonts w:hint="eastAsia" w:ascii="新宋体" w:hAnsi="新宋体" w:eastAsia="新宋体" w:cs="新宋体"/>
          <w:b/>
          <w:bCs/>
          <w:color w:val="auto"/>
          <w:sz w:val="22"/>
          <w:szCs w:val="22"/>
          <w:highlight w:val="none"/>
          <w:lang w:val="en-US" w:eastAsia="zh-CN"/>
        </w:rPr>
        <w:t>学生</w:t>
      </w:r>
      <w:r>
        <w:rPr>
          <w:rFonts w:hint="eastAsia" w:ascii="新宋体" w:hAnsi="新宋体" w:eastAsia="新宋体" w:cs="新宋体"/>
          <w:b/>
          <w:bCs/>
          <w:color w:val="auto"/>
          <w:sz w:val="22"/>
          <w:szCs w:val="22"/>
          <w:highlight w:val="none"/>
        </w:rPr>
        <w:t>团体人身意外伤害保险被保险人包含本科生及研究生，根据采购人要求，中标人需分别签订采购合同和开具发票。</w:t>
      </w:r>
    </w:p>
    <w:p w14:paraId="5D4BEBCE">
      <w:pPr>
        <w:numPr>
          <w:ilvl w:val="0"/>
          <w:numId w:val="47"/>
        </w:numPr>
        <w:snapToGrid w:val="0"/>
        <w:spacing w:line="400" w:lineRule="exact"/>
        <w:ind w:firstLine="442" w:firstLineChars="200"/>
        <w:rPr>
          <w:rFonts w:hint="eastAsia" w:ascii="新宋体" w:hAnsi="新宋体" w:eastAsia="新宋体" w:cs="新宋体"/>
          <w:color w:val="auto"/>
          <w:sz w:val="22"/>
          <w:szCs w:val="22"/>
          <w:highlight w:val="none"/>
        </w:rPr>
      </w:pPr>
      <w:r>
        <w:rPr>
          <w:rFonts w:hint="eastAsia" w:ascii="宋体" w:hAnsi="宋体" w:cs="宋体"/>
          <w:b/>
          <w:bCs/>
          <w:color w:val="auto"/>
          <w:sz w:val="22"/>
          <w:highlight w:val="none"/>
          <w:u w:val="single"/>
        </w:rPr>
        <w:t>如技术要求中未特别注明需执行的国家相关标准、行业标准、地方标准或者其他标准、规范，则统一执行最新标准、规范。</w:t>
      </w:r>
    </w:p>
    <w:p w14:paraId="0B14B55A">
      <w:pPr>
        <w:keepNext w:val="0"/>
        <w:keepLines w:val="0"/>
        <w:pageBreakBefore w:val="0"/>
        <w:kinsoku/>
        <w:wordWrap/>
        <w:overflowPunct/>
        <w:topLinePunct w:val="0"/>
        <w:autoSpaceDE/>
        <w:autoSpaceDN/>
        <w:bidi w:val="0"/>
        <w:adjustRightInd/>
        <w:snapToGrid/>
        <w:spacing w:line="360" w:lineRule="exact"/>
        <w:ind w:firstLine="442" w:firstLineChars="200"/>
        <w:textAlignment w:val="auto"/>
        <w:rPr>
          <w:rFonts w:hint="eastAsia" w:ascii="新宋体" w:hAnsi="新宋体" w:eastAsia="新宋体" w:cs="新宋体"/>
          <w:b/>
          <w:bCs/>
          <w:color w:val="auto"/>
          <w:sz w:val="22"/>
          <w:szCs w:val="22"/>
          <w:highlight w:val="none"/>
        </w:rPr>
      </w:pPr>
    </w:p>
    <w:p w14:paraId="21B5AAF0">
      <w:pPr>
        <w:numPr>
          <w:ilvl w:val="0"/>
          <w:numId w:val="47"/>
        </w:num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br w:type="page"/>
      </w:r>
    </w:p>
    <w:p w14:paraId="170995D5">
      <w:pPr>
        <w:rPr>
          <w:color w:val="auto"/>
          <w:highlight w:val="none"/>
        </w:rPr>
      </w:pPr>
    </w:p>
    <w:p w14:paraId="7D9BC370">
      <w:pPr>
        <w:pStyle w:val="3"/>
        <w:rPr>
          <w:rFonts w:ascii="宋体" w:hAnsi="宋体" w:eastAsia="宋体" w:cs="Arial"/>
          <w:color w:val="auto"/>
          <w:sz w:val="36"/>
          <w:szCs w:val="36"/>
          <w:highlight w:val="none"/>
        </w:rPr>
      </w:pPr>
      <w:bookmarkStart w:id="202" w:name="_Toc7120"/>
      <w:r>
        <w:rPr>
          <w:rFonts w:hint="eastAsia" w:ascii="宋体" w:hAnsi="宋体" w:eastAsia="宋体" w:cs="Arial"/>
          <w:color w:val="auto"/>
          <w:sz w:val="36"/>
          <w:szCs w:val="36"/>
          <w:highlight w:val="none"/>
        </w:rPr>
        <w:t xml:space="preserve">第三部分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Arial"/>
          <w:color w:val="auto"/>
          <w:sz w:val="36"/>
          <w:szCs w:val="36"/>
          <w:highlight w:val="none"/>
        </w:rPr>
        <w:t>评标原则及方法</w:t>
      </w:r>
      <w:bookmarkEnd w:id="202"/>
    </w:p>
    <w:p w14:paraId="74634CE4">
      <w:pPr>
        <w:pStyle w:val="24"/>
        <w:spacing w:before="120" w:beforeLines="50" w:afterLines="50"/>
        <w:rPr>
          <w:rFonts w:ascii="宋体" w:hAnsi="宋体" w:cs="Arial"/>
          <w:b/>
          <w:color w:val="auto"/>
          <w:highlight w:val="none"/>
        </w:rPr>
      </w:pPr>
      <w:bookmarkStart w:id="203" w:name="_Toc221356961"/>
      <w:bookmarkStart w:id="204" w:name="_Toc221356898"/>
      <w:bookmarkStart w:id="205" w:name="_Toc223716004"/>
      <w:bookmarkStart w:id="206" w:name="_Toc241404208"/>
      <w:bookmarkStart w:id="207" w:name="_Toc239145360"/>
      <w:bookmarkStart w:id="208" w:name="_Toc245191320"/>
      <w:bookmarkStart w:id="209" w:name="_Toc221356894"/>
      <w:bookmarkStart w:id="210" w:name="_Toc221356957"/>
      <w:bookmarkStart w:id="211" w:name="_Toc245722287"/>
      <w:bookmarkStart w:id="212" w:name="_Toc221374632"/>
      <w:bookmarkStart w:id="213" w:name="_Toc222114885"/>
      <w:bookmarkStart w:id="214" w:name="_Toc246261271"/>
      <w:bookmarkStart w:id="215" w:name="_Toc221423625"/>
      <w:r>
        <w:rPr>
          <w:rFonts w:hint="eastAsia" w:ascii="宋体" w:hAnsi="宋体" w:cs="Arial"/>
          <w:b/>
          <w:color w:val="auto"/>
          <w:highlight w:val="none"/>
        </w:rPr>
        <w:t>一. 总  则</w:t>
      </w:r>
      <w:bookmarkEnd w:id="203"/>
      <w:bookmarkEnd w:id="204"/>
    </w:p>
    <w:p w14:paraId="6B6FA295">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E06BDC2">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595B6F09">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00B345B1">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53FE38A0">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招标采用综合评分法，即投标人最大限度地满足招标文件实质性要求的基础上，按照招标文件的各项因素进行综合评审后，以评标总得分最高的投标人和次高的投标人作为第一和第二排序的中标候选人的评标方法。根据招标要求，</w:t>
      </w:r>
      <w:r>
        <w:rPr>
          <w:rFonts w:hint="eastAsia" w:ascii="宋体" w:hAnsi="宋体" w:cs="Arial"/>
          <w:b/>
          <w:color w:val="auto"/>
          <w:sz w:val="22"/>
          <w:highlight w:val="none"/>
        </w:rPr>
        <w:t>总分设定为100分；其中商务技术文件</w:t>
      </w:r>
      <w:r>
        <w:rPr>
          <w:rFonts w:hint="eastAsia" w:ascii="宋体" w:hAnsi="宋体" w:cs="Arial"/>
          <w:b/>
          <w:color w:val="auto"/>
          <w:sz w:val="22"/>
          <w:highlight w:val="none"/>
          <w:lang w:val="en-US" w:eastAsia="zh-CN"/>
        </w:rPr>
        <w:t>8</w:t>
      </w:r>
      <w:r>
        <w:rPr>
          <w:rFonts w:hint="eastAsia" w:ascii="宋体" w:hAnsi="宋体" w:cs="Arial"/>
          <w:b/>
          <w:color w:val="auto"/>
          <w:sz w:val="22"/>
          <w:highlight w:val="none"/>
        </w:rPr>
        <w:t>0分，报价文件（报价）</w:t>
      </w:r>
      <w:r>
        <w:rPr>
          <w:rFonts w:hint="eastAsia" w:ascii="宋体" w:hAnsi="宋体" w:cs="Arial"/>
          <w:b/>
          <w:color w:val="auto"/>
          <w:sz w:val="22"/>
          <w:highlight w:val="none"/>
          <w:lang w:val="en-US" w:eastAsia="zh-CN"/>
        </w:rPr>
        <w:t>2</w:t>
      </w:r>
      <w:r>
        <w:rPr>
          <w:rFonts w:hint="eastAsia" w:ascii="宋体" w:hAnsi="宋体" w:cs="Arial"/>
          <w:b/>
          <w:color w:val="auto"/>
          <w:sz w:val="22"/>
          <w:highlight w:val="none"/>
        </w:rPr>
        <w:t>0分。</w:t>
      </w:r>
    </w:p>
    <w:p w14:paraId="604DCD71">
      <w:pPr>
        <w:spacing w:line="420" w:lineRule="exact"/>
        <w:rPr>
          <w:rFonts w:ascii="宋体" w:hAnsi="宋体" w:cs="Arial"/>
          <w:b/>
          <w:color w:val="auto"/>
          <w:sz w:val="22"/>
          <w:highlight w:val="none"/>
        </w:rPr>
      </w:pPr>
      <w:bookmarkStart w:id="216" w:name="_Toc221356965"/>
      <w:bookmarkStart w:id="217" w:name="_Toc221356902"/>
      <w:r>
        <w:rPr>
          <w:rFonts w:hint="eastAsia" w:ascii="宋体" w:hAnsi="宋体" w:cs="Arial"/>
          <w:b/>
          <w:color w:val="auto"/>
          <w:sz w:val="22"/>
          <w:highlight w:val="none"/>
        </w:rPr>
        <w:t>四、评分细则</w:t>
      </w:r>
      <w:bookmarkEnd w:id="216"/>
      <w:bookmarkEnd w:id="217"/>
    </w:p>
    <w:p w14:paraId="52B538BC">
      <w:pPr>
        <w:spacing w:line="400" w:lineRule="exact"/>
        <w:rPr>
          <w:rFonts w:ascii="宋体" w:hAnsi="宋体" w:cs="Arial"/>
          <w:color w:val="auto"/>
          <w:sz w:val="22"/>
          <w:highlight w:val="none"/>
        </w:rPr>
      </w:pPr>
      <w:bookmarkStart w:id="218" w:name="_Toc221356903"/>
      <w:bookmarkStart w:id="219" w:name="_Toc221356966"/>
      <w:r>
        <w:rPr>
          <w:rFonts w:hint="eastAsia" w:ascii="宋体" w:hAnsi="宋体" w:cs="Arial"/>
          <w:color w:val="auto"/>
          <w:sz w:val="22"/>
          <w:highlight w:val="none"/>
        </w:rPr>
        <w:t>1、技术资信分的评定（</w:t>
      </w:r>
      <w:r>
        <w:rPr>
          <w:rFonts w:hint="eastAsia" w:ascii="宋体" w:hAnsi="宋体" w:cs="Arial"/>
          <w:color w:val="auto"/>
          <w:sz w:val="22"/>
          <w:highlight w:val="none"/>
          <w:lang w:val="en-US" w:eastAsia="zh-CN"/>
        </w:rPr>
        <w:t>8</w:t>
      </w:r>
      <w:r>
        <w:rPr>
          <w:rFonts w:hint="eastAsia" w:ascii="宋体" w:hAnsi="宋体" w:cs="Arial"/>
          <w:color w:val="auto"/>
          <w:sz w:val="22"/>
          <w:highlight w:val="none"/>
        </w:rPr>
        <w:t>0分）</w:t>
      </w:r>
    </w:p>
    <w:p w14:paraId="3155B018">
      <w:pPr>
        <w:spacing w:line="400" w:lineRule="exact"/>
        <w:ind w:left="439" w:leftChars="209"/>
        <w:rPr>
          <w:rFonts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7"/>
        <w:gridCol w:w="999"/>
        <w:gridCol w:w="528"/>
        <w:gridCol w:w="6816"/>
      </w:tblGrid>
      <w:tr w14:paraId="6D1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41" w:type="dxa"/>
            <w:noWrap/>
            <w:vAlign w:val="center"/>
          </w:tcPr>
          <w:p w14:paraId="7595081E">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896" w:type="dxa"/>
            <w:gridSpan w:val="2"/>
            <w:noWrap/>
            <w:vAlign w:val="center"/>
          </w:tcPr>
          <w:p w14:paraId="3B0B8076">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评审因素</w:t>
            </w:r>
          </w:p>
        </w:tc>
        <w:tc>
          <w:tcPr>
            <w:tcW w:w="528" w:type="dxa"/>
            <w:noWrap/>
            <w:vAlign w:val="center"/>
          </w:tcPr>
          <w:p w14:paraId="0A3D7F8B">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6816" w:type="dxa"/>
            <w:noWrap/>
            <w:vAlign w:val="center"/>
          </w:tcPr>
          <w:p w14:paraId="2A415424">
            <w:pPr>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评分细则</w:t>
            </w:r>
          </w:p>
        </w:tc>
      </w:tr>
      <w:tr w14:paraId="55F3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41" w:type="dxa"/>
            <w:noWrap/>
            <w:vAlign w:val="center"/>
          </w:tcPr>
          <w:p w14:paraId="7A27B2B4">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896" w:type="dxa"/>
            <w:gridSpan w:val="2"/>
            <w:noWrap/>
            <w:vAlign w:val="center"/>
          </w:tcPr>
          <w:p w14:paraId="67473FFF">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业绩</w:t>
            </w:r>
          </w:p>
        </w:tc>
        <w:tc>
          <w:tcPr>
            <w:tcW w:w="528" w:type="dxa"/>
            <w:noWrap/>
            <w:vAlign w:val="center"/>
          </w:tcPr>
          <w:p w14:paraId="2B052588">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6816" w:type="dxa"/>
            <w:noWrap/>
            <w:vAlign w:val="center"/>
          </w:tcPr>
          <w:p w14:paraId="549A5908">
            <w:pPr>
              <w:pStyle w:val="199"/>
              <w:spacing w:line="400" w:lineRule="exact"/>
              <w:rPr>
                <w:rFonts w:ascii="宋体" w:hAnsi="宋体" w:eastAsia="宋体" w:cs="宋体"/>
                <w:color w:val="auto"/>
                <w:highlight w:val="none"/>
                <w:lang w:bidi="ar"/>
              </w:rPr>
            </w:pPr>
            <w:r>
              <w:rPr>
                <w:rFonts w:hint="eastAsia" w:ascii="宋体" w:hAnsi="宋体" w:eastAsia="宋体" w:cs="宋体"/>
                <w:color w:val="auto"/>
                <w:highlight w:val="none"/>
                <w:lang w:bidi="ar"/>
              </w:rPr>
              <w:t>投标人自2023年01月01日以来（以合同签订时间为准）同类合同业绩（以提供的合同复印件为准）：每提供1份合同业绩得0.5分，最高得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bidi="ar"/>
              </w:rPr>
              <w:t>分。</w:t>
            </w:r>
          </w:p>
          <w:p w14:paraId="0B11F05A">
            <w:pPr>
              <w:pStyle w:val="25"/>
              <w:spacing w:line="400" w:lineRule="exact"/>
              <w:ind w:firstLine="0" w:firstLineChars="0"/>
              <w:rPr>
                <w:color w:val="auto"/>
                <w:sz w:val="22"/>
                <w:szCs w:val="22"/>
                <w:highlight w:val="none"/>
              </w:rPr>
            </w:pPr>
            <w:r>
              <w:rPr>
                <w:rFonts w:hint="eastAsia" w:ascii="宋体" w:hAnsi="宋体" w:cs="宋体"/>
                <w:b/>
                <w:bCs/>
                <w:color w:val="auto"/>
                <w:sz w:val="22"/>
                <w:szCs w:val="22"/>
                <w:highlight w:val="none"/>
              </w:rPr>
              <w:t>需提供合同为证明材料，证明材料内需体现相关信息，否则不予认可</w:t>
            </w:r>
            <w:r>
              <w:rPr>
                <w:rFonts w:hint="eastAsia" w:ascii="宋体" w:hAnsi="宋体" w:cs="宋体"/>
                <w:color w:val="auto"/>
                <w:sz w:val="22"/>
                <w:szCs w:val="22"/>
                <w:highlight w:val="none"/>
              </w:rPr>
              <w:t>。</w:t>
            </w:r>
          </w:p>
        </w:tc>
      </w:tr>
      <w:tr w14:paraId="3780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1" w:type="dxa"/>
            <w:vMerge w:val="restart"/>
            <w:noWrap/>
            <w:vAlign w:val="center"/>
          </w:tcPr>
          <w:p w14:paraId="27C0B3EA">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896" w:type="dxa"/>
            <w:gridSpan w:val="2"/>
            <w:vMerge w:val="restart"/>
            <w:noWrap/>
            <w:vAlign w:val="center"/>
          </w:tcPr>
          <w:p w14:paraId="5F80A83F">
            <w:pPr>
              <w:spacing w:line="4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rPr>
              <w:t>理赔服务方案</w:t>
            </w:r>
            <w:r>
              <w:rPr>
                <w:rFonts w:hint="eastAsia" w:ascii="宋体" w:hAnsi="宋体" w:cs="宋体"/>
                <w:color w:val="000000"/>
                <w:sz w:val="22"/>
                <w:szCs w:val="22"/>
                <w:highlight w:val="none"/>
                <w:lang w:val="en-US" w:eastAsia="zh-CN"/>
              </w:rPr>
              <w:t>及响应程度</w:t>
            </w:r>
          </w:p>
        </w:tc>
        <w:tc>
          <w:tcPr>
            <w:tcW w:w="528" w:type="dxa"/>
            <w:noWrap/>
            <w:vAlign w:val="center"/>
          </w:tcPr>
          <w:p w14:paraId="2EF4A66D">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6816" w:type="dxa"/>
            <w:noWrap/>
            <w:vAlign w:val="center"/>
          </w:tcPr>
          <w:p w14:paraId="628032DA">
            <w:pPr>
              <w:pStyle w:val="199"/>
              <w:spacing w:line="400" w:lineRule="exact"/>
              <w:rPr>
                <w:rFonts w:ascii="宋体" w:hAnsi="宋体" w:cs="宋体"/>
                <w:color w:val="auto"/>
                <w:highlight w:val="none"/>
                <w:lang w:bidi="ar"/>
              </w:rPr>
            </w:pPr>
            <w:r>
              <w:rPr>
                <w:rFonts w:hint="eastAsia" w:ascii="宋体" w:hAnsi="宋体" w:eastAsia="宋体" w:cs="宋体"/>
                <w:color w:val="auto"/>
                <w:kern w:val="2"/>
                <w:sz w:val="22"/>
                <w:szCs w:val="22"/>
                <w:highlight w:val="none"/>
                <w:lang w:val="en-US" w:eastAsia="zh-CN" w:bidi="ar-SA"/>
              </w:rPr>
              <w:t>根据包括但不限于理赔服务需求响应速度、理赔时效程度、理赔流程方式、专项服务效率等内容进行评分</w:t>
            </w:r>
            <w:r>
              <w:rPr>
                <w:rFonts w:hint="eastAsia" w:ascii="宋体" w:hAnsi="宋体" w:eastAsia="宋体" w:cs="宋体"/>
                <w:color w:val="auto"/>
                <w:highlight w:val="none"/>
                <w:lang w:bidi="ar"/>
              </w:rPr>
              <w:t>，评标委员会综合量化评分</w:t>
            </w:r>
            <w:r>
              <w:rPr>
                <w:rFonts w:hint="eastAsia" w:ascii="宋体" w:hAnsi="宋体" w:eastAsia="宋体" w:cs="宋体"/>
                <w:color w:val="auto"/>
                <w:kern w:val="2"/>
                <w:sz w:val="22"/>
                <w:szCs w:val="22"/>
                <w:highlight w:val="none"/>
                <w:lang w:val="en-US" w:eastAsia="zh-CN" w:bidi="ar-SA"/>
              </w:rPr>
              <w:t>。</w:t>
            </w:r>
          </w:p>
          <w:p w14:paraId="4CEF2004">
            <w:pPr>
              <w:pStyle w:val="199"/>
              <w:spacing w:line="400" w:lineRule="exact"/>
              <w:rPr>
                <w:rFonts w:hint="eastAsia" w:ascii="宋体" w:hAnsi="宋体" w:cs="宋体"/>
                <w:color w:val="auto"/>
                <w:highlight w:val="none"/>
              </w:rPr>
            </w:pPr>
            <w:r>
              <w:rPr>
                <w:rFonts w:hint="eastAsia" w:ascii="宋体" w:hAnsi="宋体" w:cs="宋体"/>
                <w:color w:val="auto"/>
                <w:highlight w:val="none"/>
              </w:rPr>
              <w:t>A档：</w:t>
            </w:r>
            <w:r>
              <w:rPr>
                <w:rFonts w:hint="eastAsia" w:ascii="宋体" w:hAnsi="宋体" w:eastAsia="宋体" w:cs="宋体"/>
                <w:color w:val="auto"/>
                <w:highlight w:val="none"/>
                <w:lang w:val="en-US" w:eastAsia="zh-CN"/>
              </w:rPr>
              <w:t>5</w:t>
            </w:r>
            <w:r>
              <w:rPr>
                <w:rFonts w:hint="eastAsia" w:ascii="宋体" w:hAnsi="宋体" w:cs="宋体"/>
                <w:color w:val="auto"/>
                <w:highlight w:val="none"/>
              </w:rPr>
              <w:t>分；B档：</w:t>
            </w:r>
            <w:r>
              <w:rPr>
                <w:rFonts w:hint="eastAsia" w:ascii="宋体" w:hAnsi="宋体" w:eastAsia="宋体" w:cs="宋体"/>
                <w:color w:val="auto"/>
                <w:highlight w:val="none"/>
                <w:lang w:val="en-US" w:eastAsia="zh-CN"/>
              </w:rPr>
              <w:t>3</w:t>
            </w:r>
            <w:r>
              <w:rPr>
                <w:rFonts w:hint="eastAsia" w:ascii="宋体" w:hAnsi="宋体" w:cs="宋体"/>
                <w:color w:val="auto"/>
                <w:highlight w:val="none"/>
              </w:rPr>
              <w:t>分；C档：</w:t>
            </w:r>
            <w:r>
              <w:rPr>
                <w:rFonts w:hint="eastAsia" w:ascii="宋体" w:hAnsi="宋体" w:eastAsia="宋体" w:cs="宋体"/>
                <w:color w:val="auto"/>
                <w:highlight w:val="none"/>
                <w:lang w:val="en-US" w:eastAsia="zh-CN"/>
              </w:rPr>
              <w:t>2</w:t>
            </w:r>
            <w:r>
              <w:rPr>
                <w:rFonts w:hint="eastAsia" w:ascii="宋体" w:hAnsi="宋体" w:cs="宋体"/>
                <w:color w:val="auto"/>
                <w:highlight w:val="none"/>
              </w:rPr>
              <w:t>分；D档：</w:t>
            </w:r>
            <w:r>
              <w:rPr>
                <w:rFonts w:hint="eastAsia" w:ascii="宋体" w:hAnsi="宋体" w:eastAsia="宋体" w:cs="宋体"/>
                <w:color w:val="auto"/>
                <w:highlight w:val="none"/>
                <w:lang w:val="en-US" w:eastAsia="zh-CN"/>
              </w:rPr>
              <w:t>1</w:t>
            </w:r>
            <w:r>
              <w:rPr>
                <w:rFonts w:hint="eastAsia" w:ascii="宋体" w:hAnsi="宋体" w:cs="宋体"/>
                <w:color w:val="auto"/>
                <w:highlight w:val="none"/>
              </w:rPr>
              <w:t>分。未提供本项的不得分。</w:t>
            </w:r>
          </w:p>
          <w:p w14:paraId="5D072F02">
            <w:pPr>
              <w:pStyle w:val="199"/>
              <w:spacing w:line="400" w:lineRule="exact"/>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u w:val="single"/>
                <w:lang w:val="en-US" w:eastAsia="zh-CN"/>
              </w:rPr>
              <w:t>注：▲理赔服务方案里面不得出现赔偿金额，否则做无效标处理。</w:t>
            </w:r>
          </w:p>
        </w:tc>
      </w:tr>
      <w:tr w14:paraId="1FBC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41" w:type="dxa"/>
            <w:vMerge w:val="continue"/>
            <w:noWrap/>
            <w:vAlign w:val="center"/>
          </w:tcPr>
          <w:p w14:paraId="0933CCBD">
            <w:pPr>
              <w:spacing w:line="400" w:lineRule="exact"/>
              <w:jc w:val="center"/>
              <w:rPr>
                <w:rFonts w:hint="eastAsia" w:ascii="宋体" w:hAnsi="宋体"/>
                <w:color w:val="auto"/>
                <w:sz w:val="22"/>
                <w:szCs w:val="22"/>
                <w:highlight w:val="none"/>
              </w:rPr>
            </w:pPr>
          </w:p>
        </w:tc>
        <w:tc>
          <w:tcPr>
            <w:tcW w:w="1896" w:type="dxa"/>
            <w:gridSpan w:val="2"/>
            <w:vMerge w:val="continue"/>
            <w:noWrap/>
            <w:vAlign w:val="center"/>
          </w:tcPr>
          <w:p w14:paraId="79C6E8F2">
            <w:pPr>
              <w:spacing w:line="400" w:lineRule="exact"/>
              <w:jc w:val="center"/>
              <w:rPr>
                <w:rFonts w:hint="eastAsia" w:ascii="宋体" w:hAnsi="宋体" w:eastAsia="宋体" w:cs="宋体"/>
                <w:color w:val="000000"/>
                <w:sz w:val="22"/>
                <w:szCs w:val="22"/>
                <w:highlight w:val="none"/>
              </w:rPr>
            </w:pPr>
          </w:p>
        </w:tc>
        <w:tc>
          <w:tcPr>
            <w:tcW w:w="528" w:type="dxa"/>
            <w:noWrap/>
            <w:vAlign w:val="center"/>
          </w:tcPr>
          <w:p w14:paraId="3B980E24">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816" w:type="dxa"/>
            <w:noWrap/>
            <w:vAlign w:val="center"/>
          </w:tcPr>
          <w:p w14:paraId="45C4AFFC">
            <w:pPr>
              <w:pStyle w:val="199"/>
              <w:spacing w:line="400" w:lineRule="exact"/>
              <w:rPr>
                <w:rFonts w:ascii="宋体" w:hAnsi="宋体" w:cs="宋体"/>
                <w:color w:val="auto"/>
                <w:highlight w:val="none"/>
                <w:lang w:bidi="ar"/>
              </w:rPr>
            </w:pPr>
            <w:r>
              <w:rPr>
                <w:rFonts w:hint="eastAsia" w:ascii="宋体" w:hAnsi="宋体" w:eastAsia="宋体" w:cs="宋体"/>
                <w:color w:val="auto"/>
                <w:kern w:val="2"/>
                <w:sz w:val="22"/>
                <w:szCs w:val="22"/>
                <w:highlight w:val="none"/>
                <w:lang w:val="en-US" w:eastAsia="zh-CN" w:bidi="ar-SA"/>
              </w:rPr>
              <w:t>根据供应商提供针对本项目的完整理赔方案内容进行评分</w:t>
            </w:r>
            <w:r>
              <w:rPr>
                <w:rFonts w:hint="eastAsia" w:ascii="宋体" w:hAnsi="宋体" w:eastAsia="宋体" w:cs="宋体"/>
                <w:color w:val="auto"/>
                <w:highlight w:val="none"/>
                <w:lang w:bidi="ar"/>
              </w:rPr>
              <w:t>，评标委员会综合量化评分</w:t>
            </w:r>
            <w:r>
              <w:rPr>
                <w:rFonts w:hint="eastAsia" w:ascii="宋体" w:hAnsi="宋体" w:eastAsia="宋体" w:cs="宋体"/>
                <w:color w:val="auto"/>
                <w:kern w:val="2"/>
                <w:sz w:val="22"/>
                <w:szCs w:val="22"/>
                <w:highlight w:val="none"/>
                <w:lang w:val="en-US" w:eastAsia="zh-CN" w:bidi="ar-SA"/>
              </w:rPr>
              <w:t>。</w:t>
            </w:r>
          </w:p>
          <w:p w14:paraId="16693C11">
            <w:pPr>
              <w:pStyle w:val="199"/>
              <w:spacing w:line="400" w:lineRule="exact"/>
              <w:rPr>
                <w:rFonts w:hint="eastAsia" w:ascii="宋体" w:hAnsi="宋体" w:cs="宋体"/>
                <w:color w:val="auto"/>
                <w:highlight w:val="none"/>
              </w:rPr>
            </w:pPr>
            <w:r>
              <w:rPr>
                <w:rFonts w:hint="eastAsia" w:ascii="宋体" w:hAnsi="宋体" w:cs="宋体"/>
                <w:color w:val="auto"/>
                <w:highlight w:val="none"/>
              </w:rPr>
              <w:t>A档：</w:t>
            </w:r>
            <w:r>
              <w:rPr>
                <w:rFonts w:hint="eastAsia" w:ascii="宋体" w:hAnsi="宋体" w:eastAsia="宋体" w:cs="宋体"/>
                <w:color w:val="auto"/>
                <w:highlight w:val="none"/>
                <w:lang w:val="en-US" w:eastAsia="zh-CN"/>
              </w:rPr>
              <w:t>7</w:t>
            </w:r>
            <w:r>
              <w:rPr>
                <w:rFonts w:hint="eastAsia" w:ascii="宋体" w:hAnsi="宋体" w:cs="宋体"/>
                <w:color w:val="auto"/>
                <w:highlight w:val="none"/>
              </w:rPr>
              <w:t>分；B档：</w:t>
            </w:r>
            <w:r>
              <w:rPr>
                <w:rFonts w:hint="eastAsia" w:ascii="宋体" w:hAnsi="宋体" w:eastAsia="宋体" w:cs="宋体"/>
                <w:color w:val="auto"/>
                <w:highlight w:val="none"/>
                <w:lang w:val="en-US" w:eastAsia="zh-CN"/>
              </w:rPr>
              <w:t>5</w:t>
            </w:r>
            <w:r>
              <w:rPr>
                <w:rFonts w:hint="eastAsia" w:ascii="宋体" w:hAnsi="宋体" w:cs="宋体"/>
                <w:color w:val="auto"/>
                <w:highlight w:val="none"/>
              </w:rPr>
              <w:t>分；C档：</w:t>
            </w:r>
            <w:r>
              <w:rPr>
                <w:rFonts w:hint="eastAsia" w:ascii="宋体" w:hAnsi="宋体" w:eastAsia="宋体" w:cs="宋体"/>
                <w:color w:val="auto"/>
                <w:highlight w:val="none"/>
                <w:lang w:val="en-US" w:eastAsia="zh-CN"/>
              </w:rPr>
              <w:t>3</w:t>
            </w:r>
            <w:r>
              <w:rPr>
                <w:rFonts w:hint="eastAsia" w:ascii="宋体" w:hAnsi="宋体" w:cs="宋体"/>
                <w:color w:val="auto"/>
                <w:highlight w:val="none"/>
              </w:rPr>
              <w:t>分；D档：</w:t>
            </w:r>
            <w:r>
              <w:rPr>
                <w:rFonts w:hint="eastAsia" w:ascii="宋体" w:hAnsi="宋体" w:eastAsia="宋体" w:cs="宋体"/>
                <w:color w:val="auto"/>
                <w:highlight w:val="none"/>
                <w:lang w:val="en-US" w:eastAsia="zh-CN"/>
              </w:rPr>
              <w:t>1</w:t>
            </w:r>
            <w:r>
              <w:rPr>
                <w:rFonts w:hint="eastAsia" w:ascii="宋体" w:hAnsi="宋体" w:cs="宋体"/>
                <w:color w:val="auto"/>
                <w:highlight w:val="none"/>
              </w:rPr>
              <w:t>分。未提供本项的不得分。</w:t>
            </w:r>
          </w:p>
          <w:p w14:paraId="24679175">
            <w:pPr>
              <w:pStyle w:val="199"/>
              <w:spacing w:line="400" w:lineRule="exact"/>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注：▲理赔服务方案里面不得出现赔偿金额，否则做无效标处理。</w:t>
            </w:r>
          </w:p>
        </w:tc>
      </w:tr>
      <w:tr w14:paraId="7548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1" w:type="dxa"/>
            <w:vMerge w:val="restart"/>
            <w:noWrap/>
            <w:vAlign w:val="center"/>
          </w:tcPr>
          <w:p w14:paraId="3DA8E4D9">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897" w:type="dxa"/>
            <w:vMerge w:val="restart"/>
            <w:noWrap/>
            <w:vAlign w:val="center"/>
          </w:tcPr>
          <w:p w14:paraId="6AD6A58B">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项目团队</w:t>
            </w:r>
          </w:p>
        </w:tc>
        <w:tc>
          <w:tcPr>
            <w:tcW w:w="999" w:type="dxa"/>
            <w:noWrap/>
            <w:vAlign w:val="center"/>
          </w:tcPr>
          <w:p w14:paraId="2A952DCA">
            <w:pPr>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项目负责人</w:t>
            </w:r>
          </w:p>
        </w:tc>
        <w:tc>
          <w:tcPr>
            <w:tcW w:w="528" w:type="dxa"/>
            <w:noWrap/>
            <w:vAlign w:val="center"/>
          </w:tcPr>
          <w:p w14:paraId="2FC0B653">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6816" w:type="dxa"/>
            <w:noWrap/>
            <w:vAlign w:val="center"/>
          </w:tcPr>
          <w:p w14:paraId="3211BC96">
            <w:pPr>
              <w:pStyle w:val="199"/>
              <w:spacing w:line="288" w:lineRule="auto"/>
              <w:rPr>
                <w:rFonts w:ascii="宋体" w:hAnsi="宋体" w:eastAsia="宋体" w:cs="宋体"/>
                <w:color w:val="auto"/>
                <w:highlight w:val="none"/>
                <w:lang w:bidi="ar"/>
              </w:rPr>
            </w:pPr>
            <w:r>
              <w:rPr>
                <w:rFonts w:hint="eastAsia" w:ascii="宋体" w:hAnsi="宋体" w:eastAsia="宋体" w:cs="宋体"/>
                <w:color w:val="auto"/>
                <w:highlight w:val="none"/>
                <w:lang w:bidi="ar"/>
              </w:rPr>
              <w:t>具有项目统筹管理和领导经验，能全程负责本项目各项工作的组织、实施、统筹协调，保障项目利实施（根据响应投标人提供的项目负责人的相关的职业证书、工作年限、业绩、学历配置及获奖情况等进行评分），评标委员会综合量化评分</w:t>
            </w:r>
            <w:r>
              <w:rPr>
                <w:rFonts w:hint="eastAsia" w:ascii="宋体" w:hAnsi="宋体" w:cs="宋体"/>
                <w:color w:val="auto"/>
                <w:highlight w:val="none"/>
                <w:lang w:bidi="ar"/>
              </w:rPr>
              <w:t>。</w:t>
            </w:r>
            <w:r>
              <w:rPr>
                <w:rFonts w:hint="eastAsia" w:ascii="宋体" w:hAnsi="宋体" w:eastAsia="宋体" w:cs="宋体"/>
                <w:color w:val="auto"/>
                <w:highlight w:val="none"/>
                <w:lang w:bidi="ar"/>
              </w:rPr>
              <w:t>（需提供近三月内任一月的社保为证明材料，否则不予认可）</w:t>
            </w:r>
          </w:p>
          <w:p w14:paraId="066B821E">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分；D档：1分。未提供本项的不得分</w:t>
            </w:r>
            <w:r>
              <w:rPr>
                <w:rFonts w:hint="eastAsia" w:ascii="宋体" w:hAnsi="宋体" w:cs="宋体"/>
                <w:color w:val="auto"/>
                <w:szCs w:val="21"/>
                <w:highlight w:val="none"/>
              </w:rPr>
              <w:t>。</w:t>
            </w:r>
          </w:p>
        </w:tc>
      </w:tr>
      <w:tr w14:paraId="2763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1" w:type="dxa"/>
            <w:vMerge w:val="continue"/>
            <w:noWrap/>
            <w:vAlign w:val="center"/>
          </w:tcPr>
          <w:p w14:paraId="1132C41A">
            <w:pPr>
              <w:spacing w:line="400" w:lineRule="exact"/>
              <w:jc w:val="center"/>
              <w:rPr>
                <w:rFonts w:ascii="宋体" w:hAnsi="宋体" w:cs="宋体"/>
                <w:color w:val="auto"/>
                <w:sz w:val="22"/>
                <w:szCs w:val="22"/>
                <w:highlight w:val="none"/>
              </w:rPr>
            </w:pPr>
          </w:p>
        </w:tc>
        <w:tc>
          <w:tcPr>
            <w:tcW w:w="897" w:type="dxa"/>
            <w:vMerge w:val="continue"/>
            <w:noWrap/>
            <w:vAlign w:val="center"/>
          </w:tcPr>
          <w:p w14:paraId="62C47379">
            <w:pPr>
              <w:spacing w:line="400" w:lineRule="exact"/>
              <w:jc w:val="center"/>
              <w:rPr>
                <w:rFonts w:ascii="宋体" w:hAnsi="宋体" w:cs="宋体"/>
                <w:color w:val="auto"/>
                <w:sz w:val="22"/>
                <w:szCs w:val="22"/>
                <w:highlight w:val="none"/>
              </w:rPr>
            </w:pPr>
          </w:p>
        </w:tc>
        <w:tc>
          <w:tcPr>
            <w:tcW w:w="999" w:type="dxa"/>
            <w:noWrap/>
            <w:vAlign w:val="center"/>
          </w:tcPr>
          <w:p w14:paraId="1295692C">
            <w:pPr>
              <w:spacing w:line="400" w:lineRule="exact"/>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其他人员情况</w:t>
            </w:r>
          </w:p>
        </w:tc>
        <w:tc>
          <w:tcPr>
            <w:tcW w:w="528" w:type="dxa"/>
            <w:noWrap/>
            <w:vAlign w:val="center"/>
          </w:tcPr>
          <w:p w14:paraId="46E398EF">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6816" w:type="dxa"/>
            <w:noWrap/>
            <w:vAlign w:val="center"/>
          </w:tcPr>
          <w:p w14:paraId="0E801644">
            <w:pPr>
              <w:pStyle w:val="199"/>
              <w:spacing w:line="288" w:lineRule="auto"/>
              <w:rPr>
                <w:rFonts w:ascii="宋体" w:hAnsi="宋体" w:eastAsia="宋体" w:cs="宋体"/>
                <w:color w:val="auto"/>
                <w:highlight w:val="none"/>
                <w:lang w:bidi="ar"/>
              </w:rPr>
            </w:pPr>
            <w:r>
              <w:rPr>
                <w:rFonts w:hint="eastAsia" w:ascii="宋体" w:hAnsi="宋体" w:cs="宋体"/>
                <w:color w:val="auto"/>
                <w:highlight w:val="none"/>
                <w:lang w:bidi="ar"/>
              </w:rPr>
              <w:t>根据拟项目组人员学历、与本项目相关证书、同类项目的工作经验及团队组织架构等方面进行评分（需提供服务名单人员、分工、类似项目经验等）。</w:t>
            </w:r>
            <w:r>
              <w:rPr>
                <w:rFonts w:hint="eastAsia" w:ascii="宋体" w:hAnsi="宋体" w:eastAsia="宋体" w:cs="宋体"/>
                <w:color w:val="auto"/>
                <w:highlight w:val="none"/>
                <w:lang w:bidi="ar"/>
              </w:rPr>
              <w:t>（需提供近三月内任一月的社保为证明材料，否则不予认可）</w:t>
            </w:r>
          </w:p>
          <w:p w14:paraId="43A0B344">
            <w:pPr>
              <w:widowControl/>
              <w:spacing w:line="400" w:lineRule="exact"/>
              <w:jc w:val="left"/>
              <w:rPr>
                <w:rFonts w:ascii="宋体" w:hAnsi="宋体" w:cs="宋体"/>
                <w:color w:val="auto"/>
                <w:kern w:val="0"/>
                <w:sz w:val="22"/>
                <w:szCs w:val="22"/>
                <w:highlight w:val="none"/>
                <w:lang w:bidi="ar"/>
              </w:rPr>
            </w:pP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分。未提供本项的不得分</w:t>
            </w:r>
            <w:r>
              <w:rPr>
                <w:rFonts w:hint="eastAsia" w:ascii="宋体" w:hAnsi="宋体" w:cs="宋体"/>
                <w:color w:val="auto"/>
                <w:szCs w:val="21"/>
                <w:highlight w:val="none"/>
              </w:rPr>
              <w:t>。</w:t>
            </w:r>
          </w:p>
        </w:tc>
      </w:tr>
      <w:tr w14:paraId="0A92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noWrap/>
            <w:vAlign w:val="center"/>
          </w:tcPr>
          <w:p w14:paraId="186046A8">
            <w:pPr>
              <w:spacing w:line="400" w:lineRule="exac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1896" w:type="dxa"/>
            <w:gridSpan w:val="2"/>
            <w:noWrap/>
            <w:vAlign w:val="center"/>
          </w:tcPr>
          <w:p w14:paraId="6DF925DC">
            <w:pPr>
              <w:spacing w:line="400" w:lineRule="exact"/>
              <w:jc w:val="center"/>
              <w:rPr>
                <w:rFonts w:hint="eastAsia" w:ascii="宋体" w:hAnsi="宋体"/>
                <w:color w:val="auto"/>
                <w:sz w:val="22"/>
                <w:szCs w:val="22"/>
                <w:highlight w:val="none"/>
              </w:rPr>
            </w:pPr>
            <w:r>
              <w:rPr>
                <w:rFonts w:hint="eastAsia" w:ascii="新宋体" w:hAnsi="新宋体" w:eastAsia="新宋体" w:cs="新宋体"/>
                <w:b w:val="0"/>
                <w:bCs/>
                <w:color w:val="auto"/>
                <w:sz w:val="22"/>
                <w:szCs w:val="22"/>
                <w:highlight w:val="none"/>
              </w:rPr>
              <w:t>偿付能力充足率</w:t>
            </w:r>
          </w:p>
        </w:tc>
        <w:tc>
          <w:tcPr>
            <w:tcW w:w="528" w:type="dxa"/>
            <w:noWrap/>
            <w:vAlign w:val="center"/>
          </w:tcPr>
          <w:p w14:paraId="7F0F9AC2">
            <w:pPr>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816" w:type="dxa"/>
            <w:noWrap/>
            <w:vAlign w:val="center"/>
          </w:tcPr>
          <w:p w14:paraId="47286796">
            <w:pPr>
              <w:spacing w:line="400" w:lineRule="exact"/>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val="en-US" w:eastAsia="zh-CN"/>
              </w:rPr>
              <w:t>投标人</w:t>
            </w:r>
            <w:r>
              <w:rPr>
                <w:rFonts w:hint="eastAsia" w:ascii="宋体" w:hAnsi="宋体" w:eastAsia="宋体" w:cs="宋体"/>
                <w:color w:val="000000"/>
                <w:sz w:val="22"/>
                <w:szCs w:val="22"/>
                <w:highlight w:val="none"/>
                <w:lang w:eastAsia="zh-CN"/>
              </w:rPr>
              <w:t>202</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年度末综合偿付能力充足率：202</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年度末综合偿付能力充足率</w:t>
            </w:r>
            <w:r>
              <w:rPr>
                <w:rFonts w:hint="eastAsia" w:ascii="宋体" w:hAnsi="宋体" w:eastAsia="宋体" w:cs="宋体"/>
                <w:color w:val="000000"/>
                <w:sz w:val="22"/>
                <w:szCs w:val="22"/>
                <w:highlight w:val="none"/>
                <w:lang w:val="en-US" w:eastAsia="zh-CN"/>
              </w:rPr>
              <w:t>300</w:t>
            </w:r>
            <w:r>
              <w:rPr>
                <w:rFonts w:hint="eastAsia" w:ascii="宋体" w:hAnsi="宋体" w:eastAsia="宋体" w:cs="宋体"/>
                <w:color w:val="000000"/>
                <w:sz w:val="22"/>
                <w:szCs w:val="22"/>
                <w:highlight w:val="none"/>
                <w:lang w:eastAsia="zh-CN"/>
              </w:rPr>
              <w:t>%（含）以上得</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lang w:eastAsia="zh-CN"/>
              </w:rPr>
              <w:t>分；200%（含）—300%的得</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分；100%（含）—200%的得</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分；100%以下的不得分。</w:t>
            </w:r>
          </w:p>
          <w:p w14:paraId="31FF4835">
            <w:pPr>
              <w:spacing w:line="400" w:lineRule="exact"/>
              <w:jc w:val="left"/>
              <w:rPr>
                <w:rFonts w:hint="eastAsia" w:ascii="宋体" w:hAnsi="宋体" w:cs="宋体"/>
                <w:color w:val="auto"/>
                <w:sz w:val="22"/>
                <w:szCs w:val="22"/>
                <w:highlight w:val="none"/>
              </w:rPr>
            </w:pPr>
            <w:r>
              <w:rPr>
                <w:rFonts w:hint="eastAsia" w:ascii="宋体" w:hAnsi="宋体" w:eastAsia="宋体" w:cs="宋体"/>
                <w:b/>
                <w:bCs/>
                <w:color w:val="000000"/>
                <w:sz w:val="22"/>
                <w:szCs w:val="22"/>
                <w:highlight w:val="none"/>
                <w:lang w:eastAsia="zh-CN"/>
              </w:rPr>
              <w:t>注:以投标人提供的投标人所属总公司第三方审计报告(含第三方审计单位公章)的综合偿付能力关键页为评审依据,否则不得分。</w:t>
            </w:r>
          </w:p>
        </w:tc>
      </w:tr>
      <w:tr w14:paraId="2E3F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vMerge w:val="restart"/>
            <w:noWrap/>
            <w:vAlign w:val="center"/>
          </w:tcPr>
          <w:p w14:paraId="57B2D1F5">
            <w:pPr>
              <w:spacing w:line="4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1896" w:type="dxa"/>
            <w:gridSpan w:val="2"/>
            <w:vMerge w:val="restart"/>
            <w:noWrap/>
            <w:vAlign w:val="center"/>
          </w:tcPr>
          <w:p w14:paraId="14A325CF">
            <w:pPr>
              <w:spacing w:line="40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普通案件处理和疑难案件沟通</w:t>
            </w:r>
          </w:p>
        </w:tc>
        <w:tc>
          <w:tcPr>
            <w:tcW w:w="528" w:type="dxa"/>
            <w:noWrap/>
            <w:vAlign w:val="center"/>
          </w:tcPr>
          <w:p w14:paraId="6CF07078">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816" w:type="dxa"/>
            <w:noWrap/>
            <w:vAlign w:val="center"/>
          </w:tcPr>
          <w:p w14:paraId="71AB94B5">
            <w:pPr>
              <w:widowControl/>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针对普通案件的处理方案，其时效性，可操作性和合理性进行打分，并结合本项目提出针对性的意见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评标委员会综合量化评分。</w:t>
            </w:r>
          </w:p>
          <w:p w14:paraId="7A226307">
            <w:pPr>
              <w:widowControl/>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A档：</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分；B档：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分；C档：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分；D档：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分。未提供本项的不得分。</w:t>
            </w:r>
          </w:p>
        </w:tc>
      </w:tr>
      <w:tr w14:paraId="70B9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vMerge w:val="continue"/>
            <w:noWrap/>
            <w:vAlign w:val="center"/>
          </w:tcPr>
          <w:p w14:paraId="6D6446AA">
            <w:pPr>
              <w:spacing w:line="400" w:lineRule="exact"/>
              <w:jc w:val="center"/>
              <w:rPr>
                <w:rFonts w:hint="eastAsia" w:ascii="宋体" w:hAnsi="宋体"/>
                <w:color w:val="auto"/>
                <w:sz w:val="22"/>
                <w:szCs w:val="22"/>
                <w:highlight w:val="none"/>
                <w:lang w:val="en-US" w:eastAsia="zh-CN"/>
              </w:rPr>
            </w:pPr>
          </w:p>
        </w:tc>
        <w:tc>
          <w:tcPr>
            <w:tcW w:w="1896" w:type="dxa"/>
            <w:gridSpan w:val="2"/>
            <w:vMerge w:val="continue"/>
            <w:noWrap/>
            <w:vAlign w:val="center"/>
          </w:tcPr>
          <w:p w14:paraId="560B0FEA">
            <w:pPr>
              <w:spacing w:line="400" w:lineRule="exact"/>
              <w:jc w:val="center"/>
              <w:rPr>
                <w:rFonts w:hint="eastAsia" w:ascii="新宋体" w:hAnsi="新宋体" w:eastAsia="新宋体" w:cs="新宋体"/>
                <w:b w:val="0"/>
                <w:bCs/>
                <w:color w:val="auto"/>
                <w:sz w:val="22"/>
                <w:szCs w:val="22"/>
                <w:highlight w:val="none"/>
              </w:rPr>
            </w:pPr>
          </w:p>
        </w:tc>
        <w:tc>
          <w:tcPr>
            <w:tcW w:w="528" w:type="dxa"/>
            <w:noWrap/>
            <w:vAlign w:val="center"/>
          </w:tcPr>
          <w:p w14:paraId="5636E8BE">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816" w:type="dxa"/>
            <w:noWrap/>
            <w:vAlign w:val="center"/>
          </w:tcPr>
          <w:p w14:paraId="2BAD7BEB">
            <w:pPr>
              <w:widowControl/>
              <w:spacing w:line="4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建立疑难案件、特殊意义案件、责任不明案件、无责案件等案件的方案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评标委员会综合量化评分</w:t>
            </w:r>
            <w:r>
              <w:rPr>
                <w:rFonts w:hint="eastAsia" w:ascii="宋体" w:hAnsi="宋体" w:eastAsia="宋体" w:cs="宋体"/>
                <w:color w:val="auto"/>
                <w:sz w:val="22"/>
                <w:szCs w:val="22"/>
                <w:highlight w:val="none"/>
                <w:lang w:eastAsia="zh-CN"/>
              </w:rPr>
              <w:t>。</w:t>
            </w:r>
          </w:p>
          <w:p w14:paraId="604F443D">
            <w:pPr>
              <w:widowControl/>
              <w:spacing w:line="40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A档：</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分；B档：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分；C档：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分；D档：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分。未提供本项的不得分。。</w:t>
            </w:r>
          </w:p>
        </w:tc>
      </w:tr>
      <w:tr w14:paraId="1C10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noWrap/>
            <w:vAlign w:val="center"/>
          </w:tcPr>
          <w:p w14:paraId="51CDA1B0">
            <w:pPr>
              <w:spacing w:line="4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896" w:type="dxa"/>
            <w:gridSpan w:val="2"/>
            <w:noWrap/>
            <w:vAlign w:val="center"/>
          </w:tcPr>
          <w:p w14:paraId="46BA2538">
            <w:pPr>
              <w:spacing w:line="400" w:lineRule="exact"/>
              <w:jc w:val="center"/>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kern w:val="0"/>
                <w:sz w:val="22"/>
                <w:szCs w:val="22"/>
                <w:highlight w:val="none"/>
              </w:rPr>
              <w:t>服务保障方案</w:t>
            </w:r>
          </w:p>
        </w:tc>
        <w:tc>
          <w:tcPr>
            <w:tcW w:w="528" w:type="dxa"/>
            <w:noWrap/>
            <w:vAlign w:val="center"/>
          </w:tcPr>
          <w:p w14:paraId="78EB932B">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816" w:type="dxa"/>
            <w:noWrap/>
            <w:vAlign w:val="center"/>
          </w:tcPr>
          <w:p w14:paraId="589D025B">
            <w:pPr>
              <w:pStyle w:val="199"/>
              <w:spacing w:line="400" w:lineRule="exact"/>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根据</w:t>
            </w:r>
            <w:r>
              <w:rPr>
                <w:rFonts w:hint="eastAsia" w:ascii="新宋体" w:hAnsi="新宋体" w:eastAsia="新宋体" w:cs="新宋体"/>
                <w:b w:val="0"/>
                <w:bCs/>
                <w:color w:val="auto"/>
                <w:kern w:val="0"/>
                <w:sz w:val="22"/>
                <w:szCs w:val="22"/>
                <w:highlight w:val="none"/>
                <w:lang w:val="en-US" w:eastAsia="zh-CN"/>
              </w:rPr>
              <w:t>投标人的</w:t>
            </w:r>
            <w:r>
              <w:rPr>
                <w:rFonts w:hint="eastAsia" w:ascii="新宋体" w:hAnsi="新宋体" w:eastAsia="新宋体" w:cs="新宋体"/>
                <w:b w:val="0"/>
                <w:bCs/>
                <w:color w:val="auto"/>
                <w:kern w:val="0"/>
                <w:sz w:val="22"/>
                <w:szCs w:val="22"/>
                <w:highlight w:val="none"/>
              </w:rPr>
              <w:t>服务保障方案</w:t>
            </w:r>
            <w:r>
              <w:rPr>
                <w:rFonts w:hint="eastAsia" w:ascii="新宋体" w:hAnsi="新宋体" w:eastAsia="新宋体" w:cs="新宋体"/>
                <w:b w:val="0"/>
                <w:bCs/>
                <w:color w:val="auto"/>
                <w:kern w:val="0"/>
                <w:sz w:val="22"/>
                <w:szCs w:val="22"/>
                <w:highlight w:val="none"/>
                <w:lang w:eastAsia="zh-CN"/>
              </w:rPr>
              <w:t>（</w:t>
            </w:r>
            <w:r>
              <w:rPr>
                <w:rFonts w:hint="eastAsia" w:ascii="新宋体" w:hAnsi="新宋体" w:eastAsia="新宋体" w:cs="新宋体"/>
                <w:b w:val="0"/>
                <w:bCs/>
                <w:color w:val="auto"/>
                <w:kern w:val="0"/>
                <w:sz w:val="22"/>
                <w:szCs w:val="22"/>
                <w:highlight w:val="none"/>
              </w:rPr>
              <w:t>机构落实、人员落实、查勘设施落实、责任落实等</w:t>
            </w:r>
            <w:r>
              <w:rPr>
                <w:rFonts w:hint="eastAsia" w:ascii="新宋体" w:hAnsi="新宋体" w:eastAsia="新宋体" w:cs="新宋体"/>
                <w:b w:val="0"/>
                <w:bCs/>
                <w:color w:val="auto"/>
                <w:kern w:val="0"/>
                <w:sz w:val="22"/>
                <w:szCs w:val="22"/>
                <w:highlight w:val="none"/>
                <w:lang w:eastAsia="zh-CN"/>
              </w:rPr>
              <w:t>）</w:t>
            </w:r>
            <w:r>
              <w:rPr>
                <w:rFonts w:hint="eastAsia" w:ascii="新宋体" w:hAnsi="新宋体" w:eastAsia="新宋体" w:cs="新宋体"/>
                <w:b w:val="0"/>
                <w:bCs/>
                <w:color w:val="auto"/>
                <w:kern w:val="0"/>
                <w:sz w:val="22"/>
                <w:szCs w:val="22"/>
                <w:highlight w:val="none"/>
              </w:rPr>
              <w:t>的合理性、严谨性、完整性，评标委员会综合量化评分</w:t>
            </w:r>
            <w:r>
              <w:rPr>
                <w:rFonts w:hint="eastAsia" w:ascii="新宋体" w:hAnsi="新宋体" w:eastAsia="新宋体" w:cs="新宋体"/>
                <w:b w:val="0"/>
                <w:bCs/>
                <w:color w:val="auto"/>
                <w:kern w:val="0"/>
                <w:sz w:val="22"/>
                <w:szCs w:val="22"/>
                <w:highlight w:val="none"/>
                <w:lang w:val="en-US" w:eastAsia="zh-CN"/>
              </w:rPr>
              <w:t>。</w:t>
            </w:r>
          </w:p>
          <w:p w14:paraId="5FD73863">
            <w:pPr>
              <w:pStyle w:val="199"/>
              <w:spacing w:line="400" w:lineRule="exact"/>
              <w:rPr>
                <w:rFonts w:hint="eastAsia" w:ascii="新宋体" w:hAnsi="新宋体" w:eastAsia="新宋体" w:cs="新宋体"/>
                <w:b w:val="0"/>
                <w:bCs/>
                <w:color w:val="auto"/>
                <w:kern w:val="0"/>
                <w:sz w:val="22"/>
                <w:szCs w:val="22"/>
                <w:highlight w:val="none"/>
                <w:lang w:val="en-US" w:eastAsia="zh-CN"/>
              </w:rPr>
            </w:pPr>
            <w:r>
              <w:rPr>
                <w:rFonts w:hint="eastAsia" w:ascii="新宋体" w:hAnsi="新宋体" w:eastAsia="新宋体" w:cs="新宋体"/>
                <w:b w:val="0"/>
                <w:bCs/>
                <w:color w:val="auto"/>
                <w:kern w:val="0"/>
                <w:sz w:val="22"/>
                <w:szCs w:val="22"/>
                <w:highlight w:val="none"/>
              </w:rPr>
              <w:t>A档：</w:t>
            </w:r>
            <w:r>
              <w:rPr>
                <w:rFonts w:hint="eastAsia" w:ascii="新宋体" w:hAnsi="新宋体" w:eastAsia="新宋体" w:cs="新宋体"/>
                <w:b w:val="0"/>
                <w:bCs/>
                <w:color w:val="auto"/>
                <w:kern w:val="0"/>
                <w:sz w:val="22"/>
                <w:szCs w:val="22"/>
                <w:highlight w:val="none"/>
                <w:lang w:val="en-US" w:eastAsia="zh-CN"/>
              </w:rPr>
              <w:t>7</w:t>
            </w:r>
            <w:r>
              <w:rPr>
                <w:rFonts w:hint="eastAsia" w:ascii="新宋体" w:hAnsi="新宋体" w:eastAsia="新宋体" w:cs="新宋体"/>
                <w:b w:val="0"/>
                <w:bCs/>
                <w:color w:val="auto"/>
                <w:kern w:val="0"/>
                <w:sz w:val="22"/>
                <w:szCs w:val="22"/>
                <w:highlight w:val="none"/>
              </w:rPr>
              <w:t>分；B档：</w:t>
            </w:r>
            <w:r>
              <w:rPr>
                <w:rFonts w:hint="eastAsia" w:ascii="新宋体" w:hAnsi="新宋体" w:eastAsia="新宋体" w:cs="新宋体"/>
                <w:b w:val="0"/>
                <w:bCs/>
                <w:color w:val="auto"/>
                <w:kern w:val="0"/>
                <w:sz w:val="22"/>
                <w:szCs w:val="22"/>
                <w:highlight w:val="none"/>
                <w:lang w:val="en-US" w:eastAsia="zh-CN"/>
              </w:rPr>
              <w:t>5</w:t>
            </w:r>
            <w:r>
              <w:rPr>
                <w:rFonts w:hint="eastAsia" w:ascii="新宋体" w:hAnsi="新宋体" w:eastAsia="新宋体" w:cs="新宋体"/>
                <w:b w:val="0"/>
                <w:bCs/>
                <w:color w:val="auto"/>
                <w:kern w:val="0"/>
                <w:sz w:val="22"/>
                <w:szCs w:val="22"/>
                <w:highlight w:val="none"/>
              </w:rPr>
              <w:t>分；C档：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分；D档：1分。未提供本项的不得分。</w:t>
            </w:r>
          </w:p>
        </w:tc>
      </w:tr>
      <w:tr w14:paraId="2A50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vMerge w:val="restart"/>
            <w:noWrap/>
            <w:vAlign w:val="center"/>
          </w:tcPr>
          <w:p w14:paraId="28D66EED">
            <w:pPr>
              <w:spacing w:line="4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7</w:t>
            </w:r>
          </w:p>
        </w:tc>
        <w:tc>
          <w:tcPr>
            <w:tcW w:w="1896" w:type="dxa"/>
            <w:gridSpan w:val="2"/>
            <w:vMerge w:val="restart"/>
            <w:noWrap/>
            <w:vAlign w:val="center"/>
          </w:tcPr>
          <w:p w14:paraId="6E2BB583">
            <w:pPr>
              <w:spacing w:line="400" w:lineRule="exact"/>
              <w:jc w:val="center"/>
              <w:rPr>
                <w:rFonts w:hint="default" w:ascii="新宋体" w:hAnsi="新宋体" w:eastAsia="新宋体" w:cs="新宋体"/>
                <w:b w:val="0"/>
                <w:bCs/>
                <w:color w:val="auto"/>
                <w:kern w:val="0"/>
                <w:sz w:val="22"/>
                <w:szCs w:val="22"/>
                <w:highlight w:val="none"/>
                <w:lang w:val="en-US" w:eastAsia="zh-CN"/>
              </w:rPr>
            </w:pPr>
            <w:r>
              <w:rPr>
                <w:rFonts w:hint="eastAsia" w:ascii="新宋体" w:hAnsi="新宋体" w:eastAsia="新宋体" w:cs="新宋体"/>
                <w:b w:val="0"/>
                <w:bCs/>
                <w:color w:val="auto"/>
                <w:kern w:val="0"/>
                <w:sz w:val="22"/>
                <w:szCs w:val="22"/>
                <w:highlight w:val="none"/>
                <w:lang w:val="en-US" w:eastAsia="zh-CN"/>
              </w:rPr>
              <w:t>校园风险管理服务方案</w:t>
            </w:r>
          </w:p>
        </w:tc>
        <w:tc>
          <w:tcPr>
            <w:tcW w:w="528" w:type="dxa"/>
            <w:noWrap/>
            <w:vAlign w:val="center"/>
          </w:tcPr>
          <w:p w14:paraId="5D305875">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816" w:type="dxa"/>
            <w:noWrap/>
            <w:vAlign w:val="center"/>
          </w:tcPr>
          <w:p w14:paraId="6E55F67C">
            <w:pPr>
              <w:pStyle w:val="199"/>
              <w:spacing w:line="400" w:lineRule="exact"/>
              <w:rPr>
                <w:rFonts w:hint="eastAsia" w:ascii="新宋体" w:hAnsi="新宋体" w:eastAsia="新宋体" w:cs="新宋体"/>
                <w:b w:val="0"/>
                <w:bCs/>
                <w:color w:val="auto"/>
                <w:kern w:val="0"/>
                <w:sz w:val="22"/>
                <w:szCs w:val="22"/>
                <w:highlight w:val="none"/>
              </w:rPr>
            </w:pPr>
            <w:r>
              <w:rPr>
                <w:rFonts w:hint="eastAsia"/>
                <w:color w:val="auto"/>
                <w:sz w:val="22"/>
                <w:szCs w:val="22"/>
                <w:highlight w:val="none"/>
              </w:rPr>
              <w:t>根据</w:t>
            </w:r>
            <w:r>
              <w:rPr>
                <w:rFonts w:hint="eastAsia" w:eastAsia="宋体"/>
                <w:color w:val="auto"/>
                <w:sz w:val="22"/>
                <w:szCs w:val="22"/>
                <w:highlight w:val="none"/>
                <w:lang w:val="en-US" w:eastAsia="zh-CN"/>
              </w:rPr>
              <w:t>投标人报案的效率、事故的处理程度等内容</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val="en-US" w:eastAsia="zh-CN"/>
              </w:rPr>
              <w:t>。</w:t>
            </w:r>
          </w:p>
          <w:p w14:paraId="2C4D570C">
            <w:pPr>
              <w:pStyle w:val="199"/>
              <w:spacing w:line="400" w:lineRule="exact"/>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A档：5分；B档：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分；C档：2分；D档：1分。未提供本项的不得分。</w:t>
            </w:r>
          </w:p>
        </w:tc>
      </w:tr>
      <w:tr w14:paraId="72F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vMerge w:val="continue"/>
            <w:noWrap/>
            <w:vAlign w:val="center"/>
          </w:tcPr>
          <w:p w14:paraId="3F54DC72">
            <w:pPr>
              <w:spacing w:line="400" w:lineRule="exact"/>
              <w:jc w:val="center"/>
              <w:rPr>
                <w:rFonts w:hint="eastAsia" w:ascii="宋体" w:hAnsi="宋体"/>
                <w:color w:val="auto"/>
                <w:sz w:val="22"/>
                <w:szCs w:val="22"/>
                <w:highlight w:val="none"/>
                <w:lang w:val="en-US" w:eastAsia="zh-CN"/>
              </w:rPr>
            </w:pPr>
          </w:p>
        </w:tc>
        <w:tc>
          <w:tcPr>
            <w:tcW w:w="1896" w:type="dxa"/>
            <w:gridSpan w:val="2"/>
            <w:vMerge w:val="continue"/>
            <w:noWrap/>
            <w:vAlign w:val="center"/>
          </w:tcPr>
          <w:p w14:paraId="73E49B57">
            <w:pPr>
              <w:spacing w:line="400" w:lineRule="exact"/>
              <w:jc w:val="center"/>
              <w:rPr>
                <w:rFonts w:hint="eastAsia" w:ascii="新宋体" w:hAnsi="新宋体" w:eastAsia="新宋体" w:cs="新宋体"/>
                <w:b w:val="0"/>
                <w:bCs/>
                <w:color w:val="auto"/>
                <w:kern w:val="0"/>
                <w:sz w:val="22"/>
                <w:szCs w:val="22"/>
                <w:highlight w:val="none"/>
              </w:rPr>
            </w:pPr>
          </w:p>
        </w:tc>
        <w:tc>
          <w:tcPr>
            <w:tcW w:w="528" w:type="dxa"/>
            <w:noWrap/>
            <w:vAlign w:val="center"/>
          </w:tcPr>
          <w:p w14:paraId="42EB1506">
            <w:pPr>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816" w:type="dxa"/>
            <w:noWrap/>
            <w:vAlign w:val="center"/>
          </w:tcPr>
          <w:p w14:paraId="67950C8E">
            <w:pPr>
              <w:pStyle w:val="199"/>
              <w:spacing w:line="400" w:lineRule="exact"/>
              <w:rPr>
                <w:rFonts w:hint="eastAsia" w:ascii="新宋体" w:hAnsi="新宋体" w:eastAsia="新宋体" w:cs="新宋体"/>
                <w:b w:val="0"/>
                <w:bCs/>
                <w:color w:val="auto"/>
                <w:kern w:val="0"/>
                <w:sz w:val="22"/>
                <w:szCs w:val="22"/>
                <w:highlight w:val="none"/>
              </w:rPr>
            </w:pPr>
            <w:r>
              <w:rPr>
                <w:rFonts w:hint="eastAsia"/>
                <w:color w:val="auto"/>
                <w:sz w:val="22"/>
                <w:szCs w:val="22"/>
                <w:highlight w:val="none"/>
              </w:rPr>
              <w:t>根据</w:t>
            </w:r>
            <w:r>
              <w:rPr>
                <w:rFonts w:hint="eastAsia"/>
                <w:color w:val="auto"/>
                <w:sz w:val="22"/>
                <w:szCs w:val="22"/>
                <w:highlight w:val="none"/>
                <w:lang w:eastAsia="zh-CN"/>
              </w:rPr>
              <w:t>投标人</w:t>
            </w:r>
            <w:r>
              <w:rPr>
                <w:rFonts w:hint="eastAsia"/>
                <w:color w:val="auto"/>
                <w:sz w:val="22"/>
                <w:szCs w:val="22"/>
                <w:highlight w:val="none"/>
                <w:lang w:val="en-US" w:eastAsia="zh-CN"/>
              </w:rPr>
              <w:t>制定的切实可行的日常服务计划，含校方责任保险和学生团体意外险的宣传、培训、风险探讨、保险事故案例分析会等内容</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val="en-US" w:eastAsia="zh-CN"/>
              </w:rPr>
              <w:t>。</w:t>
            </w:r>
          </w:p>
          <w:p w14:paraId="092E0C70">
            <w:pPr>
              <w:pStyle w:val="199"/>
              <w:spacing w:line="400" w:lineRule="exact"/>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A档：5分；B档：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分；C档：2分；D档：1分。未提供本项的不得分。</w:t>
            </w:r>
          </w:p>
        </w:tc>
      </w:tr>
      <w:tr w14:paraId="46B6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noWrap/>
            <w:vAlign w:val="center"/>
          </w:tcPr>
          <w:p w14:paraId="2CFEA6AF">
            <w:pPr>
              <w:spacing w:line="4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1896" w:type="dxa"/>
            <w:gridSpan w:val="2"/>
            <w:noWrap/>
            <w:vAlign w:val="center"/>
          </w:tcPr>
          <w:p w14:paraId="78E3BD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lang w:val="en-US" w:eastAsia="zh-CN"/>
              </w:rPr>
              <w:t>定制服务</w:t>
            </w:r>
          </w:p>
        </w:tc>
        <w:tc>
          <w:tcPr>
            <w:tcW w:w="528" w:type="dxa"/>
            <w:noWrap/>
            <w:vAlign w:val="center"/>
          </w:tcPr>
          <w:p w14:paraId="44F299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kern w:val="2"/>
                <w:sz w:val="22"/>
                <w:szCs w:val="22"/>
                <w:highlight w:val="none"/>
                <w:lang w:val="en-US" w:eastAsia="zh-CN" w:bidi="ar-SA"/>
              </w:rPr>
              <w:t>6</w:t>
            </w:r>
          </w:p>
        </w:tc>
        <w:tc>
          <w:tcPr>
            <w:tcW w:w="6816" w:type="dxa"/>
            <w:noWrap/>
            <w:vAlign w:val="center"/>
          </w:tcPr>
          <w:p w14:paraId="766B7FC1">
            <w:pPr>
              <w:pStyle w:val="199"/>
              <w:spacing w:line="400" w:lineRule="exact"/>
              <w:rPr>
                <w:rFonts w:hint="eastAsia" w:ascii="新宋体" w:hAnsi="新宋体" w:eastAsia="新宋体" w:cs="新宋体"/>
                <w:b w:val="0"/>
                <w:bCs/>
                <w:color w:val="auto"/>
                <w:kern w:val="0"/>
                <w:sz w:val="22"/>
                <w:szCs w:val="22"/>
                <w:highlight w:val="none"/>
                <w:lang w:eastAsia="zh-CN"/>
              </w:rPr>
            </w:pPr>
            <w:r>
              <w:rPr>
                <w:rFonts w:hint="eastAsia" w:ascii="新宋体" w:hAnsi="新宋体" w:eastAsia="新宋体" w:cs="新宋体"/>
                <w:color w:val="auto"/>
                <w:kern w:val="0"/>
                <w:sz w:val="22"/>
                <w:szCs w:val="22"/>
                <w:highlight w:val="none"/>
              </w:rPr>
              <w:t>针对</w:t>
            </w:r>
            <w:r>
              <w:rPr>
                <w:rFonts w:hint="eastAsia" w:ascii="新宋体" w:hAnsi="新宋体" w:eastAsia="新宋体" w:cs="新宋体"/>
                <w:color w:val="auto"/>
                <w:kern w:val="0"/>
                <w:sz w:val="22"/>
                <w:szCs w:val="22"/>
                <w:highlight w:val="none"/>
                <w:lang w:val="en-US" w:eastAsia="zh-CN"/>
              </w:rPr>
              <w:t>采购人实际情况制订防灾防损服务方案，根据方案的</w:t>
            </w:r>
            <w:r>
              <w:rPr>
                <w:rFonts w:hint="eastAsia" w:ascii="新宋体" w:hAnsi="新宋体" w:eastAsia="新宋体" w:cs="新宋体"/>
                <w:color w:val="auto"/>
                <w:kern w:val="0"/>
                <w:sz w:val="22"/>
                <w:szCs w:val="22"/>
                <w:highlight w:val="none"/>
              </w:rPr>
              <w:t>合理性、可操作性</w:t>
            </w:r>
            <w:r>
              <w:rPr>
                <w:rFonts w:hint="eastAsia" w:ascii="宋体" w:hAnsi="宋体" w:eastAsia="宋体" w:cs="宋体"/>
                <w:color w:val="auto"/>
                <w:sz w:val="22"/>
                <w:szCs w:val="22"/>
                <w:highlight w:val="none"/>
                <w:lang w:val="en-US" w:eastAsia="zh-CN"/>
              </w:rPr>
              <w:t>进行评分</w:t>
            </w:r>
            <w:r>
              <w:rPr>
                <w:rFonts w:hint="eastAsia" w:ascii="新宋体" w:hAnsi="新宋体" w:eastAsia="新宋体" w:cs="新宋体"/>
                <w:b w:val="0"/>
                <w:bCs/>
                <w:color w:val="auto"/>
                <w:kern w:val="0"/>
                <w:sz w:val="22"/>
                <w:szCs w:val="22"/>
                <w:highlight w:val="none"/>
                <w:lang w:eastAsia="zh-CN"/>
              </w:rPr>
              <w:t>，</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eastAsia="zh-CN"/>
              </w:rPr>
              <w:t>。</w:t>
            </w:r>
          </w:p>
          <w:p w14:paraId="6FF473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sz w:val="22"/>
                <w:szCs w:val="22"/>
                <w:highlight w:val="none"/>
                <w:lang w:val="en-US" w:eastAsia="zh-CN"/>
              </w:rPr>
            </w:pPr>
            <w:r>
              <w:rPr>
                <w:rFonts w:hint="eastAsia" w:ascii="新宋体" w:hAnsi="新宋体" w:eastAsia="新宋体" w:cs="新宋体"/>
                <w:b w:val="0"/>
                <w:bCs/>
                <w:color w:val="auto"/>
                <w:kern w:val="0"/>
                <w:sz w:val="22"/>
                <w:szCs w:val="22"/>
                <w:highlight w:val="none"/>
              </w:rPr>
              <w:t>A档：</w:t>
            </w:r>
            <w:r>
              <w:rPr>
                <w:rFonts w:hint="eastAsia" w:ascii="新宋体" w:hAnsi="新宋体" w:eastAsia="新宋体" w:cs="新宋体"/>
                <w:b w:val="0"/>
                <w:bCs/>
                <w:color w:val="auto"/>
                <w:kern w:val="0"/>
                <w:sz w:val="22"/>
                <w:szCs w:val="22"/>
                <w:highlight w:val="none"/>
                <w:lang w:val="en-US" w:eastAsia="zh-CN"/>
              </w:rPr>
              <w:t>6</w:t>
            </w:r>
            <w:r>
              <w:rPr>
                <w:rFonts w:hint="eastAsia" w:ascii="新宋体" w:hAnsi="新宋体" w:eastAsia="新宋体" w:cs="新宋体"/>
                <w:b w:val="0"/>
                <w:bCs/>
                <w:color w:val="auto"/>
                <w:kern w:val="0"/>
                <w:sz w:val="22"/>
                <w:szCs w:val="22"/>
                <w:highlight w:val="none"/>
              </w:rPr>
              <w:t>分；B档：</w:t>
            </w:r>
            <w:r>
              <w:rPr>
                <w:rFonts w:hint="eastAsia" w:ascii="新宋体" w:hAnsi="新宋体" w:eastAsia="新宋体" w:cs="新宋体"/>
                <w:b w:val="0"/>
                <w:bCs/>
                <w:color w:val="auto"/>
                <w:kern w:val="0"/>
                <w:sz w:val="22"/>
                <w:szCs w:val="22"/>
                <w:highlight w:val="none"/>
                <w:lang w:val="en-US" w:eastAsia="zh-CN"/>
              </w:rPr>
              <w:t>4</w:t>
            </w:r>
            <w:r>
              <w:rPr>
                <w:rFonts w:hint="eastAsia" w:ascii="新宋体" w:hAnsi="新宋体" w:eastAsia="新宋体" w:cs="新宋体"/>
                <w:b w:val="0"/>
                <w:bCs/>
                <w:color w:val="auto"/>
                <w:kern w:val="0"/>
                <w:sz w:val="22"/>
                <w:szCs w:val="22"/>
                <w:highlight w:val="none"/>
              </w:rPr>
              <w:t>分；C档：</w:t>
            </w:r>
            <w:r>
              <w:rPr>
                <w:rFonts w:hint="eastAsia" w:ascii="新宋体" w:hAnsi="新宋体" w:eastAsia="新宋体" w:cs="新宋体"/>
                <w:b w:val="0"/>
                <w:bCs/>
                <w:color w:val="auto"/>
                <w:kern w:val="0"/>
                <w:sz w:val="22"/>
                <w:szCs w:val="22"/>
                <w:highlight w:val="none"/>
                <w:lang w:val="en-US" w:eastAsia="zh-CN"/>
              </w:rPr>
              <w:t>2</w:t>
            </w:r>
            <w:r>
              <w:rPr>
                <w:rFonts w:hint="eastAsia" w:ascii="新宋体" w:hAnsi="新宋体" w:eastAsia="新宋体" w:cs="新宋体"/>
                <w:b w:val="0"/>
                <w:bCs/>
                <w:color w:val="auto"/>
                <w:kern w:val="0"/>
                <w:sz w:val="22"/>
                <w:szCs w:val="22"/>
                <w:highlight w:val="none"/>
              </w:rPr>
              <w:t>分；D档：</w:t>
            </w:r>
            <w:r>
              <w:rPr>
                <w:rFonts w:hint="eastAsia" w:ascii="新宋体" w:hAnsi="新宋体" w:eastAsia="新宋体" w:cs="新宋体"/>
                <w:b w:val="0"/>
                <w:bCs/>
                <w:color w:val="auto"/>
                <w:kern w:val="0"/>
                <w:sz w:val="22"/>
                <w:szCs w:val="22"/>
                <w:highlight w:val="none"/>
                <w:lang w:val="en-US" w:eastAsia="zh-CN"/>
              </w:rPr>
              <w:t>1</w:t>
            </w:r>
            <w:r>
              <w:rPr>
                <w:rFonts w:hint="eastAsia" w:ascii="新宋体" w:hAnsi="新宋体" w:eastAsia="新宋体" w:cs="新宋体"/>
                <w:b w:val="0"/>
                <w:bCs/>
                <w:color w:val="auto"/>
                <w:kern w:val="0"/>
                <w:sz w:val="22"/>
                <w:szCs w:val="22"/>
                <w:highlight w:val="none"/>
              </w:rPr>
              <w:t>分。未提供本项的不得分。</w:t>
            </w:r>
          </w:p>
        </w:tc>
      </w:tr>
      <w:tr w14:paraId="6979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1" w:type="dxa"/>
            <w:noWrap/>
            <w:vAlign w:val="center"/>
          </w:tcPr>
          <w:p w14:paraId="344E48C1">
            <w:pPr>
              <w:spacing w:line="400" w:lineRule="exac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9</w:t>
            </w:r>
          </w:p>
        </w:tc>
        <w:tc>
          <w:tcPr>
            <w:tcW w:w="1896" w:type="dxa"/>
            <w:gridSpan w:val="2"/>
            <w:noWrap/>
            <w:vAlign w:val="center"/>
          </w:tcPr>
          <w:p w14:paraId="05C815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szCs w:val="22"/>
                <w:highlight w:val="none"/>
              </w:rPr>
              <w:t>内控方案</w:t>
            </w:r>
          </w:p>
        </w:tc>
        <w:tc>
          <w:tcPr>
            <w:tcW w:w="528" w:type="dxa"/>
            <w:noWrap/>
            <w:vAlign w:val="center"/>
          </w:tcPr>
          <w:p w14:paraId="15E133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2"/>
                <w:szCs w:val="22"/>
                <w:highlight w:val="none"/>
                <w:lang w:val="en-US" w:eastAsia="zh-CN"/>
              </w:rPr>
            </w:pPr>
            <w:r>
              <w:rPr>
                <w:rFonts w:hint="eastAsia" w:ascii="宋体" w:hAnsi="宋体" w:eastAsia="宋体" w:cs="宋体"/>
                <w:sz w:val="22"/>
                <w:szCs w:val="22"/>
                <w:highlight w:val="none"/>
                <w:u w:val="none"/>
                <w:lang w:val="en-US" w:eastAsia="zh-CN"/>
              </w:rPr>
              <w:t>5</w:t>
            </w:r>
          </w:p>
        </w:tc>
        <w:tc>
          <w:tcPr>
            <w:tcW w:w="6816" w:type="dxa"/>
            <w:noWrap/>
            <w:vAlign w:val="center"/>
          </w:tcPr>
          <w:p w14:paraId="7F1B88F4">
            <w:pPr>
              <w:pStyle w:val="199"/>
              <w:spacing w:line="400" w:lineRule="exact"/>
              <w:rPr>
                <w:rFonts w:hint="eastAsia" w:ascii="新宋体" w:hAnsi="新宋体" w:eastAsia="新宋体" w:cs="新宋体"/>
                <w:b w:val="0"/>
                <w:bCs/>
                <w:color w:val="auto"/>
                <w:kern w:val="0"/>
                <w:sz w:val="22"/>
                <w:szCs w:val="22"/>
                <w:highlight w:val="none"/>
                <w:lang w:eastAsia="zh-CN"/>
              </w:rPr>
            </w:pPr>
            <w:r>
              <w:rPr>
                <w:rFonts w:hint="eastAsia" w:ascii="宋体" w:hAnsi="宋体" w:eastAsia="宋体" w:cs="宋体"/>
                <w:color w:val="000000"/>
                <w:sz w:val="22"/>
                <w:szCs w:val="22"/>
                <w:highlight w:val="none"/>
                <w:lang w:val="en-US" w:eastAsia="zh-CN"/>
              </w:rPr>
              <w:t>对本项目设置的内控方案的管理制度、员工行为纪律、人员培训考核、顾客投诉处理等内容</w:t>
            </w:r>
            <w:r>
              <w:rPr>
                <w:rFonts w:hint="eastAsia" w:ascii="新宋体" w:hAnsi="新宋体" w:eastAsia="新宋体" w:cs="新宋体"/>
                <w:b w:val="0"/>
                <w:bCs/>
                <w:color w:val="auto"/>
                <w:kern w:val="0"/>
                <w:sz w:val="22"/>
                <w:szCs w:val="22"/>
                <w:highlight w:val="none"/>
                <w:lang w:eastAsia="zh-CN"/>
              </w:rPr>
              <w:t>，</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eastAsia="zh-CN"/>
              </w:rPr>
              <w:t>。</w:t>
            </w:r>
          </w:p>
          <w:p w14:paraId="3F7E34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sz w:val="22"/>
                <w:szCs w:val="22"/>
                <w:highlight w:val="none"/>
                <w:lang w:val="en-US" w:eastAsia="zh-CN"/>
              </w:rPr>
            </w:pPr>
            <w:r>
              <w:rPr>
                <w:rFonts w:hint="eastAsia" w:ascii="新宋体" w:hAnsi="新宋体" w:eastAsia="新宋体" w:cs="新宋体"/>
                <w:b w:val="0"/>
                <w:bCs/>
                <w:color w:val="auto"/>
                <w:kern w:val="0"/>
                <w:sz w:val="22"/>
                <w:szCs w:val="22"/>
                <w:highlight w:val="none"/>
              </w:rPr>
              <w:t>A档：</w:t>
            </w:r>
            <w:r>
              <w:rPr>
                <w:rFonts w:hint="eastAsia" w:ascii="新宋体" w:hAnsi="新宋体" w:eastAsia="新宋体" w:cs="新宋体"/>
                <w:b w:val="0"/>
                <w:bCs/>
                <w:color w:val="auto"/>
                <w:kern w:val="0"/>
                <w:sz w:val="22"/>
                <w:szCs w:val="22"/>
                <w:highlight w:val="none"/>
                <w:lang w:val="en-US" w:eastAsia="zh-CN"/>
              </w:rPr>
              <w:t>5</w:t>
            </w:r>
            <w:r>
              <w:rPr>
                <w:rFonts w:hint="eastAsia" w:ascii="新宋体" w:hAnsi="新宋体" w:eastAsia="新宋体" w:cs="新宋体"/>
                <w:b w:val="0"/>
                <w:bCs/>
                <w:color w:val="auto"/>
                <w:kern w:val="0"/>
                <w:sz w:val="22"/>
                <w:szCs w:val="22"/>
                <w:highlight w:val="none"/>
              </w:rPr>
              <w:t>分；B档：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分；C档：</w:t>
            </w:r>
            <w:r>
              <w:rPr>
                <w:rFonts w:hint="eastAsia" w:ascii="新宋体" w:hAnsi="新宋体" w:eastAsia="新宋体" w:cs="新宋体"/>
                <w:b w:val="0"/>
                <w:bCs/>
                <w:color w:val="auto"/>
                <w:kern w:val="0"/>
                <w:sz w:val="22"/>
                <w:szCs w:val="22"/>
                <w:highlight w:val="none"/>
                <w:lang w:val="en-US" w:eastAsia="zh-CN"/>
              </w:rPr>
              <w:t>2</w:t>
            </w:r>
            <w:r>
              <w:rPr>
                <w:rFonts w:hint="eastAsia" w:ascii="新宋体" w:hAnsi="新宋体" w:eastAsia="新宋体" w:cs="新宋体"/>
                <w:b w:val="0"/>
                <w:bCs/>
                <w:color w:val="auto"/>
                <w:kern w:val="0"/>
                <w:sz w:val="22"/>
                <w:szCs w:val="22"/>
                <w:highlight w:val="none"/>
              </w:rPr>
              <w:t>分；D档：</w:t>
            </w:r>
            <w:r>
              <w:rPr>
                <w:rFonts w:hint="eastAsia" w:ascii="新宋体" w:hAnsi="新宋体" w:eastAsia="新宋体" w:cs="新宋体"/>
                <w:b w:val="0"/>
                <w:bCs/>
                <w:color w:val="auto"/>
                <w:kern w:val="0"/>
                <w:sz w:val="22"/>
                <w:szCs w:val="22"/>
                <w:highlight w:val="none"/>
                <w:lang w:val="en-US" w:eastAsia="zh-CN"/>
              </w:rPr>
              <w:t>1</w:t>
            </w:r>
            <w:r>
              <w:rPr>
                <w:rFonts w:hint="eastAsia" w:ascii="新宋体" w:hAnsi="新宋体" w:eastAsia="新宋体" w:cs="新宋体"/>
                <w:b w:val="0"/>
                <w:bCs/>
                <w:color w:val="auto"/>
                <w:kern w:val="0"/>
                <w:sz w:val="22"/>
                <w:szCs w:val="22"/>
                <w:highlight w:val="none"/>
              </w:rPr>
              <w:t>分。未提供本项的不得分。</w:t>
            </w:r>
          </w:p>
        </w:tc>
      </w:tr>
      <w:tr w14:paraId="490C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1" w:type="dxa"/>
            <w:noWrap/>
            <w:vAlign w:val="center"/>
          </w:tcPr>
          <w:p w14:paraId="372FAB10">
            <w:pPr>
              <w:spacing w:line="400" w:lineRule="exac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p>
        </w:tc>
        <w:tc>
          <w:tcPr>
            <w:tcW w:w="1896" w:type="dxa"/>
            <w:gridSpan w:val="2"/>
            <w:shd w:val="clear" w:color="auto" w:fill="auto"/>
            <w:noWrap/>
            <w:vAlign w:val="center"/>
          </w:tcPr>
          <w:p w14:paraId="13072B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22"/>
                <w:szCs w:val="22"/>
                <w:highlight w:val="none"/>
                <w:lang w:val="en-US" w:eastAsia="zh-CN" w:bidi="ar-SA"/>
              </w:rPr>
            </w:pPr>
            <w:r>
              <w:rPr>
                <w:rFonts w:hint="eastAsia" w:cs="仿宋_GB2312"/>
                <w:color w:val="auto"/>
                <w:sz w:val="22"/>
                <w:szCs w:val="22"/>
                <w:highlight w:val="none"/>
              </w:rPr>
              <w:t>服务</w:t>
            </w:r>
            <w:r>
              <w:rPr>
                <w:rFonts w:hint="eastAsia" w:cs="仿宋_GB2312"/>
                <w:color w:val="auto"/>
                <w:sz w:val="22"/>
                <w:szCs w:val="22"/>
                <w:highlight w:val="none"/>
                <w:lang w:eastAsia="zh-CN"/>
              </w:rPr>
              <w:t>支持</w:t>
            </w:r>
            <w:r>
              <w:rPr>
                <w:rFonts w:hint="eastAsia" w:cs="仿宋_GB2312"/>
                <w:color w:val="auto"/>
                <w:sz w:val="22"/>
                <w:szCs w:val="22"/>
                <w:highlight w:val="none"/>
              </w:rPr>
              <w:t>情况</w:t>
            </w:r>
          </w:p>
        </w:tc>
        <w:tc>
          <w:tcPr>
            <w:tcW w:w="528" w:type="dxa"/>
            <w:shd w:val="clear" w:color="auto" w:fill="auto"/>
            <w:noWrap/>
            <w:vAlign w:val="center"/>
          </w:tcPr>
          <w:p w14:paraId="4FC394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6816" w:type="dxa"/>
            <w:shd w:val="clear" w:color="auto" w:fill="auto"/>
            <w:noWrap/>
            <w:vAlign w:val="center"/>
          </w:tcPr>
          <w:p w14:paraId="3AC247C6">
            <w:pPr>
              <w:pStyle w:val="199"/>
              <w:spacing w:line="400" w:lineRule="exact"/>
              <w:rPr>
                <w:rFonts w:hint="eastAsia" w:ascii="新宋体" w:hAnsi="新宋体" w:eastAsia="新宋体" w:cs="新宋体"/>
                <w:b w:val="0"/>
                <w:bCs/>
                <w:color w:val="auto"/>
                <w:kern w:val="0"/>
                <w:sz w:val="22"/>
                <w:szCs w:val="22"/>
                <w:highlight w:val="none"/>
              </w:rPr>
            </w:pPr>
            <w:r>
              <w:rPr>
                <w:rFonts w:hint="eastAsia"/>
                <w:color w:val="auto"/>
                <w:sz w:val="22"/>
                <w:szCs w:val="22"/>
                <w:highlight w:val="none"/>
              </w:rPr>
              <w:t>根据</w:t>
            </w:r>
            <w:r>
              <w:rPr>
                <w:rFonts w:hint="eastAsia"/>
                <w:color w:val="auto"/>
                <w:sz w:val="22"/>
                <w:szCs w:val="22"/>
                <w:highlight w:val="none"/>
                <w:lang w:eastAsia="zh-CN"/>
              </w:rPr>
              <w:t>投标人提供的</w:t>
            </w:r>
            <w:r>
              <w:rPr>
                <w:rFonts w:hint="eastAsia"/>
                <w:color w:val="auto"/>
                <w:sz w:val="22"/>
                <w:szCs w:val="22"/>
                <w:highlight w:val="none"/>
              </w:rPr>
              <w:t>特色服务</w:t>
            </w:r>
            <w:r>
              <w:rPr>
                <w:rFonts w:hint="eastAsia"/>
                <w:color w:val="auto"/>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采购需求</w:t>
            </w:r>
            <w:r>
              <w:rPr>
                <w:rFonts w:hint="eastAsia" w:ascii="新宋体" w:hAnsi="新宋体" w:eastAsia="新宋体" w:cs="新宋体"/>
                <w:color w:val="auto"/>
                <w:kern w:val="0"/>
                <w:sz w:val="22"/>
                <w:szCs w:val="22"/>
                <w:highlight w:val="none"/>
              </w:rPr>
              <w:t>中未涉及的其他特色服务</w:t>
            </w:r>
            <w:r>
              <w:rPr>
                <w:rFonts w:hint="eastAsia"/>
                <w:color w:val="auto"/>
                <w:sz w:val="22"/>
                <w:szCs w:val="22"/>
                <w:highlight w:val="none"/>
                <w:lang w:eastAsia="zh-CN"/>
              </w:rPr>
              <w:t>）</w:t>
            </w:r>
            <w:r>
              <w:rPr>
                <w:rFonts w:hint="eastAsia"/>
                <w:color w:val="auto"/>
                <w:sz w:val="22"/>
                <w:szCs w:val="22"/>
                <w:highlight w:val="none"/>
              </w:rPr>
              <w:t>及增值服务等情况</w:t>
            </w:r>
            <w:r>
              <w:rPr>
                <w:rFonts w:hint="eastAsia"/>
                <w:color w:val="auto"/>
                <w:sz w:val="22"/>
                <w:szCs w:val="22"/>
                <w:highlight w:val="none"/>
                <w:lang w:eastAsia="zh-CN"/>
              </w:rPr>
              <w:t>的</w:t>
            </w:r>
            <w:r>
              <w:rPr>
                <w:rFonts w:hint="eastAsia"/>
                <w:color w:val="auto"/>
                <w:sz w:val="22"/>
                <w:szCs w:val="22"/>
                <w:highlight w:val="none"/>
              </w:rPr>
              <w:t>可实现程度</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val="en-US" w:eastAsia="zh-CN"/>
              </w:rPr>
              <w:t>。</w:t>
            </w:r>
          </w:p>
          <w:p w14:paraId="7B6A5B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color w:val="auto"/>
                <w:kern w:val="0"/>
                <w:sz w:val="22"/>
                <w:szCs w:val="22"/>
                <w:highlight w:val="none"/>
                <w:lang w:val="en-US" w:eastAsia="zh-CN" w:bidi="ar-SA"/>
              </w:rPr>
            </w:pPr>
            <w:r>
              <w:rPr>
                <w:rFonts w:hint="eastAsia" w:ascii="新宋体" w:hAnsi="新宋体" w:eastAsia="新宋体" w:cs="新宋体"/>
                <w:b w:val="0"/>
                <w:bCs/>
                <w:color w:val="auto"/>
                <w:kern w:val="0"/>
                <w:sz w:val="22"/>
                <w:szCs w:val="22"/>
                <w:highlight w:val="none"/>
              </w:rPr>
              <w:t>A档：5分；B档：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分；C档：2分；D档：1分。未提供本项的不得分。</w:t>
            </w:r>
          </w:p>
        </w:tc>
      </w:tr>
      <w:tr w14:paraId="565E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1" w:type="dxa"/>
            <w:noWrap/>
            <w:vAlign w:val="center"/>
          </w:tcPr>
          <w:p w14:paraId="3A4543BD">
            <w:pPr>
              <w:spacing w:line="40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11</w:t>
            </w:r>
          </w:p>
        </w:tc>
        <w:tc>
          <w:tcPr>
            <w:tcW w:w="1896" w:type="dxa"/>
            <w:gridSpan w:val="2"/>
            <w:shd w:val="clear" w:color="auto" w:fill="auto"/>
            <w:noWrap/>
            <w:vAlign w:val="center"/>
          </w:tcPr>
          <w:p w14:paraId="73D547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cs="仿宋_GB2312"/>
                <w:color w:val="auto"/>
                <w:sz w:val="22"/>
                <w:szCs w:val="22"/>
                <w:highlight w:val="none"/>
                <w:lang w:val="en-US" w:eastAsia="zh-CN"/>
              </w:rPr>
            </w:pPr>
            <w:r>
              <w:rPr>
                <w:rFonts w:hint="eastAsia" w:cs="仿宋_GB2312"/>
                <w:color w:val="auto"/>
                <w:sz w:val="22"/>
                <w:szCs w:val="22"/>
                <w:highlight w:val="none"/>
                <w:lang w:val="en-US" w:eastAsia="zh-CN"/>
              </w:rPr>
              <w:t>重大事故处理方案</w:t>
            </w:r>
          </w:p>
        </w:tc>
        <w:tc>
          <w:tcPr>
            <w:tcW w:w="528" w:type="dxa"/>
            <w:shd w:val="clear" w:color="auto" w:fill="auto"/>
            <w:noWrap/>
            <w:vAlign w:val="center"/>
          </w:tcPr>
          <w:p w14:paraId="7C0266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w:t>
            </w:r>
          </w:p>
        </w:tc>
        <w:tc>
          <w:tcPr>
            <w:tcW w:w="6816" w:type="dxa"/>
            <w:shd w:val="clear" w:color="auto" w:fill="auto"/>
            <w:noWrap/>
            <w:vAlign w:val="center"/>
          </w:tcPr>
          <w:p w14:paraId="2E187761">
            <w:pPr>
              <w:pStyle w:val="199"/>
              <w:spacing w:line="400" w:lineRule="exact"/>
              <w:rPr>
                <w:rFonts w:hint="eastAsia" w:ascii="新宋体" w:hAnsi="新宋体" w:eastAsia="新宋体" w:cs="新宋体"/>
                <w:b w:val="0"/>
                <w:bCs/>
                <w:color w:val="auto"/>
                <w:kern w:val="0"/>
                <w:sz w:val="22"/>
                <w:szCs w:val="22"/>
                <w:highlight w:val="none"/>
              </w:rPr>
            </w:pPr>
            <w:r>
              <w:rPr>
                <w:rFonts w:hint="eastAsia"/>
                <w:color w:val="auto"/>
                <w:sz w:val="22"/>
                <w:szCs w:val="22"/>
                <w:highlight w:val="none"/>
              </w:rPr>
              <w:t>根据</w:t>
            </w:r>
            <w:r>
              <w:rPr>
                <w:rFonts w:hint="eastAsia"/>
                <w:color w:val="auto"/>
                <w:sz w:val="22"/>
                <w:szCs w:val="22"/>
                <w:highlight w:val="none"/>
                <w:lang w:eastAsia="zh-CN"/>
              </w:rPr>
              <w:t>投标人提供的</w:t>
            </w:r>
            <w:r>
              <w:rPr>
                <w:rFonts w:hint="eastAsia" w:eastAsia="宋体"/>
                <w:color w:val="auto"/>
                <w:sz w:val="22"/>
                <w:szCs w:val="22"/>
                <w:highlight w:val="none"/>
                <w:lang w:val="en-US" w:eastAsia="zh-CN"/>
              </w:rPr>
              <w:t>重大事故处理方案（组建重大事故处理小组、派遣心理疏导团队介入、提出赔偿解决方案、化解校园纠纷、恢复正常的教学秩序等内容）</w:t>
            </w:r>
            <w:r>
              <w:rPr>
                <w:rFonts w:hint="eastAsia" w:ascii="新宋体" w:hAnsi="新宋体" w:eastAsia="新宋体" w:cs="新宋体"/>
                <w:b w:val="0"/>
                <w:bCs/>
                <w:color w:val="auto"/>
                <w:kern w:val="0"/>
                <w:sz w:val="22"/>
                <w:szCs w:val="22"/>
                <w:highlight w:val="none"/>
              </w:rPr>
              <w:t>，评标委员会综合量化评分</w:t>
            </w:r>
            <w:r>
              <w:rPr>
                <w:rFonts w:hint="eastAsia" w:ascii="新宋体" w:hAnsi="新宋体" w:eastAsia="新宋体" w:cs="新宋体"/>
                <w:b w:val="0"/>
                <w:bCs/>
                <w:color w:val="auto"/>
                <w:kern w:val="0"/>
                <w:sz w:val="22"/>
                <w:szCs w:val="22"/>
                <w:highlight w:val="none"/>
                <w:lang w:val="en-US" w:eastAsia="zh-CN"/>
              </w:rPr>
              <w:t>。</w:t>
            </w:r>
          </w:p>
          <w:p w14:paraId="62E2E1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color w:val="auto"/>
                <w:kern w:val="0"/>
                <w:sz w:val="22"/>
                <w:szCs w:val="22"/>
                <w:highlight w:val="none"/>
              </w:rPr>
            </w:pPr>
            <w:r>
              <w:rPr>
                <w:rFonts w:hint="eastAsia" w:ascii="新宋体" w:hAnsi="新宋体" w:eastAsia="新宋体" w:cs="新宋体"/>
                <w:b w:val="0"/>
                <w:bCs/>
                <w:color w:val="auto"/>
                <w:kern w:val="0"/>
                <w:sz w:val="22"/>
                <w:szCs w:val="22"/>
                <w:highlight w:val="none"/>
              </w:rPr>
              <w:t>A档：</w:t>
            </w:r>
            <w:r>
              <w:rPr>
                <w:rFonts w:hint="eastAsia" w:ascii="新宋体" w:hAnsi="新宋体" w:eastAsia="新宋体" w:cs="新宋体"/>
                <w:b w:val="0"/>
                <w:bCs/>
                <w:color w:val="auto"/>
                <w:kern w:val="0"/>
                <w:sz w:val="22"/>
                <w:szCs w:val="22"/>
                <w:highlight w:val="none"/>
                <w:lang w:val="en-US" w:eastAsia="zh-CN"/>
              </w:rPr>
              <w:t>7</w:t>
            </w:r>
            <w:r>
              <w:rPr>
                <w:rFonts w:hint="eastAsia" w:ascii="新宋体" w:hAnsi="新宋体" w:eastAsia="新宋体" w:cs="新宋体"/>
                <w:b w:val="0"/>
                <w:bCs/>
                <w:color w:val="auto"/>
                <w:kern w:val="0"/>
                <w:sz w:val="22"/>
                <w:szCs w:val="22"/>
                <w:highlight w:val="none"/>
              </w:rPr>
              <w:t>分；B档：</w:t>
            </w:r>
            <w:r>
              <w:rPr>
                <w:rFonts w:hint="eastAsia" w:ascii="新宋体" w:hAnsi="新宋体" w:eastAsia="新宋体" w:cs="新宋体"/>
                <w:b w:val="0"/>
                <w:bCs/>
                <w:color w:val="auto"/>
                <w:kern w:val="0"/>
                <w:sz w:val="22"/>
                <w:szCs w:val="22"/>
                <w:highlight w:val="none"/>
                <w:lang w:val="en-US" w:eastAsia="zh-CN"/>
              </w:rPr>
              <w:t>5</w:t>
            </w:r>
            <w:r>
              <w:rPr>
                <w:rFonts w:hint="eastAsia" w:ascii="新宋体" w:hAnsi="新宋体" w:eastAsia="新宋体" w:cs="新宋体"/>
                <w:b w:val="0"/>
                <w:bCs/>
                <w:color w:val="auto"/>
                <w:kern w:val="0"/>
                <w:sz w:val="22"/>
                <w:szCs w:val="22"/>
                <w:highlight w:val="none"/>
              </w:rPr>
              <w:t>分；C档：</w:t>
            </w:r>
            <w:r>
              <w:rPr>
                <w:rFonts w:hint="eastAsia" w:ascii="新宋体" w:hAnsi="新宋体" w:eastAsia="新宋体" w:cs="新宋体"/>
                <w:b w:val="0"/>
                <w:bCs/>
                <w:color w:val="auto"/>
                <w:kern w:val="0"/>
                <w:sz w:val="22"/>
                <w:szCs w:val="22"/>
                <w:highlight w:val="none"/>
                <w:lang w:val="en-US" w:eastAsia="zh-CN"/>
              </w:rPr>
              <w:t>3</w:t>
            </w:r>
            <w:r>
              <w:rPr>
                <w:rFonts w:hint="eastAsia" w:ascii="新宋体" w:hAnsi="新宋体" w:eastAsia="新宋体" w:cs="新宋体"/>
                <w:b w:val="0"/>
                <w:bCs/>
                <w:color w:val="auto"/>
                <w:kern w:val="0"/>
                <w:sz w:val="22"/>
                <w:szCs w:val="22"/>
                <w:highlight w:val="none"/>
              </w:rPr>
              <w:t>分；D档：1分。未提供本项的不得分。</w:t>
            </w:r>
          </w:p>
        </w:tc>
      </w:tr>
    </w:tbl>
    <w:p w14:paraId="0F4F68B2">
      <w:pPr>
        <w:spacing w:line="400" w:lineRule="exact"/>
        <w:rPr>
          <w:rFonts w:ascii="新宋体" w:hAnsi="新宋体" w:eastAsia="新宋体"/>
          <w:color w:val="auto"/>
          <w:sz w:val="22"/>
          <w:szCs w:val="22"/>
          <w:highlight w:val="none"/>
        </w:rPr>
      </w:pPr>
      <w:r>
        <w:rPr>
          <w:rFonts w:hint="eastAsia" w:ascii="宋体" w:hAnsi="宋体" w:cs="宋体"/>
          <w:b/>
          <w:bCs/>
          <w:color w:val="auto"/>
          <w:sz w:val="22"/>
          <w:szCs w:val="22"/>
          <w:highlight w:val="none"/>
        </w:rPr>
        <w:t>注：</w:t>
      </w:r>
      <w:r>
        <w:rPr>
          <w:rFonts w:hint="eastAsia" w:ascii="新宋体" w:hAnsi="新宋体" w:eastAsia="新宋体"/>
          <w:color w:val="auto"/>
          <w:sz w:val="22"/>
          <w:szCs w:val="22"/>
          <w:highlight w:val="none"/>
        </w:rPr>
        <w:t>以上评分标准中，A档一般以该分项方案/措施的表述详尽、科学、操作性强、可信度高等或人员岗位配备齐全，综合素质高或器材配备齐全为划分标准；B档一般以该分项方案/措施的表述细致度、可操作性、科学性等方面基本满足采购需求或人员岗位配备、综合素质基本满足采购需求或器材配备基本满足采购需求为划分标准；C档一般以该分项方案/措施的表述细致度、可操作性、科学性等方面部分满足采购需求或人员岗位配备、综合素质部分满足采购需求或器材配备部分满足采购需为划分标准；D档一般以该分项方案/措施的表述细致度、可操作性、科学性等方面差或人员岗位配备较少，综合素质差或器材配备较少为划分标准。</w:t>
      </w:r>
    </w:p>
    <w:p w14:paraId="19C739FB">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2</w:t>
      </w:r>
      <w:r>
        <w:rPr>
          <w:rFonts w:hint="eastAsia" w:ascii="宋体" w:hAnsi="宋体" w:cs="Arial"/>
          <w:b/>
          <w:color w:val="auto"/>
          <w:sz w:val="22"/>
          <w:highlight w:val="none"/>
        </w:rPr>
        <w:t>0分）</w:t>
      </w:r>
      <w:r>
        <w:rPr>
          <w:rFonts w:hint="eastAsia" w:ascii="宋体" w:hAnsi="宋体" w:cs="Arial"/>
          <w:color w:val="auto"/>
          <w:sz w:val="22"/>
          <w:highlight w:val="none"/>
        </w:rPr>
        <w:t>：</w:t>
      </w:r>
    </w:p>
    <w:p w14:paraId="73458A9C">
      <w:pPr>
        <w:spacing w:line="420" w:lineRule="exact"/>
        <w:ind w:left="328" w:leftChars="156"/>
        <w:rPr>
          <w:rFonts w:ascii="Arial" w:hAnsi="Arial" w:cs="Arial"/>
          <w:color w:val="auto"/>
          <w:sz w:val="22"/>
          <w:highlight w:val="none"/>
        </w:rPr>
      </w:pPr>
      <w:r>
        <w:rPr>
          <w:rFonts w:hint="eastAsia" w:ascii="宋体" w:hAnsi="宋体" w:cs="Arial"/>
          <w:color w:val="auto"/>
          <w:sz w:val="22"/>
          <w:highlight w:val="none"/>
        </w:rPr>
        <w:t>本项目对现方案理赔金额的上浮率进行报价</w:t>
      </w:r>
      <w:r>
        <w:rPr>
          <w:rFonts w:hint="eastAsia" w:ascii="宋体" w:hAnsi="宋体" w:cs="Arial"/>
          <w:color w:val="auto"/>
          <w:sz w:val="22"/>
          <w:highlight w:val="none"/>
          <w:lang w:eastAsia="zh-CN"/>
        </w:rPr>
        <w:t>，</w:t>
      </w:r>
      <w:r>
        <w:rPr>
          <w:rFonts w:hint="eastAsia" w:ascii="宋体" w:hAnsi="宋体" w:cs="Arial"/>
          <w:color w:val="auto"/>
          <w:sz w:val="22"/>
          <w:highlight w:val="none"/>
        </w:rPr>
        <w:t>满足招标文件要求且</w:t>
      </w:r>
      <w:r>
        <w:rPr>
          <w:rFonts w:ascii="Arial" w:hAnsi="Arial" w:cs="Arial"/>
          <w:color w:val="auto"/>
          <w:sz w:val="22"/>
          <w:highlight w:val="none"/>
        </w:rPr>
        <w:t>投标价格</w:t>
      </w:r>
      <w:r>
        <w:rPr>
          <w:rFonts w:hint="eastAsia" w:ascii="Arial" w:hAnsi="Arial" w:cs="Arial"/>
          <w:color w:val="auto"/>
          <w:sz w:val="22"/>
          <w:highlight w:val="none"/>
        </w:rPr>
        <w:t>的</w:t>
      </w:r>
      <w:r>
        <w:rPr>
          <w:rFonts w:ascii="Arial" w:hAnsi="Arial" w:cs="Arial"/>
          <w:color w:val="auto"/>
          <w:sz w:val="22"/>
          <w:highlight w:val="none"/>
        </w:rPr>
        <w:t>最</w:t>
      </w:r>
      <w:r>
        <w:rPr>
          <w:rFonts w:hint="eastAsia" w:ascii="Arial" w:hAnsi="Arial" w:cs="Arial"/>
          <w:color w:val="auto"/>
          <w:sz w:val="22"/>
          <w:highlight w:val="none"/>
          <w:lang w:val="en-US" w:eastAsia="zh-CN"/>
        </w:rPr>
        <w:t>高</w:t>
      </w:r>
      <w:r>
        <w:rPr>
          <w:rFonts w:ascii="Arial" w:hAnsi="Arial" w:cs="Arial"/>
          <w:color w:val="auto"/>
          <w:sz w:val="22"/>
          <w:highlight w:val="none"/>
        </w:rPr>
        <w:t>投标报价为评标基准价。</w:t>
      </w:r>
    </w:p>
    <w:p w14:paraId="4AFF5741">
      <w:pPr>
        <w:spacing w:line="420" w:lineRule="exact"/>
        <w:ind w:firstLine="330" w:firstLineChars="150"/>
        <w:rPr>
          <w:rFonts w:ascii="Arial" w:hAnsi="Arial" w:cs="Arial"/>
          <w:color w:val="auto"/>
          <w:sz w:val="22"/>
          <w:szCs w:val="22"/>
          <w:highlight w:val="none"/>
        </w:rPr>
      </w:pPr>
      <w:r>
        <w:rPr>
          <w:rFonts w:ascii="Arial" w:hAnsi="Arial" w:cs="Arial"/>
          <w:color w:val="auto"/>
          <w:sz w:val="22"/>
          <w:szCs w:val="22"/>
          <w:highlight w:val="none"/>
        </w:rPr>
        <w:t>1）有效</w:t>
      </w:r>
      <w:r>
        <w:rPr>
          <w:rFonts w:hint="eastAsia" w:ascii="Arial" w:hAnsi="Arial" w:cs="Arial"/>
          <w:color w:val="auto"/>
          <w:sz w:val="22"/>
          <w:szCs w:val="22"/>
          <w:highlight w:val="none"/>
        </w:rPr>
        <w:t>投标人</w:t>
      </w:r>
      <w:r>
        <w:rPr>
          <w:rFonts w:ascii="Arial" w:hAnsi="Arial" w:cs="Arial"/>
          <w:color w:val="auto"/>
          <w:sz w:val="22"/>
          <w:szCs w:val="22"/>
          <w:highlight w:val="none"/>
        </w:rPr>
        <w:t>的投标报价等于评标基准价时其商务分为满分</w:t>
      </w:r>
      <w:r>
        <w:rPr>
          <w:rFonts w:hint="eastAsia" w:ascii="Arial" w:hAnsi="Arial" w:cs="Arial"/>
          <w:color w:val="auto"/>
          <w:sz w:val="22"/>
          <w:szCs w:val="22"/>
          <w:highlight w:val="none"/>
          <w:lang w:val="en-US" w:eastAsia="zh-CN"/>
        </w:rPr>
        <w:t>20</w:t>
      </w:r>
      <w:r>
        <w:rPr>
          <w:rFonts w:ascii="Arial" w:hAnsi="Arial" w:cs="Arial"/>
          <w:color w:val="auto"/>
          <w:sz w:val="22"/>
          <w:szCs w:val="22"/>
          <w:highlight w:val="none"/>
        </w:rPr>
        <w:t>分；</w:t>
      </w:r>
    </w:p>
    <w:p w14:paraId="4D375C4A">
      <w:pPr>
        <w:spacing w:line="420" w:lineRule="exact"/>
        <w:ind w:firstLine="330" w:firstLineChars="150"/>
        <w:rPr>
          <w:rFonts w:ascii="Arial" w:hAnsi="Arial" w:cs="Arial"/>
          <w:color w:val="auto"/>
          <w:sz w:val="22"/>
          <w:szCs w:val="22"/>
          <w:highlight w:val="none"/>
        </w:rPr>
      </w:pPr>
      <w:r>
        <w:rPr>
          <w:rFonts w:ascii="Arial" w:hAnsi="Arial" w:cs="Arial"/>
          <w:color w:val="auto"/>
          <w:sz w:val="22"/>
          <w:szCs w:val="22"/>
          <w:highlight w:val="none"/>
        </w:rPr>
        <w:t>2）其他</w:t>
      </w:r>
      <w:r>
        <w:rPr>
          <w:rFonts w:hint="eastAsia" w:ascii="Arial" w:hAnsi="Arial" w:cs="Arial"/>
          <w:color w:val="auto"/>
          <w:sz w:val="22"/>
          <w:szCs w:val="22"/>
          <w:highlight w:val="none"/>
        </w:rPr>
        <w:t>投标人</w:t>
      </w:r>
      <w:r>
        <w:rPr>
          <w:rFonts w:ascii="Arial" w:hAnsi="Arial" w:cs="Arial"/>
          <w:color w:val="auto"/>
          <w:sz w:val="22"/>
          <w:szCs w:val="22"/>
          <w:highlight w:val="none"/>
        </w:rPr>
        <w:t>的价格分按以下公式计算：</w:t>
      </w:r>
      <w:bookmarkStart w:id="253" w:name="_GoBack"/>
      <w:bookmarkEnd w:id="253"/>
    </w:p>
    <w:p w14:paraId="4E638396">
      <w:pPr>
        <w:spacing w:line="400" w:lineRule="exact"/>
        <w:ind w:firstLine="220" w:firstLineChars="100"/>
        <w:rPr>
          <w:rFonts w:hint="eastAsia" w:ascii="宋体" w:hAnsi="宋体" w:cs="宋体"/>
          <w:b/>
          <w:color w:val="auto"/>
          <w:sz w:val="22"/>
          <w:szCs w:val="22"/>
          <w:highlight w:val="none"/>
        </w:rPr>
      </w:pPr>
      <w:r>
        <w:rPr>
          <w:rFonts w:hint="eastAsia" w:ascii="Arial" w:hAnsi="Arial" w:cs="Arial"/>
          <w:color w:val="auto"/>
          <w:sz w:val="22"/>
          <w:highlight w:val="none"/>
        </w:rPr>
        <w:t>报价</w:t>
      </w:r>
      <w:r>
        <w:rPr>
          <w:rFonts w:ascii="Arial" w:hAnsi="Arial" w:cs="Arial"/>
          <w:color w:val="auto"/>
          <w:sz w:val="22"/>
          <w:szCs w:val="22"/>
          <w:highlight w:val="none"/>
        </w:rPr>
        <w:t>得分=（</w:t>
      </w:r>
      <w:r>
        <w:rPr>
          <w:rFonts w:hint="eastAsia" w:ascii="Arial" w:hAnsi="Arial" w:cs="Arial"/>
          <w:color w:val="auto"/>
          <w:sz w:val="22"/>
          <w:highlight w:val="none"/>
          <w:lang w:val="en-US" w:eastAsia="zh-CN"/>
        </w:rPr>
        <w:t>投标人报价</w:t>
      </w:r>
      <w:r>
        <w:rPr>
          <w:rFonts w:ascii="Arial" w:hAnsi="Arial" w:cs="Arial"/>
          <w:color w:val="auto"/>
          <w:sz w:val="22"/>
          <w:szCs w:val="22"/>
          <w:highlight w:val="none"/>
        </w:rPr>
        <w:t>/评标基准价）×</w:t>
      </w:r>
      <w:r>
        <w:rPr>
          <w:rFonts w:hint="eastAsia" w:ascii="Arial" w:hAnsi="Arial" w:cs="Arial"/>
          <w:color w:val="auto"/>
          <w:sz w:val="22"/>
          <w:szCs w:val="22"/>
          <w:highlight w:val="none"/>
          <w:lang w:val="en-US" w:eastAsia="zh-CN"/>
        </w:rPr>
        <w:t xml:space="preserve"> 20</w:t>
      </w:r>
      <w:r>
        <w:rPr>
          <w:rFonts w:ascii="Arial" w:hAnsi="Arial" w:cs="Arial"/>
          <w:color w:val="auto"/>
          <w:sz w:val="22"/>
          <w:szCs w:val="22"/>
          <w:highlight w:val="none"/>
        </w:rPr>
        <w:t>% ×100（四舍五入后保留小数2位）</w:t>
      </w:r>
    </w:p>
    <w:p w14:paraId="1461B6BA">
      <w:pPr>
        <w:spacing w:line="400" w:lineRule="exact"/>
        <w:ind w:firstLine="221" w:firstLineChars="100"/>
        <w:rPr>
          <w:rFonts w:ascii="宋体" w:hAnsi="宋体" w:cs="Arial"/>
          <w:color w:val="auto"/>
          <w:sz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eastAsia="宋体" w:cs="Arial"/>
          <w:b/>
          <w:bCs/>
          <w:color w:val="auto"/>
          <w:sz w:val="22"/>
          <w:highlight w:val="none"/>
          <w:u w:val="single"/>
        </w:rPr>
        <w:t>▲本项目</w:t>
      </w:r>
      <w:r>
        <w:rPr>
          <w:rFonts w:hint="eastAsia" w:ascii="宋体" w:hAnsi="宋体" w:eastAsia="宋体" w:cs="Arial"/>
          <w:b/>
          <w:bCs/>
          <w:color w:val="auto"/>
          <w:sz w:val="22"/>
          <w:highlight w:val="none"/>
          <w:u w:val="single"/>
          <w:lang w:val="en-US" w:eastAsia="zh-CN"/>
        </w:rPr>
        <w:t>最低</w:t>
      </w:r>
      <w:r>
        <w:rPr>
          <w:rFonts w:hint="eastAsia" w:ascii="宋体" w:hAnsi="宋体" w:eastAsia="宋体" w:cs="Arial"/>
          <w:b/>
          <w:bCs/>
          <w:color w:val="auto"/>
          <w:sz w:val="22"/>
          <w:highlight w:val="none"/>
          <w:u w:val="single"/>
        </w:rPr>
        <w:t>上浮率</w:t>
      </w:r>
      <w:r>
        <w:rPr>
          <w:rFonts w:hint="eastAsia" w:ascii="宋体" w:hAnsi="宋体" w:eastAsia="宋体" w:cs="Arial"/>
          <w:b/>
          <w:bCs/>
          <w:color w:val="auto"/>
          <w:sz w:val="22"/>
          <w:highlight w:val="none"/>
          <w:u w:val="single"/>
          <w:lang w:val="en-US" w:eastAsia="zh-CN"/>
        </w:rPr>
        <w:t>为0%</w:t>
      </w:r>
      <w:r>
        <w:rPr>
          <w:rFonts w:hint="eastAsia" w:ascii="宋体" w:hAnsi="宋体" w:eastAsia="宋体" w:cs="Arial"/>
          <w:b/>
          <w:bCs/>
          <w:color w:val="auto"/>
          <w:sz w:val="22"/>
          <w:highlight w:val="none"/>
          <w:u w:val="single"/>
        </w:rPr>
        <w:t>；</w:t>
      </w:r>
      <w:r>
        <w:rPr>
          <w:rFonts w:hint="eastAsia" w:ascii="宋体" w:hAnsi="宋体"/>
          <w:b/>
          <w:color w:val="auto"/>
          <w:sz w:val="22"/>
          <w:szCs w:val="22"/>
          <w:highlight w:val="none"/>
          <w:u w:val="single"/>
        </w:rPr>
        <w:t>如投标人报价</w:t>
      </w:r>
      <w:r>
        <w:rPr>
          <w:rFonts w:hint="eastAsia" w:ascii="宋体" w:hAnsi="宋体"/>
          <w:b/>
          <w:color w:val="auto"/>
          <w:sz w:val="22"/>
          <w:szCs w:val="22"/>
          <w:highlight w:val="none"/>
          <w:u w:val="single"/>
          <w:lang w:val="en-US" w:eastAsia="zh-CN"/>
        </w:rPr>
        <w:t>低于最低上浮率</w:t>
      </w:r>
      <w:r>
        <w:rPr>
          <w:rFonts w:hint="eastAsia" w:ascii="宋体" w:hAnsi="宋体"/>
          <w:b/>
          <w:color w:val="auto"/>
          <w:sz w:val="22"/>
          <w:szCs w:val="22"/>
          <w:highlight w:val="none"/>
          <w:u w:val="single"/>
        </w:rPr>
        <w:t>，其投标文件作无效标处理</w:t>
      </w:r>
      <w:r>
        <w:rPr>
          <w:rFonts w:hint="eastAsia" w:ascii="宋体" w:hAnsi="宋体" w:cs="Arial"/>
          <w:color w:val="auto"/>
          <w:sz w:val="22"/>
          <w:highlight w:val="none"/>
        </w:rPr>
        <w:t>。</w:t>
      </w:r>
    </w:p>
    <w:p w14:paraId="69D2ED7A">
      <w:pPr>
        <w:spacing w:line="400" w:lineRule="exact"/>
        <w:ind w:firstLine="221" w:firstLineChars="100"/>
        <w:rPr>
          <w:rFonts w:ascii="宋体" w:hAnsi="宋体" w:cs="Arial"/>
          <w:b/>
          <w:bCs/>
          <w:color w:val="auto"/>
          <w:sz w:val="22"/>
          <w:highlight w:val="none"/>
        </w:rPr>
      </w:pPr>
      <w:r>
        <w:rPr>
          <w:rFonts w:hint="eastAsia" w:ascii="宋体" w:hAnsi="宋体" w:cs="Arial"/>
          <w:b/>
          <w:bCs/>
          <w:color w:val="auto"/>
          <w:sz w:val="22"/>
          <w:highlight w:val="none"/>
          <w:lang w:val="en-US" w:eastAsia="zh-CN"/>
        </w:rPr>
        <w:t>4</w:t>
      </w:r>
      <w:r>
        <w:rPr>
          <w:rFonts w:hint="eastAsia" w:ascii="宋体" w:hAnsi="宋体" w:cs="Arial"/>
          <w:b/>
          <w:bCs/>
          <w:color w:val="auto"/>
          <w:sz w:val="22"/>
          <w:highlight w:val="none"/>
        </w:rPr>
        <w:t>）</w:t>
      </w:r>
      <w:r>
        <w:rPr>
          <w:rFonts w:hint="eastAsia" w:ascii="宋体" w:hAnsi="宋体" w:cs="Arial"/>
          <w:b/>
          <w:bCs/>
          <w:color w:val="auto"/>
          <w:sz w:val="22"/>
          <w:szCs w:val="22"/>
          <w:highlight w:val="none"/>
        </w:rPr>
        <w:t>所有投标人商务报价均</w:t>
      </w:r>
      <w:r>
        <w:rPr>
          <w:rFonts w:hint="eastAsia" w:ascii="宋体" w:hAnsi="宋体" w:cs="Arial"/>
          <w:b/>
          <w:bCs/>
          <w:color w:val="auto"/>
          <w:sz w:val="22"/>
          <w:szCs w:val="22"/>
          <w:highlight w:val="none"/>
          <w:lang w:val="en-US" w:eastAsia="zh-CN"/>
        </w:rPr>
        <w:t>低于最低上浮率的，</w:t>
      </w:r>
      <w:r>
        <w:rPr>
          <w:rFonts w:hint="eastAsia" w:ascii="宋体" w:hAnsi="宋体" w:cs="Arial"/>
          <w:b/>
          <w:bCs/>
          <w:color w:val="auto"/>
          <w:sz w:val="22"/>
          <w:szCs w:val="22"/>
          <w:highlight w:val="none"/>
        </w:rPr>
        <w:t>重新组织招标</w:t>
      </w:r>
      <w:r>
        <w:rPr>
          <w:rFonts w:hint="eastAsia" w:ascii="宋体" w:hAnsi="宋体" w:cs="Arial"/>
          <w:b/>
          <w:bCs/>
          <w:color w:val="auto"/>
          <w:sz w:val="22"/>
          <w:highlight w:val="none"/>
        </w:rPr>
        <w:t>。</w:t>
      </w:r>
    </w:p>
    <w:p w14:paraId="189B59DE">
      <w:pPr>
        <w:spacing w:line="400" w:lineRule="exact"/>
        <w:rPr>
          <w:rFonts w:ascii="宋体" w:hAnsi="宋体" w:cs="Arial"/>
          <w:color w:val="auto"/>
          <w:sz w:val="22"/>
          <w:highlight w:val="none"/>
        </w:rPr>
      </w:pPr>
      <w:r>
        <w:rPr>
          <w:rFonts w:hint="eastAsia" w:ascii="宋体" w:hAnsi="宋体" w:cs="Arial"/>
          <w:color w:val="auto"/>
          <w:sz w:val="22"/>
          <w:highlight w:val="none"/>
        </w:rPr>
        <w:t>3、 有效投标人的综合得分为技术资信分和商务（报价）分的总和。</w:t>
      </w:r>
    </w:p>
    <w:p w14:paraId="4456D9FB">
      <w:pPr>
        <w:tabs>
          <w:tab w:val="left" w:pos="540"/>
        </w:tabs>
        <w:spacing w:line="440" w:lineRule="exact"/>
        <w:rPr>
          <w:rFonts w:ascii="宋体" w:hAnsi="宋体" w:cs="Arial"/>
          <w:color w:val="auto"/>
          <w:sz w:val="22"/>
          <w:highlight w:val="none"/>
        </w:rPr>
      </w:pPr>
      <w:r>
        <w:rPr>
          <w:rFonts w:hint="eastAsia" w:ascii="宋体" w:hAnsi="宋体" w:cs="Arial"/>
          <w:color w:val="auto"/>
          <w:sz w:val="22"/>
          <w:highlight w:val="none"/>
        </w:rPr>
        <w:t>4、评标委员会</w:t>
      </w:r>
      <w:r>
        <w:rPr>
          <w:rFonts w:hint="eastAsia" w:ascii="宋体" w:hAnsi="宋体" w:cs="hakuyoxingshu7000"/>
          <w:color w:val="auto"/>
          <w:kern w:val="0"/>
          <w:sz w:val="22"/>
          <w:szCs w:val="22"/>
          <w:highlight w:val="none"/>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color w:val="auto"/>
          <w:sz w:val="22"/>
          <w:szCs w:val="22"/>
          <w:highlight w:val="none"/>
        </w:rPr>
        <w:t>得分相同的，按</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由高到低顺序排列。</w:t>
      </w:r>
      <w:r>
        <w:rPr>
          <w:rFonts w:hint="eastAsia" w:ascii="宋体" w:hAnsi="宋体" w:cs="hakuyoxingshu7000"/>
          <w:color w:val="auto"/>
          <w:kern w:val="0"/>
          <w:sz w:val="22"/>
          <w:szCs w:val="22"/>
          <w:highlight w:val="none"/>
        </w:rPr>
        <w:t>综合</w:t>
      </w:r>
      <w:r>
        <w:rPr>
          <w:rFonts w:hint="eastAsia" w:ascii="宋体" w:hAnsi="宋体" w:cs="hakuyoxingshu7000"/>
          <w:color w:val="auto"/>
          <w:sz w:val="22"/>
          <w:szCs w:val="22"/>
          <w:highlight w:val="none"/>
        </w:rPr>
        <w:t>得分且</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相同，由评标委员会随机抽签决定排名顺序。</w:t>
      </w:r>
      <w:r>
        <w:rPr>
          <w:rFonts w:hint="eastAsia" w:ascii="宋体" w:hAnsi="宋体" w:cs="hakuyoxingshu7000"/>
          <w:color w:val="auto"/>
          <w:kern w:val="0"/>
          <w:sz w:val="22"/>
          <w:szCs w:val="22"/>
          <w:highlight w:val="none"/>
        </w:rPr>
        <w:t>）</w:t>
      </w:r>
    </w:p>
    <w:p w14:paraId="629F4D2C">
      <w:pPr>
        <w:spacing w:line="420" w:lineRule="exact"/>
        <w:rPr>
          <w:rFonts w:ascii="宋体" w:hAnsi="宋体" w:cs="Arial"/>
          <w:b/>
          <w:color w:val="auto"/>
          <w:sz w:val="22"/>
          <w:highlight w:val="none"/>
        </w:rPr>
      </w:pPr>
      <w:r>
        <w:rPr>
          <w:rFonts w:hint="eastAsia" w:ascii="宋体" w:hAnsi="宋体" w:cs="Arial"/>
          <w:b/>
          <w:color w:val="auto"/>
          <w:sz w:val="22"/>
          <w:highlight w:val="none"/>
        </w:rPr>
        <w:t>五、定标办法</w:t>
      </w:r>
      <w:bookmarkEnd w:id="218"/>
      <w:bookmarkEnd w:id="219"/>
    </w:p>
    <w:p w14:paraId="6DEEBF63">
      <w:pPr>
        <w:spacing w:line="420" w:lineRule="exact"/>
        <w:ind w:firstLine="440" w:firstLineChars="200"/>
        <w:rPr>
          <w:rFonts w:ascii="宋体" w:hAnsi="宋体" w:cs="Arial"/>
          <w:color w:val="auto"/>
          <w:sz w:val="22"/>
          <w:highlight w:val="none"/>
        </w:rPr>
      </w:pPr>
      <w:bookmarkStart w:id="220" w:name="_Toc221356967"/>
      <w:bookmarkStart w:id="221" w:name="_Toc221356904"/>
      <w:r>
        <w:rPr>
          <w:rFonts w:hint="eastAsia" w:ascii="宋体" w:hAnsi="宋体" w:cs="Arial"/>
          <w:color w:val="auto"/>
          <w:sz w:val="22"/>
          <w:highlight w:val="none"/>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招标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2B195128">
      <w:pPr>
        <w:spacing w:line="420" w:lineRule="exact"/>
        <w:rPr>
          <w:rFonts w:ascii="宋体" w:hAnsi="宋体" w:cs="Arial"/>
          <w:b/>
          <w:color w:val="auto"/>
          <w:sz w:val="22"/>
          <w:highlight w:val="none"/>
        </w:rPr>
      </w:pPr>
      <w:r>
        <w:rPr>
          <w:rFonts w:hint="eastAsia" w:ascii="宋体" w:hAnsi="宋体" w:cs="Arial"/>
          <w:b/>
          <w:color w:val="auto"/>
          <w:sz w:val="22"/>
          <w:highlight w:val="none"/>
        </w:rPr>
        <w:t>六、确定中标人</w:t>
      </w:r>
      <w:bookmarkEnd w:id="220"/>
      <w:bookmarkEnd w:id="221"/>
    </w:p>
    <w:p w14:paraId="5919CB99">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评标结束后，招标人将在</w:t>
      </w:r>
      <w:r>
        <w:rPr>
          <w:rFonts w:hint="eastAsia" w:ascii="宋体" w:hAnsi="宋体" w:cs="hakuyoxingshu7000"/>
          <w:color w:val="auto"/>
          <w:sz w:val="22"/>
          <w:szCs w:val="22"/>
          <w:highlight w:val="none"/>
        </w:rPr>
        <w:t>温州肯恩大学官网、浙江政府采购网公示中标结果</w:t>
      </w:r>
      <w:r>
        <w:rPr>
          <w:rFonts w:hint="eastAsia" w:ascii="宋体" w:hAnsi="宋体" w:cs="Arial"/>
          <w:color w:val="auto"/>
          <w:sz w:val="22"/>
          <w:szCs w:val="22"/>
          <w:highlight w:val="none"/>
        </w:rPr>
        <w:t>。公示期结束，在规定期限内无异议则招标机构将向中标人发出中标通知书。</w:t>
      </w:r>
    </w:p>
    <w:p w14:paraId="6EDDB67E">
      <w:pPr>
        <w:spacing w:line="420" w:lineRule="exact"/>
        <w:rPr>
          <w:rFonts w:ascii="宋体" w:hAnsi="宋体" w:cs="Arial"/>
          <w:b/>
          <w:color w:val="auto"/>
          <w:sz w:val="22"/>
          <w:highlight w:val="none"/>
        </w:rPr>
      </w:pPr>
      <w:bookmarkStart w:id="222" w:name="_Toc221356905"/>
      <w:bookmarkStart w:id="223" w:name="_Toc221356968"/>
      <w:r>
        <w:rPr>
          <w:rFonts w:hint="eastAsia" w:ascii="宋体" w:hAnsi="宋体" w:cs="Arial"/>
          <w:b/>
          <w:color w:val="auto"/>
          <w:sz w:val="22"/>
          <w:highlight w:val="none"/>
        </w:rPr>
        <w:t>七、投标人义务</w:t>
      </w:r>
      <w:bookmarkEnd w:id="222"/>
      <w:bookmarkEnd w:id="223"/>
    </w:p>
    <w:p w14:paraId="616FC28A">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投标人应随时接受评标委员会的询标，解答包括有关的商务、技术问题等。评标结束，所有评标资料存招标机构备查。</w:t>
      </w:r>
    </w:p>
    <w:p w14:paraId="369552E2">
      <w:pPr>
        <w:rPr>
          <w:color w:val="auto"/>
          <w:highlight w:val="none"/>
        </w:rPr>
      </w:pPr>
      <w:r>
        <w:rPr>
          <w:color w:val="auto"/>
          <w:highlight w:val="none"/>
        </w:rPr>
        <w:br w:type="page"/>
      </w:r>
    </w:p>
    <w:p w14:paraId="78193097">
      <w:pPr>
        <w:pStyle w:val="29"/>
        <w:ind w:left="1103" w:right="19" w:firstLine="560"/>
        <w:rPr>
          <w:color w:val="auto"/>
          <w:highlight w:val="none"/>
          <w:lang w:eastAsia="zh-CN"/>
        </w:rPr>
      </w:pPr>
    </w:p>
    <w:p w14:paraId="7F84EF9D">
      <w:pPr>
        <w:pStyle w:val="3"/>
        <w:rPr>
          <w:rFonts w:ascii="宋体" w:hAnsi="宋体" w:eastAsia="宋体" w:cs="Arial"/>
          <w:color w:val="auto"/>
          <w:sz w:val="36"/>
          <w:szCs w:val="36"/>
          <w:highlight w:val="none"/>
        </w:rPr>
      </w:pPr>
      <w:bookmarkStart w:id="224" w:name="_Toc249758871"/>
      <w:bookmarkStart w:id="225" w:name="_Toc262105510"/>
      <w:bookmarkStart w:id="226" w:name="_Toc249758721"/>
      <w:bookmarkStart w:id="227" w:name="_Toc262049425"/>
      <w:bookmarkStart w:id="228" w:name="_Toc20036"/>
      <w:r>
        <w:rPr>
          <w:rFonts w:hint="eastAsia" w:ascii="宋体" w:hAnsi="宋体" w:eastAsia="宋体" w:cs="Arial"/>
          <w:color w:val="auto"/>
          <w:sz w:val="36"/>
          <w:szCs w:val="36"/>
          <w:highlight w:val="none"/>
        </w:rPr>
        <w:t xml:space="preserve">第四部分   </w:t>
      </w:r>
      <w:bookmarkEnd w:id="205"/>
      <w:bookmarkEnd w:id="206"/>
      <w:bookmarkEnd w:id="207"/>
      <w:bookmarkEnd w:id="208"/>
      <w:bookmarkEnd w:id="209"/>
      <w:bookmarkEnd w:id="210"/>
      <w:bookmarkEnd w:id="211"/>
      <w:bookmarkEnd w:id="212"/>
      <w:bookmarkEnd w:id="213"/>
      <w:bookmarkEnd w:id="214"/>
      <w:bookmarkEnd w:id="215"/>
      <w:bookmarkEnd w:id="224"/>
      <w:bookmarkEnd w:id="225"/>
      <w:bookmarkEnd w:id="226"/>
      <w:bookmarkEnd w:id="227"/>
      <w:bookmarkStart w:id="229" w:name="_Toc221356897"/>
      <w:bookmarkStart w:id="230" w:name="_Toc221356960"/>
      <w:bookmarkStart w:id="231" w:name="_Toc221374633"/>
      <w:r>
        <w:rPr>
          <w:rFonts w:hint="eastAsia" w:ascii="宋体" w:hAnsi="宋体" w:eastAsia="宋体" w:cs="Arial"/>
          <w:color w:val="auto"/>
          <w:sz w:val="36"/>
          <w:szCs w:val="36"/>
          <w:highlight w:val="none"/>
        </w:rPr>
        <w:t>合同主要条款</w:t>
      </w:r>
      <w:bookmarkEnd w:id="228"/>
    </w:p>
    <w:p w14:paraId="4821E6D6">
      <w:pPr>
        <w:pStyle w:val="33"/>
        <w:snapToGrid w:val="0"/>
        <w:spacing w:line="360" w:lineRule="auto"/>
        <w:jc w:val="center"/>
        <w:outlineLvl w:val="1"/>
        <w:rPr>
          <w:rFonts w:hAnsi="宋体" w:cs="宋体"/>
          <w:b/>
          <w:color w:val="auto"/>
          <w:sz w:val="22"/>
          <w:szCs w:val="22"/>
          <w:highlight w:val="none"/>
          <w:u w:val="wave"/>
        </w:rPr>
      </w:pPr>
    </w:p>
    <w:p w14:paraId="5D36D609">
      <w:pPr>
        <w:spacing w:line="460" w:lineRule="exact"/>
        <w:ind w:firstLine="330" w:firstLineChars="150"/>
        <w:rPr>
          <w:rFonts w:ascii="宋体" w:hAnsi="宋体" w:cs="宋体"/>
          <w:color w:val="auto"/>
          <w:sz w:val="32"/>
          <w:highlight w:val="none"/>
        </w:rPr>
      </w:pPr>
      <w:r>
        <w:rPr>
          <w:rFonts w:hint="eastAsia" w:ascii="宋体" w:hAnsi="宋体"/>
          <w:bCs/>
          <w:color w:val="auto"/>
          <w:sz w:val="22"/>
          <w:szCs w:val="22"/>
          <w:highlight w:val="none"/>
        </w:rPr>
        <w:t>本合同格式为参考模板，具体以双方协商签订为准，不得更改实质性内容。以下条款为甲乙双方必须遵守的基本条款，不得更改实质性内容，甲乙双方也可根据实际情况另签合同条款，正式合同以双方签字盖章的文本为准</w:t>
      </w:r>
      <w:r>
        <w:rPr>
          <w:rFonts w:hint="eastAsia" w:ascii="宋体" w:hAnsi="宋体" w:cs="宋体"/>
          <w:color w:val="auto"/>
          <w:sz w:val="22"/>
          <w:szCs w:val="22"/>
          <w:highlight w:val="none"/>
        </w:rPr>
        <w:t>。</w:t>
      </w:r>
    </w:p>
    <w:p w14:paraId="054C6513">
      <w:pPr>
        <w:spacing w:line="460" w:lineRule="exact"/>
        <w:jc w:val="center"/>
        <w:rPr>
          <w:rFonts w:ascii="宋体" w:hAnsi="宋体" w:cs="宋体"/>
          <w:b/>
          <w:color w:val="auto"/>
          <w:sz w:val="28"/>
          <w:szCs w:val="28"/>
          <w:highlight w:val="none"/>
        </w:rPr>
      </w:pPr>
    </w:p>
    <w:p w14:paraId="4AA3AEC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合同编号：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采购编号：</w:t>
      </w:r>
      <w:r>
        <w:rPr>
          <w:rFonts w:hint="eastAsia" w:ascii="宋体" w:hAnsi="宋体" w:cs="宋体"/>
          <w:color w:val="auto"/>
          <w:sz w:val="22"/>
          <w:szCs w:val="22"/>
          <w:highlight w:val="none"/>
          <w:u w:val="single"/>
        </w:rPr>
        <w:t xml:space="preserve">                  </w:t>
      </w:r>
    </w:p>
    <w:p w14:paraId="509DB1C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温州肯恩大学  </w:t>
      </w:r>
      <w:r>
        <w:rPr>
          <w:rFonts w:hint="eastAsia" w:ascii="宋体" w:hAnsi="宋体" w:cs="宋体"/>
          <w:color w:val="auto"/>
          <w:sz w:val="22"/>
          <w:szCs w:val="22"/>
          <w:highlight w:val="none"/>
        </w:rPr>
        <w:t xml:space="preserve"> </w:t>
      </w:r>
    </w:p>
    <w:p w14:paraId="1EC433C3">
      <w:p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p>
    <w:p w14:paraId="692A7A39">
      <w:pPr>
        <w:pStyle w:val="29"/>
        <w:ind w:left="1103" w:right="19" w:firstLine="560"/>
        <w:rPr>
          <w:color w:val="auto"/>
          <w:highlight w:val="none"/>
          <w:lang w:eastAsia="zh-CN"/>
        </w:rPr>
      </w:pPr>
    </w:p>
    <w:p w14:paraId="30ED75B9">
      <w:pPr>
        <w:spacing w:line="40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甲方接受乙方对本次服务项目的投标，甲乙双方根据《中华人民共和国民法典》等法规和本合同的招标文件、投标文件及其投标中的承诺，经双方协商，同意签订本合同，共同遵守。</w:t>
      </w:r>
    </w:p>
    <w:p w14:paraId="11BC706F">
      <w:pPr>
        <w:spacing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1、服务内容及价格（详细清单可附后）                                      单位： </w:t>
      </w:r>
      <w:r>
        <w:rPr>
          <w:rFonts w:hint="eastAsia" w:ascii="宋体" w:hAnsi="宋体" w:cs="宋体"/>
          <w:color w:val="auto"/>
          <w:sz w:val="22"/>
          <w:szCs w:val="22"/>
          <w:highlight w:val="none"/>
          <w:u w:val="single"/>
        </w:rPr>
        <w:t xml:space="preserve"> 元 </w:t>
      </w:r>
    </w:p>
    <w:tbl>
      <w:tblPr>
        <w:tblStyle w:val="6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061"/>
        <w:gridCol w:w="3061"/>
        <w:gridCol w:w="3070"/>
      </w:tblGrid>
      <w:tr w14:paraId="38D7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03E8708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539" w:type="pct"/>
            <w:vAlign w:val="center"/>
          </w:tcPr>
          <w:p w14:paraId="00CC2A2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服务名称</w:t>
            </w:r>
          </w:p>
        </w:tc>
        <w:tc>
          <w:tcPr>
            <w:tcW w:w="1539" w:type="pct"/>
            <w:vAlign w:val="center"/>
          </w:tcPr>
          <w:p w14:paraId="6B1A13C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服务内容</w:t>
            </w:r>
          </w:p>
        </w:tc>
        <w:tc>
          <w:tcPr>
            <w:tcW w:w="1542" w:type="pct"/>
            <w:shd w:val="clear" w:color="auto" w:fill="auto"/>
            <w:vAlign w:val="center"/>
          </w:tcPr>
          <w:p w14:paraId="37F0040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服务地点</w:t>
            </w:r>
          </w:p>
        </w:tc>
      </w:tr>
      <w:tr w14:paraId="481A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79" w:type="pct"/>
            <w:vAlign w:val="center"/>
          </w:tcPr>
          <w:p w14:paraId="395AE698">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39" w:type="pct"/>
            <w:vAlign w:val="center"/>
          </w:tcPr>
          <w:p w14:paraId="1E4F50FC">
            <w:pPr>
              <w:spacing w:line="400" w:lineRule="exact"/>
              <w:jc w:val="center"/>
              <w:rPr>
                <w:rFonts w:ascii="宋体" w:hAnsi="宋体" w:cs="宋体"/>
                <w:color w:val="auto"/>
                <w:sz w:val="22"/>
                <w:szCs w:val="22"/>
                <w:highlight w:val="none"/>
              </w:rPr>
            </w:pPr>
          </w:p>
        </w:tc>
        <w:tc>
          <w:tcPr>
            <w:tcW w:w="1539" w:type="pct"/>
            <w:vAlign w:val="center"/>
          </w:tcPr>
          <w:p w14:paraId="45FC10F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见合同附件</w:t>
            </w:r>
          </w:p>
        </w:tc>
        <w:tc>
          <w:tcPr>
            <w:tcW w:w="1542" w:type="pct"/>
            <w:vAlign w:val="center"/>
          </w:tcPr>
          <w:p w14:paraId="5F9C65A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指定地点</w:t>
            </w:r>
          </w:p>
        </w:tc>
      </w:tr>
      <w:tr w14:paraId="584F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5000" w:type="pct"/>
            <w:gridSpan w:val="4"/>
          </w:tcPr>
          <w:p w14:paraId="2F9FBD9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总价：（大写）                                              小写：￥       元</w:t>
            </w:r>
          </w:p>
        </w:tc>
      </w:tr>
    </w:tbl>
    <w:p w14:paraId="0008300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本合同总价为各种服务、各种税费、验收（含第三方验收）、采购代理服务费、售后服务等完成本项目所需的一切本身和不可或缺的所有开支、政策性文件规定及合同包含的所有风险、责任等各项全部费用。除发生下列因素可调整合同价外，不得以任何其他理由调整任何费用。甲方提出的服务内容变更或由乙方提出的合理化建议，经甲方同意采纳的变更，可根据原中标单价计算变更费用。但属乙方投标漏项少算的服务及配套设备费用不得追补。</w:t>
      </w:r>
    </w:p>
    <w:p w14:paraId="66BBF44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3、服务全程必须符合法律法规、行业行规；在服务期间，乙方对服务造成的任何问题或故障负责，所涉及的安全、人员健康等问题，由乙方承担责任，甲方可提供协助。</w:t>
      </w:r>
    </w:p>
    <w:p w14:paraId="7897E57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4、甲乙双方须指定联系人，如果服务期间需更改联系人，必须及时书面通知对方，否则造成服务问题，由更改方承担责任。甲方联系人：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；乙方联系人：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w:t>
      </w:r>
    </w:p>
    <w:p w14:paraId="292ED1C4">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5、付款方式与结算：</w:t>
      </w:r>
    </w:p>
    <w:p w14:paraId="187A54F3">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保单生效后一个月内验收合格后，采购人在收到中标人开具的发票后15个工作日内通过汇款方式一次性支付。（注：按照实际投保人数计算）。</w:t>
      </w:r>
    </w:p>
    <w:p w14:paraId="60AF2DFD">
      <w:pPr>
        <w:spacing w:line="400" w:lineRule="exact"/>
        <w:rPr>
          <w:rFonts w:ascii="宋体" w:hAnsi="宋体" w:cs="宋体"/>
          <w:b/>
          <w:color w:val="auto"/>
          <w:sz w:val="22"/>
          <w:szCs w:val="22"/>
          <w:highlight w:val="none"/>
        </w:rPr>
      </w:pPr>
      <w:r>
        <w:rPr>
          <w:rFonts w:hint="eastAsia" w:ascii="宋体" w:hAnsi="宋体" w:cs="宋体"/>
          <w:color w:val="auto"/>
          <w:sz w:val="22"/>
          <w:szCs w:val="22"/>
          <w:highlight w:val="none"/>
        </w:rPr>
        <w:t xml:space="preserve">  6、双方</w:t>
      </w:r>
      <w:bookmarkStart w:id="232" w:name="_Toc84779279"/>
      <w:r>
        <w:rPr>
          <w:rFonts w:hint="eastAsia" w:ascii="宋体" w:hAnsi="宋体" w:cs="宋体"/>
          <w:color w:val="auto"/>
          <w:sz w:val="22"/>
          <w:szCs w:val="22"/>
          <w:highlight w:val="none"/>
        </w:rPr>
        <w:t>的权利与义务</w:t>
      </w:r>
    </w:p>
    <w:p w14:paraId="71DD589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6.1 甲方</w:t>
      </w:r>
      <w:bookmarkEnd w:id="232"/>
    </w:p>
    <w:p w14:paraId="1C25042E">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1）提供相关的协助服务，配合乙方履行好合同义务；</w:t>
      </w:r>
    </w:p>
    <w:p w14:paraId="195F6D00">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2）审核乙方服务的内容，按合同规定向乙方支付服务费用；</w:t>
      </w:r>
    </w:p>
    <w:p w14:paraId="5C2B1691">
      <w:pPr>
        <w:spacing w:line="400" w:lineRule="exact"/>
        <w:ind w:firstLine="178" w:firstLineChars="81"/>
        <w:rPr>
          <w:rFonts w:ascii="宋体" w:hAnsi="宋体" w:cs="宋体"/>
          <w:color w:val="auto"/>
          <w:sz w:val="22"/>
          <w:szCs w:val="22"/>
          <w:highlight w:val="none"/>
        </w:rPr>
      </w:pPr>
      <w:r>
        <w:rPr>
          <w:rFonts w:hint="eastAsia" w:ascii="宋体" w:hAnsi="宋体" w:cs="宋体"/>
          <w:color w:val="auto"/>
          <w:sz w:val="22"/>
          <w:szCs w:val="22"/>
          <w:highlight w:val="none"/>
        </w:rPr>
        <w:t>3）甲方有全面准确了解保险条款内容的权利。</w:t>
      </w:r>
    </w:p>
    <w:p w14:paraId="3813071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6.2乙方</w:t>
      </w:r>
    </w:p>
    <w:p w14:paraId="3BD5D0CE">
      <w:pPr>
        <w:spacing w:line="400" w:lineRule="exact"/>
        <w:ind w:left="438" w:leftChars="156" w:hanging="110" w:hangingChars="50"/>
        <w:rPr>
          <w:rFonts w:ascii="宋体" w:hAnsi="宋体" w:cs="宋体"/>
          <w:color w:val="auto"/>
          <w:sz w:val="22"/>
          <w:szCs w:val="22"/>
          <w:highlight w:val="none"/>
        </w:rPr>
      </w:pPr>
      <w:r>
        <w:rPr>
          <w:rFonts w:hint="eastAsia" w:ascii="宋体" w:hAnsi="宋体" w:cs="宋体"/>
          <w:color w:val="auto"/>
          <w:sz w:val="22"/>
          <w:szCs w:val="22"/>
          <w:highlight w:val="none"/>
        </w:rPr>
        <w:t>1）乙方按合同规定的时间、条件和内容提供服务。</w:t>
      </w:r>
    </w:p>
    <w:p w14:paraId="26D5561C">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2）编制服务方案和参与服务人员的安排。</w:t>
      </w:r>
    </w:p>
    <w:p w14:paraId="58B5EBF6">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3）严格按照合同规定时间和要求进行优质的服务。</w:t>
      </w:r>
    </w:p>
    <w:p w14:paraId="54A551D8">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4）对服务过程出现的问题，无条件负责处理，直至甲方满意为止。</w:t>
      </w:r>
    </w:p>
    <w:p w14:paraId="15ECEADE">
      <w:pPr>
        <w:spacing w:line="40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5）招标文件中规定的其他责任。</w:t>
      </w:r>
    </w:p>
    <w:p w14:paraId="4853D3D1">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7、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响应文件、采购文件等约定的质量、数量、技术指标或者服务要求设验收指标及其标准。未约定的，应当符合国家强制性规定、政策要求、安全标准、行业或企业有关标准等。</w:t>
      </w:r>
    </w:p>
    <w:p w14:paraId="2A8050F5">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8、违约责任</w:t>
      </w:r>
    </w:p>
    <w:p w14:paraId="5C8638A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8.1服务质量责任</w:t>
      </w:r>
    </w:p>
    <w:p w14:paraId="0D53060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在服务期内，由于乙方原因，服务过程中发生质量问题，由乙方负责处理，实行整改、包修、包换、包退、直至符合质量要求。乙方承担整改、修理、调换、退货发生的一切费用和甲方的直接经济损失。由于甲方原因，由甲方负责，但乙方保证协助解决。</w:t>
      </w:r>
    </w:p>
    <w:p w14:paraId="7ADA17A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2）接到甲方通知后，温州及附近地区1小时内派人赴现场处理服务质量问题。</w:t>
      </w:r>
    </w:p>
    <w:p w14:paraId="5BB37114">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8.2违约赔偿</w:t>
      </w:r>
    </w:p>
    <w:p w14:paraId="04C2BBB6">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除不可抗力和特殊原因双方约定之外，如乙方发生不能按期提供服务，甲方发生终止服务等情况，应及时以书面形式通知对方。双方应本着友好的态度进行协商，妥善解决。</w:t>
      </w:r>
    </w:p>
    <w:p w14:paraId="0194B45E">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如协商无效，按下列规定处以罚金。</w:t>
      </w:r>
    </w:p>
    <w:p w14:paraId="05EB0D2C">
      <w:pPr>
        <w:numPr>
          <w:ilvl w:val="0"/>
          <w:numId w:val="48"/>
        </w:num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 xml:space="preserve"> 乙方无故未按时提供服务或中途临时暂停服务，每逾一日违约罚款按合同总价的0.2%计收；</w:t>
      </w:r>
      <w:r>
        <w:rPr>
          <w:rFonts w:hint="eastAsia" w:ascii="宋体" w:hAnsi="宋体" w:cs="宋体"/>
          <w:color w:val="auto"/>
          <w:sz w:val="22"/>
          <w:szCs w:val="22"/>
          <w:highlight w:val="none"/>
          <w:lang w:val="en-US" w:eastAsia="zh-CN"/>
        </w:rPr>
        <w:t>若</w:t>
      </w:r>
      <w:r>
        <w:rPr>
          <w:rFonts w:hint="eastAsia" w:ascii="宋体" w:hAnsi="宋体" w:cs="宋体"/>
          <w:color w:val="auto"/>
          <w:sz w:val="22"/>
          <w:szCs w:val="22"/>
          <w:highlight w:val="none"/>
        </w:rPr>
        <w:t xml:space="preserve">乙方逾期10个工作日及以上履行合同义务的，甲方有权解除本合同，并应向甲方一次性支付至合同总金额30%的违约赔偿金，甲方并保留依法追偿全部实际损失的权利。     </w:t>
      </w:r>
    </w:p>
    <w:p w14:paraId="741C9BA8">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2）乙方未履行服务或甲方终止服务项目</w:t>
      </w:r>
    </w:p>
    <w:p w14:paraId="66BD83A7">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乙方无故未履行服务，乙方需向甲方偿付违约金。违约金按合同总价的30%计算。</w:t>
      </w:r>
    </w:p>
    <w:p w14:paraId="1847BC83">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甲方无故终止服务项目，甲方向乙方偿付违约金。违约金的计算方法与乙方违约相同。</w:t>
      </w:r>
    </w:p>
    <w:p w14:paraId="2AFE0D59">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经双方协商同意延期履约或同意终止且无需罚款者不在此例。</w:t>
      </w:r>
    </w:p>
    <w:p w14:paraId="05F97921">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9、合同解除</w:t>
      </w:r>
    </w:p>
    <w:p w14:paraId="4C9A7D76">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9.1因不可抗力（战争、地震等）导致合同无法履行，双方可解除合同。</w:t>
      </w:r>
    </w:p>
    <w:p w14:paraId="6F34C480">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9.2乙方未履行服务，超过两个工作日，视为无能力履约，甲方可单方面解除合同。</w:t>
      </w:r>
    </w:p>
    <w:p w14:paraId="033A818B">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9.3经双方协商，可提前解除合同。</w:t>
      </w:r>
    </w:p>
    <w:p w14:paraId="4FBE0A75">
      <w:pPr>
        <w:spacing w:line="40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10、转让和分包</w:t>
      </w:r>
    </w:p>
    <w:p w14:paraId="58DCF659">
      <w:pPr>
        <w:spacing w:line="400" w:lineRule="exact"/>
        <w:ind w:left="270"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未经甲方事先书面同意，乙方不得部分转让或分包或全部转让其应履行的合同义务。</w:t>
      </w:r>
    </w:p>
    <w:p w14:paraId="530D644E">
      <w:pPr>
        <w:spacing w:line="400" w:lineRule="exact"/>
        <w:ind w:left="284"/>
        <w:rPr>
          <w:rFonts w:ascii="宋体" w:hAnsi="宋体" w:cs="宋体"/>
          <w:color w:val="auto"/>
          <w:sz w:val="22"/>
          <w:szCs w:val="22"/>
          <w:highlight w:val="none"/>
        </w:rPr>
      </w:pPr>
      <w:r>
        <w:rPr>
          <w:rFonts w:hint="eastAsia" w:ascii="宋体" w:hAnsi="宋体" w:cs="宋体"/>
          <w:color w:val="auto"/>
          <w:sz w:val="22"/>
          <w:szCs w:val="22"/>
          <w:highlight w:val="none"/>
        </w:rPr>
        <w:t>11、 争端的解决</w:t>
      </w:r>
    </w:p>
    <w:p w14:paraId="62097A87">
      <w:pPr>
        <w:spacing w:line="400" w:lineRule="exact"/>
        <w:ind w:left="270"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合同实施或与合同有关的一切争端，甲乙双方首先应通过友好协商解决，如果协商仍得不到解决，任何一方可向温州市瓯海区人民法院申请诉讼。</w:t>
      </w:r>
    </w:p>
    <w:p w14:paraId="373FD8EA">
      <w:pPr>
        <w:pStyle w:val="683"/>
        <w:spacing w:line="420" w:lineRule="exact"/>
        <w:ind w:firstLine="220" w:firstLineChars="100"/>
        <w:rPr>
          <w:rFonts w:ascii="宋体" w:hAnsi="宋体" w:eastAsia="宋体" w:cs="宋体"/>
          <w:color w:val="auto"/>
          <w:sz w:val="22"/>
          <w:szCs w:val="22"/>
          <w:highlight w:val="none"/>
        </w:rPr>
      </w:pPr>
      <w:r>
        <w:rPr>
          <w:rFonts w:hint="eastAsia" w:ascii="宋体" w:hAnsi="宋体" w:cs="宋体"/>
          <w:color w:val="auto"/>
          <w:sz w:val="22"/>
          <w:szCs w:val="22"/>
          <w:highlight w:val="none"/>
        </w:rPr>
        <w:t>12、</w:t>
      </w:r>
      <w:r>
        <w:rPr>
          <w:rFonts w:hint="eastAsia" w:ascii="宋体" w:hAnsi="宋体" w:eastAsia="宋体" w:cs="宋体"/>
          <w:color w:val="auto"/>
          <w:sz w:val="22"/>
          <w:szCs w:val="22"/>
          <w:highlight w:val="none"/>
        </w:rPr>
        <w:t>合同生效及其它</w:t>
      </w:r>
    </w:p>
    <w:p w14:paraId="0A0A8269">
      <w:pPr>
        <w:widowControl/>
        <w:adjustRightInd w:val="0"/>
        <w:snapToGrid w:val="0"/>
        <w:spacing w:line="420" w:lineRule="exact"/>
        <w:ind w:firstLine="220" w:firstLineChars="1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12.1  温州肯恩大学</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项目采购文件以及投标文件、询标记录、温州肯恩大学</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项目保密协议书和承诺书（如有）是本合同不可分割的组成部分，本合同未尽事宜从其规定。若本合同约定与前述文件约定不一致的，按照下列顺序予以解释：</w:t>
      </w:r>
    </w:p>
    <w:p w14:paraId="62C1DC16">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（1）本合同履行过程中双方签署的变更或补充合同（如有）；</w:t>
      </w:r>
    </w:p>
    <w:p w14:paraId="19083CA0">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（2）本合同；</w:t>
      </w:r>
    </w:p>
    <w:p w14:paraId="3ED6F64D">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（3）温州肯恩大学</w:t>
      </w:r>
      <w:r>
        <w:rPr>
          <w:rFonts w:hint="eastAsia" w:ascii="宋体" w:hAnsi="宋体" w:cs="宋体"/>
          <w:snapToGrid w:val="0"/>
          <w:color w:val="auto"/>
          <w:kern w:val="0"/>
          <w:sz w:val="22"/>
          <w:szCs w:val="22"/>
          <w:highlight w:val="none"/>
          <w:u w:val="single"/>
        </w:rPr>
        <w:t xml:space="preserve">       </w:t>
      </w:r>
      <w:r>
        <w:rPr>
          <w:rFonts w:hint="eastAsia" w:ascii="宋体" w:hAnsi="宋体" w:cs="宋体"/>
          <w:snapToGrid w:val="0"/>
          <w:color w:val="auto"/>
          <w:kern w:val="0"/>
          <w:sz w:val="22"/>
          <w:szCs w:val="22"/>
          <w:highlight w:val="none"/>
        </w:rPr>
        <w:t>项目保密协议书和承诺书；</w:t>
      </w:r>
    </w:p>
    <w:p w14:paraId="55222BA7">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（4）投标文件；</w:t>
      </w:r>
    </w:p>
    <w:p w14:paraId="1495E4ED">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（5）采购文件；</w:t>
      </w:r>
    </w:p>
    <w:p w14:paraId="44093CB3">
      <w:pPr>
        <w:widowControl/>
        <w:adjustRightInd w:val="0"/>
        <w:snapToGrid w:val="0"/>
        <w:spacing w:line="42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（6）其他合同文件。</w:t>
      </w:r>
    </w:p>
    <w:p w14:paraId="54A0B445">
      <w:pPr>
        <w:widowControl/>
        <w:adjustRightInd w:val="0"/>
        <w:snapToGrid w:val="0"/>
        <w:spacing w:line="420" w:lineRule="exact"/>
        <w:ind w:firstLine="220" w:firstLineChars="1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12.2  本合同经双方签字并盖章之日起生效。合同内容如遇国家法律、法规及政策另有规定的，从其规定。</w:t>
      </w:r>
    </w:p>
    <w:p w14:paraId="60849B31">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12.3  本合同一式肆份，甲方两份、乙方两份。合同经甲方、乙方双方签字盖章后生效。</w:t>
      </w:r>
    </w:p>
    <w:p w14:paraId="78D84682">
      <w:pPr>
        <w:spacing w:line="400" w:lineRule="exact"/>
        <w:ind w:left="270"/>
        <w:rPr>
          <w:rFonts w:ascii="宋体" w:hAnsi="宋体" w:cs="宋体"/>
          <w:b/>
          <w:color w:val="auto"/>
          <w:sz w:val="22"/>
          <w:szCs w:val="22"/>
          <w:highlight w:val="none"/>
        </w:rPr>
      </w:pPr>
      <w:r>
        <w:rPr>
          <w:rFonts w:hint="eastAsia" w:ascii="宋体" w:hAnsi="宋体" w:cs="宋体"/>
          <w:color w:val="auto"/>
          <w:sz w:val="22"/>
          <w:szCs w:val="22"/>
          <w:highlight w:val="none"/>
        </w:rPr>
        <w:t>12.4  如需修改或补充合同内容，经协商，双方应签署书面修改或补充协议，该协议将作为本合同的一个组成部分。</w:t>
      </w:r>
    </w:p>
    <w:p w14:paraId="43484F98">
      <w:pPr>
        <w:spacing w:line="400" w:lineRule="exact"/>
        <w:ind w:left="270"/>
        <w:rPr>
          <w:rFonts w:ascii="宋体" w:hAnsi="宋体" w:cs="宋体"/>
          <w:color w:val="auto"/>
          <w:sz w:val="22"/>
          <w:szCs w:val="22"/>
          <w:highlight w:val="none"/>
        </w:rPr>
      </w:pPr>
      <w:r>
        <w:rPr>
          <w:rFonts w:hint="eastAsia" w:ascii="宋体" w:hAnsi="宋体" w:cs="宋体"/>
          <w:color w:val="auto"/>
          <w:sz w:val="22"/>
          <w:szCs w:val="22"/>
          <w:highlight w:val="none"/>
        </w:rPr>
        <w:t xml:space="preserve">12.5  </w:t>
      </w:r>
      <w:r>
        <w:rPr>
          <w:rFonts w:hint="eastAsia" w:ascii="宋体" w:hAnsi="宋体" w:cs="宋体"/>
          <w:b/>
          <w:color w:val="auto"/>
          <w:sz w:val="22"/>
          <w:szCs w:val="22"/>
          <w:highlight w:val="none"/>
        </w:rPr>
        <w:t>本合同未尽事宜及对合同内容如有异议,以采购文件、响应文件和在招标现场承诺为准,</w:t>
      </w:r>
      <w:r>
        <w:rPr>
          <w:rFonts w:hint="eastAsia" w:ascii="宋体" w:hAnsi="宋体" w:cs="宋体"/>
          <w:color w:val="auto"/>
          <w:sz w:val="22"/>
          <w:szCs w:val="22"/>
          <w:highlight w:val="none"/>
        </w:rPr>
        <w:t>如遇国家法律、法规及政策另有规定的，从其规定。</w:t>
      </w:r>
    </w:p>
    <w:p w14:paraId="4E289F3F">
      <w:pPr>
        <w:pStyle w:val="25"/>
        <w:ind w:firstLine="210"/>
        <w:rPr>
          <w:color w:val="auto"/>
          <w:highlight w:val="none"/>
        </w:rPr>
      </w:pPr>
    </w:p>
    <w:p w14:paraId="7F5C0E2E">
      <w:pPr>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7ECDEE88">
      <w:pPr>
        <w:spacing w:line="420" w:lineRule="exact"/>
        <w:rPr>
          <w:rFonts w:ascii="宋体" w:hAnsi="宋体" w:cs="宋体"/>
          <w:color w:val="auto"/>
          <w:sz w:val="22"/>
          <w:szCs w:val="22"/>
          <w:highlight w:val="none"/>
        </w:rPr>
      </w:pPr>
    </w:p>
    <w:p w14:paraId="5C3E941F">
      <w:pPr>
        <w:pStyle w:val="33"/>
        <w:tabs>
          <w:tab w:val="left" w:pos="7935"/>
        </w:tabs>
        <w:snapToGrid w:val="0"/>
        <w:spacing w:line="42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3A936176">
      <w:pPr>
        <w:pStyle w:val="33"/>
        <w:snapToGrid w:val="0"/>
        <w:spacing w:line="420" w:lineRule="exact"/>
        <w:rPr>
          <w:rFonts w:hAnsi="宋体" w:cs="Arial"/>
          <w:color w:val="auto"/>
          <w:sz w:val="22"/>
          <w:szCs w:val="22"/>
          <w:highlight w:val="none"/>
        </w:rPr>
      </w:pPr>
      <w:r>
        <w:rPr>
          <w:rFonts w:hint="eastAsia" w:hAnsi="宋体" w:cs="Arial"/>
          <w:color w:val="auto"/>
          <w:sz w:val="22"/>
          <w:szCs w:val="22"/>
          <w:highlight w:val="none"/>
        </w:rPr>
        <w:t>（盖章）                                              （盖章）</w:t>
      </w:r>
    </w:p>
    <w:p w14:paraId="24D676CE">
      <w:pPr>
        <w:pStyle w:val="33"/>
        <w:snapToGrid w:val="0"/>
        <w:spacing w:line="42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4087D4FF">
      <w:pPr>
        <w:pStyle w:val="33"/>
        <w:snapToGrid w:val="0"/>
        <w:spacing w:line="420" w:lineRule="exact"/>
        <w:rPr>
          <w:rFonts w:hAnsi="宋体" w:cs="Arial"/>
          <w:color w:val="auto"/>
          <w:sz w:val="22"/>
          <w:szCs w:val="22"/>
          <w:highlight w:val="none"/>
        </w:rPr>
      </w:pPr>
      <w:r>
        <w:rPr>
          <w:rFonts w:hint="eastAsia" w:hAnsi="宋体" w:cs="Arial"/>
          <w:color w:val="auto"/>
          <w:sz w:val="22"/>
          <w:szCs w:val="22"/>
          <w:highlight w:val="none"/>
        </w:rPr>
        <w:t>地址：                                                 地址：</w:t>
      </w:r>
    </w:p>
    <w:p w14:paraId="67EF0DD6">
      <w:pPr>
        <w:pStyle w:val="33"/>
        <w:snapToGrid w:val="0"/>
        <w:spacing w:line="420" w:lineRule="exact"/>
        <w:rPr>
          <w:rFonts w:hAnsi="宋体" w:cs="Arial"/>
          <w:color w:val="auto"/>
          <w:sz w:val="22"/>
          <w:szCs w:val="22"/>
          <w:highlight w:val="none"/>
        </w:rPr>
      </w:pPr>
      <w:r>
        <w:rPr>
          <w:rFonts w:hint="eastAsia" w:hAnsi="宋体" w:cs="Arial"/>
          <w:color w:val="auto"/>
          <w:sz w:val="22"/>
          <w:szCs w:val="22"/>
          <w:highlight w:val="none"/>
        </w:rPr>
        <w:t>电话：                                                 电话：</w:t>
      </w:r>
    </w:p>
    <w:p w14:paraId="04C2AE92">
      <w:pPr>
        <w:pStyle w:val="33"/>
        <w:snapToGrid w:val="0"/>
        <w:spacing w:line="42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479F1BDE">
      <w:p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5C85290A">
      <w:pPr>
        <w:spacing w:line="400" w:lineRule="exact"/>
        <w:rPr>
          <w:rFonts w:ascii="宋体" w:hAnsi="宋体" w:cs="Arial"/>
          <w:color w:val="auto"/>
          <w:sz w:val="22"/>
          <w:szCs w:val="22"/>
          <w:highlight w:val="none"/>
        </w:rPr>
      </w:pPr>
      <w:r>
        <w:rPr>
          <w:rFonts w:hint="eastAsia" w:ascii="宋体" w:hAnsi="宋体" w:cs="Arial"/>
          <w:color w:val="auto"/>
          <w:sz w:val="22"/>
          <w:szCs w:val="22"/>
          <w:highlight w:val="none"/>
        </w:rPr>
        <w:t>日期：</w:t>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 xml:space="preserve">  </w:t>
      </w:r>
      <w:r>
        <w:rPr>
          <w:rFonts w:hint="eastAsia" w:ascii="宋体" w:hAnsi="宋体" w:cs="Arial"/>
          <w:color w:val="auto"/>
          <w:sz w:val="22"/>
          <w:szCs w:val="22"/>
          <w:highlight w:val="none"/>
        </w:rPr>
        <w:t>日期：</w:t>
      </w:r>
    </w:p>
    <w:p w14:paraId="21541AF5">
      <w:pPr>
        <w:spacing w:line="420" w:lineRule="exact"/>
        <w:rPr>
          <w:rFonts w:ascii="宋体" w:hAnsi="宋体" w:cs="Arial"/>
          <w:color w:val="auto"/>
          <w:sz w:val="22"/>
          <w:szCs w:val="22"/>
          <w:highlight w:val="none"/>
        </w:rPr>
      </w:pPr>
    </w:p>
    <w:p w14:paraId="4236958A">
      <w:pPr>
        <w:snapToGrid w:val="0"/>
        <w:spacing w:line="420" w:lineRule="exact"/>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注：本合同作为示范文本，具体以中标人与采购人所签定正式合同为准。</w:t>
      </w:r>
    </w:p>
    <w:p w14:paraId="48C9633D">
      <w:pPr>
        <w:rPr>
          <w:color w:val="auto"/>
          <w:highlight w:val="none"/>
        </w:rPr>
      </w:pPr>
    </w:p>
    <w:p w14:paraId="6EA77CC6">
      <w:pPr>
        <w:spacing w:line="460" w:lineRule="exact"/>
        <w:jc w:val="center"/>
        <w:rPr>
          <w:rFonts w:ascii="宋体" w:hAnsi="宋体" w:cs="宋体"/>
          <w:b/>
          <w:color w:val="auto"/>
          <w:sz w:val="28"/>
          <w:szCs w:val="28"/>
          <w:highlight w:val="none"/>
        </w:rPr>
      </w:pPr>
    </w:p>
    <w:p w14:paraId="18D30AAE">
      <w:pPr>
        <w:spacing w:line="460" w:lineRule="exact"/>
        <w:jc w:val="center"/>
        <w:rPr>
          <w:rFonts w:ascii="宋体" w:hAnsi="宋体" w:cs="宋体"/>
          <w:b/>
          <w:color w:val="auto"/>
          <w:sz w:val="28"/>
          <w:szCs w:val="28"/>
          <w:highlight w:val="none"/>
        </w:rPr>
      </w:pPr>
    </w:p>
    <w:p w14:paraId="0BC99A21">
      <w:pPr>
        <w:spacing w:line="460" w:lineRule="exact"/>
        <w:jc w:val="center"/>
        <w:rPr>
          <w:rFonts w:ascii="宋体" w:hAnsi="宋体" w:cs="宋体"/>
          <w:b/>
          <w:color w:val="auto"/>
          <w:sz w:val="28"/>
          <w:szCs w:val="28"/>
          <w:highlight w:val="none"/>
        </w:rPr>
      </w:pPr>
    </w:p>
    <w:p w14:paraId="29578D65">
      <w:pPr>
        <w:autoSpaceDE w:val="0"/>
        <w:autoSpaceDN w:val="0"/>
        <w:spacing w:line="460" w:lineRule="exact"/>
        <w:ind w:firstLine="431" w:firstLineChars="196"/>
        <w:textAlignment w:val="bottom"/>
        <w:rPr>
          <w:rFonts w:ascii="宋体" w:hAnsi="宋体"/>
          <w:color w:val="auto"/>
          <w:sz w:val="22"/>
          <w:szCs w:val="22"/>
          <w:highlight w:val="none"/>
        </w:rPr>
      </w:pPr>
    </w:p>
    <w:p w14:paraId="7D838D5C">
      <w:pPr>
        <w:rPr>
          <w:rFonts w:ascii="宋体" w:hAnsi="宋体" w:cs="宋体"/>
          <w:color w:val="auto"/>
          <w:sz w:val="22"/>
          <w:szCs w:val="22"/>
          <w:highlight w:val="none"/>
        </w:rPr>
      </w:pPr>
      <w:bookmarkStart w:id="233" w:name="_Toc839095951"/>
      <w:r>
        <w:rPr>
          <w:rFonts w:hint="eastAsia" w:ascii="宋体" w:hAnsi="宋体" w:cs="宋体"/>
          <w:color w:val="auto"/>
          <w:sz w:val="22"/>
          <w:szCs w:val="22"/>
          <w:highlight w:val="none"/>
        </w:rPr>
        <w:br w:type="page"/>
      </w:r>
    </w:p>
    <w:bookmarkEnd w:id="233"/>
    <w:p w14:paraId="6DD04E6E">
      <w:pPr>
        <w:pStyle w:val="3"/>
        <w:rPr>
          <w:rFonts w:ascii="宋体" w:hAnsi="宋体" w:eastAsia="宋体" w:cs="Arial"/>
          <w:color w:val="auto"/>
          <w:sz w:val="36"/>
          <w:szCs w:val="36"/>
          <w:highlight w:val="none"/>
        </w:rPr>
      </w:pPr>
      <w:bookmarkStart w:id="234" w:name="_Toc246261272"/>
      <w:bookmarkStart w:id="235" w:name="_Toc262105511"/>
      <w:bookmarkStart w:id="236" w:name="_Toc221423626"/>
      <w:bookmarkStart w:id="237" w:name="_Toc249758872"/>
      <w:bookmarkStart w:id="238" w:name="_Toc241404209"/>
      <w:bookmarkStart w:id="239" w:name="_Toc249758722"/>
      <w:bookmarkStart w:id="240" w:name="_Toc239145361"/>
      <w:bookmarkStart w:id="241" w:name="_Toc222114886"/>
      <w:bookmarkStart w:id="242" w:name="_Toc245722288"/>
      <w:bookmarkStart w:id="243" w:name="_Toc245191321"/>
      <w:bookmarkStart w:id="244" w:name="_Toc262049426"/>
      <w:bookmarkStart w:id="245" w:name="_Toc223716005"/>
      <w:bookmarkStart w:id="246" w:name="_Toc5185"/>
      <w:r>
        <w:rPr>
          <w:rFonts w:hint="eastAsia" w:ascii="宋体" w:hAnsi="宋体" w:eastAsia="宋体" w:cs="Arial"/>
          <w:color w:val="auto"/>
          <w:sz w:val="36"/>
          <w:szCs w:val="36"/>
          <w:highlight w:val="none"/>
        </w:rPr>
        <w:t xml:space="preserve">第五部分   </w:t>
      </w:r>
      <w:bookmarkEnd w:id="229"/>
      <w:bookmarkEnd w:id="230"/>
      <w:bookmarkEnd w:id="231"/>
      <w:bookmarkEnd w:id="234"/>
      <w:bookmarkEnd w:id="235"/>
      <w:bookmarkEnd w:id="236"/>
      <w:bookmarkEnd w:id="237"/>
      <w:bookmarkEnd w:id="238"/>
      <w:bookmarkEnd w:id="239"/>
      <w:bookmarkEnd w:id="240"/>
      <w:bookmarkEnd w:id="241"/>
      <w:bookmarkEnd w:id="242"/>
      <w:bookmarkEnd w:id="243"/>
      <w:bookmarkEnd w:id="244"/>
      <w:bookmarkEnd w:id="245"/>
      <w:r>
        <w:rPr>
          <w:rFonts w:hint="eastAsia" w:ascii="宋体" w:hAnsi="宋体" w:eastAsia="宋体" w:cs="Arial"/>
          <w:color w:val="auto"/>
          <w:sz w:val="36"/>
          <w:szCs w:val="36"/>
          <w:highlight w:val="none"/>
        </w:rPr>
        <w:t>附件</w:t>
      </w:r>
      <w:bookmarkEnd w:id="246"/>
    </w:p>
    <w:p w14:paraId="4E088821">
      <w:pPr>
        <w:rPr>
          <w:rFonts w:ascii="宋体" w:hAnsi="宋体"/>
          <w:color w:val="auto"/>
          <w:highlight w:val="none"/>
        </w:rPr>
      </w:pPr>
    </w:p>
    <w:p w14:paraId="359BF4F2">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5F241878">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资格审查材料</w:t>
      </w:r>
    </w:p>
    <w:p w14:paraId="6B046465">
      <w:pPr>
        <w:spacing w:line="460" w:lineRule="exact"/>
        <w:jc w:val="center"/>
        <w:rPr>
          <w:rFonts w:ascii="宋体" w:hAnsi="宋体" w:cs="仿宋"/>
          <w:color w:val="auto"/>
          <w:sz w:val="28"/>
          <w:szCs w:val="28"/>
          <w:highlight w:val="none"/>
        </w:rPr>
      </w:pPr>
    </w:p>
    <w:p w14:paraId="0AE38944">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1F23EF1D">
      <w:pPr>
        <w:spacing w:line="400" w:lineRule="exact"/>
        <w:rPr>
          <w:rFonts w:ascii="宋体" w:hAnsi="宋体"/>
          <w:color w:val="auto"/>
          <w:highlight w:val="none"/>
        </w:rPr>
      </w:pPr>
    </w:p>
    <w:p w14:paraId="09FD4869">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27F4655C">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8E275AB">
      <w:pPr>
        <w:spacing w:line="460" w:lineRule="exact"/>
        <w:rPr>
          <w:rFonts w:ascii="宋体" w:hAnsi="宋体"/>
          <w:color w:val="auto"/>
          <w:sz w:val="22"/>
          <w:szCs w:val="22"/>
          <w:highlight w:val="none"/>
          <w:u w:val="single"/>
        </w:rPr>
      </w:pPr>
    </w:p>
    <w:p w14:paraId="43DA62C0">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7818F88A">
      <w:pPr>
        <w:spacing w:line="400" w:lineRule="exact"/>
        <w:rPr>
          <w:rFonts w:ascii="宋体" w:hAnsi="宋体"/>
          <w:color w:val="auto"/>
          <w:highlight w:val="none"/>
        </w:rPr>
      </w:pPr>
    </w:p>
    <w:p w14:paraId="7CD70ED4">
      <w:pPr>
        <w:spacing w:line="400" w:lineRule="exact"/>
        <w:rPr>
          <w:rFonts w:ascii="宋体" w:hAnsi="宋体"/>
          <w:color w:val="auto"/>
          <w:highlight w:val="none"/>
        </w:rPr>
      </w:pPr>
    </w:p>
    <w:p w14:paraId="3280F88B">
      <w:pPr>
        <w:spacing w:line="400" w:lineRule="exact"/>
        <w:rPr>
          <w:rFonts w:ascii="宋体" w:hAnsi="宋体"/>
          <w:color w:val="auto"/>
          <w:highlight w:val="none"/>
        </w:rPr>
      </w:pPr>
    </w:p>
    <w:p w14:paraId="2CCD8F12">
      <w:pPr>
        <w:spacing w:line="460" w:lineRule="exact"/>
        <w:ind w:firstLine="3971" w:firstLineChars="1805"/>
        <w:rPr>
          <w:rFonts w:ascii="宋体" w:hAnsi="宋体"/>
          <w:color w:val="auto"/>
          <w:sz w:val="22"/>
          <w:szCs w:val="22"/>
          <w:highlight w:val="none"/>
        </w:rPr>
      </w:pPr>
    </w:p>
    <w:p w14:paraId="0DAFB5A7">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119C5116">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72898698">
      <w:pPr>
        <w:spacing w:line="460" w:lineRule="exact"/>
        <w:rPr>
          <w:rFonts w:ascii="宋体" w:hAnsi="宋体"/>
          <w:color w:val="auto"/>
          <w:sz w:val="22"/>
          <w:szCs w:val="22"/>
          <w:highlight w:val="none"/>
        </w:rPr>
      </w:pPr>
    </w:p>
    <w:p w14:paraId="35041C8F">
      <w:pPr>
        <w:widowControl/>
        <w:jc w:val="left"/>
        <w:rPr>
          <w:rFonts w:ascii="Arial" w:hAnsi="Arial" w:cs="Arial"/>
          <w:color w:val="auto"/>
          <w:szCs w:val="21"/>
          <w:highlight w:val="none"/>
        </w:rPr>
      </w:pPr>
    </w:p>
    <w:p w14:paraId="5E87730C">
      <w:pPr>
        <w:widowControl/>
        <w:jc w:val="left"/>
        <w:rPr>
          <w:rFonts w:ascii="Arial" w:hAnsi="Arial" w:cs="Arial"/>
          <w:color w:val="auto"/>
          <w:szCs w:val="21"/>
          <w:highlight w:val="none"/>
        </w:rPr>
      </w:pPr>
    </w:p>
    <w:p w14:paraId="1872EC1D">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w:t>
      </w:r>
      <w:r>
        <w:rPr>
          <w:rFonts w:ascii="Arial" w:hAnsi="Arial" w:cs="Arial"/>
          <w:color w:val="auto"/>
          <w:szCs w:val="21"/>
          <w:highlight w:val="none"/>
        </w:rPr>
        <w:br w:type="page"/>
      </w:r>
    </w:p>
    <w:p w14:paraId="746665E0">
      <w:pPr>
        <w:spacing w:line="360" w:lineRule="exact"/>
        <w:rPr>
          <w:rFonts w:ascii="Arial" w:hAnsi="Arial" w:cs="Arial"/>
          <w:color w:val="auto"/>
          <w:szCs w:val="21"/>
          <w:highlight w:val="none"/>
        </w:rPr>
      </w:pPr>
    </w:p>
    <w:p w14:paraId="0F969F75">
      <w:pPr>
        <w:spacing w:line="380" w:lineRule="exact"/>
        <w:jc w:val="center"/>
        <w:rPr>
          <w:rFonts w:ascii="宋体" w:hAnsi="宋体" w:cs="仿宋"/>
          <w:b/>
          <w:color w:val="auto"/>
          <w:sz w:val="22"/>
          <w:szCs w:val="22"/>
          <w:highlight w:val="none"/>
        </w:rPr>
      </w:pPr>
    </w:p>
    <w:p w14:paraId="3D8DBE27">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3BC3FE7D">
      <w:pPr>
        <w:spacing w:line="400" w:lineRule="exact"/>
        <w:jc w:val="center"/>
        <w:rPr>
          <w:rFonts w:ascii="宋体" w:hAnsi="宋体"/>
          <w:b/>
          <w:bCs/>
          <w:color w:val="auto"/>
          <w:sz w:val="28"/>
          <w:szCs w:val="28"/>
          <w:highlight w:val="none"/>
        </w:rPr>
      </w:pPr>
    </w:p>
    <w:p w14:paraId="4808BDC4">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5ADD1937">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6B572C38">
      <w:pPr>
        <w:spacing w:line="460" w:lineRule="exact"/>
        <w:rPr>
          <w:rFonts w:ascii="宋体" w:hAnsi="宋体"/>
          <w:color w:val="auto"/>
          <w:sz w:val="22"/>
          <w:szCs w:val="22"/>
          <w:highlight w:val="none"/>
          <w:u w:val="single"/>
        </w:rPr>
      </w:pPr>
    </w:p>
    <w:p w14:paraId="7101E7B3">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31D3557B">
      <w:pPr>
        <w:spacing w:line="460" w:lineRule="exact"/>
        <w:ind w:firstLine="220" w:firstLineChars="100"/>
        <w:rPr>
          <w:rFonts w:ascii="宋体" w:hAnsi="宋体"/>
          <w:color w:val="auto"/>
          <w:sz w:val="22"/>
          <w:szCs w:val="22"/>
          <w:highlight w:val="none"/>
        </w:rPr>
      </w:pPr>
    </w:p>
    <w:p w14:paraId="14C2E503">
      <w:pPr>
        <w:spacing w:line="460" w:lineRule="exact"/>
        <w:ind w:firstLine="550" w:firstLineChars="250"/>
        <w:rPr>
          <w:rFonts w:ascii="宋体" w:hAnsi="宋体"/>
          <w:color w:val="auto"/>
          <w:sz w:val="22"/>
          <w:szCs w:val="22"/>
          <w:highlight w:val="none"/>
        </w:rPr>
      </w:pPr>
    </w:p>
    <w:p w14:paraId="648ACD70">
      <w:pPr>
        <w:spacing w:line="460" w:lineRule="exact"/>
        <w:ind w:firstLine="2955"/>
        <w:rPr>
          <w:rFonts w:ascii="宋体" w:hAnsi="宋体"/>
          <w:color w:val="auto"/>
          <w:sz w:val="22"/>
          <w:szCs w:val="22"/>
          <w:highlight w:val="none"/>
        </w:rPr>
      </w:pPr>
    </w:p>
    <w:p w14:paraId="0C9247D3">
      <w:pPr>
        <w:spacing w:line="460" w:lineRule="exact"/>
        <w:ind w:firstLine="2955"/>
        <w:rPr>
          <w:rFonts w:ascii="宋体" w:hAnsi="宋体"/>
          <w:color w:val="auto"/>
          <w:sz w:val="22"/>
          <w:szCs w:val="22"/>
          <w:highlight w:val="none"/>
        </w:rPr>
      </w:pPr>
    </w:p>
    <w:p w14:paraId="42CF5DF5">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0C54A74C">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23080F11">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69D2067B">
      <w:pPr>
        <w:spacing w:line="460" w:lineRule="exact"/>
        <w:rPr>
          <w:rFonts w:ascii="宋体" w:hAnsi="宋体"/>
          <w:color w:val="auto"/>
          <w:sz w:val="22"/>
          <w:szCs w:val="22"/>
          <w:highlight w:val="none"/>
        </w:rPr>
      </w:pPr>
    </w:p>
    <w:p w14:paraId="7175CAAE">
      <w:pPr>
        <w:spacing w:line="460" w:lineRule="exact"/>
        <w:rPr>
          <w:rFonts w:ascii="宋体" w:hAnsi="宋体"/>
          <w:color w:val="auto"/>
          <w:sz w:val="22"/>
          <w:szCs w:val="22"/>
          <w:highlight w:val="none"/>
        </w:rPr>
      </w:pPr>
    </w:p>
    <w:p w14:paraId="515BCB78">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p>
    <w:p w14:paraId="74C7230B">
      <w:pPr>
        <w:widowControl/>
        <w:jc w:val="left"/>
        <w:rPr>
          <w:rFonts w:ascii="宋体" w:hAnsi="宋体"/>
          <w:b/>
          <w:bCs/>
          <w:color w:val="auto"/>
          <w:highlight w:val="none"/>
        </w:rPr>
      </w:pPr>
    </w:p>
    <w:p w14:paraId="0A6D4108">
      <w:pPr>
        <w:widowControl/>
        <w:jc w:val="left"/>
        <w:rPr>
          <w:rFonts w:ascii="宋体" w:hAnsi="宋体"/>
          <w:b/>
          <w:bCs/>
          <w:color w:val="auto"/>
          <w:highlight w:val="none"/>
        </w:rPr>
      </w:pPr>
    </w:p>
    <w:p w14:paraId="3619B0C3">
      <w:pPr>
        <w:widowControl/>
        <w:jc w:val="left"/>
        <w:rPr>
          <w:rFonts w:ascii="宋体" w:hAnsi="宋体"/>
          <w:b/>
          <w:bCs/>
          <w:color w:val="auto"/>
          <w:highlight w:val="none"/>
        </w:rPr>
      </w:pPr>
    </w:p>
    <w:p w14:paraId="5C1E52AF">
      <w:pPr>
        <w:widowControl/>
        <w:jc w:val="left"/>
        <w:rPr>
          <w:rFonts w:ascii="宋体" w:hAnsi="宋体"/>
          <w:b/>
          <w:bCs/>
          <w:color w:val="auto"/>
          <w:highlight w:val="none"/>
        </w:rPr>
      </w:pPr>
    </w:p>
    <w:p w14:paraId="1B3288EF">
      <w:pPr>
        <w:widowControl/>
        <w:jc w:val="left"/>
        <w:rPr>
          <w:rFonts w:ascii="宋体" w:hAnsi="宋体"/>
          <w:b/>
          <w:bCs/>
          <w:color w:val="auto"/>
          <w:highlight w:val="none"/>
        </w:rPr>
      </w:pPr>
    </w:p>
    <w:p w14:paraId="5436B535">
      <w:pPr>
        <w:widowControl/>
        <w:jc w:val="left"/>
        <w:rPr>
          <w:rFonts w:ascii="宋体" w:hAnsi="宋体"/>
          <w:b/>
          <w:bCs/>
          <w:color w:val="auto"/>
          <w:highlight w:val="none"/>
        </w:rPr>
      </w:pPr>
    </w:p>
    <w:p w14:paraId="7FA05211">
      <w:pPr>
        <w:widowControl/>
        <w:jc w:val="left"/>
        <w:rPr>
          <w:rFonts w:ascii="宋体" w:hAnsi="宋体"/>
          <w:b/>
          <w:bCs/>
          <w:color w:val="auto"/>
          <w:highlight w:val="none"/>
        </w:rPr>
      </w:pPr>
    </w:p>
    <w:p w14:paraId="3A3E37BA">
      <w:pPr>
        <w:widowControl/>
        <w:jc w:val="left"/>
        <w:rPr>
          <w:rFonts w:ascii="宋体" w:hAnsi="宋体"/>
          <w:b/>
          <w:bCs/>
          <w:color w:val="auto"/>
          <w:highlight w:val="none"/>
        </w:rPr>
      </w:pPr>
    </w:p>
    <w:p w14:paraId="2D10DC99">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4A5C7404">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w:t>
      </w:r>
      <w:r>
        <w:rPr>
          <w:rFonts w:hint="eastAsia" w:ascii="宋体" w:hAnsi="宋体"/>
          <w:b/>
          <w:color w:val="auto"/>
          <w:sz w:val="22"/>
          <w:szCs w:val="22"/>
          <w:highlight w:val="none"/>
        </w:rPr>
        <w:t>；</w:t>
      </w:r>
    </w:p>
    <w:p w14:paraId="6196DEFE">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r>
        <w:rPr>
          <w:rFonts w:hint="eastAsia" w:ascii="宋体" w:hAnsi="宋体" w:cs="Courier New"/>
          <w:b/>
          <w:color w:val="auto"/>
          <w:sz w:val="22"/>
          <w:szCs w:val="22"/>
          <w:highlight w:val="none"/>
        </w:rPr>
        <w:t>。</w:t>
      </w:r>
    </w:p>
    <w:p w14:paraId="020C2233">
      <w:pPr>
        <w:spacing w:line="460" w:lineRule="exact"/>
        <w:rPr>
          <w:rFonts w:ascii="宋体" w:hAnsi="宋体"/>
          <w:color w:val="auto"/>
          <w:sz w:val="22"/>
          <w:szCs w:val="22"/>
          <w:highlight w:val="none"/>
        </w:rPr>
      </w:pPr>
    </w:p>
    <w:p w14:paraId="59B1CB12">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173C6D9B">
      <w:pPr>
        <w:spacing w:line="380" w:lineRule="exact"/>
        <w:jc w:val="center"/>
        <w:rPr>
          <w:rFonts w:ascii="宋体" w:hAnsi="宋体"/>
          <w:b/>
          <w:bCs/>
          <w:color w:val="auto"/>
          <w:sz w:val="32"/>
          <w:highlight w:val="none"/>
        </w:rPr>
      </w:pPr>
    </w:p>
    <w:p w14:paraId="167BDDAE">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（2）投标人参与招标活动投标资格声明函</w:t>
      </w:r>
    </w:p>
    <w:p w14:paraId="6C4D8FD9">
      <w:pPr>
        <w:widowControl/>
        <w:adjustRightInd w:val="0"/>
        <w:snapToGrid w:val="0"/>
        <w:spacing w:line="360" w:lineRule="auto"/>
        <w:jc w:val="left"/>
        <w:rPr>
          <w:rFonts w:ascii="宋体" w:hAnsi="宋体" w:cs="新宋体"/>
          <w:color w:val="auto"/>
          <w:kern w:val="0"/>
          <w:sz w:val="22"/>
          <w:szCs w:val="22"/>
          <w:highlight w:val="none"/>
        </w:rPr>
      </w:pPr>
    </w:p>
    <w:p w14:paraId="0BD0134E">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olor w:val="auto"/>
          <w:sz w:val="22"/>
          <w:szCs w:val="22"/>
          <w:highlight w:val="none"/>
        </w:rPr>
        <w:t>温州肯恩大学</w:t>
      </w:r>
      <w:r>
        <w:rPr>
          <w:rFonts w:hint="eastAsia" w:ascii="宋体" w:hAnsi="宋体" w:cs="新宋体"/>
          <w:color w:val="auto"/>
          <w:kern w:val="0"/>
          <w:sz w:val="22"/>
          <w:szCs w:val="22"/>
          <w:highlight w:val="none"/>
        </w:rPr>
        <w:t>：</w:t>
      </w:r>
    </w:p>
    <w:p w14:paraId="225360C0">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温州元信工程项目管理有限公司：</w:t>
      </w:r>
    </w:p>
    <w:p w14:paraId="59100AFB">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我单位参与</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项目</w:t>
      </w:r>
      <w:r>
        <w:rPr>
          <w:rFonts w:ascii="宋体" w:hAnsi="宋体" w:cs="新宋体"/>
          <w:color w:val="auto"/>
          <w:kern w:val="0"/>
          <w:sz w:val="22"/>
          <w:szCs w:val="22"/>
          <w:highlight w:val="none"/>
        </w:rPr>
        <w:t>投标，现声明如下：</w:t>
      </w:r>
    </w:p>
    <w:p w14:paraId="6686F04A">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1、我单位具有良好的商业信誉和健全的财务会计制度。</w:t>
      </w:r>
    </w:p>
    <w:p w14:paraId="234CC8EA">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2</w:t>
      </w:r>
      <w:r>
        <w:rPr>
          <w:rFonts w:hint="eastAsia" w:ascii="宋体" w:hAnsi="宋体" w:cs="新宋体"/>
          <w:color w:val="auto"/>
          <w:kern w:val="0"/>
          <w:sz w:val="22"/>
          <w:szCs w:val="22"/>
          <w:highlight w:val="none"/>
        </w:rPr>
        <w:t>、我单位具有依法缴纳税收和社会保障资金的良好记录。</w:t>
      </w:r>
    </w:p>
    <w:p w14:paraId="06A91F61">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3</w:t>
      </w:r>
      <w:r>
        <w:rPr>
          <w:rFonts w:hint="eastAsia" w:ascii="宋体" w:hAnsi="宋体" w:cs="新宋体"/>
          <w:color w:val="auto"/>
          <w:kern w:val="0"/>
          <w:sz w:val="22"/>
          <w:szCs w:val="22"/>
          <w:highlight w:val="none"/>
        </w:rPr>
        <w:t>、我单位具有履行本项目政府采购合同所必需的系统和专业技术能力。</w:t>
      </w:r>
    </w:p>
    <w:p w14:paraId="51422FA9">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4、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CD841A8">
      <w:pPr>
        <w:pStyle w:val="24"/>
        <w:spacing w:line="360" w:lineRule="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5、我单位符合本项目特定资格条件：</w:t>
      </w:r>
      <w:r>
        <w:rPr>
          <w:rFonts w:hint="eastAsia" w:ascii="宋体" w:hAnsi="宋体" w:cs="新宋体"/>
          <w:color w:val="auto"/>
          <w:kern w:val="0"/>
          <w:sz w:val="22"/>
          <w:szCs w:val="22"/>
          <w:highlight w:val="none"/>
          <w:u w:val="single"/>
        </w:rPr>
        <w:t xml:space="preserve">        </w:t>
      </w:r>
      <w:r>
        <w:rPr>
          <w:rFonts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 xml:space="preserve"> 的要求，并在投标文件中提供了相应的证明材料（招标文件没有要求特定资格条件的，本条款空格处可以空白）</w:t>
      </w:r>
    </w:p>
    <w:p w14:paraId="1F295AFF">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以上事项如有虚假，招标人可取消我方任何资格（投标/中标/签订合同），我方对此无任何异议。</w:t>
      </w:r>
    </w:p>
    <w:p w14:paraId="1631FDDD">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34A19339">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特此承诺！</w:t>
      </w:r>
    </w:p>
    <w:p w14:paraId="6CA6FE1E">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3AEBF29E">
      <w:pPr>
        <w:pStyle w:val="24"/>
        <w:rPr>
          <w:color w:val="auto"/>
          <w:highlight w:val="none"/>
        </w:rPr>
      </w:pPr>
    </w:p>
    <w:p w14:paraId="5CB0783E">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投标人全称（盖章）：</w:t>
      </w:r>
    </w:p>
    <w:p w14:paraId="3EBA96BB">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投标人代表（</w:t>
      </w:r>
      <w:r>
        <w:rPr>
          <w:rFonts w:hint="eastAsia" w:ascii="宋体" w:hAnsi="宋体" w:cs="新宋体"/>
          <w:color w:val="auto"/>
          <w:sz w:val="22"/>
          <w:szCs w:val="22"/>
          <w:highlight w:val="none"/>
        </w:rPr>
        <w:t>签字或盖章</w:t>
      </w:r>
      <w:r>
        <w:rPr>
          <w:rFonts w:hint="eastAsia" w:ascii="宋体" w:hAnsi="宋体" w:cs="新宋体"/>
          <w:color w:val="auto"/>
          <w:kern w:val="0"/>
          <w:sz w:val="22"/>
          <w:szCs w:val="22"/>
          <w:highlight w:val="none"/>
        </w:rPr>
        <w:t>）：</w:t>
      </w:r>
    </w:p>
    <w:p w14:paraId="0DFA77A6">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日          期：  年  月  日</w:t>
      </w:r>
    </w:p>
    <w:p w14:paraId="0E3E3AA5">
      <w:pPr>
        <w:pStyle w:val="24"/>
        <w:rPr>
          <w:color w:val="auto"/>
          <w:highlight w:val="none"/>
        </w:rPr>
      </w:pPr>
    </w:p>
    <w:p w14:paraId="42E74F6D">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0849087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（3）诚信投标承诺书</w:t>
      </w:r>
    </w:p>
    <w:p w14:paraId="503B17DA">
      <w:pPr>
        <w:ind w:right="-153" w:rightChars="-73"/>
        <w:jc w:val="center"/>
        <w:rPr>
          <w:rFonts w:ascii="宋体" w:hAnsi="宋体"/>
          <w:color w:val="auto"/>
          <w:sz w:val="22"/>
          <w:szCs w:val="22"/>
          <w:highlight w:val="none"/>
        </w:rPr>
      </w:pPr>
    </w:p>
    <w:p w14:paraId="59B50BB6">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3DA76A28">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337F000B">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00C9EEA3">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主动了解招标人招投标纪律，积极配合招标人执行招投标廉政建设的有关规定。</w:t>
      </w:r>
    </w:p>
    <w:p w14:paraId="39C232BF">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5CBAA2FB">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53E8D0BF">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095F35AE">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不向招标人及个人购置或提供通讯工具、交通工具和高档办公用品等。</w:t>
      </w:r>
    </w:p>
    <w:p w14:paraId="2C3DDEAB">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不向招标人涉及招标的人员的配偶、子女分包此次招标项目。</w:t>
      </w:r>
    </w:p>
    <w:p w14:paraId="0325C335">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不向招标人及个人支付好处费、介绍费。</w:t>
      </w:r>
    </w:p>
    <w:p w14:paraId="51ED7E32">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48CCA72B">
      <w:pPr>
        <w:numPr>
          <w:ilvl w:val="0"/>
          <w:numId w:val="49"/>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01E810C0">
      <w:pPr>
        <w:snapToGrid w:val="0"/>
        <w:spacing w:line="500" w:lineRule="exact"/>
        <w:ind w:firstLine="385" w:firstLineChars="175"/>
        <w:rPr>
          <w:rFonts w:ascii="宋体" w:hAnsi="宋体"/>
          <w:color w:val="auto"/>
          <w:sz w:val="22"/>
          <w:szCs w:val="22"/>
          <w:highlight w:val="none"/>
        </w:rPr>
      </w:pPr>
    </w:p>
    <w:p w14:paraId="3E4C2A3B">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投标人全称(盖章)</w:t>
      </w:r>
      <w:r>
        <w:rPr>
          <w:rFonts w:hint="eastAsia" w:ascii="宋体" w:hAnsi="宋体"/>
          <w:color w:val="auto"/>
          <w:sz w:val="22"/>
          <w:szCs w:val="22"/>
          <w:highlight w:val="none"/>
          <w:u w:val="single"/>
        </w:rPr>
        <w:t xml:space="preserve">                    </w:t>
      </w:r>
    </w:p>
    <w:p w14:paraId="5C800A09">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投标人代表（</w:t>
      </w:r>
      <w:r>
        <w:rPr>
          <w:rFonts w:hint="eastAsia" w:ascii="宋体" w:hAnsi="宋体" w:cs="新宋体"/>
          <w:color w:val="auto"/>
          <w:sz w:val="22"/>
          <w:szCs w:val="22"/>
          <w:highlight w:val="none"/>
        </w:rPr>
        <w:t>签字或盖章</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p>
    <w:p w14:paraId="512ECCBC">
      <w:pPr>
        <w:spacing w:line="440" w:lineRule="exact"/>
        <w:rPr>
          <w:rFonts w:ascii="宋体" w:hAnsi="宋体"/>
          <w:color w:val="auto"/>
          <w:sz w:val="22"/>
          <w:szCs w:val="22"/>
          <w:highlight w:val="none"/>
          <w:u w:val="single"/>
        </w:rPr>
      </w:pPr>
      <w:r>
        <w:rPr>
          <w:rFonts w:hint="eastAsia" w:ascii="宋体" w:hAnsi="宋体"/>
          <w:color w:val="auto"/>
          <w:sz w:val="22"/>
          <w:szCs w:val="22"/>
          <w:highlight w:val="none"/>
        </w:rPr>
        <w:t xml:space="preserve">                                                   日 期</w:t>
      </w:r>
      <w:r>
        <w:rPr>
          <w:rFonts w:hint="eastAsia" w:ascii="宋体" w:hAnsi="宋体"/>
          <w:color w:val="auto"/>
          <w:sz w:val="22"/>
          <w:szCs w:val="22"/>
          <w:highlight w:val="none"/>
          <w:u w:val="single"/>
        </w:rPr>
        <w:t xml:space="preserve">                               </w:t>
      </w:r>
    </w:p>
    <w:p w14:paraId="4D2621FA">
      <w:pPr>
        <w:pStyle w:val="25"/>
        <w:ind w:firstLine="220"/>
        <w:rPr>
          <w:rFonts w:ascii="宋体" w:hAnsi="宋体"/>
          <w:color w:val="auto"/>
          <w:sz w:val="22"/>
          <w:szCs w:val="22"/>
          <w:highlight w:val="none"/>
          <w:u w:val="single"/>
        </w:rPr>
      </w:pPr>
    </w:p>
    <w:p w14:paraId="6CD8452E">
      <w:pPr>
        <w:spacing w:line="360" w:lineRule="auto"/>
        <w:rPr>
          <w:rFonts w:ascii="宋体" w:hAnsi="宋体"/>
          <w:color w:val="auto"/>
          <w:sz w:val="22"/>
          <w:szCs w:val="22"/>
          <w:highlight w:val="none"/>
        </w:rPr>
      </w:pPr>
    </w:p>
    <w:p w14:paraId="51EAA504">
      <w:pPr>
        <w:spacing w:line="380" w:lineRule="exact"/>
        <w:rPr>
          <w:rFonts w:ascii="宋体" w:hAnsi="宋体"/>
          <w:b/>
          <w:bCs/>
          <w:color w:val="auto"/>
          <w:sz w:val="22"/>
          <w:szCs w:val="22"/>
          <w:highlight w:val="none"/>
        </w:rPr>
      </w:pPr>
    </w:p>
    <w:p w14:paraId="32EE44B7">
      <w:pPr>
        <w:spacing w:line="380" w:lineRule="exact"/>
        <w:rPr>
          <w:rFonts w:ascii="宋体" w:hAnsi="宋体"/>
          <w:b/>
          <w:bCs/>
          <w:color w:val="auto"/>
          <w:sz w:val="22"/>
          <w:szCs w:val="22"/>
          <w:highlight w:val="none"/>
        </w:rPr>
      </w:pPr>
    </w:p>
    <w:p w14:paraId="63B1AF23">
      <w:pPr>
        <w:spacing w:line="380" w:lineRule="exact"/>
        <w:rPr>
          <w:rFonts w:ascii="宋体" w:hAnsi="宋体"/>
          <w:b/>
          <w:bCs/>
          <w:color w:val="auto"/>
          <w:sz w:val="22"/>
          <w:szCs w:val="22"/>
          <w:highlight w:val="none"/>
        </w:rPr>
      </w:pPr>
    </w:p>
    <w:p w14:paraId="327D9164">
      <w:pPr>
        <w:widowControl/>
        <w:jc w:val="lef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14:paraId="37D4DAB5">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69F7B32B">
      <w:pPr>
        <w:pStyle w:val="33"/>
        <w:snapToGrid w:val="0"/>
        <w:spacing w:line="440" w:lineRule="exact"/>
        <w:rPr>
          <w:rFonts w:ascii="宋体" w:hAnsi="宋体" w:eastAsia="宋体"/>
          <w:color w:val="auto"/>
          <w:sz w:val="22"/>
          <w:szCs w:val="22"/>
          <w:highlight w:val="none"/>
        </w:rPr>
      </w:pPr>
      <w:r>
        <w:rPr>
          <w:rFonts w:hint="eastAsia" w:ascii="宋体" w:hAnsi="宋体"/>
          <w:b/>
          <w:color w:val="auto"/>
          <w:sz w:val="22"/>
          <w:highlight w:val="none"/>
        </w:rPr>
        <w:t xml:space="preserve">  </w:t>
      </w:r>
      <w:r>
        <w:rPr>
          <w:rFonts w:ascii="宋体" w:hAnsi="宋体" w:eastAsia="宋体"/>
          <w:color w:val="auto"/>
          <w:sz w:val="22"/>
          <w:szCs w:val="22"/>
          <w:highlight w:val="none"/>
        </w:rPr>
        <w:t>项目名称：</w:t>
      </w:r>
      <w:r>
        <w:rPr>
          <w:rFonts w:ascii="宋体" w:hAnsi="宋体" w:eastAsia="宋体"/>
          <w:color w:val="auto"/>
          <w:sz w:val="22"/>
          <w:szCs w:val="22"/>
          <w:highlight w:val="none"/>
          <w:u w:val="none"/>
        </w:rPr>
        <w:t xml:space="preserve"> </w:t>
      </w:r>
      <w:r>
        <w:rPr>
          <w:rFonts w:hint="eastAsia" w:hAnsi="宋体"/>
          <w:color w:val="auto"/>
          <w:sz w:val="22"/>
          <w:szCs w:val="22"/>
          <w:highlight w:val="none"/>
          <w:u w:val="none"/>
          <w:lang w:val="en-US" w:eastAsia="zh-CN"/>
        </w:rPr>
        <w:t xml:space="preserve">                                               </w:t>
      </w:r>
      <w:r>
        <w:rPr>
          <w:rFonts w:ascii="宋体" w:hAnsi="宋体" w:eastAsia="宋体"/>
          <w:color w:val="auto"/>
          <w:sz w:val="22"/>
          <w:szCs w:val="22"/>
          <w:highlight w:val="none"/>
        </w:rPr>
        <w:t xml:space="preserve">招标编号： </w:t>
      </w:r>
    </w:p>
    <w:tbl>
      <w:tblPr>
        <w:tblStyle w:val="62"/>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861"/>
        <w:gridCol w:w="2965"/>
        <w:gridCol w:w="1763"/>
        <w:gridCol w:w="1638"/>
        <w:gridCol w:w="1327"/>
      </w:tblGrid>
      <w:tr w14:paraId="0B12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05" w:type="pct"/>
            <w:noWrap w:val="0"/>
            <w:vAlign w:val="center"/>
          </w:tcPr>
          <w:p w14:paraId="4082667E">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序号</w:t>
            </w:r>
          </w:p>
        </w:tc>
        <w:tc>
          <w:tcPr>
            <w:tcW w:w="895" w:type="pct"/>
            <w:noWrap w:val="0"/>
            <w:vAlign w:val="center"/>
          </w:tcPr>
          <w:p w14:paraId="6B3A63D4">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名称</w:t>
            </w:r>
          </w:p>
        </w:tc>
        <w:tc>
          <w:tcPr>
            <w:tcW w:w="1426" w:type="pct"/>
            <w:noWrap w:val="0"/>
            <w:vAlign w:val="center"/>
          </w:tcPr>
          <w:p w14:paraId="4740C564">
            <w:pPr>
              <w:spacing w:line="360" w:lineRule="auto"/>
              <w:jc w:val="center"/>
              <w:rPr>
                <w:rFonts w:hint="eastAsia" w:ascii="宋体" w:hAnsi="宋体" w:eastAsia="宋体" w:cs="Times New Roman"/>
                <w:bCs/>
                <w:color w:val="auto"/>
                <w:sz w:val="22"/>
                <w:szCs w:val="22"/>
                <w:highlight w:val="none"/>
                <w:lang w:eastAsia="zh-CN"/>
              </w:rPr>
            </w:pPr>
            <w:r>
              <w:rPr>
                <w:rFonts w:hint="eastAsia" w:ascii="宋体" w:hAnsi="宋体" w:eastAsia="宋体" w:cs="Times New Roman"/>
                <w:bCs/>
                <w:color w:val="auto"/>
                <w:sz w:val="22"/>
                <w:szCs w:val="22"/>
                <w:highlight w:val="none"/>
                <w:lang w:val="en-US" w:eastAsia="zh-CN"/>
              </w:rPr>
              <w:t>项目内容</w:t>
            </w:r>
          </w:p>
        </w:tc>
        <w:tc>
          <w:tcPr>
            <w:tcW w:w="848" w:type="pct"/>
            <w:noWrap w:val="0"/>
            <w:vAlign w:val="center"/>
          </w:tcPr>
          <w:p w14:paraId="1529210C">
            <w:pPr>
              <w:spacing w:line="360" w:lineRule="auto"/>
              <w:jc w:val="center"/>
              <w:rPr>
                <w:rFonts w:hint="eastAsia" w:ascii="宋体" w:hAnsi="宋体" w:eastAsia="宋体" w:cs="Times New Roman"/>
                <w:bCs/>
                <w:color w:val="auto"/>
                <w:sz w:val="22"/>
                <w:szCs w:val="22"/>
                <w:highlight w:val="none"/>
                <w:lang w:eastAsia="zh-CN"/>
              </w:rPr>
            </w:pPr>
            <w:r>
              <w:rPr>
                <w:rFonts w:hint="eastAsia" w:ascii="宋体" w:hAnsi="宋体" w:cs="Times New Roman"/>
                <w:bCs/>
                <w:color w:val="auto"/>
                <w:sz w:val="22"/>
                <w:szCs w:val="22"/>
                <w:highlight w:val="none"/>
                <w:lang w:val="en-US" w:eastAsia="zh-CN"/>
              </w:rPr>
              <w:t>现方案</w:t>
            </w:r>
            <w:r>
              <w:rPr>
                <w:rFonts w:hint="eastAsia" w:ascii="宋体" w:hAnsi="宋体" w:eastAsia="宋体" w:cs="Times New Roman"/>
                <w:bCs/>
                <w:color w:val="auto"/>
                <w:sz w:val="22"/>
                <w:szCs w:val="22"/>
                <w:highlight w:val="none"/>
                <w:lang w:val="en-US" w:eastAsia="zh-CN"/>
              </w:rPr>
              <w:t>理赔金额</w:t>
            </w:r>
          </w:p>
        </w:tc>
        <w:tc>
          <w:tcPr>
            <w:tcW w:w="788" w:type="pct"/>
            <w:noWrap w:val="0"/>
            <w:vAlign w:val="center"/>
          </w:tcPr>
          <w:p w14:paraId="38ABF8CE">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上浮率%</w:t>
            </w:r>
          </w:p>
        </w:tc>
        <w:tc>
          <w:tcPr>
            <w:tcW w:w="636" w:type="pct"/>
            <w:noWrap w:val="0"/>
            <w:vAlign w:val="center"/>
          </w:tcPr>
          <w:p w14:paraId="0B8DBE63">
            <w:pPr>
              <w:spacing w:line="360" w:lineRule="auto"/>
              <w:jc w:val="center"/>
              <w:rPr>
                <w:rFonts w:hint="eastAsia"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lang w:val="en-US" w:eastAsia="zh-CN"/>
              </w:rPr>
              <w:t>备注</w:t>
            </w:r>
          </w:p>
        </w:tc>
      </w:tr>
      <w:tr w14:paraId="1F1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5" w:type="pct"/>
            <w:vMerge w:val="restart"/>
            <w:noWrap w:val="0"/>
            <w:vAlign w:val="center"/>
          </w:tcPr>
          <w:p w14:paraId="740DDCE8">
            <w:pPr>
              <w:spacing w:line="360" w:lineRule="auto"/>
              <w:jc w:val="center"/>
              <w:rPr>
                <w:rFonts w:hint="default"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lang w:val="en-US" w:eastAsia="zh-CN"/>
              </w:rPr>
              <w:t>1</w:t>
            </w:r>
          </w:p>
        </w:tc>
        <w:tc>
          <w:tcPr>
            <w:tcW w:w="895" w:type="pct"/>
            <w:vMerge w:val="restart"/>
            <w:noWrap w:val="0"/>
            <w:vAlign w:val="center"/>
          </w:tcPr>
          <w:p w14:paraId="391295C8">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校方责任保险</w:t>
            </w:r>
          </w:p>
        </w:tc>
        <w:tc>
          <w:tcPr>
            <w:tcW w:w="1426" w:type="pct"/>
            <w:noWrap w:val="0"/>
            <w:vAlign w:val="center"/>
          </w:tcPr>
          <w:p w14:paraId="77D73A62">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每次事故每人赔偿限额</w:t>
            </w:r>
          </w:p>
        </w:tc>
        <w:tc>
          <w:tcPr>
            <w:tcW w:w="848" w:type="pct"/>
            <w:noWrap w:val="0"/>
            <w:vAlign w:val="center"/>
          </w:tcPr>
          <w:p w14:paraId="38EEC4DA">
            <w:pPr>
              <w:spacing w:line="360" w:lineRule="auto"/>
              <w:jc w:val="center"/>
              <w:rPr>
                <w:rFonts w:hint="default"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rPr>
              <w:t>100万元</w:t>
            </w:r>
            <w:r>
              <w:rPr>
                <w:rFonts w:hint="eastAsia" w:ascii="宋体" w:hAnsi="宋体" w:eastAsia="宋体" w:cs="Times New Roman"/>
                <w:bCs/>
                <w:color w:val="auto"/>
                <w:sz w:val="22"/>
                <w:szCs w:val="22"/>
                <w:highlight w:val="none"/>
                <w:lang w:val="en-US" w:eastAsia="zh-CN"/>
              </w:rPr>
              <w:t>/人</w:t>
            </w:r>
          </w:p>
        </w:tc>
        <w:tc>
          <w:tcPr>
            <w:tcW w:w="788" w:type="pct"/>
            <w:vMerge w:val="restart"/>
            <w:noWrap w:val="0"/>
            <w:vAlign w:val="center"/>
          </w:tcPr>
          <w:p w14:paraId="2E18DA9D">
            <w:pPr>
              <w:spacing w:line="360" w:lineRule="auto"/>
              <w:jc w:val="center"/>
              <w:rPr>
                <w:rFonts w:hint="eastAsia" w:ascii="宋体" w:hAnsi="宋体" w:eastAsia="宋体" w:cs="Times New Roman"/>
                <w:bCs/>
                <w:color w:val="auto"/>
                <w:sz w:val="22"/>
                <w:szCs w:val="22"/>
                <w:highlight w:val="none"/>
              </w:rPr>
            </w:pPr>
          </w:p>
        </w:tc>
        <w:tc>
          <w:tcPr>
            <w:tcW w:w="636" w:type="pct"/>
            <w:noWrap w:val="0"/>
            <w:vAlign w:val="center"/>
          </w:tcPr>
          <w:p w14:paraId="11B39BA2">
            <w:pPr>
              <w:spacing w:line="360" w:lineRule="auto"/>
              <w:jc w:val="center"/>
              <w:rPr>
                <w:rFonts w:hint="eastAsia" w:ascii="宋体" w:hAnsi="宋体" w:eastAsia="宋体" w:cs="Times New Roman"/>
                <w:bCs/>
                <w:color w:val="auto"/>
                <w:sz w:val="22"/>
                <w:szCs w:val="22"/>
                <w:highlight w:val="none"/>
              </w:rPr>
            </w:pPr>
          </w:p>
        </w:tc>
      </w:tr>
      <w:tr w14:paraId="58E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5" w:type="pct"/>
            <w:vMerge w:val="continue"/>
            <w:noWrap w:val="0"/>
            <w:vAlign w:val="center"/>
          </w:tcPr>
          <w:p w14:paraId="7AB22D7A">
            <w:pPr>
              <w:spacing w:line="360" w:lineRule="auto"/>
              <w:jc w:val="center"/>
              <w:rPr>
                <w:rFonts w:hint="eastAsia" w:ascii="宋体" w:hAnsi="宋体" w:eastAsia="宋体" w:cs="Times New Roman"/>
                <w:bCs/>
                <w:color w:val="auto"/>
                <w:sz w:val="22"/>
                <w:szCs w:val="22"/>
                <w:highlight w:val="none"/>
                <w:lang w:val="en-US" w:eastAsia="zh-CN"/>
              </w:rPr>
            </w:pPr>
          </w:p>
        </w:tc>
        <w:tc>
          <w:tcPr>
            <w:tcW w:w="895" w:type="pct"/>
            <w:vMerge w:val="continue"/>
            <w:noWrap w:val="0"/>
            <w:vAlign w:val="center"/>
          </w:tcPr>
          <w:p w14:paraId="37303D50">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2DCABADE">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每校每次事故赔偿限额</w:t>
            </w:r>
          </w:p>
        </w:tc>
        <w:tc>
          <w:tcPr>
            <w:tcW w:w="848" w:type="pct"/>
            <w:noWrap w:val="0"/>
            <w:vAlign w:val="center"/>
          </w:tcPr>
          <w:p w14:paraId="0AB72496">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780万元/人</w:t>
            </w:r>
          </w:p>
        </w:tc>
        <w:tc>
          <w:tcPr>
            <w:tcW w:w="788" w:type="pct"/>
            <w:vMerge w:val="continue"/>
            <w:noWrap w:val="0"/>
            <w:vAlign w:val="center"/>
          </w:tcPr>
          <w:p w14:paraId="564E2470">
            <w:pPr>
              <w:spacing w:line="360" w:lineRule="auto"/>
              <w:jc w:val="center"/>
              <w:rPr>
                <w:rFonts w:hint="eastAsia" w:ascii="宋体" w:hAnsi="宋体" w:eastAsia="宋体" w:cs="Times New Roman"/>
                <w:bCs/>
                <w:color w:val="auto"/>
                <w:sz w:val="22"/>
                <w:szCs w:val="22"/>
                <w:highlight w:val="none"/>
              </w:rPr>
            </w:pPr>
          </w:p>
        </w:tc>
        <w:tc>
          <w:tcPr>
            <w:tcW w:w="636" w:type="pct"/>
            <w:noWrap w:val="0"/>
            <w:vAlign w:val="center"/>
          </w:tcPr>
          <w:p w14:paraId="56BF2D72">
            <w:pPr>
              <w:spacing w:line="360" w:lineRule="auto"/>
              <w:jc w:val="center"/>
              <w:rPr>
                <w:rFonts w:hint="eastAsia" w:ascii="宋体" w:hAnsi="宋体" w:eastAsia="宋体" w:cs="Times New Roman"/>
                <w:bCs/>
                <w:color w:val="auto"/>
                <w:sz w:val="22"/>
                <w:szCs w:val="22"/>
                <w:highlight w:val="none"/>
              </w:rPr>
            </w:pPr>
          </w:p>
        </w:tc>
      </w:tr>
      <w:tr w14:paraId="16E8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05" w:type="pct"/>
            <w:vMerge w:val="continue"/>
            <w:noWrap w:val="0"/>
            <w:vAlign w:val="center"/>
          </w:tcPr>
          <w:p w14:paraId="46B269D6">
            <w:pPr>
              <w:spacing w:line="360" w:lineRule="auto"/>
              <w:jc w:val="center"/>
              <w:rPr>
                <w:rFonts w:hint="eastAsia" w:ascii="宋体" w:hAnsi="宋体" w:eastAsia="宋体" w:cs="Times New Roman"/>
                <w:bCs/>
                <w:color w:val="auto"/>
                <w:sz w:val="22"/>
                <w:szCs w:val="22"/>
                <w:highlight w:val="none"/>
                <w:lang w:val="en-US" w:eastAsia="zh-CN"/>
              </w:rPr>
            </w:pPr>
          </w:p>
        </w:tc>
        <w:tc>
          <w:tcPr>
            <w:tcW w:w="895" w:type="pct"/>
            <w:vMerge w:val="continue"/>
            <w:noWrap w:val="0"/>
            <w:vAlign w:val="center"/>
          </w:tcPr>
          <w:p w14:paraId="2D80736F">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547D200D">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每次事故每人财产损失赔偿限额</w:t>
            </w:r>
          </w:p>
        </w:tc>
        <w:tc>
          <w:tcPr>
            <w:tcW w:w="848" w:type="pct"/>
            <w:noWrap w:val="0"/>
            <w:vAlign w:val="center"/>
          </w:tcPr>
          <w:p w14:paraId="697B5FF9">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1万元/人</w:t>
            </w:r>
          </w:p>
        </w:tc>
        <w:tc>
          <w:tcPr>
            <w:tcW w:w="788" w:type="pct"/>
            <w:vMerge w:val="continue"/>
            <w:noWrap w:val="0"/>
            <w:vAlign w:val="center"/>
          </w:tcPr>
          <w:p w14:paraId="14DE79EE">
            <w:pPr>
              <w:spacing w:line="360" w:lineRule="auto"/>
              <w:jc w:val="center"/>
              <w:rPr>
                <w:rFonts w:hint="eastAsia" w:ascii="宋体" w:hAnsi="宋体" w:eastAsia="宋体" w:cs="Times New Roman"/>
                <w:bCs/>
                <w:color w:val="auto"/>
                <w:sz w:val="22"/>
                <w:szCs w:val="22"/>
                <w:highlight w:val="none"/>
              </w:rPr>
            </w:pPr>
          </w:p>
        </w:tc>
        <w:tc>
          <w:tcPr>
            <w:tcW w:w="636" w:type="pct"/>
            <w:noWrap w:val="0"/>
            <w:vAlign w:val="center"/>
          </w:tcPr>
          <w:p w14:paraId="6D21F3EC">
            <w:pPr>
              <w:spacing w:line="360" w:lineRule="auto"/>
              <w:jc w:val="center"/>
              <w:rPr>
                <w:rFonts w:hint="eastAsia" w:ascii="宋体" w:hAnsi="宋体" w:eastAsia="宋体" w:cs="Times New Roman"/>
                <w:bCs/>
                <w:color w:val="auto"/>
                <w:sz w:val="22"/>
                <w:szCs w:val="22"/>
                <w:highlight w:val="none"/>
              </w:rPr>
            </w:pPr>
          </w:p>
        </w:tc>
      </w:tr>
      <w:tr w14:paraId="457F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5" w:type="pct"/>
            <w:vMerge w:val="continue"/>
            <w:noWrap w:val="0"/>
            <w:vAlign w:val="center"/>
          </w:tcPr>
          <w:p w14:paraId="2106C229">
            <w:pPr>
              <w:spacing w:line="360" w:lineRule="auto"/>
              <w:jc w:val="center"/>
              <w:rPr>
                <w:rFonts w:hint="default" w:ascii="宋体" w:hAnsi="宋体" w:eastAsia="宋体" w:cs="Times New Roman"/>
                <w:bCs/>
                <w:color w:val="auto"/>
                <w:sz w:val="22"/>
                <w:szCs w:val="22"/>
                <w:highlight w:val="none"/>
                <w:lang w:val="en-US" w:eastAsia="zh-CN"/>
              </w:rPr>
            </w:pPr>
          </w:p>
        </w:tc>
        <w:tc>
          <w:tcPr>
            <w:tcW w:w="895" w:type="pct"/>
            <w:vMerge w:val="continue"/>
            <w:noWrap w:val="0"/>
            <w:vAlign w:val="center"/>
          </w:tcPr>
          <w:p w14:paraId="29335C8E">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4DC67DAF">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每人年财产损失赔偿限额</w:t>
            </w:r>
          </w:p>
        </w:tc>
        <w:tc>
          <w:tcPr>
            <w:tcW w:w="848" w:type="pct"/>
            <w:noWrap w:val="0"/>
            <w:vAlign w:val="center"/>
          </w:tcPr>
          <w:p w14:paraId="321E642D">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1万元/人</w:t>
            </w:r>
          </w:p>
        </w:tc>
        <w:tc>
          <w:tcPr>
            <w:tcW w:w="788" w:type="pct"/>
            <w:vMerge w:val="continue"/>
            <w:noWrap w:val="0"/>
            <w:vAlign w:val="center"/>
          </w:tcPr>
          <w:p w14:paraId="0F862D87">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538CEFEF">
            <w:pPr>
              <w:spacing w:line="360" w:lineRule="auto"/>
              <w:jc w:val="center"/>
              <w:rPr>
                <w:rFonts w:hint="eastAsia" w:ascii="宋体" w:hAnsi="宋体" w:eastAsia="宋体" w:cs="Times New Roman"/>
                <w:bCs/>
                <w:color w:val="auto"/>
                <w:sz w:val="22"/>
                <w:szCs w:val="22"/>
                <w:highlight w:val="none"/>
                <w:lang w:eastAsia="zh-Hans"/>
              </w:rPr>
            </w:pPr>
          </w:p>
        </w:tc>
      </w:tr>
      <w:tr w14:paraId="5F72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5" w:type="pct"/>
            <w:vMerge w:val="continue"/>
            <w:noWrap w:val="0"/>
            <w:vAlign w:val="center"/>
          </w:tcPr>
          <w:p w14:paraId="4CA255C2">
            <w:pPr>
              <w:spacing w:line="360" w:lineRule="auto"/>
              <w:jc w:val="center"/>
              <w:rPr>
                <w:rFonts w:hint="default" w:ascii="宋体" w:hAnsi="宋体" w:eastAsia="宋体" w:cs="Times New Roman"/>
                <w:bCs/>
                <w:color w:val="auto"/>
                <w:sz w:val="22"/>
                <w:szCs w:val="22"/>
                <w:highlight w:val="none"/>
                <w:lang w:val="en-US" w:eastAsia="zh-CN"/>
              </w:rPr>
            </w:pPr>
          </w:p>
        </w:tc>
        <w:tc>
          <w:tcPr>
            <w:tcW w:w="895" w:type="pct"/>
            <w:vMerge w:val="continue"/>
            <w:noWrap w:val="0"/>
            <w:vAlign w:val="center"/>
          </w:tcPr>
          <w:p w14:paraId="3DC9B53D">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468D0AF8">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每校每年累计赔偿限额</w:t>
            </w:r>
          </w:p>
        </w:tc>
        <w:tc>
          <w:tcPr>
            <w:tcW w:w="848" w:type="pct"/>
            <w:noWrap w:val="0"/>
            <w:vAlign w:val="center"/>
          </w:tcPr>
          <w:p w14:paraId="1472DA03">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1560万元/人</w:t>
            </w:r>
          </w:p>
        </w:tc>
        <w:tc>
          <w:tcPr>
            <w:tcW w:w="788" w:type="pct"/>
            <w:vMerge w:val="continue"/>
            <w:noWrap w:val="0"/>
            <w:vAlign w:val="center"/>
          </w:tcPr>
          <w:p w14:paraId="0CCC3F91">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46E92F3D">
            <w:pPr>
              <w:spacing w:line="360" w:lineRule="auto"/>
              <w:jc w:val="center"/>
              <w:rPr>
                <w:rFonts w:hint="eastAsia" w:ascii="宋体" w:hAnsi="宋体" w:eastAsia="宋体" w:cs="Times New Roman"/>
                <w:bCs/>
                <w:color w:val="auto"/>
                <w:sz w:val="22"/>
                <w:szCs w:val="22"/>
                <w:highlight w:val="none"/>
                <w:lang w:eastAsia="zh-Hans"/>
              </w:rPr>
            </w:pPr>
          </w:p>
        </w:tc>
      </w:tr>
      <w:tr w14:paraId="32F8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05" w:type="pct"/>
            <w:vMerge w:val="restart"/>
            <w:noWrap w:val="0"/>
            <w:vAlign w:val="center"/>
          </w:tcPr>
          <w:p w14:paraId="3806AF4A">
            <w:pPr>
              <w:spacing w:line="360" w:lineRule="auto"/>
              <w:jc w:val="center"/>
              <w:rPr>
                <w:rFonts w:hint="default"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lang w:val="en-US" w:eastAsia="zh-CN"/>
              </w:rPr>
              <w:t>2</w:t>
            </w:r>
          </w:p>
        </w:tc>
        <w:tc>
          <w:tcPr>
            <w:tcW w:w="895" w:type="pct"/>
            <w:vMerge w:val="restart"/>
            <w:noWrap w:val="0"/>
            <w:vAlign w:val="center"/>
          </w:tcPr>
          <w:p w14:paraId="79B8E701">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学生团体人身意外伤害险</w:t>
            </w:r>
          </w:p>
        </w:tc>
        <w:tc>
          <w:tcPr>
            <w:tcW w:w="1426" w:type="pct"/>
            <w:noWrap w:val="0"/>
            <w:vAlign w:val="center"/>
          </w:tcPr>
          <w:p w14:paraId="35F75D34">
            <w:pPr>
              <w:spacing w:line="360" w:lineRule="auto"/>
              <w:jc w:val="center"/>
              <w:rPr>
                <w:rFonts w:hint="eastAsia" w:ascii="宋体" w:hAnsi="宋体" w:eastAsia="宋体" w:cs="Times New Roman"/>
                <w:bCs/>
                <w:color w:val="auto"/>
                <w:sz w:val="22"/>
                <w:szCs w:val="22"/>
                <w:highlight w:val="none"/>
              </w:rPr>
            </w:pPr>
            <w:r>
              <w:rPr>
                <w:rFonts w:hint="default" w:ascii="宋体" w:hAnsi="宋体" w:eastAsia="宋体" w:cs="Times New Roman"/>
                <w:bCs/>
                <w:color w:val="auto"/>
                <w:sz w:val="22"/>
                <w:szCs w:val="22"/>
                <w:highlight w:val="none"/>
                <w:lang w:val="en-US" w:eastAsia="zh-CN"/>
              </w:rPr>
              <w:t>每人意外伤害</w:t>
            </w:r>
          </w:p>
        </w:tc>
        <w:tc>
          <w:tcPr>
            <w:tcW w:w="848" w:type="pct"/>
            <w:noWrap w:val="0"/>
            <w:vAlign w:val="center"/>
          </w:tcPr>
          <w:p w14:paraId="4976D317">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10万元/人</w:t>
            </w:r>
          </w:p>
        </w:tc>
        <w:tc>
          <w:tcPr>
            <w:tcW w:w="788" w:type="pct"/>
            <w:vMerge w:val="continue"/>
            <w:noWrap w:val="0"/>
            <w:vAlign w:val="center"/>
          </w:tcPr>
          <w:p w14:paraId="37AE509A">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11B90AF8">
            <w:pPr>
              <w:spacing w:line="360" w:lineRule="auto"/>
              <w:jc w:val="center"/>
              <w:rPr>
                <w:rFonts w:hint="eastAsia" w:ascii="宋体" w:hAnsi="宋体" w:eastAsia="宋体" w:cs="Times New Roman"/>
                <w:bCs/>
                <w:color w:val="auto"/>
                <w:sz w:val="22"/>
                <w:szCs w:val="22"/>
                <w:highlight w:val="none"/>
                <w:lang w:eastAsia="zh-Hans"/>
              </w:rPr>
            </w:pPr>
          </w:p>
        </w:tc>
      </w:tr>
      <w:tr w14:paraId="12A0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05" w:type="pct"/>
            <w:vMerge w:val="continue"/>
            <w:noWrap w:val="0"/>
            <w:vAlign w:val="center"/>
          </w:tcPr>
          <w:p w14:paraId="5AF0A3A4">
            <w:pPr>
              <w:spacing w:line="360" w:lineRule="auto"/>
              <w:jc w:val="center"/>
              <w:rPr>
                <w:rFonts w:hint="eastAsia" w:ascii="宋体" w:hAnsi="宋体" w:eastAsia="宋体" w:cs="Times New Roman"/>
                <w:bCs/>
                <w:color w:val="auto"/>
                <w:sz w:val="22"/>
                <w:szCs w:val="22"/>
                <w:highlight w:val="none"/>
                <w:lang w:val="en-US" w:eastAsia="zh-CN"/>
              </w:rPr>
            </w:pPr>
          </w:p>
        </w:tc>
        <w:tc>
          <w:tcPr>
            <w:tcW w:w="895" w:type="pct"/>
            <w:vMerge w:val="continue"/>
            <w:noWrap w:val="0"/>
            <w:vAlign w:val="center"/>
          </w:tcPr>
          <w:p w14:paraId="7F5F886A">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00A9FA6C">
            <w:pPr>
              <w:spacing w:line="360" w:lineRule="auto"/>
              <w:jc w:val="center"/>
              <w:rPr>
                <w:rFonts w:hint="eastAsia" w:ascii="宋体" w:hAnsi="宋体" w:eastAsia="宋体" w:cs="Times New Roman"/>
                <w:bCs/>
                <w:color w:val="auto"/>
                <w:sz w:val="22"/>
                <w:szCs w:val="22"/>
                <w:highlight w:val="none"/>
              </w:rPr>
            </w:pPr>
            <w:r>
              <w:rPr>
                <w:rFonts w:hint="default" w:ascii="宋体" w:hAnsi="宋体" w:eastAsia="宋体" w:cs="Times New Roman"/>
                <w:bCs/>
                <w:color w:val="auto"/>
                <w:sz w:val="22"/>
                <w:szCs w:val="22"/>
                <w:highlight w:val="none"/>
                <w:lang w:val="en-US" w:eastAsia="zh-CN"/>
              </w:rPr>
              <w:t>每人意外伤害</w:t>
            </w:r>
          </w:p>
        </w:tc>
        <w:tc>
          <w:tcPr>
            <w:tcW w:w="848" w:type="pct"/>
            <w:noWrap w:val="0"/>
            <w:vAlign w:val="center"/>
          </w:tcPr>
          <w:p w14:paraId="31DDE7B5">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1万元/人</w:t>
            </w:r>
          </w:p>
        </w:tc>
        <w:tc>
          <w:tcPr>
            <w:tcW w:w="788" w:type="pct"/>
            <w:vMerge w:val="continue"/>
            <w:noWrap w:val="0"/>
            <w:vAlign w:val="center"/>
          </w:tcPr>
          <w:p w14:paraId="59C539E0">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5555201F">
            <w:pPr>
              <w:spacing w:line="360" w:lineRule="auto"/>
              <w:jc w:val="center"/>
              <w:rPr>
                <w:rFonts w:hint="eastAsia" w:ascii="宋体" w:hAnsi="宋体" w:eastAsia="宋体" w:cs="Times New Roman"/>
                <w:bCs/>
                <w:color w:val="auto"/>
                <w:sz w:val="22"/>
                <w:szCs w:val="22"/>
                <w:highlight w:val="none"/>
                <w:lang w:eastAsia="zh-Hans"/>
              </w:rPr>
            </w:pPr>
          </w:p>
        </w:tc>
      </w:tr>
      <w:tr w14:paraId="1C02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05" w:type="pct"/>
            <w:vMerge w:val="continue"/>
            <w:noWrap w:val="0"/>
            <w:vAlign w:val="center"/>
          </w:tcPr>
          <w:p w14:paraId="705475A0">
            <w:pPr>
              <w:spacing w:line="360" w:lineRule="auto"/>
              <w:jc w:val="center"/>
              <w:rPr>
                <w:rFonts w:hint="eastAsia" w:ascii="宋体" w:hAnsi="宋体" w:eastAsia="宋体" w:cs="Times New Roman"/>
                <w:bCs/>
                <w:color w:val="auto"/>
                <w:sz w:val="22"/>
                <w:szCs w:val="22"/>
                <w:highlight w:val="none"/>
                <w:lang w:val="en-US" w:eastAsia="zh-CN"/>
              </w:rPr>
            </w:pPr>
          </w:p>
        </w:tc>
        <w:tc>
          <w:tcPr>
            <w:tcW w:w="895" w:type="pct"/>
            <w:vMerge w:val="continue"/>
            <w:noWrap w:val="0"/>
            <w:vAlign w:val="center"/>
          </w:tcPr>
          <w:p w14:paraId="2A0DA06D">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236841CB">
            <w:pPr>
              <w:spacing w:line="360" w:lineRule="auto"/>
              <w:jc w:val="center"/>
              <w:rPr>
                <w:rFonts w:hint="default" w:ascii="宋体" w:hAnsi="宋体" w:eastAsia="宋体" w:cs="Times New Roman"/>
                <w:bCs/>
                <w:color w:val="auto"/>
                <w:sz w:val="22"/>
                <w:szCs w:val="22"/>
                <w:highlight w:val="none"/>
                <w:lang w:val="en-US"/>
              </w:rPr>
            </w:pPr>
            <w:r>
              <w:rPr>
                <w:rFonts w:hint="default" w:ascii="宋体" w:hAnsi="宋体" w:eastAsia="宋体" w:cs="Times New Roman"/>
                <w:bCs/>
                <w:color w:val="auto"/>
                <w:sz w:val="22"/>
                <w:szCs w:val="22"/>
                <w:highlight w:val="none"/>
                <w:lang w:val="en-US" w:eastAsia="zh-CN"/>
              </w:rPr>
              <w:t>住院津贴</w:t>
            </w:r>
            <w:r>
              <w:rPr>
                <w:rFonts w:hint="eastAsia" w:ascii="宋体" w:hAnsi="宋体" w:eastAsia="宋体" w:cs="Times New Roman"/>
                <w:bCs/>
                <w:color w:val="auto"/>
                <w:sz w:val="22"/>
                <w:szCs w:val="22"/>
                <w:highlight w:val="none"/>
                <w:lang w:val="en-US" w:eastAsia="zh-CN"/>
              </w:rPr>
              <w:t>保额</w:t>
            </w:r>
          </w:p>
        </w:tc>
        <w:tc>
          <w:tcPr>
            <w:tcW w:w="848" w:type="pct"/>
            <w:noWrap w:val="0"/>
            <w:vAlign w:val="center"/>
          </w:tcPr>
          <w:p w14:paraId="3054396C">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lang w:val="en-US" w:eastAsia="zh-CN"/>
              </w:rPr>
              <w:t>9000元/人</w:t>
            </w:r>
          </w:p>
        </w:tc>
        <w:tc>
          <w:tcPr>
            <w:tcW w:w="788" w:type="pct"/>
            <w:vMerge w:val="continue"/>
            <w:noWrap w:val="0"/>
            <w:vAlign w:val="center"/>
          </w:tcPr>
          <w:p w14:paraId="6FE26CB4">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2D63CF1F">
            <w:pPr>
              <w:spacing w:line="360" w:lineRule="auto"/>
              <w:jc w:val="center"/>
              <w:rPr>
                <w:rFonts w:hint="eastAsia" w:ascii="宋体" w:hAnsi="宋体" w:eastAsia="宋体" w:cs="Times New Roman"/>
                <w:bCs/>
                <w:color w:val="auto"/>
                <w:sz w:val="22"/>
                <w:szCs w:val="22"/>
                <w:highlight w:val="none"/>
                <w:lang w:eastAsia="zh-Hans"/>
              </w:rPr>
            </w:pPr>
          </w:p>
        </w:tc>
      </w:tr>
      <w:tr w14:paraId="50BA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05" w:type="pct"/>
            <w:vMerge w:val="continue"/>
            <w:noWrap w:val="0"/>
            <w:vAlign w:val="center"/>
          </w:tcPr>
          <w:p w14:paraId="10E53D79">
            <w:pPr>
              <w:spacing w:line="360" w:lineRule="auto"/>
              <w:jc w:val="center"/>
              <w:rPr>
                <w:rFonts w:hint="eastAsia" w:ascii="宋体" w:hAnsi="宋体" w:eastAsia="宋体" w:cs="Times New Roman"/>
                <w:bCs/>
                <w:color w:val="auto"/>
                <w:sz w:val="22"/>
                <w:szCs w:val="22"/>
                <w:highlight w:val="none"/>
                <w:lang w:val="en-US" w:eastAsia="zh-CN"/>
              </w:rPr>
            </w:pPr>
          </w:p>
        </w:tc>
        <w:tc>
          <w:tcPr>
            <w:tcW w:w="895" w:type="pct"/>
            <w:vMerge w:val="continue"/>
            <w:noWrap w:val="0"/>
            <w:vAlign w:val="center"/>
          </w:tcPr>
          <w:p w14:paraId="179507DB">
            <w:pPr>
              <w:spacing w:line="360" w:lineRule="auto"/>
              <w:jc w:val="center"/>
              <w:rPr>
                <w:rFonts w:hint="eastAsia" w:ascii="宋体" w:hAnsi="宋体" w:eastAsia="宋体" w:cs="Times New Roman"/>
                <w:bCs/>
                <w:color w:val="auto"/>
                <w:sz w:val="22"/>
                <w:szCs w:val="22"/>
                <w:highlight w:val="none"/>
              </w:rPr>
            </w:pPr>
          </w:p>
        </w:tc>
        <w:tc>
          <w:tcPr>
            <w:tcW w:w="1426" w:type="pct"/>
            <w:noWrap w:val="0"/>
            <w:vAlign w:val="center"/>
          </w:tcPr>
          <w:p w14:paraId="74E50D38">
            <w:pPr>
              <w:spacing w:line="360" w:lineRule="auto"/>
              <w:jc w:val="center"/>
              <w:rPr>
                <w:rFonts w:hint="default"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lang w:val="en-US" w:eastAsia="zh-CN"/>
              </w:rPr>
              <w:t>每人每天</w:t>
            </w:r>
            <w:r>
              <w:rPr>
                <w:rFonts w:hint="default" w:ascii="宋体" w:hAnsi="宋体" w:eastAsia="宋体" w:cs="Times New Roman"/>
                <w:bCs/>
                <w:color w:val="auto"/>
                <w:sz w:val="22"/>
                <w:szCs w:val="22"/>
                <w:highlight w:val="none"/>
                <w:lang w:val="en-US" w:eastAsia="zh-CN"/>
              </w:rPr>
              <w:t>住院津贴</w:t>
            </w:r>
          </w:p>
        </w:tc>
        <w:tc>
          <w:tcPr>
            <w:tcW w:w="848" w:type="pct"/>
            <w:noWrap w:val="0"/>
            <w:vAlign w:val="center"/>
          </w:tcPr>
          <w:p w14:paraId="16CB8C37">
            <w:pPr>
              <w:spacing w:line="360" w:lineRule="auto"/>
              <w:jc w:val="center"/>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50元/人/天</w:t>
            </w:r>
          </w:p>
        </w:tc>
        <w:tc>
          <w:tcPr>
            <w:tcW w:w="788" w:type="pct"/>
            <w:vMerge w:val="continue"/>
            <w:noWrap w:val="0"/>
            <w:vAlign w:val="center"/>
          </w:tcPr>
          <w:p w14:paraId="3CD6AF8C">
            <w:pPr>
              <w:spacing w:line="360" w:lineRule="auto"/>
              <w:jc w:val="center"/>
              <w:rPr>
                <w:rFonts w:hint="eastAsia" w:ascii="宋体" w:hAnsi="宋体" w:eastAsia="宋体" w:cs="Times New Roman"/>
                <w:bCs/>
                <w:color w:val="auto"/>
                <w:sz w:val="22"/>
                <w:szCs w:val="22"/>
                <w:highlight w:val="none"/>
                <w:lang w:eastAsia="zh-Hans"/>
              </w:rPr>
            </w:pPr>
          </w:p>
        </w:tc>
        <w:tc>
          <w:tcPr>
            <w:tcW w:w="636" w:type="pct"/>
            <w:noWrap w:val="0"/>
            <w:vAlign w:val="center"/>
          </w:tcPr>
          <w:p w14:paraId="69C6FA86">
            <w:pPr>
              <w:spacing w:line="360" w:lineRule="auto"/>
              <w:jc w:val="center"/>
              <w:rPr>
                <w:rFonts w:hint="eastAsia" w:ascii="宋体" w:hAnsi="宋体" w:eastAsia="宋体" w:cs="Times New Roman"/>
                <w:bCs/>
                <w:color w:val="auto"/>
                <w:sz w:val="22"/>
                <w:szCs w:val="22"/>
                <w:highlight w:val="none"/>
                <w:lang w:eastAsia="zh-Hans"/>
              </w:rPr>
            </w:pPr>
          </w:p>
        </w:tc>
      </w:tr>
      <w:tr w14:paraId="623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6"/>
            <w:noWrap w:val="0"/>
            <w:vAlign w:val="center"/>
          </w:tcPr>
          <w:p w14:paraId="5BCB795E">
            <w:pPr>
              <w:spacing w:line="360" w:lineRule="auto"/>
              <w:jc w:val="center"/>
              <w:rPr>
                <w:rFonts w:hint="default" w:ascii="宋体" w:hAnsi="宋体" w:eastAsia="宋体" w:cs="Times New Roman"/>
                <w:bCs/>
                <w:color w:val="auto"/>
                <w:sz w:val="22"/>
                <w:szCs w:val="22"/>
                <w:highlight w:val="none"/>
                <w:lang w:val="en-US" w:eastAsia="zh-CN"/>
              </w:rPr>
            </w:pPr>
            <w:r>
              <w:rPr>
                <w:rFonts w:hint="eastAsia" w:ascii="宋体" w:hAnsi="宋体" w:eastAsia="宋体" w:cs="Times New Roman"/>
                <w:bCs/>
                <w:color w:val="auto"/>
                <w:sz w:val="22"/>
                <w:szCs w:val="22"/>
                <w:highlight w:val="none"/>
                <w:lang w:val="en-US" w:eastAsia="zh-CN"/>
              </w:rPr>
              <w:t>保费标准：学生团体人身意外伤害险每生每年30元；校责险每生每年8元。按实际投保人数结算。</w:t>
            </w:r>
          </w:p>
        </w:tc>
      </w:tr>
    </w:tbl>
    <w:p w14:paraId="6D3754FE">
      <w:pPr>
        <w:spacing w:line="380" w:lineRule="exact"/>
        <w:ind w:left="525" w:leftChars="-71" w:hanging="674" w:hangingChars="3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245605BB">
      <w:pPr>
        <w:numPr>
          <w:ilvl w:val="0"/>
          <w:numId w:val="0"/>
        </w:numPr>
        <w:tabs>
          <w:tab w:val="left" w:pos="-180"/>
          <w:tab w:val="left" w:pos="180"/>
          <w:tab w:val="left" w:pos="360"/>
        </w:tabs>
        <w:spacing w:line="440" w:lineRule="exact"/>
        <w:ind w:left="342" w:leftChars="0" w:hanging="342" w:firstLineChars="0"/>
        <w:rPr>
          <w:rFonts w:hint="eastAsia" w:ascii="宋体" w:hAnsi="宋体" w:eastAsia="宋体" w:cs="宋体"/>
          <w:b/>
          <w:color w:val="auto"/>
          <w:sz w:val="22"/>
          <w:highlight w:val="none"/>
          <w:u w:val="single"/>
        </w:rPr>
      </w:pPr>
      <w:r>
        <w:rPr>
          <w:rFonts w:hint="eastAsia" w:ascii="宋体" w:hAnsi="宋体" w:cs="宋体"/>
          <w:b/>
          <w:color w:val="auto"/>
          <w:kern w:val="2"/>
          <w:sz w:val="22"/>
          <w:szCs w:val="24"/>
          <w:highlight w:val="none"/>
          <w:lang w:val="en-US" w:eastAsia="zh-CN" w:bidi="ar-SA"/>
        </w:rPr>
        <w:t>1</w:t>
      </w:r>
      <w:r>
        <w:rPr>
          <w:rFonts w:hint="eastAsia" w:ascii="宋体" w:hAnsi="宋体" w:eastAsia="宋体" w:cs="宋体"/>
          <w:b/>
          <w:color w:val="auto"/>
          <w:kern w:val="2"/>
          <w:sz w:val="22"/>
          <w:szCs w:val="24"/>
          <w:highlight w:val="none"/>
          <w:lang w:val="en-US" w:eastAsia="zh-CN" w:bidi="ar-SA"/>
        </w:rPr>
        <w:t>.</w:t>
      </w:r>
      <w:r>
        <w:rPr>
          <w:rFonts w:hint="eastAsia" w:ascii="宋体" w:hAnsi="宋体" w:eastAsia="宋体" w:cs="宋体"/>
          <w:b/>
          <w:color w:val="auto"/>
          <w:sz w:val="22"/>
          <w:highlight w:val="none"/>
          <w:u w:val="single"/>
        </w:rPr>
        <w:t>▲不提供此表格将被视为没有实质性响应采购文件,作无效标处理。</w:t>
      </w:r>
    </w:p>
    <w:p w14:paraId="185E81DB">
      <w:pPr>
        <w:spacing w:line="380" w:lineRule="exact"/>
        <w:rPr>
          <w:rFonts w:hint="eastAsia" w:ascii="宋体" w:hAnsi="宋体"/>
          <w:color w:val="auto"/>
          <w:sz w:val="22"/>
          <w:szCs w:val="22"/>
          <w:highlight w:val="none"/>
        </w:rPr>
      </w:pPr>
    </w:p>
    <w:p w14:paraId="2EF28E12">
      <w:pPr>
        <w:pStyle w:val="61"/>
        <w:rPr>
          <w:rFonts w:hint="eastAsia"/>
          <w:highlight w:val="none"/>
        </w:rPr>
      </w:pPr>
    </w:p>
    <w:p w14:paraId="19AFBCC1">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20D27C4B">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66BE673">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051086F0">
      <w:pPr>
        <w:spacing w:line="460" w:lineRule="exact"/>
        <w:rPr>
          <w:rFonts w:hint="eastAsia" w:ascii="宋体" w:hAnsi="宋体"/>
          <w:b/>
          <w:bCs/>
          <w:color w:val="auto"/>
          <w:sz w:val="22"/>
          <w:szCs w:val="22"/>
          <w:highlight w:val="none"/>
        </w:rPr>
      </w:pPr>
      <w:r>
        <w:rPr>
          <w:rFonts w:hint="eastAsia" w:ascii="宋体" w:hAnsi="宋体"/>
          <w:color w:val="auto"/>
          <w:sz w:val="22"/>
          <w:szCs w:val="22"/>
          <w:highlight w:val="none"/>
        </w:rPr>
        <w:br w:type="page"/>
      </w:r>
    </w:p>
    <w:p w14:paraId="3BAB5D7F">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附件三</w:t>
      </w:r>
    </w:p>
    <w:p w14:paraId="232D5AD9">
      <w:pPr>
        <w:spacing w:line="460" w:lineRule="exact"/>
        <w:rPr>
          <w:rFonts w:ascii="宋体" w:hAnsi="宋体"/>
          <w:b/>
          <w:bCs/>
          <w:color w:val="auto"/>
          <w:highlight w:val="none"/>
        </w:rPr>
      </w:pPr>
    </w:p>
    <w:p w14:paraId="7AF88E33">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3F8D1915">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491457BC">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1D349B67">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项目（招标编号：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2B66337C">
      <w:pPr>
        <w:pStyle w:val="15"/>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69A120E8">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14:paraId="44F023DF">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14:paraId="7381A5A7">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14:paraId="0AAD527E">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14:paraId="3B93FFCE">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10103569">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17F2B30C">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期间禁止参加采购活动但是期限届满，须附相关证明文件）</w:t>
      </w:r>
      <w:r>
        <w:rPr>
          <w:rFonts w:hint="eastAsia" w:ascii="宋体" w:hAnsi="宋体" w:cs="hakuyoxingshu7000"/>
          <w:color w:val="auto"/>
          <w:sz w:val="22"/>
          <w:highlight w:val="none"/>
        </w:rPr>
        <w:t>；</w:t>
      </w:r>
    </w:p>
    <w:p w14:paraId="2DD86D21">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1F349C51">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5A18B0CA">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2BA1B7D7">
      <w:pPr>
        <w:pStyle w:val="122"/>
        <w:numPr>
          <w:ilvl w:val="1"/>
          <w:numId w:val="50"/>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75652DA0">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305C2363">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747DAC28">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17C6EB11">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05D2BFC3">
      <w:pPr>
        <w:spacing w:line="420" w:lineRule="exact"/>
        <w:ind w:firstLine="435"/>
        <w:rPr>
          <w:rFonts w:ascii="宋体" w:hAnsi="宋体"/>
          <w:color w:val="auto"/>
          <w:sz w:val="22"/>
          <w:szCs w:val="22"/>
          <w:highlight w:val="none"/>
        </w:rPr>
      </w:pPr>
    </w:p>
    <w:p w14:paraId="2692024E">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051D8C99">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70BE8DCE">
      <w:pPr>
        <w:spacing w:line="460" w:lineRule="exact"/>
        <w:ind w:firstLine="435"/>
        <w:rPr>
          <w:rFonts w:ascii="宋体" w:hAnsi="宋体"/>
          <w:color w:val="auto"/>
          <w:sz w:val="22"/>
          <w:szCs w:val="22"/>
          <w:highlight w:val="none"/>
          <w:u w:val="single"/>
        </w:rPr>
        <w:sectPr>
          <w:headerReference r:id="rId3" w:type="default"/>
          <w:footerReference r:id="rId4" w:type="default"/>
          <w:footerReference r:id="rId5" w:type="even"/>
          <w:type w:val="nextColumn"/>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2"/>
          <w:szCs w:val="22"/>
          <w:highlight w:val="none"/>
        </w:rPr>
        <w:t xml:space="preserve">                                   日    期：</w:t>
      </w:r>
    </w:p>
    <w:p w14:paraId="391F708E">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39424B5B">
      <w:pPr>
        <w:spacing w:line="460" w:lineRule="exact"/>
        <w:rPr>
          <w:rFonts w:ascii="宋体" w:hAnsi="宋体"/>
          <w:b/>
          <w:color w:val="auto"/>
          <w:sz w:val="22"/>
          <w:szCs w:val="22"/>
          <w:highlight w:val="none"/>
        </w:rPr>
      </w:pPr>
    </w:p>
    <w:p w14:paraId="53A41694">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044614C5">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A14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6D8E722A">
            <w:pPr>
              <w:spacing w:line="380" w:lineRule="exact"/>
              <w:jc w:val="center"/>
              <w:rPr>
                <w:rFonts w:ascii="宋体" w:hAnsi="宋体"/>
                <w:color w:val="auto"/>
                <w:sz w:val="22"/>
                <w:szCs w:val="22"/>
                <w:highlight w:val="none"/>
              </w:rPr>
            </w:pPr>
          </w:p>
        </w:tc>
        <w:tc>
          <w:tcPr>
            <w:tcW w:w="1364" w:type="dxa"/>
            <w:vAlign w:val="center"/>
          </w:tcPr>
          <w:p w14:paraId="406B154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06BE1732">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17D0A1F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35584FF4">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3A7E594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765E36C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2285EC3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5DB731E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37A3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3FC7133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3FF5417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05218EBC">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374F6AD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6AA2AFFF">
            <w:pPr>
              <w:spacing w:line="380" w:lineRule="exact"/>
              <w:jc w:val="center"/>
              <w:rPr>
                <w:rFonts w:ascii="宋体" w:hAnsi="宋体"/>
                <w:color w:val="auto"/>
                <w:sz w:val="22"/>
                <w:szCs w:val="22"/>
                <w:highlight w:val="none"/>
              </w:rPr>
            </w:pPr>
          </w:p>
        </w:tc>
        <w:tc>
          <w:tcPr>
            <w:tcW w:w="2097" w:type="dxa"/>
            <w:vAlign w:val="center"/>
          </w:tcPr>
          <w:p w14:paraId="61E81486">
            <w:pPr>
              <w:spacing w:line="380" w:lineRule="exact"/>
              <w:jc w:val="center"/>
              <w:rPr>
                <w:rFonts w:ascii="宋体" w:hAnsi="宋体"/>
                <w:color w:val="auto"/>
                <w:sz w:val="22"/>
                <w:szCs w:val="22"/>
                <w:highlight w:val="none"/>
              </w:rPr>
            </w:pPr>
          </w:p>
        </w:tc>
        <w:tc>
          <w:tcPr>
            <w:tcW w:w="1992" w:type="dxa"/>
            <w:vAlign w:val="center"/>
          </w:tcPr>
          <w:p w14:paraId="3349E272">
            <w:pPr>
              <w:spacing w:line="380" w:lineRule="exact"/>
              <w:jc w:val="center"/>
              <w:rPr>
                <w:rFonts w:ascii="宋体" w:hAnsi="宋体"/>
                <w:color w:val="auto"/>
                <w:sz w:val="22"/>
                <w:szCs w:val="22"/>
                <w:highlight w:val="none"/>
              </w:rPr>
            </w:pPr>
          </w:p>
        </w:tc>
        <w:tc>
          <w:tcPr>
            <w:tcW w:w="1866" w:type="dxa"/>
            <w:vAlign w:val="center"/>
          </w:tcPr>
          <w:p w14:paraId="5EB66781">
            <w:pPr>
              <w:spacing w:line="380" w:lineRule="exact"/>
              <w:jc w:val="center"/>
              <w:rPr>
                <w:rFonts w:ascii="宋体" w:hAnsi="宋体"/>
                <w:color w:val="auto"/>
                <w:sz w:val="22"/>
                <w:szCs w:val="22"/>
                <w:highlight w:val="none"/>
              </w:rPr>
            </w:pPr>
          </w:p>
        </w:tc>
        <w:tc>
          <w:tcPr>
            <w:tcW w:w="1592" w:type="dxa"/>
            <w:vAlign w:val="center"/>
          </w:tcPr>
          <w:p w14:paraId="33529053">
            <w:pPr>
              <w:spacing w:line="380" w:lineRule="exact"/>
              <w:jc w:val="center"/>
              <w:rPr>
                <w:rFonts w:ascii="宋体" w:hAnsi="宋体"/>
                <w:color w:val="auto"/>
                <w:sz w:val="22"/>
                <w:szCs w:val="22"/>
                <w:highlight w:val="none"/>
              </w:rPr>
            </w:pPr>
          </w:p>
        </w:tc>
      </w:tr>
      <w:tr w14:paraId="3052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832912A">
            <w:pPr>
              <w:spacing w:line="380" w:lineRule="exact"/>
              <w:ind w:firstLine="220" w:firstLineChars="100"/>
              <w:rPr>
                <w:rFonts w:ascii="宋体" w:hAnsi="宋体"/>
                <w:color w:val="auto"/>
                <w:sz w:val="22"/>
                <w:szCs w:val="22"/>
                <w:highlight w:val="none"/>
              </w:rPr>
            </w:pPr>
          </w:p>
        </w:tc>
        <w:tc>
          <w:tcPr>
            <w:tcW w:w="1364" w:type="dxa"/>
            <w:vAlign w:val="center"/>
          </w:tcPr>
          <w:p w14:paraId="4A67C55A">
            <w:pPr>
              <w:spacing w:line="380" w:lineRule="exact"/>
              <w:jc w:val="center"/>
              <w:rPr>
                <w:rFonts w:ascii="宋体" w:hAnsi="宋体"/>
                <w:color w:val="auto"/>
                <w:sz w:val="22"/>
                <w:szCs w:val="22"/>
                <w:highlight w:val="none"/>
              </w:rPr>
            </w:pPr>
          </w:p>
        </w:tc>
        <w:tc>
          <w:tcPr>
            <w:tcW w:w="2097" w:type="dxa"/>
            <w:vAlign w:val="center"/>
          </w:tcPr>
          <w:p w14:paraId="72A3E347">
            <w:pPr>
              <w:spacing w:line="380" w:lineRule="exact"/>
              <w:jc w:val="center"/>
              <w:rPr>
                <w:rFonts w:ascii="宋体" w:hAnsi="宋体"/>
                <w:color w:val="auto"/>
                <w:sz w:val="22"/>
                <w:szCs w:val="22"/>
                <w:highlight w:val="none"/>
              </w:rPr>
            </w:pPr>
          </w:p>
        </w:tc>
        <w:tc>
          <w:tcPr>
            <w:tcW w:w="1992" w:type="dxa"/>
            <w:vAlign w:val="center"/>
          </w:tcPr>
          <w:p w14:paraId="280B5020">
            <w:pPr>
              <w:spacing w:line="380" w:lineRule="exact"/>
              <w:jc w:val="center"/>
              <w:rPr>
                <w:rFonts w:ascii="宋体" w:hAnsi="宋体"/>
                <w:color w:val="auto"/>
                <w:sz w:val="22"/>
                <w:szCs w:val="22"/>
                <w:highlight w:val="none"/>
              </w:rPr>
            </w:pPr>
          </w:p>
        </w:tc>
        <w:tc>
          <w:tcPr>
            <w:tcW w:w="1866" w:type="dxa"/>
            <w:vAlign w:val="center"/>
          </w:tcPr>
          <w:p w14:paraId="17741DD2">
            <w:pPr>
              <w:spacing w:line="380" w:lineRule="exact"/>
              <w:jc w:val="center"/>
              <w:rPr>
                <w:rFonts w:ascii="宋体" w:hAnsi="宋体"/>
                <w:color w:val="auto"/>
                <w:sz w:val="22"/>
                <w:szCs w:val="22"/>
                <w:highlight w:val="none"/>
              </w:rPr>
            </w:pPr>
          </w:p>
        </w:tc>
        <w:tc>
          <w:tcPr>
            <w:tcW w:w="1592" w:type="dxa"/>
            <w:vAlign w:val="center"/>
          </w:tcPr>
          <w:p w14:paraId="3EDB41C2">
            <w:pPr>
              <w:spacing w:line="380" w:lineRule="exact"/>
              <w:jc w:val="center"/>
              <w:rPr>
                <w:rFonts w:ascii="宋体" w:hAnsi="宋体"/>
                <w:color w:val="auto"/>
                <w:sz w:val="22"/>
                <w:szCs w:val="22"/>
                <w:highlight w:val="none"/>
              </w:rPr>
            </w:pPr>
          </w:p>
        </w:tc>
      </w:tr>
      <w:tr w14:paraId="171C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BF79CAF">
            <w:pPr>
              <w:spacing w:line="380" w:lineRule="exact"/>
              <w:jc w:val="center"/>
              <w:rPr>
                <w:rFonts w:ascii="宋体" w:hAnsi="宋体"/>
                <w:color w:val="auto"/>
                <w:sz w:val="22"/>
                <w:szCs w:val="22"/>
                <w:highlight w:val="none"/>
              </w:rPr>
            </w:pPr>
          </w:p>
        </w:tc>
        <w:tc>
          <w:tcPr>
            <w:tcW w:w="1364" w:type="dxa"/>
            <w:vAlign w:val="center"/>
          </w:tcPr>
          <w:p w14:paraId="74A205FF">
            <w:pPr>
              <w:spacing w:line="380" w:lineRule="exact"/>
              <w:jc w:val="center"/>
              <w:rPr>
                <w:rFonts w:ascii="宋体" w:hAnsi="宋体"/>
                <w:color w:val="auto"/>
                <w:sz w:val="22"/>
                <w:szCs w:val="22"/>
                <w:highlight w:val="none"/>
              </w:rPr>
            </w:pPr>
          </w:p>
        </w:tc>
        <w:tc>
          <w:tcPr>
            <w:tcW w:w="2097" w:type="dxa"/>
            <w:vAlign w:val="center"/>
          </w:tcPr>
          <w:p w14:paraId="1B6327DB">
            <w:pPr>
              <w:spacing w:line="380" w:lineRule="exact"/>
              <w:jc w:val="center"/>
              <w:rPr>
                <w:rFonts w:ascii="宋体" w:hAnsi="宋体"/>
                <w:color w:val="auto"/>
                <w:sz w:val="22"/>
                <w:szCs w:val="22"/>
                <w:highlight w:val="none"/>
              </w:rPr>
            </w:pPr>
          </w:p>
        </w:tc>
        <w:tc>
          <w:tcPr>
            <w:tcW w:w="1992" w:type="dxa"/>
            <w:vAlign w:val="center"/>
          </w:tcPr>
          <w:p w14:paraId="2FD75552">
            <w:pPr>
              <w:spacing w:line="380" w:lineRule="exact"/>
              <w:jc w:val="center"/>
              <w:rPr>
                <w:rFonts w:ascii="宋体" w:hAnsi="宋体"/>
                <w:color w:val="auto"/>
                <w:sz w:val="22"/>
                <w:szCs w:val="22"/>
                <w:highlight w:val="none"/>
              </w:rPr>
            </w:pPr>
          </w:p>
        </w:tc>
        <w:tc>
          <w:tcPr>
            <w:tcW w:w="1866" w:type="dxa"/>
            <w:vAlign w:val="center"/>
          </w:tcPr>
          <w:p w14:paraId="2D2F0CE3">
            <w:pPr>
              <w:spacing w:line="380" w:lineRule="exact"/>
              <w:jc w:val="center"/>
              <w:rPr>
                <w:rFonts w:ascii="宋体" w:hAnsi="宋体"/>
                <w:color w:val="auto"/>
                <w:sz w:val="22"/>
                <w:szCs w:val="22"/>
                <w:highlight w:val="none"/>
              </w:rPr>
            </w:pPr>
          </w:p>
        </w:tc>
        <w:tc>
          <w:tcPr>
            <w:tcW w:w="1592" w:type="dxa"/>
            <w:vAlign w:val="center"/>
          </w:tcPr>
          <w:p w14:paraId="56F0ACA8">
            <w:pPr>
              <w:spacing w:line="380" w:lineRule="exact"/>
              <w:jc w:val="center"/>
              <w:rPr>
                <w:rFonts w:ascii="宋体" w:hAnsi="宋体"/>
                <w:color w:val="auto"/>
                <w:sz w:val="22"/>
                <w:szCs w:val="22"/>
                <w:highlight w:val="none"/>
              </w:rPr>
            </w:pPr>
          </w:p>
        </w:tc>
      </w:tr>
      <w:tr w14:paraId="1DD6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0AAC95B">
            <w:pPr>
              <w:spacing w:line="380" w:lineRule="exact"/>
              <w:jc w:val="center"/>
              <w:rPr>
                <w:rFonts w:ascii="宋体" w:hAnsi="宋体"/>
                <w:color w:val="auto"/>
                <w:sz w:val="22"/>
                <w:szCs w:val="22"/>
                <w:highlight w:val="none"/>
              </w:rPr>
            </w:pPr>
          </w:p>
        </w:tc>
        <w:tc>
          <w:tcPr>
            <w:tcW w:w="1364" w:type="dxa"/>
            <w:vAlign w:val="center"/>
          </w:tcPr>
          <w:p w14:paraId="4B60C61F">
            <w:pPr>
              <w:spacing w:line="380" w:lineRule="exact"/>
              <w:jc w:val="center"/>
              <w:rPr>
                <w:rFonts w:ascii="宋体" w:hAnsi="宋体"/>
                <w:color w:val="auto"/>
                <w:sz w:val="22"/>
                <w:szCs w:val="22"/>
                <w:highlight w:val="none"/>
              </w:rPr>
            </w:pPr>
          </w:p>
        </w:tc>
        <w:tc>
          <w:tcPr>
            <w:tcW w:w="2097" w:type="dxa"/>
            <w:vAlign w:val="center"/>
          </w:tcPr>
          <w:p w14:paraId="6D8DBDFE">
            <w:pPr>
              <w:spacing w:line="380" w:lineRule="exact"/>
              <w:jc w:val="center"/>
              <w:rPr>
                <w:rFonts w:ascii="宋体" w:hAnsi="宋体"/>
                <w:color w:val="auto"/>
                <w:sz w:val="22"/>
                <w:szCs w:val="22"/>
                <w:highlight w:val="none"/>
              </w:rPr>
            </w:pPr>
          </w:p>
        </w:tc>
        <w:tc>
          <w:tcPr>
            <w:tcW w:w="1992" w:type="dxa"/>
            <w:vAlign w:val="center"/>
          </w:tcPr>
          <w:p w14:paraId="60B394B6">
            <w:pPr>
              <w:spacing w:line="380" w:lineRule="exact"/>
              <w:jc w:val="center"/>
              <w:rPr>
                <w:rFonts w:ascii="宋体" w:hAnsi="宋体"/>
                <w:color w:val="auto"/>
                <w:sz w:val="22"/>
                <w:szCs w:val="22"/>
                <w:highlight w:val="none"/>
              </w:rPr>
            </w:pPr>
          </w:p>
        </w:tc>
        <w:tc>
          <w:tcPr>
            <w:tcW w:w="1866" w:type="dxa"/>
            <w:vAlign w:val="center"/>
          </w:tcPr>
          <w:p w14:paraId="1810CA95">
            <w:pPr>
              <w:spacing w:line="380" w:lineRule="exact"/>
              <w:jc w:val="center"/>
              <w:rPr>
                <w:rFonts w:ascii="宋体" w:hAnsi="宋体"/>
                <w:color w:val="auto"/>
                <w:sz w:val="22"/>
                <w:szCs w:val="22"/>
                <w:highlight w:val="none"/>
              </w:rPr>
            </w:pPr>
          </w:p>
        </w:tc>
        <w:tc>
          <w:tcPr>
            <w:tcW w:w="1592" w:type="dxa"/>
            <w:vAlign w:val="center"/>
          </w:tcPr>
          <w:p w14:paraId="211032C4">
            <w:pPr>
              <w:spacing w:line="380" w:lineRule="exact"/>
              <w:jc w:val="center"/>
              <w:rPr>
                <w:rFonts w:ascii="宋体" w:hAnsi="宋体"/>
                <w:color w:val="auto"/>
                <w:sz w:val="22"/>
                <w:szCs w:val="22"/>
                <w:highlight w:val="none"/>
              </w:rPr>
            </w:pPr>
          </w:p>
        </w:tc>
      </w:tr>
      <w:tr w14:paraId="22C2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E538AE1">
            <w:pPr>
              <w:spacing w:line="380" w:lineRule="exact"/>
              <w:jc w:val="center"/>
              <w:rPr>
                <w:rFonts w:ascii="宋体" w:hAnsi="宋体"/>
                <w:color w:val="auto"/>
                <w:sz w:val="22"/>
                <w:szCs w:val="22"/>
                <w:highlight w:val="none"/>
              </w:rPr>
            </w:pPr>
          </w:p>
        </w:tc>
        <w:tc>
          <w:tcPr>
            <w:tcW w:w="1364" w:type="dxa"/>
            <w:vAlign w:val="center"/>
          </w:tcPr>
          <w:p w14:paraId="05DBCBE0">
            <w:pPr>
              <w:spacing w:line="380" w:lineRule="exact"/>
              <w:jc w:val="center"/>
              <w:rPr>
                <w:rFonts w:ascii="宋体" w:hAnsi="宋体"/>
                <w:color w:val="auto"/>
                <w:sz w:val="22"/>
                <w:szCs w:val="22"/>
                <w:highlight w:val="none"/>
              </w:rPr>
            </w:pPr>
          </w:p>
        </w:tc>
        <w:tc>
          <w:tcPr>
            <w:tcW w:w="2097" w:type="dxa"/>
            <w:vAlign w:val="center"/>
          </w:tcPr>
          <w:p w14:paraId="690DA8A1">
            <w:pPr>
              <w:spacing w:line="380" w:lineRule="exact"/>
              <w:jc w:val="center"/>
              <w:rPr>
                <w:rFonts w:ascii="宋体" w:hAnsi="宋体"/>
                <w:color w:val="auto"/>
                <w:sz w:val="22"/>
                <w:szCs w:val="22"/>
                <w:highlight w:val="none"/>
              </w:rPr>
            </w:pPr>
          </w:p>
        </w:tc>
        <w:tc>
          <w:tcPr>
            <w:tcW w:w="1992" w:type="dxa"/>
            <w:vAlign w:val="center"/>
          </w:tcPr>
          <w:p w14:paraId="362A61C5">
            <w:pPr>
              <w:spacing w:line="380" w:lineRule="exact"/>
              <w:jc w:val="center"/>
              <w:rPr>
                <w:rFonts w:ascii="宋体" w:hAnsi="宋体"/>
                <w:color w:val="auto"/>
                <w:sz w:val="22"/>
                <w:szCs w:val="22"/>
                <w:highlight w:val="none"/>
              </w:rPr>
            </w:pPr>
          </w:p>
        </w:tc>
        <w:tc>
          <w:tcPr>
            <w:tcW w:w="1866" w:type="dxa"/>
            <w:vAlign w:val="center"/>
          </w:tcPr>
          <w:p w14:paraId="03DE8FBB">
            <w:pPr>
              <w:spacing w:line="380" w:lineRule="exact"/>
              <w:jc w:val="center"/>
              <w:rPr>
                <w:rFonts w:ascii="宋体" w:hAnsi="宋体"/>
                <w:color w:val="auto"/>
                <w:sz w:val="22"/>
                <w:szCs w:val="22"/>
                <w:highlight w:val="none"/>
              </w:rPr>
            </w:pPr>
          </w:p>
        </w:tc>
        <w:tc>
          <w:tcPr>
            <w:tcW w:w="1592" w:type="dxa"/>
            <w:vAlign w:val="center"/>
          </w:tcPr>
          <w:p w14:paraId="5DD939EF">
            <w:pPr>
              <w:spacing w:line="380" w:lineRule="exact"/>
              <w:jc w:val="center"/>
              <w:rPr>
                <w:rFonts w:ascii="宋体" w:hAnsi="宋体"/>
                <w:color w:val="auto"/>
                <w:sz w:val="22"/>
                <w:szCs w:val="22"/>
                <w:highlight w:val="none"/>
              </w:rPr>
            </w:pPr>
          </w:p>
        </w:tc>
      </w:tr>
      <w:tr w14:paraId="3A7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3B3CAF9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7D603F0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508304DE">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1D0119B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1C4FC133">
            <w:pPr>
              <w:spacing w:line="380" w:lineRule="exact"/>
              <w:jc w:val="center"/>
              <w:rPr>
                <w:rFonts w:ascii="宋体" w:hAnsi="宋体"/>
                <w:color w:val="auto"/>
                <w:sz w:val="22"/>
                <w:szCs w:val="22"/>
                <w:highlight w:val="none"/>
              </w:rPr>
            </w:pPr>
          </w:p>
        </w:tc>
        <w:tc>
          <w:tcPr>
            <w:tcW w:w="2097" w:type="dxa"/>
            <w:vAlign w:val="center"/>
          </w:tcPr>
          <w:p w14:paraId="01CD9A43">
            <w:pPr>
              <w:spacing w:line="380" w:lineRule="exact"/>
              <w:jc w:val="center"/>
              <w:rPr>
                <w:rFonts w:ascii="宋体" w:hAnsi="宋体"/>
                <w:color w:val="auto"/>
                <w:sz w:val="22"/>
                <w:szCs w:val="22"/>
                <w:highlight w:val="none"/>
              </w:rPr>
            </w:pPr>
          </w:p>
        </w:tc>
        <w:tc>
          <w:tcPr>
            <w:tcW w:w="1992" w:type="dxa"/>
            <w:vAlign w:val="center"/>
          </w:tcPr>
          <w:p w14:paraId="14C6F7B5">
            <w:pPr>
              <w:spacing w:line="380" w:lineRule="exact"/>
              <w:jc w:val="center"/>
              <w:rPr>
                <w:rFonts w:ascii="宋体" w:hAnsi="宋体"/>
                <w:color w:val="auto"/>
                <w:sz w:val="22"/>
                <w:szCs w:val="22"/>
                <w:highlight w:val="none"/>
              </w:rPr>
            </w:pPr>
          </w:p>
        </w:tc>
        <w:tc>
          <w:tcPr>
            <w:tcW w:w="1866" w:type="dxa"/>
            <w:vAlign w:val="center"/>
          </w:tcPr>
          <w:p w14:paraId="471746E8">
            <w:pPr>
              <w:spacing w:line="380" w:lineRule="exact"/>
              <w:jc w:val="center"/>
              <w:rPr>
                <w:rFonts w:ascii="宋体" w:hAnsi="宋体"/>
                <w:color w:val="auto"/>
                <w:sz w:val="22"/>
                <w:szCs w:val="22"/>
                <w:highlight w:val="none"/>
              </w:rPr>
            </w:pPr>
          </w:p>
        </w:tc>
        <w:tc>
          <w:tcPr>
            <w:tcW w:w="1592" w:type="dxa"/>
            <w:vAlign w:val="center"/>
          </w:tcPr>
          <w:p w14:paraId="65FF9BFB">
            <w:pPr>
              <w:spacing w:line="380" w:lineRule="exact"/>
              <w:jc w:val="center"/>
              <w:rPr>
                <w:rFonts w:ascii="宋体" w:hAnsi="宋体"/>
                <w:color w:val="auto"/>
                <w:sz w:val="22"/>
                <w:szCs w:val="22"/>
                <w:highlight w:val="none"/>
              </w:rPr>
            </w:pPr>
          </w:p>
        </w:tc>
      </w:tr>
      <w:tr w14:paraId="273D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C164C60">
            <w:pPr>
              <w:spacing w:line="380" w:lineRule="exact"/>
              <w:jc w:val="center"/>
              <w:rPr>
                <w:rFonts w:ascii="宋体" w:hAnsi="宋体"/>
                <w:color w:val="auto"/>
                <w:sz w:val="22"/>
                <w:szCs w:val="22"/>
                <w:highlight w:val="none"/>
              </w:rPr>
            </w:pPr>
          </w:p>
        </w:tc>
        <w:tc>
          <w:tcPr>
            <w:tcW w:w="1364" w:type="dxa"/>
            <w:vAlign w:val="center"/>
          </w:tcPr>
          <w:p w14:paraId="7BA19076">
            <w:pPr>
              <w:spacing w:line="380" w:lineRule="exact"/>
              <w:jc w:val="center"/>
              <w:rPr>
                <w:rFonts w:ascii="宋体" w:hAnsi="宋体"/>
                <w:color w:val="auto"/>
                <w:sz w:val="22"/>
                <w:szCs w:val="22"/>
                <w:highlight w:val="none"/>
              </w:rPr>
            </w:pPr>
          </w:p>
        </w:tc>
        <w:tc>
          <w:tcPr>
            <w:tcW w:w="2097" w:type="dxa"/>
            <w:vAlign w:val="center"/>
          </w:tcPr>
          <w:p w14:paraId="1FBB1C89">
            <w:pPr>
              <w:spacing w:line="380" w:lineRule="exact"/>
              <w:jc w:val="center"/>
              <w:rPr>
                <w:rFonts w:ascii="宋体" w:hAnsi="宋体"/>
                <w:color w:val="auto"/>
                <w:sz w:val="22"/>
                <w:szCs w:val="22"/>
                <w:highlight w:val="none"/>
              </w:rPr>
            </w:pPr>
          </w:p>
        </w:tc>
        <w:tc>
          <w:tcPr>
            <w:tcW w:w="1992" w:type="dxa"/>
            <w:vAlign w:val="center"/>
          </w:tcPr>
          <w:p w14:paraId="6F1C0EC0">
            <w:pPr>
              <w:spacing w:line="380" w:lineRule="exact"/>
              <w:jc w:val="center"/>
              <w:rPr>
                <w:rFonts w:ascii="宋体" w:hAnsi="宋体"/>
                <w:color w:val="auto"/>
                <w:sz w:val="22"/>
                <w:szCs w:val="22"/>
                <w:highlight w:val="none"/>
              </w:rPr>
            </w:pPr>
          </w:p>
        </w:tc>
        <w:tc>
          <w:tcPr>
            <w:tcW w:w="1866" w:type="dxa"/>
            <w:vAlign w:val="center"/>
          </w:tcPr>
          <w:p w14:paraId="4AF8FD58">
            <w:pPr>
              <w:spacing w:line="380" w:lineRule="exact"/>
              <w:jc w:val="center"/>
              <w:rPr>
                <w:rFonts w:ascii="宋体" w:hAnsi="宋体"/>
                <w:color w:val="auto"/>
                <w:sz w:val="22"/>
                <w:szCs w:val="22"/>
                <w:highlight w:val="none"/>
              </w:rPr>
            </w:pPr>
          </w:p>
        </w:tc>
        <w:tc>
          <w:tcPr>
            <w:tcW w:w="1592" w:type="dxa"/>
            <w:vAlign w:val="center"/>
          </w:tcPr>
          <w:p w14:paraId="23333A36">
            <w:pPr>
              <w:spacing w:line="380" w:lineRule="exact"/>
              <w:jc w:val="center"/>
              <w:rPr>
                <w:rFonts w:ascii="宋体" w:hAnsi="宋体"/>
                <w:color w:val="auto"/>
                <w:sz w:val="22"/>
                <w:szCs w:val="22"/>
                <w:highlight w:val="none"/>
              </w:rPr>
            </w:pPr>
          </w:p>
        </w:tc>
      </w:tr>
      <w:tr w14:paraId="3BD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C6970A1">
            <w:pPr>
              <w:spacing w:line="380" w:lineRule="exact"/>
              <w:jc w:val="center"/>
              <w:rPr>
                <w:rFonts w:ascii="宋体" w:hAnsi="宋体"/>
                <w:color w:val="auto"/>
                <w:sz w:val="22"/>
                <w:szCs w:val="22"/>
                <w:highlight w:val="none"/>
              </w:rPr>
            </w:pPr>
          </w:p>
        </w:tc>
        <w:tc>
          <w:tcPr>
            <w:tcW w:w="1364" w:type="dxa"/>
            <w:vAlign w:val="center"/>
          </w:tcPr>
          <w:p w14:paraId="1EFE64BF">
            <w:pPr>
              <w:spacing w:line="380" w:lineRule="exact"/>
              <w:jc w:val="center"/>
              <w:rPr>
                <w:rFonts w:ascii="宋体" w:hAnsi="宋体"/>
                <w:color w:val="auto"/>
                <w:sz w:val="22"/>
                <w:szCs w:val="22"/>
                <w:highlight w:val="none"/>
              </w:rPr>
            </w:pPr>
          </w:p>
        </w:tc>
        <w:tc>
          <w:tcPr>
            <w:tcW w:w="2097" w:type="dxa"/>
            <w:vAlign w:val="center"/>
          </w:tcPr>
          <w:p w14:paraId="60F10406">
            <w:pPr>
              <w:spacing w:line="380" w:lineRule="exact"/>
              <w:jc w:val="center"/>
              <w:rPr>
                <w:rFonts w:ascii="宋体" w:hAnsi="宋体"/>
                <w:color w:val="auto"/>
                <w:sz w:val="22"/>
                <w:szCs w:val="22"/>
                <w:highlight w:val="none"/>
              </w:rPr>
            </w:pPr>
          </w:p>
        </w:tc>
        <w:tc>
          <w:tcPr>
            <w:tcW w:w="1992" w:type="dxa"/>
            <w:vAlign w:val="center"/>
          </w:tcPr>
          <w:p w14:paraId="5EE08334">
            <w:pPr>
              <w:spacing w:line="380" w:lineRule="exact"/>
              <w:jc w:val="center"/>
              <w:rPr>
                <w:rFonts w:ascii="宋体" w:hAnsi="宋体"/>
                <w:color w:val="auto"/>
                <w:sz w:val="22"/>
                <w:szCs w:val="22"/>
                <w:highlight w:val="none"/>
              </w:rPr>
            </w:pPr>
          </w:p>
        </w:tc>
        <w:tc>
          <w:tcPr>
            <w:tcW w:w="1866" w:type="dxa"/>
            <w:vAlign w:val="center"/>
          </w:tcPr>
          <w:p w14:paraId="7465B949">
            <w:pPr>
              <w:spacing w:line="380" w:lineRule="exact"/>
              <w:jc w:val="center"/>
              <w:rPr>
                <w:rFonts w:ascii="宋体" w:hAnsi="宋体"/>
                <w:color w:val="auto"/>
                <w:sz w:val="22"/>
                <w:szCs w:val="22"/>
                <w:highlight w:val="none"/>
              </w:rPr>
            </w:pPr>
          </w:p>
        </w:tc>
        <w:tc>
          <w:tcPr>
            <w:tcW w:w="1592" w:type="dxa"/>
            <w:vAlign w:val="center"/>
          </w:tcPr>
          <w:p w14:paraId="3582D794">
            <w:pPr>
              <w:spacing w:line="380" w:lineRule="exact"/>
              <w:jc w:val="center"/>
              <w:rPr>
                <w:rFonts w:ascii="宋体" w:hAnsi="宋体"/>
                <w:color w:val="auto"/>
                <w:sz w:val="22"/>
                <w:szCs w:val="22"/>
                <w:highlight w:val="none"/>
              </w:rPr>
            </w:pPr>
          </w:p>
        </w:tc>
      </w:tr>
      <w:tr w14:paraId="0E51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205551">
            <w:pPr>
              <w:spacing w:line="380" w:lineRule="exact"/>
              <w:jc w:val="center"/>
              <w:rPr>
                <w:rFonts w:ascii="宋体" w:hAnsi="宋体"/>
                <w:color w:val="auto"/>
                <w:sz w:val="22"/>
                <w:szCs w:val="22"/>
                <w:highlight w:val="none"/>
              </w:rPr>
            </w:pPr>
          </w:p>
        </w:tc>
        <w:tc>
          <w:tcPr>
            <w:tcW w:w="1364" w:type="dxa"/>
            <w:vAlign w:val="center"/>
          </w:tcPr>
          <w:p w14:paraId="7D14B7C4">
            <w:pPr>
              <w:spacing w:line="380" w:lineRule="exact"/>
              <w:jc w:val="center"/>
              <w:rPr>
                <w:rFonts w:ascii="宋体" w:hAnsi="宋体"/>
                <w:color w:val="auto"/>
                <w:sz w:val="22"/>
                <w:szCs w:val="22"/>
                <w:highlight w:val="none"/>
              </w:rPr>
            </w:pPr>
          </w:p>
        </w:tc>
        <w:tc>
          <w:tcPr>
            <w:tcW w:w="2097" w:type="dxa"/>
            <w:vAlign w:val="center"/>
          </w:tcPr>
          <w:p w14:paraId="3AEB4F80">
            <w:pPr>
              <w:spacing w:line="380" w:lineRule="exact"/>
              <w:jc w:val="center"/>
              <w:rPr>
                <w:rFonts w:ascii="宋体" w:hAnsi="宋体"/>
                <w:color w:val="auto"/>
                <w:sz w:val="22"/>
                <w:szCs w:val="22"/>
                <w:highlight w:val="none"/>
              </w:rPr>
            </w:pPr>
          </w:p>
        </w:tc>
        <w:tc>
          <w:tcPr>
            <w:tcW w:w="1992" w:type="dxa"/>
            <w:vAlign w:val="center"/>
          </w:tcPr>
          <w:p w14:paraId="5C20248B">
            <w:pPr>
              <w:spacing w:line="380" w:lineRule="exact"/>
              <w:jc w:val="center"/>
              <w:rPr>
                <w:rFonts w:ascii="宋体" w:hAnsi="宋体"/>
                <w:color w:val="auto"/>
                <w:sz w:val="22"/>
                <w:szCs w:val="22"/>
                <w:highlight w:val="none"/>
              </w:rPr>
            </w:pPr>
          </w:p>
        </w:tc>
        <w:tc>
          <w:tcPr>
            <w:tcW w:w="1866" w:type="dxa"/>
            <w:vAlign w:val="center"/>
          </w:tcPr>
          <w:p w14:paraId="7220C421">
            <w:pPr>
              <w:spacing w:line="380" w:lineRule="exact"/>
              <w:jc w:val="center"/>
              <w:rPr>
                <w:rFonts w:ascii="宋体" w:hAnsi="宋体"/>
                <w:color w:val="auto"/>
                <w:sz w:val="22"/>
                <w:szCs w:val="22"/>
                <w:highlight w:val="none"/>
              </w:rPr>
            </w:pPr>
          </w:p>
        </w:tc>
        <w:tc>
          <w:tcPr>
            <w:tcW w:w="1592" w:type="dxa"/>
            <w:vAlign w:val="center"/>
          </w:tcPr>
          <w:p w14:paraId="0C2BE2C8">
            <w:pPr>
              <w:spacing w:line="380" w:lineRule="exact"/>
              <w:jc w:val="center"/>
              <w:rPr>
                <w:rFonts w:ascii="宋体" w:hAnsi="宋体"/>
                <w:color w:val="auto"/>
                <w:sz w:val="22"/>
                <w:szCs w:val="22"/>
                <w:highlight w:val="none"/>
              </w:rPr>
            </w:pPr>
          </w:p>
        </w:tc>
      </w:tr>
      <w:tr w14:paraId="2AAB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95A9FC6">
            <w:pPr>
              <w:spacing w:line="380" w:lineRule="exact"/>
              <w:jc w:val="center"/>
              <w:rPr>
                <w:rFonts w:ascii="宋体" w:hAnsi="宋体"/>
                <w:color w:val="auto"/>
                <w:sz w:val="22"/>
                <w:szCs w:val="22"/>
                <w:highlight w:val="none"/>
              </w:rPr>
            </w:pPr>
          </w:p>
        </w:tc>
        <w:tc>
          <w:tcPr>
            <w:tcW w:w="1364" w:type="dxa"/>
            <w:vAlign w:val="center"/>
          </w:tcPr>
          <w:p w14:paraId="3BCCED5C">
            <w:pPr>
              <w:spacing w:line="380" w:lineRule="exact"/>
              <w:jc w:val="center"/>
              <w:rPr>
                <w:rFonts w:ascii="宋体" w:hAnsi="宋体"/>
                <w:color w:val="auto"/>
                <w:sz w:val="22"/>
                <w:szCs w:val="22"/>
                <w:highlight w:val="none"/>
              </w:rPr>
            </w:pPr>
          </w:p>
        </w:tc>
        <w:tc>
          <w:tcPr>
            <w:tcW w:w="2097" w:type="dxa"/>
            <w:vAlign w:val="center"/>
          </w:tcPr>
          <w:p w14:paraId="5994FCC9">
            <w:pPr>
              <w:spacing w:line="380" w:lineRule="exact"/>
              <w:jc w:val="center"/>
              <w:rPr>
                <w:rFonts w:ascii="宋体" w:hAnsi="宋体"/>
                <w:color w:val="auto"/>
                <w:sz w:val="22"/>
                <w:szCs w:val="22"/>
                <w:highlight w:val="none"/>
              </w:rPr>
            </w:pPr>
          </w:p>
        </w:tc>
        <w:tc>
          <w:tcPr>
            <w:tcW w:w="1992" w:type="dxa"/>
            <w:vAlign w:val="center"/>
          </w:tcPr>
          <w:p w14:paraId="32439DFB">
            <w:pPr>
              <w:spacing w:line="380" w:lineRule="exact"/>
              <w:jc w:val="center"/>
              <w:rPr>
                <w:rFonts w:ascii="宋体" w:hAnsi="宋体"/>
                <w:color w:val="auto"/>
                <w:sz w:val="22"/>
                <w:szCs w:val="22"/>
                <w:highlight w:val="none"/>
              </w:rPr>
            </w:pPr>
          </w:p>
        </w:tc>
        <w:tc>
          <w:tcPr>
            <w:tcW w:w="1866" w:type="dxa"/>
            <w:vAlign w:val="center"/>
          </w:tcPr>
          <w:p w14:paraId="6231782B">
            <w:pPr>
              <w:spacing w:line="380" w:lineRule="exact"/>
              <w:jc w:val="center"/>
              <w:rPr>
                <w:rFonts w:ascii="宋体" w:hAnsi="宋体"/>
                <w:color w:val="auto"/>
                <w:sz w:val="22"/>
                <w:szCs w:val="22"/>
                <w:highlight w:val="none"/>
              </w:rPr>
            </w:pPr>
          </w:p>
        </w:tc>
        <w:tc>
          <w:tcPr>
            <w:tcW w:w="1592" w:type="dxa"/>
            <w:vAlign w:val="center"/>
          </w:tcPr>
          <w:p w14:paraId="3ECDEF4F">
            <w:pPr>
              <w:spacing w:line="380" w:lineRule="exact"/>
              <w:jc w:val="center"/>
              <w:rPr>
                <w:rFonts w:ascii="宋体" w:hAnsi="宋体"/>
                <w:color w:val="auto"/>
                <w:sz w:val="22"/>
                <w:szCs w:val="22"/>
                <w:highlight w:val="none"/>
              </w:rPr>
            </w:pPr>
          </w:p>
        </w:tc>
      </w:tr>
    </w:tbl>
    <w:p w14:paraId="598EB162">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672ED616">
      <w:pPr>
        <w:spacing w:line="380" w:lineRule="exact"/>
        <w:ind w:firstLine="4417" w:firstLineChars="2000"/>
        <w:rPr>
          <w:rFonts w:ascii="宋体" w:hAnsi="宋体"/>
          <w:b/>
          <w:color w:val="auto"/>
          <w:sz w:val="22"/>
          <w:szCs w:val="22"/>
          <w:highlight w:val="none"/>
        </w:rPr>
      </w:pPr>
    </w:p>
    <w:p w14:paraId="05BCA204">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02A9F817">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F714D95">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4BD86DDB">
      <w:pPr>
        <w:spacing w:line="400" w:lineRule="exact"/>
        <w:rPr>
          <w:rFonts w:ascii="宋体" w:hAnsi="宋体"/>
          <w:color w:val="auto"/>
          <w:sz w:val="22"/>
          <w:szCs w:val="22"/>
          <w:highlight w:val="none"/>
        </w:rPr>
      </w:pPr>
    </w:p>
    <w:p w14:paraId="5D3F5CEF">
      <w:pPr>
        <w:spacing w:line="460" w:lineRule="exact"/>
        <w:rPr>
          <w:rFonts w:ascii="宋体" w:hAnsi="宋体"/>
          <w:b/>
          <w:color w:val="auto"/>
          <w:sz w:val="22"/>
          <w:szCs w:val="22"/>
          <w:highlight w:val="none"/>
        </w:rPr>
      </w:pPr>
      <w:r>
        <w:rPr>
          <w:rFonts w:hint="eastAsia" w:ascii="宋体" w:hAnsi="宋体"/>
          <w:color w:val="auto"/>
          <w:highlight w:val="none"/>
        </w:rPr>
        <w:br w:type="page"/>
      </w:r>
      <w:r>
        <w:rPr>
          <w:rFonts w:hint="eastAsia" w:ascii="宋体" w:hAnsi="宋体"/>
          <w:b/>
          <w:color w:val="auto"/>
          <w:sz w:val="22"/>
          <w:szCs w:val="22"/>
          <w:highlight w:val="none"/>
        </w:rPr>
        <w:t xml:space="preserve"> </w:t>
      </w:r>
    </w:p>
    <w:p w14:paraId="392D22E7">
      <w:pPr>
        <w:spacing w:line="460" w:lineRule="exact"/>
        <w:rPr>
          <w:rFonts w:hAnsi="宋体"/>
          <w:b/>
          <w:bCs/>
          <w:color w:val="auto"/>
          <w:highlight w:val="none"/>
        </w:rPr>
      </w:pPr>
      <w:r>
        <w:rPr>
          <w:rFonts w:hint="eastAsia" w:ascii="宋体" w:hAnsi="宋体"/>
          <w:b/>
          <w:color w:val="auto"/>
          <w:sz w:val="22"/>
          <w:szCs w:val="22"/>
          <w:highlight w:val="none"/>
        </w:rPr>
        <w:t>附件五</w:t>
      </w:r>
    </w:p>
    <w:p w14:paraId="79657070">
      <w:pPr>
        <w:spacing w:line="4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项目案例业绩</w:t>
      </w:r>
    </w:p>
    <w:p w14:paraId="607E8F0A">
      <w:pPr>
        <w:spacing w:line="400" w:lineRule="exact"/>
        <w:jc w:val="center"/>
        <w:rPr>
          <w:rFonts w:ascii="宋体" w:hAnsi="宋体"/>
          <w:b/>
          <w:bCs/>
          <w:color w:val="auto"/>
          <w:sz w:val="28"/>
          <w:szCs w:val="28"/>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00"/>
        <w:gridCol w:w="2580"/>
      </w:tblGrid>
      <w:tr w14:paraId="43B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7AF5ADC">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520" w:type="dxa"/>
            <w:vAlign w:val="center"/>
          </w:tcPr>
          <w:p w14:paraId="56B9171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用户名称</w:t>
            </w:r>
          </w:p>
        </w:tc>
        <w:tc>
          <w:tcPr>
            <w:tcW w:w="2310" w:type="dxa"/>
            <w:vAlign w:val="center"/>
          </w:tcPr>
          <w:p w14:paraId="0D96D064">
            <w:pPr>
              <w:spacing w:line="380" w:lineRule="exact"/>
              <w:jc w:val="center"/>
              <w:rPr>
                <w:rFonts w:ascii="宋体" w:hAnsi="宋体" w:cs="Arial"/>
                <w:b/>
                <w:color w:val="auto"/>
                <w:highlight w:val="none"/>
                <w:u w:val="thick"/>
              </w:rPr>
            </w:pPr>
            <w:r>
              <w:rPr>
                <w:rFonts w:hint="eastAsia" w:ascii="宋体" w:hAnsi="宋体"/>
                <w:b/>
                <w:bCs/>
                <w:color w:val="auto"/>
                <w:sz w:val="22"/>
                <w:szCs w:val="22"/>
                <w:highlight w:val="none"/>
              </w:rPr>
              <w:t>合同签订时间</w:t>
            </w:r>
          </w:p>
        </w:tc>
        <w:tc>
          <w:tcPr>
            <w:tcW w:w="1200" w:type="dxa"/>
            <w:vAlign w:val="center"/>
          </w:tcPr>
          <w:p w14:paraId="539C16CD">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金额</w:t>
            </w:r>
          </w:p>
        </w:tc>
        <w:tc>
          <w:tcPr>
            <w:tcW w:w="2580" w:type="dxa"/>
            <w:vAlign w:val="center"/>
          </w:tcPr>
          <w:p w14:paraId="2364484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用户单位联系人及联系方式</w:t>
            </w:r>
          </w:p>
        </w:tc>
      </w:tr>
      <w:tr w14:paraId="30E7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C9A137C">
            <w:pPr>
              <w:spacing w:line="380" w:lineRule="exact"/>
              <w:jc w:val="center"/>
              <w:rPr>
                <w:rFonts w:ascii="宋体" w:hAnsi="宋体"/>
                <w:b/>
                <w:bCs/>
                <w:color w:val="auto"/>
                <w:sz w:val="22"/>
                <w:szCs w:val="22"/>
                <w:highlight w:val="none"/>
              </w:rPr>
            </w:pPr>
          </w:p>
        </w:tc>
        <w:tc>
          <w:tcPr>
            <w:tcW w:w="2520" w:type="dxa"/>
            <w:vAlign w:val="center"/>
          </w:tcPr>
          <w:p w14:paraId="2E0B2A9E">
            <w:pPr>
              <w:spacing w:line="380" w:lineRule="exact"/>
              <w:jc w:val="center"/>
              <w:rPr>
                <w:rFonts w:ascii="宋体" w:hAnsi="宋体"/>
                <w:b/>
                <w:bCs/>
                <w:color w:val="auto"/>
                <w:sz w:val="22"/>
                <w:szCs w:val="22"/>
                <w:highlight w:val="none"/>
              </w:rPr>
            </w:pPr>
          </w:p>
        </w:tc>
        <w:tc>
          <w:tcPr>
            <w:tcW w:w="2310" w:type="dxa"/>
            <w:vAlign w:val="center"/>
          </w:tcPr>
          <w:p w14:paraId="55A27107">
            <w:pPr>
              <w:spacing w:line="380" w:lineRule="exact"/>
              <w:jc w:val="center"/>
              <w:rPr>
                <w:rFonts w:ascii="宋体" w:hAnsi="宋体"/>
                <w:b/>
                <w:bCs/>
                <w:color w:val="auto"/>
                <w:sz w:val="22"/>
                <w:szCs w:val="22"/>
                <w:highlight w:val="none"/>
              </w:rPr>
            </w:pPr>
          </w:p>
        </w:tc>
        <w:tc>
          <w:tcPr>
            <w:tcW w:w="1200" w:type="dxa"/>
            <w:vAlign w:val="center"/>
          </w:tcPr>
          <w:p w14:paraId="63A5DEEE">
            <w:pPr>
              <w:spacing w:line="380" w:lineRule="exact"/>
              <w:jc w:val="center"/>
              <w:rPr>
                <w:rFonts w:ascii="宋体" w:hAnsi="宋体"/>
                <w:b/>
                <w:bCs/>
                <w:color w:val="auto"/>
                <w:sz w:val="22"/>
                <w:szCs w:val="22"/>
                <w:highlight w:val="none"/>
              </w:rPr>
            </w:pPr>
          </w:p>
        </w:tc>
        <w:tc>
          <w:tcPr>
            <w:tcW w:w="2580" w:type="dxa"/>
            <w:vAlign w:val="center"/>
          </w:tcPr>
          <w:p w14:paraId="515C0FA2">
            <w:pPr>
              <w:spacing w:line="380" w:lineRule="exact"/>
              <w:jc w:val="center"/>
              <w:rPr>
                <w:rFonts w:ascii="宋体" w:hAnsi="宋体"/>
                <w:b/>
                <w:bCs/>
                <w:color w:val="auto"/>
                <w:sz w:val="22"/>
                <w:szCs w:val="22"/>
                <w:highlight w:val="none"/>
              </w:rPr>
            </w:pPr>
          </w:p>
        </w:tc>
      </w:tr>
      <w:tr w14:paraId="7810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D36E814">
            <w:pPr>
              <w:spacing w:line="380" w:lineRule="exact"/>
              <w:jc w:val="center"/>
              <w:rPr>
                <w:rFonts w:ascii="宋体" w:hAnsi="宋体"/>
                <w:b/>
                <w:bCs/>
                <w:color w:val="auto"/>
                <w:sz w:val="22"/>
                <w:szCs w:val="22"/>
                <w:highlight w:val="none"/>
              </w:rPr>
            </w:pPr>
          </w:p>
        </w:tc>
        <w:tc>
          <w:tcPr>
            <w:tcW w:w="2520" w:type="dxa"/>
            <w:vAlign w:val="center"/>
          </w:tcPr>
          <w:p w14:paraId="2745E111">
            <w:pPr>
              <w:spacing w:line="380" w:lineRule="exact"/>
              <w:jc w:val="center"/>
              <w:rPr>
                <w:rFonts w:ascii="宋体" w:hAnsi="宋体"/>
                <w:b/>
                <w:bCs/>
                <w:color w:val="auto"/>
                <w:sz w:val="22"/>
                <w:szCs w:val="22"/>
                <w:highlight w:val="none"/>
              </w:rPr>
            </w:pPr>
          </w:p>
        </w:tc>
        <w:tc>
          <w:tcPr>
            <w:tcW w:w="2310" w:type="dxa"/>
            <w:vAlign w:val="center"/>
          </w:tcPr>
          <w:p w14:paraId="4F7B5745">
            <w:pPr>
              <w:spacing w:line="380" w:lineRule="exact"/>
              <w:jc w:val="center"/>
              <w:rPr>
                <w:rFonts w:ascii="宋体" w:hAnsi="宋体"/>
                <w:b/>
                <w:bCs/>
                <w:color w:val="auto"/>
                <w:sz w:val="22"/>
                <w:szCs w:val="22"/>
                <w:highlight w:val="none"/>
              </w:rPr>
            </w:pPr>
          </w:p>
        </w:tc>
        <w:tc>
          <w:tcPr>
            <w:tcW w:w="1200" w:type="dxa"/>
            <w:vAlign w:val="center"/>
          </w:tcPr>
          <w:p w14:paraId="30413DD1">
            <w:pPr>
              <w:spacing w:line="380" w:lineRule="exact"/>
              <w:jc w:val="center"/>
              <w:rPr>
                <w:rFonts w:ascii="宋体" w:hAnsi="宋体"/>
                <w:b/>
                <w:bCs/>
                <w:color w:val="auto"/>
                <w:sz w:val="22"/>
                <w:szCs w:val="22"/>
                <w:highlight w:val="none"/>
              </w:rPr>
            </w:pPr>
          </w:p>
        </w:tc>
        <w:tc>
          <w:tcPr>
            <w:tcW w:w="2580" w:type="dxa"/>
            <w:vAlign w:val="center"/>
          </w:tcPr>
          <w:p w14:paraId="4EA44D2A">
            <w:pPr>
              <w:spacing w:line="380" w:lineRule="exact"/>
              <w:jc w:val="center"/>
              <w:rPr>
                <w:rFonts w:ascii="宋体" w:hAnsi="宋体"/>
                <w:b/>
                <w:bCs/>
                <w:color w:val="auto"/>
                <w:sz w:val="22"/>
                <w:szCs w:val="22"/>
                <w:highlight w:val="none"/>
              </w:rPr>
            </w:pPr>
          </w:p>
        </w:tc>
      </w:tr>
      <w:tr w14:paraId="2D4A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E2D9F97">
            <w:pPr>
              <w:spacing w:line="380" w:lineRule="exact"/>
              <w:jc w:val="center"/>
              <w:rPr>
                <w:rFonts w:ascii="宋体" w:hAnsi="宋体"/>
                <w:b/>
                <w:bCs/>
                <w:color w:val="auto"/>
                <w:sz w:val="22"/>
                <w:szCs w:val="22"/>
                <w:highlight w:val="none"/>
              </w:rPr>
            </w:pPr>
          </w:p>
        </w:tc>
        <w:tc>
          <w:tcPr>
            <w:tcW w:w="2520" w:type="dxa"/>
            <w:vAlign w:val="center"/>
          </w:tcPr>
          <w:p w14:paraId="11310E71">
            <w:pPr>
              <w:spacing w:line="380" w:lineRule="exact"/>
              <w:jc w:val="center"/>
              <w:rPr>
                <w:rFonts w:ascii="宋体" w:hAnsi="宋体"/>
                <w:b/>
                <w:bCs/>
                <w:color w:val="auto"/>
                <w:sz w:val="22"/>
                <w:szCs w:val="22"/>
                <w:highlight w:val="none"/>
              </w:rPr>
            </w:pPr>
          </w:p>
        </w:tc>
        <w:tc>
          <w:tcPr>
            <w:tcW w:w="2310" w:type="dxa"/>
            <w:vAlign w:val="center"/>
          </w:tcPr>
          <w:p w14:paraId="02281BCC">
            <w:pPr>
              <w:spacing w:line="380" w:lineRule="exact"/>
              <w:jc w:val="center"/>
              <w:rPr>
                <w:rFonts w:ascii="宋体" w:hAnsi="宋体"/>
                <w:b/>
                <w:bCs/>
                <w:color w:val="auto"/>
                <w:sz w:val="22"/>
                <w:szCs w:val="22"/>
                <w:highlight w:val="none"/>
              </w:rPr>
            </w:pPr>
          </w:p>
        </w:tc>
        <w:tc>
          <w:tcPr>
            <w:tcW w:w="1200" w:type="dxa"/>
            <w:vAlign w:val="center"/>
          </w:tcPr>
          <w:p w14:paraId="6AF6B7FF">
            <w:pPr>
              <w:spacing w:line="380" w:lineRule="exact"/>
              <w:jc w:val="center"/>
              <w:rPr>
                <w:rFonts w:ascii="宋体" w:hAnsi="宋体"/>
                <w:b/>
                <w:bCs/>
                <w:color w:val="auto"/>
                <w:sz w:val="22"/>
                <w:szCs w:val="22"/>
                <w:highlight w:val="none"/>
              </w:rPr>
            </w:pPr>
          </w:p>
        </w:tc>
        <w:tc>
          <w:tcPr>
            <w:tcW w:w="2580" w:type="dxa"/>
            <w:vAlign w:val="center"/>
          </w:tcPr>
          <w:p w14:paraId="7A3384D2">
            <w:pPr>
              <w:spacing w:line="380" w:lineRule="exact"/>
              <w:jc w:val="center"/>
              <w:rPr>
                <w:rFonts w:ascii="宋体" w:hAnsi="宋体"/>
                <w:b/>
                <w:bCs/>
                <w:color w:val="auto"/>
                <w:sz w:val="22"/>
                <w:szCs w:val="22"/>
                <w:highlight w:val="none"/>
              </w:rPr>
            </w:pPr>
          </w:p>
        </w:tc>
      </w:tr>
      <w:tr w14:paraId="1EA1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682BCA">
            <w:pPr>
              <w:spacing w:line="380" w:lineRule="exact"/>
              <w:jc w:val="center"/>
              <w:rPr>
                <w:rFonts w:ascii="宋体" w:hAnsi="宋体"/>
                <w:b/>
                <w:bCs/>
                <w:color w:val="auto"/>
                <w:sz w:val="22"/>
                <w:szCs w:val="22"/>
                <w:highlight w:val="none"/>
              </w:rPr>
            </w:pPr>
          </w:p>
        </w:tc>
        <w:tc>
          <w:tcPr>
            <w:tcW w:w="2520" w:type="dxa"/>
            <w:vAlign w:val="center"/>
          </w:tcPr>
          <w:p w14:paraId="39DD9B78">
            <w:pPr>
              <w:spacing w:line="380" w:lineRule="exact"/>
              <w:jc w:val="center"/>
              <w:rPr>
                <w:rFonts w:ascii="宋体" w:hAnsi="宋体"/>
                <w:b/>
                <w:bCs/>
                <w:color w:val="auto"/>
                <w:sz w:val="22"/>
                <w:szCs w:val="22"/>
                <w:highlight w:val="none"/>
              </w:rPr>
            </w:pPr>
          </w:p>
        </w:tc>
        <w:tc>
          <w:tcPr>
            <w:tcW w:w="2310" w:type="dxa"/>
            <w:vAlign w:val="center"/>
          </w:tcPr>
          <w:p w14:paraId="43900747">
            <w:pPr>
              <w:spacing w:line="380" w:lineRule="exact"/>
              <w:jc w:val="center"/>
              <w:rPr>
                <w:rFonts w:ascii="宋体" w:hAnsi="宋体"/>
                <w:b/>
                <w:bCs/>
                <w:color w:val="auto"/>
                <w:sz w:val="22"/>
                <w:szCs w:val="22"/>
                <w:highlight w:val="none"/>
              </w:rPr>
            </w:pPr>
          </w:p>
        </w:tc>
        <w:tc>
          <w:tcPr>
            <w:tcW w:w="1200" w:type="dxa"/>
            <w:vAlign w:val="center"/>
          </w:tcPr>
          <w:p w14:paraId="33ACD555">
            <w:pPr>
              <w:spacing w:line="380" w:lineRule="exact"/>
              <w:jc w:val="center"/>
              <w:rPr>
                <w:rFonts w:ascii="宋体" w:hAnsi="宋体"/>
                <w:b/>
                <w:bCs/>
                <w:color w:val="auto"/>
                <w:sz w:val="22"/>
                <w:szCs w:val="22"/>
                <w:highlight w:val="none"/>
              </w:rPr>
            </w:pPr>
          </w:p>
        </w:tc>
        <w:tc>
          <w:tcPr>
            <w:tcW w:w="2580" w:type="dxa"/>
            <w:vAlign w:val="center"/>
          </w:tcPr>
          <w:p w14:paraId="42240B4B">
            <w:pPr>
              <w:spacing w:line="380" w:lineRule="exact"/>
              <w:jc w:val="center"/>
              <w:rPr>
                <w:rFonts w:ascii="宋体" w:hAnsi="宋体"/>
                <w:b/>
                <w:bCs/>
                <w:color w:val="auto"/>
                <w:sz w:val="22"/>
                <w:szCs w:val="22"/>
                <w:highlight w:val="none"/>
              </w:rPr>
            </w:pPr>
          </w:p>
        </w:tc>
      </w:tr>
      <w:tr w14:paraId="34F8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4398AC6">
            <w:pPr>
              <w:spacing w:line="380" w:lineRule="exact"/>
              <w:jc w:val="center"/>
              <w:rPr>
                <w:rFonts w:ascii="宋体" w:hAnsi="宋体"/>
                <w:b/>
                <w:bCs/>
                <w:color w:val="auto"/>
                <w:sz w:val="22"/>
                <w:szCs w:val="22"/>
                <w:highlight w:val="none"/>
              </w:rPr>
            </w:pPr>
          </w:p>
        </w:tc>
        <w:tc>
          <w:tcPr>
            <w:tcW w:w="2520" w:type="dxa"/>
            <w:vAlign w:val="center"/>
          </w:tcPr>
          <w:p w14:paraId="3F1DF3DF">
            <w:pPr>
              <w:spacing w:line="380" w:lineRule="exact"/>
              <w:jc w:val="center"/>
              <w:rPr>
                <w:rFonts w:ascii="宋体" w:hAnsi="宋体"/>
                <w:b/>
                <w:bCs/>
                <w:color w:val="auto"/>
                <w:sz w:val="22"/>
                <w:szCs w:val="22"/>
                <w:highlight w:val="none"/>
              </w:rPr>
            </w:pPr>
          </w:p>
        </w:tc>
        <w:tc>
          <w:tcPr>
            <w:tcW w:w="2310" w:type="dxa"/>
            <w:vAlign w:val="center"/>
          </w:tcPr>
          <w:p w14:paraId="6A0143B2">
            <w:pPr>
              <w:spacing w:line="380" w:lineRule="exact"/>
              <w:jc w:val="center"/>
              <w:rPr>
                <w:rFonts w:ascii="宋体" w:hAnsi="宋体"/>
                <w:b/>
                <w:bCs/>
                <w:color w:val="auto"/>
                <w:sz w:val="22"/>
                <w:szCs w:val="22"/>
                <w:highlight w:val="none"/>
              </w:rPr>
            </w:pPr>
          </w:p>
        </w:tc>
        <w:tc>
          <w:tcPr>
            <w:tcW w:w="1200" w:type="dxa"/>
            <w:vAlign w:val="center"/>
          </w:tcPr>
          <w:p w14:paraId="58437AF9">
            <w:pPr>
              <w:spacing w:line="380" w:lineRule="exact"/>
              <w:jc w:val="center"/>
              <w:rPr>
                <w:rFonts w:ascii="宋体" w:hAnsi="宋体"/>
                <w:b/>
                <w:bCs/>
                <w:color w:val="auto"/>
                <w:sz w:val="22"/>
                <w:szCs w:val="22"/>
                <w:highlight w:val="none"/>
              </w:rPr>
            </w:pPr>
          </w:p>
        </w:tc>
        <w:tc>
          <w:tcPr>
            <w:tcW w:w="2580" w:type="dxa"/>
            <w:vAlign w:val="center"/>
          </w:tcPr>
          <w:p w14:paraId="6898CA25">
            <w:pPr>
              <w:spacing w:line="380" w:lineRule="exact"/>
              <w:jc w:val="center"/>
              <w:rPr>
                <w:rFonts w:ascii="宋体" w:hAnsi="宋体"/>
                <w:b/>
                <w:bCs/>
                <w:color w:val="auto"/>
                <w:sz w:val="22"/>
                <w:szCs w:val="22"/>
                <w:highlight w:val="none"/>
              </w:rPr>
            </w:pPr>
          </w:p>
        </w:tc>
      </w:tr>
      <w:tr w14:paraId="1051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8D818BE">
            <w:pPr>
              <w:spacing w:line="380" w:lineRule="exact"/>
              <w:jc w:val="center"/>
              <w:rPr>
                <w:rFonts w:ascii="宋体" w:hAnsi="宋体"/>
                <w:b/>
                <w:bCs/>
                <w:color w:val="auto"/>
                <w:sz w:val="22"/>
                <w:szCs w:val="22"/>
                <w:highlight w:val="none"/>
              </w:rPr>
            </w:pPr>
          </w:p>
        </w:tc>
        <w:tc>
          <w:tcPr>
            <w:tcW w:w="2520" w:type="dxa"/>
            <w:vAlign w:val="center"/>
          </w:tcPr>
          <w:p w14:paraId="3762A758">
            <w:pPr>
              <w:spacing w:line="380" w:lineRule="exact"/>
              <w:jc w:val="center"/>
              <w:rPr>
                <w:rFonts w:ascii="宋体" w:hAnsi="宋体"/>
                <w:b/>
                <w:bCs/>
                <w:color w:val="auto"/>
                <w:sz w:val="22"/>
                <w:szCs w:val="22"/>
                <w:highlight w:val="none"/>
              </w:rPr>
            </w:pPr>
          </w:p>
        </w:tc>
        <w:tc>
          <w:tcPr>
            <w:tcW w:w="2310" w:type="dxa"/>
            <w:vAlign w:val="center"/>
          </w:tcPr>
          <w:p w14:paraId="268FC4B4">
            <w:pPr>
              <w:spacing w:line="380" w:lineRule="exact"/>
              <w:jc w:val="center"/>
              <w:rPr>
                <w:rFonts w:ascii="宋体" w:hAnsi="宋体"/>
                <w:b/>
                <w:bCs/>
                <w:color w:val="auto"/>
                <w:sz w:val="22"/>
                <w:szCs w:val="22"/>
                <w:highlight w:val="none"/>
              </w:rPr>
            </w:pPr>
          </w:p>
        </w:tc>
        <w:tc>
          <w:tcPr>
            <w:tcW w:w="1200" w:type="dxa"/>
            <w:vAlign w:val="center"/>
          </w:tcPr>
          <w:p w14:paraId="2E5803BC">
            <w:pPr>
              <w:spacing w:line="380" w:lineRule="exact"/>
              <w:jc w:val="center"/>
              <w:rPr>
                <w:rFonts w:ascii="宋体" w:hAnsi="宋体"/>
                <w:b/>
                <w:bCs/>
                <w:color w:val="auto"/>
                <w:sz w:val="22"/>
                <w:szCs w:val="22"/>
                <w:highlight w:val="none"/>
              </w:rPr>
            </w:pPr>
          </w:p>
        </w:tc>
        <w:tc>
          <w:tcPr>
            <w:tcW w:w="2580" w:type="dxa"/>
            <w:vAlign w:val="center"/>
          </w:tcPr>
          <w:p w14:paraId="0CA856D9">
            <w:pPr>
              <w:spacing w:line="380" w:lineRule="exact"/>
              <w:jc w:val="center"/>
              <w:rPr>
                <w:rFonts w:ascii="宋体" w:hAnsi="宋体"/>
                <w:b/>
                <w:bCs/>
                <w:color w:val="auto"/>
                <w:sz w:val="22"/>
                <w:szCs w:val="22"/>
                <w:highlight w:val="none"/>
              </w:rPr>
            </w:pPr>
          </w:p>
        </w:tc>
      </w:tr>
      <w:tr w14:paraId="3FD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C4CA171">
            <w:pPr>
              <w:spacing w:line="380" w:lineRule="exact"/>
              <w:jc w:val="center"/>
              <w:rPr>
                <w:rFonts w:ascii="宋体" w:hAnsi="宋体"/>
                <w:b/>
                <w:bCs/>
                <w:color w:val="auto"/>
                <w:sz w:val="22"/>
                <w:szCs w:val="22"/>
                <w:highlight w:val="none"/>
              </w:rPr>
            </w:pPr>
          </w:p>
        </w:tc>
        <w:tc>
          <w:tcPr>
            <w:tcW w:w="2520" w:type="dxa"/>
            <w:vAlign w:val="center"/>
          </w:tcPr>
          <w:p w14:paraId="70443EBA">
            <w:pPr>
              <w:spacing w:line="380" w:lineRule="exact"/>
              <w:jc w:val="center"/>
              <w:rPr>
                <w:rFonts w:ascii="宋体" w:hAnsi="宋体"/>
                <w:b/>
                <w:bCs/>
                <w:color w:val="auto"/>
                <w:sz w:val="22"/>
                <w:szCs w:val="22"/>
                <w:highlight w:val="none"/>
              </w:rPr>
            </w:pPr>
          </w:p>
        </w:tc>
        <w:tc>
          <w:tcPr>
            <w:tcW w:w="2310" w:type="dxa"/>
            <w:vAlign w:val="center"/>
          </w:tcPr>
          <w:p w14:paraId="7A379067">
            <w:pPr>
              <w:spacing w:line="380" w:lineRule="exact"/>
              <w:jc w:val="center"/>
              <w:rPr>
                <w:rFonts w:ascii="宋体" w:hAnsi="宋体"/>
                <w:b/>
                <w:bCs/>
                <w:color w:val="auto"/>
                <w:sz w:val="22"/>
                <w:szCs w:val="22"/>
                <w:highlight w:val="none"/>
              </w:rPr>
            </w:pPr>
          </w:p>
        </w:tc>
        <w:tc>
          <w:tcPr>
            <w:tcW w:w="1200" w:type="dxa"/>
            <w:vAlign w:val="center"/>
          </w:tcPr>
          <w:p w14:paraId="40CAB1AF">
            <w:pPr>
              <w:spacing w:line="380" w:lineRule="exact"/>
              <w:jc w:val="center"/>
              <w:rPr>
                <w:rFonts w:ascii="宋体" w:hAnsi="宋体"/>
                <w:b/>
                <w:bCs/>
                <w:color w:val="auto"/>
                <w:sz w:val="22"/>
                <w:szCs w:val="22"/>
                <w:highlight w:val="none"/>
              </w:rPr>
            </w:pPr>
          </w:p>
        </w:tc>
        <w:tc>
          <w:tcPr>
            <w:tcW w:w="2580" w:type="dxa"/>
            <w:vAlign w:val="center"/>
          </w:tcPr>
          <w:p w14:paraId="1B5AACDE">
            <w:pPr>
              <w:spacing w:line="380" w:lineRule="exact"/>
              <w:jc w:val="center"/>
              <w:rPr>
                <w:rFonts w:ascii="宋体" w:hAnsi="宋体"/>
                <w:b/>
                <w:bCs/>
                <w:color w:val="auto"/>
                <w:sz w:val="22"/>
                <w:szCs w:val="22"/>
                <w:highlight w:val="none"/>
              </w:rPr>
            </w:pPr>
          </w:p>
        </w:tc>
      </w:tr>
      <w:tr w14:paraId="1858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23C3EA9">
            <w:pPr>
              <w:spacing w:line="380" w:lineRule="exact"/>
              <w:jc w:val="center"/>
              <w:rPr>
                <w:rFonts w:ascii="宋体" w:hAnsi="宋体"/>
                <w:b/>
                <w:bCs/>
                <w:color w:val="auto"/>
                <w:sz w:val="22"/>
                <w:szCs w:val="22"/>
                <w:highlight w:val="none"/>
              </w:rPr>
            </w:pPr>
          </w:p>
        </w:tc>
        <w:tc>
          <w:tcPr>
            <w:tcW w:w="2520" w:type="dxa"/>
            <w:vAlign w:val="center"/>
          </w:tcPr>
          <w:p w14:paraId="267B014D">
            <w:pPr>
              <w:spacing w:line="380" w:lineRule="exact"/>
              <w:jc w:val="center"/>
              <w:rPr>
                <w:rFonts w:ascii="宋体" w:hAnsi="宋体"/>
                <w:b/>
                <w:bCs/>
                <w:color w:val="auto"/>
                <w:sz w:val="22"/>
                <w:szCs w:val="22"/>
                <w:highlight w:val="none"/>
              </w:rPr>
            </w:pPr>
          </w:p>
        </w:tc>
        <w:tc>
          <w:tcPr>
            <w:tcW w:w="2310" w:type="dxa"/>
            <w:vAlign w:val="center"/>
          </w:tcPr>
          <w:p w14:paraId="44C96C22">
            <w:pPr>
              <w:spacing w:line="380" w:lineRule="exact"/>
              <w:jc w:val="center"/>
              <w:rPr>
                <w:rFonts w:ascii="宋体" w:hAnsi="宋体"/>
                <w:b/>
                <w:bCs/>
                <w:color w:val="auto"/>
                <w:sz w:val="22"/>
                <w:szCs w:val="22"/>
                <w:highlight w:val="none"/>
              </w:rPr>
            </w:pPr>
          </w:p>
        </w:tc>
        <w:tc>
          <w:tcPr>
            <w:tcW w:w="1200" w:type="dxa"/>
            <w:vAlign w:val="center"/>
          </w:tcPr>
          <w:p w14:paraId="181E1CBD">
            <w:pPr>
              <w:spacing w:line="380" w:lineRule="exact"/>
              <w:jc w:val="center"/>
              <w:rPr>
                <w:rFonts w:ascii="宋体" w:hAnsi="宋体"/>
                <w:b/>
                <w:bCs/>
                <w:color w:val="auto"/>
                <w:sz w:val="22"/>
                <w:szCs w:val="22"/>
                <w:highlight w:val="none"/>
              </w:rPr>
            </w:pPr>
          </w:p>
        </w:tc>
        <w:tc>
          <w:tcPr>
            <w:tcW w:w="2580" w:type="dxa"/>
            <w:vAlign w:val="center"/>
          </w:tcPr>
          <w:p w14:paraId="72CC6C46">
            <w:pPr>
              <w:spacing w:line="380" w:lineRule="exact"/>
              <w:jc w:val="center"/>
              <w:rPr>
                <w:rFonts w:ascii="宋体" w:hAnsi="宋体"/>
                <w:b/>
                <w:bCs/>
                <w:color w:val="auto"/>
                <w:sz w:val="22"/>
                <w:szCs w:val="22"/>
                <w:highlight w:val="none"/>
              </w:rPr>
            </w:pPr>
          </w:p>
        </w:tc>
      </w:tr>
    </w:tbl>
    <w:p w14:paraId="2A007F7B">
      <w:pPr>
        <w:rPr>
          <w:rFonts w:ascii="宋体" w:hAnsi="宋体" w:cs="Arial"/>
          <w:color w:val="auto"/>
          <w:sz w:val="24"/>
          <w:highlight w:val="none"/>
        </w:rPr>
      </w:pPr>
    </w:p>
    <w:p w14:paraId="4941CC5F">
      <w:pPr>
        <w:rPr>
          <w:rFonts w:ascii="宋体" w:hAnsi="宋体" w:cs="Arial"/>
          <w:b/>
          <w:bCs/>
          <w:color w:val="auto"/>
          <w:sz w:val="24"/>
          <w:highlight w:val="none"/>
          <w:u w:val="single"/>
        </w:rPr>
      </w:pPr>
      <w:r>
        <w:rPr>
          <w:rFonts w:hint="eastAsia" w:ascii="宋体" w:hAnsi="宋体" w:cs="Arial"/>
          <w:color w:val="auto"/>
          <w:sz w:val="24"/>
          <w:highlight w:val="none"/>
        </w:rPr>
        <w:t>注：</w:t>
      </w:r>
    </w:p>
    <w:p w14:paraId="2EE9139B">
      <w:pPr>
        <w:spacing w:line="500" w:lineRule="exact"/>
        <w:rPr>
          <w:rFonts w:ascii="宋体" w:hAnsi="宋体"/>
          <w:color w:val="auto"/>
          <w:sz w:val="22"/>
          <w:szCs w:val="22"/>
          <w:highlight w:val="none"/>
        </w:rPr>
      </w:pPr>
      <w:r>
        <w:rPr>
          <w:rFonts w:hint="eastAsia" w:ascii="宋体" w:hAnsi="宋体"/>
          <w:bCs/>
          <w:color w:val="auto"/>
          <w:sz w:val="22"/>
          <w:szCs w:val="22"/>
          <w:highlight w:val="none"/>
        </w:rPr>
        <w:t>1、</w:t>
      </w:r>
      <w:r>
        <w:rPr>
          <w:rFonts w:hint="eastAsia" w:ascii="宋体" w:hAnsi="宋体"/>
          <w:color w:val="auto"/>
          <w:sz w:val="22"/>
          <w:szCs w:val="22"/>
          <w:highlight w:val="none"/>
        </w:rPr>
        <w:t>. 此表仅提供了表格形式，投标人应根据需要准备足够数量的表格来填写。</w:t>
      </w:r>
    </w:p>
    <w:p w14:paraId="2FF262E1">
      <w:pPr>
        <w:spacing w:line="380" w:lineRule="exact"/>
        <w:ind w:left="663" w:hanging="663" w:hangingChars="300"/>
        <w:rPr>
          <w:rFonts w:ascii="宋体" w:hAnsi="宋体"/>
          <w:b/>
          <w:color w:val="auto"/>
          <w:sz w:val="22"/>
          <w:szCs w:val="22"/>
          <w:highlight w:val="none"/>
        </w:rPr>
      </w:pPr>
    </w:p>
    <w:p w14:paraId="20F90BFD">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364CF063">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07FA22CC">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047F1B90">
      <w:pPr>
        <w:rPr>
          <w:rFonts w:ascii="宋体" w:hAnsi="宋体"/>
          <w:color w:val="auto"/>
          <w:sz w:val="22"/>
          <w:szCs w:val="22"/>
          <w:highlight w:val="none"/>
        </w:rPr>
      </w:pPr>
      <w:r>
        <w:rPr>
          <w:rFonts w:ascii="宋体" w:hAnsi="宋体"/>
          <w:color w:val="auto"/>
          <w:sz w:val="22"/>
          <w:szCs w:val="22"/>
          <w:highlight w:val="none"/>
        </w:rPr>
        <w:br w:type="page"/>
      </w:r>
    </w:p>
    <w:p w14:paraId="56F2AF25">
      <w:pPr>
        <w:spacing w:line="460" w:lineRule="exact"/>
        <w:rPr>
          <w:color w:val="auto"/>
          <w:highlight w:val="none"/>
        </w:rPr>
      </w:pPr>
      <w:r>
        <w:rPr>
          <w:rFonts w:hint="eastAsia" w:ascii="宋体" w:hAnsi="宋体"/>
          <w:b/>
          <w:color w:val="auto"/>
          <w:sz w:val="22"/>
          <w:szCs w:val="22"/>
          <w:highlight w:val="none"/>
        </w:rPr>
        <w:t>附件六</w:t>
      </w:r>
    </w:p>
    <w:p w14:paraId="28D63523">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拟派项目组成员表</w:t>
      </w:r>
    </w:p>
    <w:p w14:paraId="1FCCB530">
      <w:pPr>
        <w:spacing w:line="460" w:lineRule="exact"/>
        <w:ind w:firstLine="437"/>
        <w:jc w:val="center"/>
        <w:rPr>
          <w:rFonts w:ascii="宋体" w:hAnsi="宋体" w:cs="宋体"/>
          <w:b/>
          <w:bCs/>
          <w:color w:val="auto"/>
          <w:sz w:val="28"/>
          <w:szCs w:val="28"/>
          <w:highlight w:val="none"/>
        </w:rPr>
      </w:pPr>
    </w:p>
    <w:p w14:paraId="011D1005">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（1）项目负责人情况表</w:t>
      </w:r>
    </w:p>
    <w:p w14:paraId="200FC626">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采购项目：                                          采购编号：</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320"/>
        <w:gridCol w:w="3320"/>
        <w:gridCol w:w="1977"/>
      </w:tblGrid>
      <w:tr w14:paraId="787A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5B248216">
            <w:pPr>
              <w:jc w:val="center"/>
              <w:rPr>
                <w:rFonts w:ascii="宋体" w:hAnsi="宋体" w:cs="宋体"/>
                <w:color w:val="auto"/>
                <w:sz w:val="22"/>
                <w:szCs w:val="22"/>
                <w:highlight w:val="none"/>
              </w:rPr>
            </w:pPr>
            <w:r>
              <w:rPr>
                <w:rFonts w:hint="eastAsia" w:ascii="宋体" w:hAnsi="宋体" w:cs="宋体"/>
                <w:color w:val="auto"/>
                <w:sz w:val="22"/>
                <w:szCs w:val="22"/>
                <w:highlight w:val="none"/>
              </w:rPr>
              <w:t>姓名</w:t>
            </w:r>
          </w:p>
        </w:tc>
        <w:tc>
          <w:tcPr>
            <w:tcW w:w="1391" w:type="pct"/>
            <w:noWrap/>
            <w:vAlign w:val="center"/>
          </w:tcPr>
          <w:p w14:paraId="1BB0A034">
            <w:pPr>
              <w:jc w:val="center"/>
              <w:rPr>
                <w:rFonts w:ascii="宋体" w:hAnsi="宋体" w:cs="宋体"/>
                <w:color w:val="auto"/>
                <w:sz w:val="22"/>
                <w:szCs w:val="22"/>
                <w:highlight w:val="none"/>
              </w:rPr>
            </w:pPr>
          </w:p>
        </w:tc>
        <w:tc>
          <w:tcPr>
            <w:tcW w:w="1391" w:type="pct"/>
            <w:noWrap/>
            <w:vAlign w:val="center"/>
          </w:tcPr>
          <w:p w14:paraId="2D51FDC3">
            <w:pPr>
              <w:jc w:val="center"/>
              <w:rPr>
                <w:rFonts w:ascii="宋体" w:hAnsi="宋体" w:cs="宋体"/>
                <w:color w:val="auto"/>
                <w:sz w:val="22"/>
                <w:szCs w:val="22"/>
                <w:highlight w:val="none"/>
              </w:rPr>
            </w:pPr>
            <w:r>
              <w:rPr>
                <w:rFonts w:hint="eastAsia" w:ascii="宋体" w:hAnsi="宋体" w:cs="宋体"/>
                <w:color w:val="auto"/>
                <w:sz w:val="22"/>
                <w:szCs w:val="22"/>
                <w:highlight w:val="none"/>
              </w:rPr>
              <w:t>性别</w:t>
            </w:r>
          </w:p>
        </w:tc>
        <w:tc>
          <w:tcPr>
            <w:tcW w:w="825" w:type="pct"/>
            <w:noWrap/>
            <w:vAlign w:val="center"/>
          </w:tcPr>
          <w:p w14:paraId="74337C1B">
            <w:pPr>
              <w:jc w:val="center"/>
              <w:rPr>
                <w:rFonts w:ascii="宋体" w:hAnsi="宋体" w:cs="宋体"/>
                <w:color w:val="auto"/>
                <w:sz w:val="22"/>
                <w:szCs w:val="22"/>
                <w:highlight w:val="none"/>
              </w:rPr>
            </w:pPr>
          </w:p>
        </w:tc>
      </w:tr>
      <w:tr w14:paraId="4B1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67F7CF86">
            <w:pPr>
              <w:jc w:val="center"/>
              <w:rPr>
                <w:rFonts w:ascii="宋体" w:hAnsi="宋体" w:cs="宋体"/>
                <w:color w:val="auto"/>
                <w:sz w:val="22"/>
                <w:szCs w:val="22"/>
                <w:highlight w:val="none"/>
              </w:rPr>
            </w:pPr>
            <w:r>
              <w:rPr>
                <w:rFonts w:hint="eastAsia" w:ascii="宋体" w:hAnsi="宋体" w:cs="宋体"/>
                <w:color w:val="auto"/>
                <w:sz w:val="22"/>
                <w:szCs w:val="22"/>
                <w:highlight w:val="none"/>
              </w:rPr>
              <w:t>学历</w:t>
            </w:r>
          </w:p>
        </w:tc>
        <w:tc>
          <w:tcPr>
            <w:tcW w:w="1391" w:type="pct"/>
            <w:noWrap/>
            <w:vAlign w:val="center"/>
          </w:tcPr>
          <w:p w14:paraId="53018F65">
            <w:pPr>
              <w:jc w:val="center"/>
              <w:rPr>
                <w:rFonts w:ascii="宋体" w:hAnsi="宋体" w:cs="宋体"/>
                <w:color w:val="auto"/>
                <w:sz w:val="22"/>
                <w:szCs w:val="22"/>
                <w:highlight w:val="none"/>
              </w:rPr>
            </w:pPr>
          </w:p>
        </w:tc>
        <w:tc>
          <w:tcPr>
            <w:tcW w:w="1391" w:type="pct"/>
            <w:noWrap/>
            <w:vAlign w:val="center"/>
          </w:tcPr>
          <w:p w14:paraId="4299AF06">
            <w:pPr>
              <w:jc w:val="center"/>
              <w:rPr>
                <w:rFonts w:ascii="宋体" w:hAnsi="宋体" w:cs="宋体"/>
                <w:color w:val="auto"/>
                <w:sz w:val="22"/>
                <w:szCs w:val="22"/>
                <w:highlight w:val="none"/>
              </w:rPr>
            </w:pPr>
            <w:r>
              <w:rPr>
                <w:rFonts w:hint="eastAsia" w:ascii="宋体" w:hAnsi="宋体" w:cs="宋体"/>
                <w:color w:val="auto"/>
                <w:sz w:val="22"/>
                <w:szCs w:val="22"/>
                <w:highlight w:val="none"/>
              </w:rPr>
              <w:t>年龄</w:t>
            </w:r>
          </w:p>
        </w:tc>
        <w:tc>
          <w:tcPr>
            <w:tcW w:w="825" w:type="pct"/>
            <w:noWrap/>
            <w:vAlign w:val="center"/>
          </w:tcPr>
          <w:p w14:paraId="217BD38D">
            <w:pPr>
              <w:jc w:val="center"/>
              <w:rPr>
                <w:rFonts w:ascii="宋体" w:hAnsi="宋体" w:cs="宋体"/>
                <w:color w:val="auto"/>
                <w:sz w:val="22"/>
                <w:szCs w:val="22"/>
                <w:highlight w:val="none"/>
              </w:rPr>
            </w:pPr>
          </w:p>
        </w:tc>
      </w:tr>
      <w:tr w14:paraId="6429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321962A3">
            <w:pPr>
              <w:jc w:val="center"/>
              <w:rPr>
                <w:rFonts w:ascii="宋体" w:hAnsi="宋体" w:cs="宋体"/>
                <w:color w:val="auto"/>
                <w:sz w:val="22"/>
                <w:szCs w:val="22"/>
                <w:highlight w:val="none"/>
              </w:rPr>
            </w:pPr>
            <w:r>
              <w:rPr>
                <w:rFonts w:hint="eastAsia" w:ascii="宋体" w:hAnsi="宋体" w:cs="宋体"/>
                <w:color w:val="auto"/>
                <w:sz w:val="22"/>
                <w:szCs w:val="22"/>
                <w:highlight w:val="none"/>
              </w:rPr>
              <w:t>身份证号</w:t>
            </w:r>
          </w:p>
        </w:tc>
        <w:tc>
          <w:tcPr>
            <w:tcW w:w="3608" w:type="pct"/>
            <w:gridSpan w:val="3"/>
            <w:noWrap/>
            <w:vAlign w:val="center"/>
          </w:tcPr>
          <w:p w14:paraId="51437652">
            <w:pPr>
              <w:jc w:val="center"/>
              <w:rPr>
                <w:rFonts w:ascii="宋体" w:hAnsi="宋体" w:cs="宋体"/>
                <w:color w:val="auto"/>
                <w:sz w:val="22"/>
                <w:szCs w:val="22"/>
                <w:highlight w:val="none"/>
              </w:rPr>
            </w:pPr>
          </w:p>
        </w:tc>
      </w:tr>
      <w:tr w14:paraId="36C1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65ABAC7D">
            <w:pPr>
              <w:jc w:val="center"/>
              <w:rPr>
                <w:rFonts w:ascii="宋体" w:hAnsi="宋体" w:cs="宋体"/>
                <w:color w:val="auto"/>
                <w:sz w:val="22"/>
                <w:szCs w:val="22"/>
                <w:highlight w:val="none"/>
              </w:rPr>
            </w:pPr>
            <w:r>
              <w:rPr>
                <w:rFonts w:hint="eastAsia" w:ascii="宋体" w:hAnsi="宋体" w:cs="宋体"/>
                <w:color w:val="auto"/>
                <w:sz w:val="22"/>
                <w:szCs w:val="22"/>
                <w:highlight w:val="none"/>
              </w:rPr>
              <w:t>资格证书</w:t>
            </w:r>
          </w:p>
        </w:tc>
        <w:tc>
          <w:tcPr>
            <w:tcW w:w="3608" w:type="pct"/>
            <w:gridSpan w:val="3"/>
            <w:noWrap/>
            <w:vAlign w:val="center"/>
          </w:tcPr>
          <w:p w14:paraId="110B5F5C">
            <w:pPr>
              <w:jc w:val="center"/>
              <w:rPr>
                <w:rFonts w:ascii="宋体" w:hAnsi="宋体" w:cs="宋体"/>
                <w:color w:val="auto"/>
                <w:sz w:val="22"/>
                <w:szCs w:val="22"/>
                <w:highlight w:val="none"/>
              </w:rPr>
            </w:pPr>
          </w:p>
        </w:tc>
      </w:tr>
      <w:tr w14:paraId="510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2A49FED9">
            <w:pPr>
              <w:jc w:val="center"/>
              <w:rPr>
                <w:rFonts w:ascii="宋体" w:hAnsi="宋体" w:cs="宋体"/>
                <w:color w:val="auto"/>
                <w:sz w:val="22"/>
                <w:szCs w:val="22"/>
                <w:highlight w:val="none"/>
              </w:rPr>
            </w:pPr>
            <w:r>
              <w:rPr>
                <w:rFonts w:hint="eastAsia" w:ascii="宋体" w:hAnsi="宋体" w:cs="宋体"/>
                <w:color w:val="auto"/>
                <w:sz w:val="22"/>
                <w:szCs w:val="22"/>
                <w:highlight w:val="none"/>
              </w:rPr>
              <w:t>现任职务</w:t>
            </w:r>
          </w:p>
        </w:tc>
        <w:tc>
          <w:tcPr>
            <w:tcW w:w="3608" w:type="pct"/>
            <w:gridSpan w:val="3"/>
            <w:noWrap/>
            <w:vAlign w:val="center"/>
          </w:tcPr>
          <w:p w14:paraId="7CD0EF5E">
            <w:pPr>
              <w:jc w:val="center"/>
              <w:rPr>
                <w:rFonts w:ascii="宋体" w:hAnsi="宋体" w:cs="宋体"/>
                <w:color w:val="auto"/>
                <w:sz w:val="22"/>
                <w:szCs w:val="22"/>
                <w:highlight w:val="none"/>
              </w:rPr>
            </w:pPr>
          </w:p>
        </w:tc>
      </w:tr>
      <w:tr w14:paraId="3AC7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1BD7B479">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近年来主要</w:t>
            </w:r>
          </w:p>
          <w:p w14:paraId="2F70B951">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工作业绩</w:t>
            </w:r>
          </w:p>
        </w:tc>
        <w:tc>
          <w:tcPr>
            <w:tcW w:w="3608" w:type="pct"/>
            <w:gridSpan w:val="3"/>
            <w:noWrap/>
            <w:vAlign w:val="center"/>
          </w:tcPr>
          <w:p w14:paraId="460F10DF">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注：业绩证明应提供旁证材料</w:t>
            </w:r>
          </w:p>
          <w:p w14:paraId="6E7EE504">
            <w:pPr>
              <w:spacing w:line="4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（合同或中标通知书或业主证明等，证明材料中须包含拟派类似人员信息、项目参与身份等）</w:t>
            </w:r>
          </w:p>
        </w:tc>
      </w:tr>
      <w:tr w14:paraId="1873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2142EF57">
            <w:pPr>
              <w:jc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3608" w:type="pct"/>
            <w:gridSpan w:val="3"/>
            <w:noWrap/>
            <w:vAlign w:val="center"/>
          </w:tcPr>
          <w:p w14:paraId="12078216">
            <w:pPr>
              <w:jc w:val="center"/>
              <w:rPr>
                <w:rFonts w:ascii="宋体" w:hAnsi="宋体" w:cs="宋体"/>
                <w:color w:val="auto"/>
                <w:sz w:val="22"/>
                <w:szCs w:val="22"/>
                <w:highlight w:val="none"/>
              </w:rPr>
            </w:pPr>
          </w:p>
        </w:tc>
      </w:tr>
      <w:tr w14:paraId="3279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91" w:type="pct"/>
            <w:noWrap/>
            <w:vAlign w:val="center"/>
          </w:tcPr>
          <w:p w14:paraId="39DA065B">
            <w:pPr>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c>
          <w:tcPr>
            <w:tcW w:w="3608" w:type="pct"/>
            <w:gridSpan w:val="3"/>
            <w:noWrap/>
            <w:vAlign w:val="center"/>
          </w:tcPr>
          <w:p w14:paraId="500CF4E8">
            <w:pPr>
              <w:jc w:val="center"/>
              <w:rPr>
                <w:rFonts w:ascii="宋体" w:hAnsi="宋体" w:cs="宋体"/>
                <w:color w:val="auto"/>
                <w:sz w:val="22"/>
                <w:szCs w:val="22"/>
                <w:highlight w:val="none"/>
              </w:rPr>
            </w:pPr>
          </w:p>
        </w:tc>
      </w:tr>
    </w:tbl>
    <w:p w14:paraId="77B63673">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注：1、本表应将项目负责人证明材料附后。</w:t>
      </w:r>
    </w:p>
    <w:p w14:paraId="272EE1FB">
      <w:pPr>
        <w:numPr>
          <w:ilvl w:val="0"/>
          <w:numId w:val="51"/>
        </w:numPr>
        <w:spacing w:line="360" w:lineRule="exact"/>
        <w:ind w:firstLine="440" w:firstLineChars="200"/>
        <w:rPr>
          <w:rFonts w:ascii="宋体" w:hAnsi="宋体" w:cs="宋体"/>
          <w:color w:val="auto"/>
          <w:kern w:val="0"/>
          <w:sz w:val="22"/>
          <w:szCs w:val="22"/>
          <w:highlight w:val="none"/>
        </w:rPr>
      </w:pPr>
      <w:bookmarkStart w:id="247" w:name="_Toc301515381"/>
      <w:bookmarkStart w:id="248" w:name="_Toc513731633"/>
      <w:r>
        <w:rPr>
          <w:rFonts w:hint="eastAsia" w:ascii="宋体" w:hAnsi="宋体" w:cs="宋体"/>
          <w:color w:val="auto"/>
          <w:sz w:val="22"/>
          <w:szCs w:val="22"/>
          <w:highlight w:val="none"/>
        </w:rPr>
        <w:t>项目负责人在服务期内不得更换，如遇特殊情况更换项目负责人的需经采购人同意。</w:t>
      </w:r>
    </w:p>
    <w:p w14:paraId="0B80B9C7">
      <w:pPr>
        <w:pStyle w:val="25"/>
        <w:ind w:firstLine="220"/>
        <w:rPr>
          <w:rFonts w:ascii="宋体" w:hAnsi="宋体" w:cs="宋体"/>
          <w:color w:val="auto"/>
          <w:sz w:val="22"/>
          <w:szCs w:val="22"/>
          <w:highlight w:val="none"/>
        </w:rPr>
      </w:pPr>
    </w:p>
    <w:p w14:paraId="389795EB">
      <w:pPr>
        <w:pStyle w:val="25"/>
        <w:ind w:firstLine="0" w:firstLineChars="0"/>
        <w:rPr>
          <w:rFonts w:ascii="宋体" w:hAnsi="宋体" w:cs="宋体"/>
          <w:color w:val="auto"/>
          <w:sz w:val="22"/>
          <w:szCs w:val="22"/>
          <w:highlight w:val="none"/>
        </w:rPr>
      </w:pPr>
    </w:p>
    <w:bookmarkEnd w:id="247"/>
    <w:bookmarkEnd w:id="248"/>
    <w:p w14:paraId="2BA8CFB6">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18214D3B">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3D5FBF1">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37D558F5">
      <w:pPr>
        <w:spacing w:line="460" w:lineRule="exact"/>
        <w:ind w:firstLine="437"/>
        <w:jc w:val="center"/>
        <w:rPr>
          <w:rFonts w:ascii="宋体" w:hAnsi="宋体" w:cs="宋体"/>
          <w:b/>
          <w:bCs/>
          <w:color w:val="auto"/>
          <w:sz w:val="28"/>
          <w:szCs w:val="28"/>
          <w:highlight w:val="none"/>
        </w:rPr>
      </w:pPr>
      <w:r>
        <w:rPr>
          <w:rFonts w:hint="eastAsia" w:ascii="宋体" w:hAnsi="宋体" w:cs="宋体"/>
          <w:b/>
          <w:color w:val="auto"/>
          <w:sz w:val="24"/>
          <w:highlight w:val="none"/>
        </w:rPr>
        <w:br w:type="page"/>
      </w:r>
    </w:p>
    <w:p w14:paraId="4CEB27AD">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（2）拟派项目其他服务人员汇总表</w:t>
      </w:r>
    </w:p>
    <w:p w14:paraId="70366DE3">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采购项目：                                          采购编号：</w:t>
      </w:r>
    </w:p>
    <w:tbl>
      <w:tblPr>
        <w:tblStyle w:val="62"/>
        <w:tblW w:w="97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1238"/>
        <w:gridCol w:w="1668"/>
        <w:gridCol w:w="1688"/>
        <w:gridCol w:w="1312"/>
        <w:gridCol w:w="2288"/>
        <w:gridCol w:w="844"/>
      </w:tblGrid>
      <w:tr w14:paraId="26B88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vAlign w:val="center"/>
          </w:tcPr>
          <w:p w14:paraId="6B58B3E0">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238" w:type="dxa"/>
            <w:noWrap/>
            <w:vAlign w:val="center"/>
          </w:tcPr>
          <w:p w14:paraId="1CE659D7">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联系人</w:t>
            </w:r>
          </w:p>
        </w:tc>
        <w:tc>
          <w:tcPr>
            <w:tcW w:w="1668" w:type="dxa"/>
            <w:noWrap/>
            <w:vAlign w:val="center"/>
          </w:tcPr>
          <w:p w14:paraId="222F220E">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1688" w:type="dxa"/>
            <w:noWrap/>
            <w:vAlign w:val="center"/>
          </w:tcPr>
          <w:p w14:paraId="4E23D755">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身份证号</w:t>
            </w:r>
          </w:p>
        </w:tc>
        <w:tc>
          <w:tcPr>
            <w:tcW w:w="1312" w:type="dxa"/>
            <w:noWrap/>
            <w:vAlign w:val="center"/>
          </w:tcPr>
          <w:p w14:paraId="1DBD35C2">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资格证书</w:t>
            </w:r>
          </w:p>
        </w:tc>
        <w:tc>
          <w:tcPr>
            <w:tcW w:w="2288" w:type="dxa"/>
            <w:noWrap/>
            <w:vAlign w:val="center"/>
          </w:tcPr>
          <w:p w14:paraId="2809565A">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现 场 承 担 工 作</w:t>
            </w:r>
          </w:p>
        </w:tc>
        <w:tc>
          <w:tcPr>
            <w:tcW w:w="844" w:type="dxa"/>
            <w:noWrap/>
            <w:vAlign w:val="center"/>
          </w:tcPr>
          <w:p w14:paraId="11B3BF2F">
            <w:pPr>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14:paraId="66613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7B3D7099">
            <w:pPr>
              <w:snapToGrid w:val="0"/>
              <w:spacing w:line="400" w:lineRule="exact"/>
              <w:rPr>
                <w:rFonts w:ascii="宋体" w:hAnsi="宋体" w:cs="宋体"/>
                <w:color w:val="auto"/>
                <w:sz w:val="22"/>
                <w:szCs w:val="22"/>
                <w:highlight w:val="none"/>
              </w:rPr>
            </w:pPr>
          </w:p>
        </w:tc>
        <w:tc>
          <w:tcPr>
            <w:tcW w:w="1238" w:type="dxa"/>
            <w:noWrap/>
          </w:tcPr>
          <w:p w14:paraId="3F1FB15F">
            <w:pPr>
              <w:snapToGrid w:val="0"/>
              <w:spacing w:line="400" w:lineRule="exact"/>
              <w:rPr>
                <w:rFonts w:ascii="宋体" w:hAnsi="宋体" w:cs="宋体"/>
                <w:color w:val="auto"/>
                <w:sz w:val="22"/>
                <w:szCs w:val="22"/>
                <w:highlight w:val="none"/>
              </w:rPr>
            </w:pPr>
          </w:p>
        </w:tc>
        <w:tc>
          <w:tcPr>
            <w:tcW w:w="1668" w:type="dxa"/>
            <w:noWrap/>
          </w:tcPr>
          <w:p w14:paraId="70D8E766">
            <w:pPr>
              <w:snapToGrid w:val="0"/>
              <w:spacing w:line="400" w:lineRule="exact"/>
              <w:rPr>
                <w:rFonts w:ascii="宋体" w:hAnsi="宋体" w:cs="宋体"/>
                <w:color w:val="auto"/>
                <w:sz w:val="22"/>
                <w:szCs w:val="22"/>
                <w:highlight w:val="none"/>
              </w:rPr>
            </w:pPr>
          </w:p>
        </w:tc>
        <w:tc>
          <w:tcPr>
            <w:tcW w:w="1688" w:type="dxa"/>
            <w:noWrap/>
          </w:tcPr>
          <w:p w14:paraId="4F250C69">
            <w:pPr>
              <w:snapToGrid w:val="0"/>
              <w:spacing w:line="400" w:lineRule="exact"/>
              <w:rPr>
                <w:rFonts w:ascii="宋体" w:hAnsi="宋体" w:cs="宋体"/>
                <w:color w:val="auto"/>
                <w:sz w:val="22"/>
                <w:szCs w:val="22"/>
                <w:highlight w:val="none"/>
              </w:rPr>
            </w:pPr>
          </w:p>
        </w:tc>
        <w:tc>
          <w:tcPr>
            <w:tcW w:w="1312" w:type="dxa"/>
            <w:noWrap/>
          </w:tcPr>
          <w:p w14:paraId="7663D98C">
            <w:pPr>
              <w:snapToGrid w:val="0"/>
              <w:spacing w:line="400" w:lineRule="exact"/>
              <w:rPr>
                <w:rFonts w:ascii="宋体" w:hAnsi="宋体" w:cs="宋体"/>
                <w:color w:val="auto"/>
                <w:sz w:val="22"/>
                <w:szCs w:val="22"/>
                <w:highlight w:val="none"/>
              </w:rPr>
            </w:pPr>
          </w:p>
        </w:tc>
        <w:tc>
          <w:tcPr>
            <w:tcW w:w="2288" w:type="dxa"/>
            <w:noWrap/>
          </w:tcPr>
          <w:p w14:paraId="01B7452A">
            <w:pPr>
              <w:snapToGrid w:val="0"/>
              <w:spacing w:line="400" w:lineRule="exact"/>
              <w:rPr>
                <w:rFonts w:ascii="宋体" w:hAnsi="宋体" w:cs="宋体"/>
                <w:color w:val="auto"/>
                <w:sz w:val="22"/>
                <w:szCs w:val="22"/>
                <w:highlight w:val="none"/>
              </w:rPr>
            </w:pPr>
          </w:p>
        </w:tc>
        <w:tc>
          <w:tcPr>
            <w:tcW w:w="844" w:type="dxa"/>
            <w:noWrap/>
          </w:tcPr>
          <w:p w14:paraId="7ADE0546">
            <w:pPr>
              <w:snapToGrid w:val="0"/>
              <w:spacing w:line="400" w:lineRule="exact"/>
              <w:rPr>
                <w:rFonts w:ascii="宋体" w:hAnsi="宋体" w:cs="宋体"/>
                <w:color w:val="auto"/>
                <w:sz w:val="22"/>
                <w:szCs w:val="22"/>
                <w:highlight w:val="none"/>
              </w:rPr>
            </w:pPr>
          </w:p>
        </w:tc>
      </w:tr>
      <w:tr w14:paraId="45027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477F784D">
            <w:pPr>
              <w:snapToGrid w:val="0"/>
              <w:spacing w:line="400" w:lineRule="exact"/>
              <w:rPr>
                <w:rFonts w:ascii="宋体" w:hAnsi="宋体" w:cs="宋体"/>
                <w:color w:val="auto"/>
                <w:sz w:val="22"/>
                <w:szCs w:val="22"/>
                <w:highlight w:val="none"/>
              </w:rPr>
            </w:pPr>
          </w:p>
        </w:tc>
        <w:tc>
          <w:tcPr>
            <w:tcW w:w="1238" w:type="dxa"/>
            <w:noWrap/>
          </w:tcPr>
          <w:p w14:paraId="1E9ED8F8">
            <w:pPr>
              <w:snapToGrid w:val="0"/>
              <w:spacing w:line="400" w:lineRule="exact"/>
              <w:rPr>
                <w:rFonts w:ascii="宋体" w:hAnsi="宋体" w:cs="宋体"/>
                <w:color w:val="auto"/>
                <w:sz w:val="22"/>
                <w:szCs w:val="22"/>
                <w:highlight w:val="none"/>
              </w:rPr>
            </w:pPr>
          </w:p>
        </w:tc>
        <w:tc>
          <w:tcPr>
            <w:tcW w:w="1668" w:type="dxa"/>
            <w:noWrap/>
          </w:tcPr>
          <w:p w14:paraId="7270ED4B">
            <w:pPr>
              <w:snapToGrid w:val="0"/>
              <w:spacing w:line="400" w:lineRule="exact"/>
              <w:rPr>
                <w:rFonts w:ascii="宋体" w:hAnsi="宋体" w:cs="宋体"/>
                <w:color w:val="auto"/>
                <w:sz w:val="22"/>
                <w:szCs w:val="22"/>
                <w:highlight w:val="none"/>
              </w:rPr>
            </w:pPr>
          </w:p>
        </w:tc>
        <w:tc>
          <w:tcPr>
            <w:tcW w:w="1688" w:type="dxa"/>
            <w:noWrap/>
          </w:tcPr>
          <w:p w14:paraId="4DAB6B19">
            <w:pPr>
              <w:snapToGrid w:val="0"/>
              <w:spacing w:line="400" w:lineRule="exact"/>
              <w:rPr>
                <w:rFonts w:ascii="宋体" w:hAnsi="宋体" w:cs="宋体"/>
                <w:color w:val="auto"/>
                <w:sz w:val="22"/>
                <w:szCs w:val="22"/>
                <w:highlight w:val="none"/>
              </w:rPr>
            </w:pPr>
          </w:p>
        </w:tc>
        <w:tc>
          <w:tcPr>
            <w:tcW w:w="1312" w:type="dxa"/>
            <w:noWrap/>
          </w:tcPr>
          <w:p w14:paraId="23F12A91">
            <w:pPr>
              <w:snapToGrid w:val="0"/>
              <w:spacing w:line="400" w:lineRule="exact"/>
              <w:rPr>
                <w:rFonts w:ascii="宋体" w:hAnsi="宋体" w:cs="宋体"/>
                <w:color w:val="auto"/>
                <w:sz w:val="22"/>
                <w:szCs w:val="22"/>
                <w:highlight w:val="none"/>
              </w:rPr>
            </w:pPr>
          </w:p>
        </w:tc>
        <w:tc>
          <w:tcPr>
            <w:tcW w:w="2288" w:type="dxa"/>
            <w:noWrap/>
          </w:tcPr>
          <w:p w14:paraId="098EE09A">
            <w:pPr>
              <w:snapToGrid w:val="0"/>
              <w:spacing w:line="400" w:lineRule="exact"/>
              <w:rPr>
                <w:rFonts w:ascii="宋体" w:hAnsi="宋体" w:cs="宋体"/>
                <w:color w:val="auto"/>
                <w:sz w:val="22"/>
                <w:szCs w:val="22"/>
                <w:highlight w:val="none"/>
              </w:rPr>
            </w:pPr>
          </w:p>
        </w:tc>
        <w:tc>
          <w:tcPr>
            <w:tcW w:w="844" w:type="dxa"/>
            <w:noWrap/>
          </w:tcPr>
          <w:p w14:paraId="6219091F">
            <w:pPr>
              <w:snapToGrid w:val="0"/>
              <w:spacing w:line="400" w:lineRule="exact"/>
              <w:rPr>
                <w:rFonts w:ascii="宋体" w:hAnsi="宋体" w:cs="宋体"/>
                <w:color w:val="auto"/>
                <w:sz w:val="22"/>
                <w:szCs w:val="22"/>
                <w:highlight w:val="none"/>
              </w:rPr>
            </w:pPr>
          </w:p>
        </w:tc>
      </w:tr>
      <w:tr w14:paraId="6B411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5B5CE577">
            <w:pPr>
              <w:snapToGrid w:val="0"/>
              <w:spacing w:line="400" w:lineRule="exact"/>
              <w:rPr>
                <w:rFonts w:ascii="宋体" w:hAnsi="宋体" w:cs="宋体"/>
                <w:color w:val="auto"/>
                <w:sz w:val="22"/>
                <w:szCs w:val="22"/>
                <w:highlight w:val="none"/>
              </w:rPr>
            </w:pPr>
          </w:p>
        </w:tc>
        <w:tc>
          <w:tcPr>
            <w:tcW w:w="1238" w:type="dxa"/>
            <w:noWrap/>
          </w:tcPr>
          <w:p w14:paraId="6AFA6AD6">
            <w:pPr>
              <w:snapToGrid w:val="0"/>
              <w:spacing w:line="400" w:lineRule="exact"/>
              <w:rPr>
                <w:rFonts w:ascii="宋体" w:hAnsi="宋体" w:cs="宋体"/>
                <w:color w:val="auto"/>
                <w:sz w:val="22"/>
                <w:szCs w:val="22"/>
                <w:highlight w:val="none"/>
              </w:rPr>
            </w:pPr>
          </w:p>
        </w:tc>
        <w:tc>
          <w:tcPr>
            <w:tcW w:w="1668" w:type="dxa"/>
            <w:noWrap/>
          </w:tcPr>
          <w:p w14:paraId="1F32A0D8">
            <w:pPr>
              <w:snapToGrid w:val="0"/>
              <w:spacing w:line="400" w:lineRule="exact"/>
              <w:rPr>
                <w:rFonts w:ascii="宋体" w:hAnsi="宋体" w:cs="宋体"/>
                <w:color w:val="auto"/>
                <w:sz w:val="22"/>
                <w:szCs w:val="22"/>
                <w:highlight w:val="none"/>
              </w:rPr>
            </w:pPr>
          </w:p>
        </w:tc>
        <w:tc>
          <w:tcPr>
            <w:tcW w:w="1688" w:type="dxa"/>
            <w:noWrap/>
          </w:tcPr>
          <w:p w14:paraId="754D87BF">
            <w:pPr>
              <w:snapToGrid w:val="0"/>
              <w:spacing w:line="400" w:lineRule="exact"/>
              <w:rPr>
                <w:rFonts w:ascii="宋体" w:hAnsi="宋体" w:cs="宋体"/>
                <w:color w:val="auto"/>
                <w:sz w:val="22"/>
                <w:szCs w:val="22"/>
                <w:highlight w:val="none"/>
              </w:rPr>
            </w:pPr>
          </w:p>
        </w:tc>
        <w:tc>
          <w:tcPr>
            <w:tcW w:w="1312" w:type="dxa"/>
            <w:noWrap/>
          </w:tcPr>
          <w:p w14:paraId="4FF0FCF7">
            <w:pPr>
              <w:snapToGrid w:val="0"/>
              <w:spacing w:line="400" w:lineRule="exact"/>
              <w:rPr>
                <w:rFonts w:ascii="宋体" w:hAnsi="宋体" w:cs="宋体"/>
                <w:color w:val="auto"/>
                <w:sz w:val="22"/>
                <w:szCs w:val="22"/>
                <w:highlight w:val="none"/>
              </w:rPr>
            </w:pPr>
          </w:p>
        </w:tc>
        <w:tc>
          <w:tcPr>
            <w:tcW w:w="2288" w:type="dxa"/>
            <w:noWrap/>
          </w:tcPr>
          <w:p w14:paraId="6DDCD601">
            <w:pPr>
              <w:snapToGrid w:val="0"/>
              <w:spacing w:line="400" w:lineRule="exact"/>
              <w:rPr>
                <w:rFonts w:ascii="宋体" w:hAnsi="宋体" w:cs="宋体"/>
                <w:color w:val="auto"/>
                <w:sz w:val="22"/>
                <w:szCs w:val="22"/>
                <w:highlight w:val="none"/>
              </w:rPr>
            </w:pPr>
          </w:p>
        </w:tc>
        <w:tc>
          <w:tcPr>
            <w:tcW w:w="844" w:type="dxa"/>
            <w:noWrap/>
          </w:tcPr>
          <w:p w14:paraId="3D8220F6">
            <w:pPr>
              <w:snapToGrid w:val="0"/>
              <w:spacing w:line="400" w:lineRule="exact"/>
              <w:rPr>
                <w:rFonts w:ascii="宋体" w:hAnsi="宋体" w:cs="宋体"/>
                <w:color w:val="auto"/>
                <w:sz w:val="22"/>
                <w:szCs w:val="22"/>
                <w:highlight w:val="none"/>
              </w:rPr>
            </w:pPr>
          </w:p>
        </w:tc>
      </w:tr>
      <w:tr w14:paraId="68A30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3DA245AB">
            <w:pPr>
              <w:snapToGrid w:val="0"/>
              <w:spacing w:line="400" w:lineRule="exact"/>
              <w:rPr>
                <w:rFonts w:ascii="宋体" w:hAnsi="宋体" w:cs="宋体"/>
                <w:color w:val="auto"/>
                <w:sz w:val="22"/>
                <w:szCs w:val="22"/>
                <w:highlight w:val="none"/>
              </w:rPr>
            </w:pPr>
          </w:p>
        </w:tc>
        <w:tc>
          <w:tcPr>
            <w:tcW w:w="1238" w:type="dxa"/>
            <w:noWrap/>
          </w:tcPr>
          <w:p w14:paraId="518BAA51">
            <w:pPr>
              <w:snapToGrid w:val="0"/>
              <w:spacing w:line="400" w:lineRule="exact"/>
              <w:rPr>
                <w:rFonts w:ascii="宋体" w:hAnsi="宋体" w:cs="宋体"/>
                <w:color w:val="auto"/>
                <w:sz w:val="22"/>
                <w:szCs w:val="22"/>
                <w:highlight w:val="none"/>
              </w:rPr>
            </w:pPr>
          </w:p>
        </w:tc>
        <w:tc>
          <w:tcPr>
            <w:tcW w:w="1668" w:type="dxa"/>
            <w:noWrap/>
          </w:tcPr>
          <w:p w14:paraId="0D181CAB">
            <w:pPr>
              <w:snapToGrid w:val="0"/>
              <w:spacing w:line="400" w:lineRule="exact"/>
              <w:rPr>
                <w:rFonts w:ascii="宋体" w:hAnsi="宋体" w:cs="宋体"/>
                <w:color w:val="auto"/>
                <w:sz w:val="22"/>
                <w:szCs w:val="22"/>
                <w:highlight w:val="none"/>
              </w:rPr>
            </w:pPr>
          </w:p>
        </w:tc>
        <w:tc>
          <w:tcPr>
            <w:tcW w:w="1688" w:type="dxa"/>
            <w:noWrap/>
          </w:tcPr>
          <w:p w14:paraId="4D96D77D">
            <w:pPr>
              <w:snapToGrid w:val="0"/>
              <w:spacing w:line="400" w:lineRule="exact"/>
              <w:rPr>
                <w:rFonts w:ascii="宋体" w:hAnsi="宋体" w:cs="宋体"/>
                <w:color w:val="auto"/>
                <w:sz w:val="22"/>
                <w:szCs w:val="22"/>
                <w:highlight w:val="none"/>
              </w:rPr>
            </w:pPr>
          </w:p>
        </w:tc>
        <w:tc>
          <w:tcPr>
            <w:tcW w:w="1312" w:type="dxa"/>
            <w:noWrap/>
          </w:tcPr>
          <w:p w14:paraId="61E079F4">
            <w:pPr>
              <w:snapToGrid w:val="0"/>
              <w:spacing w:line="400" w:lineRule="exact"/>
              <w:rPr>
                <w:rFonts w:ascii="宋体" w:hAnsi="宋体" w:cs="宋体"/>
                <w:color w:val="auto"/>
                <w:sz w:val="22"/>
                <w:szCs w:val="22"/>
                <w:highlight w:val="none"/>
              </w:rPr>
            </w:pPr>
          </w:p>
        </w:tc>
        <w:tc>
          <w:tcPr>
            <w:tcW w:w="2288" w:type="dxa"/>
            <w:noWrap/>
          </w:tcPr>
          <w:p w14:paraId="3D8EDDBA">
            <w:pPr>
              <w:snapToGrid w:val="0"/>
              <w:spacing w:line="400" w:lineRule="exact"/>
              <w:rPr>
                <w:rFonts w:ascii="宋体" w:hAnsi="宋体" w:cs="宋体"/>
                <w:color w:val="auto"/>
                <w:sz w:val="22"/>
                <w:szCs w:val="22"/>
                <w:highlight w:val="none"/>
              </w:rPr>
            </w:pPr>
          </w:p>
        </w:tc>
        <w:tc>
          <w:tcPr>
            <w:tcW w:w="844" w:type="dxa"/>
            <w:noWrap/>
          </w:tcPr>
          <w:p w14:paraId="0BE7A64D">
            <w:pPr>
              <w:snapToGrid w:val="0"/>
              <w:spacing w:line="400" w:lineRule="exact"/>
              <w:rPr>
                <w:rFonts w:ascii="宋体" w:hAnsi="宋体" w:cs="宋体"/>
                <w:color w:val="auto"/>
                <w:sz w:val="22"/>
                <w:szCs w:val="22"/>
                <w:highlight w:val="none"/>
              </w:rPr>
            </w:pPr>
          </w:p>
        </w:tc>
      </w:tr>
      <w:tr w14:paraId="57D71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5BF81EAB">
            <w:pPr>
              <w:snapToGrid w:val="0"/>
              <w:spacing w:line="400" w:lineRule="exact"/>
              <w:rPr>
                <w:rFonts w:ascii="宋体" w:hAnsi="宋体" w:cs="宋体"/>
                <w:color w:val="auto"/>
                <w:sz w:val="22"/>
                <w:szCs w:val="22"/>
                <w:highlight w:val="none"/>
              </w:rPr>
            </w:pPr>
          </w:p>
        </w:tc>
        <w:tc>
          <w:tcPr>
            <w:tcW w:w="1238" w:type="dxa"/>
            <w:noWrap/>
          </w:tcPr>
          <w:p w14:paraId="4CFB5AFD">
            <w:pPr>
              <w:snapToGrid w:val="0"/>
              <w:spacing w:line="400" w:lineRule="exact"/>
              <w:rPr>
                <w:rFonts w:ascii="宋体" w:hAnsi="宋体" w:cs="宋体"/>
                <w:color w:val="auto"/>
                <w:sz w:val="22"/>
                <w:szCs w:val="22"/>
                <w:highlight w:val="none"/>
              </w:rPr>
            </w:pPr>
          </w:p>
        </w:tc>
        <w:tc>
          <w:tcPr>
            <w:tcW w:w="1668" w:type="dxa"/>
            <w:noWrap/>
          </w:tcPr>
          <w:p w14:paraId="644FD486">
            <w:pPr>
              <w:snapToGrid w:val="0"/>
              <w:spacing w:line="400" w:lineRule="exact"/>
              <w:rPr>
                <w:rFonts w:ascii="宋体" w:hAnsi="宋体" w:cs="宋体"/>
                <w:color w:val="auto"/>
                <w:sz w:val="22"/>
                <w:szCs w:val="22"/>
                <w:highlight w:val="none"/>
              </w:rPr>
            </w:pPr>
          </w:p>
        </w:tc>
        <w:tc>
          <w:tcPr>
            <w:tcW w:w="1688" w:type="dxa"/>
            <w:noWrap/>
          </w:tcPr>
          <w:p w14:paraId="6E30673E">
            <w:pPr>
              <w:snapToGrid w:val="0"/>
              <w:spacing w:line="400" w:lineRule="exact"/>
              <w:rPr>
                <w:rFonts w:ascii="宋体" w:hAnsi="宋体" w:cs="宋体"/>
                <w:color w:val="auto"/>
                <w:sz w:val="22"/>
                <w:szCs w:val="22"/>
                <w:highlight w:val="none"/>
              </w:rPr>
            </w:pPr>
          </w:p>
        </w:tc>
        <w:tc>
          <w:tcPr>
            <w:tcW w:w="1312" w:type="dxa"/>
            <w:noWrap/>
          </w:tcPr>
          <w:p w14:paraId="3121123E">
            <w:pPr>
              <w:snapToGrid w:val="0"/>
              <w:spacing w:line="400" w:lineRule="exact"/>
              <w:rPr>
                <w:rFonts w:ascii="宋体" w:hAnsi="宋体" w:cs="宋体"/>
                <w:color w:val="auto"/>
                <w:sz w:val="22"/>
                <w:szCs w:val="22"/>
                <w:highlight w:val="none"/>
              </w:rPr>
            </w:pPr>
          </w:p>
        </w:tc>
        <w:tc>
          <w:tcPr>
            <w:tcW w:w="2288" w:type="dxa"/>
            <w:noWrap/>
          </w:tcPr>
          <w:p w14:paraId="18EC4FAC">
            <w:pPr>
              <w:snapToGrid w:val="0"/>
              <w:spacing w:line="400" w:lineRule="exact"/>
              <w:rPr>
                <w:rFonts w:ascii="宋体" w:hAnsi="宋体" w:cs="宋体"/>
                <w:color w:val="auto"/>
                <w:sz w:val="22"/>
                <w:szCs w:val="22"/>
                <w:highlight w:val="none"/>
              </w:rPr>
            </w:pPr>
          </w:p>
        </w:tc>
        <w:tc>
          <w:tcPr>
            <w:tcW w:w="844" w:type="dxa"/>
            <w:noWrap/>
          </w:tcPr>
          <w:p w14:paraId="64BE6D4D">
            <w:pPr>
              <w:snapToGrid w:val="0"/>
              <w:spacing w:line="400" w:lineRule="exact"/>
              <w:rPr>
                <w:rFonts w:ascii="宋体" w:hAnsi="宋体" w:cs="宋体"/>
                <w:color w:val="auto"/>
                <w:sz w:val="22"/>
                <w:szCs w:val="22"/>
                <w:highlight w:val="none"/>
              </w:rPr>
            </w:pPr>
          </w:p>
        </w:tc>
      </w:tr>
      <w:tr w14:paraId="0D0E8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31463182">
            <w:pPr>
              <w:snapToGrid w:val="0"/>
              <w:spacing w:line="400" w:lineRule="exact"/>
              <w:rPr>
                <w:rFonts w:ascii="宋体" w:hAnsi="宋体" w:cs="宋体"/>
                <w:color w:val="auto"/>
                <w:sz w:val="22"/>
                <w:szCs w:val="22"/>
                <w:highlight w:val="none"/>
              </w:rPr>
            </w:pPr>
          </w:p>
        </w:tc>
        <w:tc>
          <w:tcPr>
            <w:tcW w:w="1238" w:type="dxa"/>
            <w:noWrap/>
          </w:tcPr>
          <w:p w14:paraId="1C528F57">
            <w:pPr>
              <w:snapToGrid w:val="0"/>
              <w:spacing w:line="400" w:lineRule="exact"/>
              <w:rPr>
                <w:rFonts w:ascii="宋体" w:hAnsi="宋体" w:cs="宋体"/>
                <w:color w:val="auto"/>
                <w:sz w:val="22"/>
                <w:szCs w:val="22"/>
                <w:highlight w:val="none"/>
              </w:rPr>
            </w:pPr>
          </w:p>
        </w:tc>
        <w:tc>
          <w:tcPr>
            <w:tcW w:w="1668" w:type="dxa"/>
            <w:noWrap/>
          </w:tcPr>
          <w:p w14:paraId="4BDA8B4E">
            <w:pPr>
              <w:snapToGrid w:val="0"/>
              <w:spacing w:line="400" w:lineRule="exact"/>
              <w:rPr>
                <w:rFonts w:ascii="宋体" w:hAnsi="宋体" w:cs="宋体"/>
                <w:color w:val="auto"/>
                <w:sz w:val="22"/>
                <w:szCs w:val="22"/>
                <w:highlight w:val="none"/>
              </w:rPr>
            </w:pPr>
          </w:p>
        </w:tc>
        <w:tc>
          <w:tcPr>
            <w:tcW w:w="1688" w:type="dxa"/>
            <w:noWrap/>
          </w:tcPr>
          <w:p w14:paraId="6DFB03D9">
            <w:pPr>
              <w:snapToGrid w:val="0"/>
              <w:spacing w:line="400" w:lineRule="exact"/>
              <w:rPr>
                <w:rFonts w:ascii="宋体" w:hAnsi="宋体" w:cs="宋体"/>
                <w:color w:val="auto"/>
                <w:sz w:val="22"/>
                <w:szCs w:val="22"/>
                <w:highlight w:val="none"/>
              </w:rPr>
            </w:pPr>
          </w:p>
        </w:tc>
        <w:tc>
          <w:tcPr>
            <w:tcW w:w="1312" w:type="dxa"/>
            <w:noWrap/>
          </w:tcPr>
          <w:p w14:paraId="3083CC8D">
            <w:pPr>
              <w:snapToGrid w:val="0"/>
              <w:spacing w:line="400" w:lineRule="exact"/>
              <w:rPr>
                <w:rFonts w:ascii="宋体" w:hAnsi="宋体" w:cs="宋体"/>
                <w:color w:val="auto"/>
                <w:sz w:val="22"/>
                <w:szCs w:val="22"/>
                <w:highlight w:val="none"/>
              </w:rPr>
            </w:pPr>
          </w:p>
        </w:tc>
        <w:tc>
          <w:tcPr>
            <w:tcW w:w="2288" w:type="dxa"/>
            <w:noWrap/>
          </w:tcPr>
          <w:p w14:paraId="57AAB7E8">
            <w:pPr>
              <w:snapToGrid w:val="0"/>
              <w:spacing w:line="400" w:lineRule="exact"/>
              <w:rPr>
                <w:rFonts w:ascii="宋体" w:hAnsi="宋体" w:cs="宋体"/>
                <w:color w:val="auto"/>
                <w:sz w:val="22"/>
                <w:szCs w:val="22"/>
                <w:highlight w:val="none"/>
              </w:rPr>
            </w:pPr>
          </w:p>
        </w:tc>
        <w:tc>
          <w:tcPr>
            <w:tcW w:w="844" w:type="dxa"/>
            <w:noWrap/>
          </w:tcPr>
          <w:p w14:paraId="14E2D858">
            <w:pPr>
              <w:snapToGrid w:val="0"/>
              <w:spacing w:line="400" w:lineRule="exact"/>
              <w:rPr>
                <w:rFonts w:ascii="宋体" w:hAnsi="宋体" w:cs="宋体"/>
                <w:color w:val="auto"/>
                <w:sz w:val="22"/>
                <w:szCs w:val="22"/>
                <w:highlight w:val="none"/>
              </w:rPr>
            </w:pPr>
          </w:p>
        </w:tc>
      </w:tr>
      <w:tr w14:paraId="21FC4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6729B31A">
            <w:pPr>
              <w:snapToGrid w:val="0"/>
              <w:spacing w:line="400" w:lineRule="exact"/>
              <w:rPr>
                <w:rFonts w:ascii="宋体" w:hAnsi="宋体" w:cs="宋体"/>
                <w:color w:val="auto"/>
                <w:sz w:val="22"/>
                <w:szCs w:val="22"/>
                <w:highlight w:val="none"/>
              </w:rPr>
            </w:pPr>
          </w:p>
        </w:tc>
        <w:tc>
          <w:tcPr>
            <w:tcW w:w="1238" w:type="dxa"/>
            <w:noWrap/>
          </w:tcPr>
          <w:p w14:paraId="0999C8DB">
            <w:pPr>
              <w:snapToGrid w:val="0"/>
              <w:spacing w:line="400" w:lineRule="exact"/>
              <w:rPr>
                <w:rFonts w:ascii="宋体" w:hAnsi="宋体" w:cs="宋体"/>
                <w:color w:val="auto"/>
                <w:sz w:val="22"/>
                <w:szCs w:val="22"/>
                <w:highlight w:val="none"/>
              </w:rPr>
            </w:pPr>
          </w:p>
        </w:tc>
        <w:tc>
          <w:tcPr>
            <w:tcW w:w="1668" w:type="dxa"/>
            <w:noWrap/>
          </w:tcPr>
          <w:p w14:paraId="2FCF6BD2">
            <w:pPr>
              <w:snapToGrid w:val="0"/>
              <w:spacing w:line="400" w:lineRule="exact"/>
              <w:rPr>
                <w:rFonts w:ascii="宋体" w:hAnsi="宋体" w:cs="宋体"/>
                <w:color w:val="auto"/>
                <w:sz w:val="22"/>
                <w:szCs w:val="22"/>
                <w:highlight w:val="none"/>
              </w:rPr>
            </w:pPr>
          </w:p>
        </w:tc>
        <w:tc>
          <w:tcPr>
            <w:tcW w:w="1688" w:type="dxa"/>
            <w:noWrap/>
          </w:tcPr>
          <w:p w14:paraId="2245E5DD">
            <w:pPr>
              <w:snapToGrid w:val="0"/>
              <w:spacing w:line="400" w:lineRule="exact"/>
              <w:rPr>
                <w:rFonts w:ascii="宋体" w:hAnsi="宋体" w:cs="宋体"/>
                <w:color w:val="auto"/>
                <w:sz w:val="22"/>
                <w:szCs w:val="22"/>
                <w:highlight w:val="none"/>
              </w:rPr>
            </w:pPr>
          </w:p>
        </w:tc>
        <w:tc>
          <w:tcPr>
            <w:tcW w:w="1312" w:type="dxa"/>
            <w:noWrap/>
          </w:tcPr>
          <w:p w14:paraId="202B47EC">
            <w:pPr>
              <w:snapToGrid w:val="0"/>
              <w:spacing w:line="400" w:lineRule="exact"/>
              <w:rPr>
                <w:rFonts w:ascii="宋体" w:hAnsi="宋体" w:cs="宋体"/>
                <w:color w:val="auto"/>
                <w:sz w:val="22"/>
                <w:szCs w:val="22"/>
                <w:highlight w:val="none"/>
              </w:rPr>
            </w:pPr>
          </w:p>
        </w:tc>
        <w:tc>
          <w:tcPr>
            <w:tcW w:w="2288" w:type="dxa"/>
            <w:noWrap/>
          </w:tcPr>
          <w:p w14:paraId="5FB1E74D">
            <w:pPr>
              <w:snapToGrid w:val="0"/>
              <w:spacing w:line="400" w:lineRule="exact"/>
              <w:rPr>
                <w:rFonts w:ascii="宋体" w:hAnsi="宋体" w:cs="宋体"/>
                <w:color w:val="auto"/>
                <w:sz w:val="22"/>
                <w:szCs w:val="22"/>
                <w:highlight w:val="none"/>
              </w:rPr>
            </w:pPr>
          </w:p>
        </w:tc>
        <w:tc>
          <w:tcPr>
            <w:tcW w:w="844" w:type="dxa"/>
            <w:noWrap/>
          </w:tcPr>
          <w:p w14:paraId="1121DDDF">
            <w:pPr>
              <w:snapToGrid w:val="0"/>
              <w:spacing w:line="400" w:lineRule="exact"/>
              <w:rPr>
                <w:rFonts w:ascii="宋体" w:hAnsi="宋体" w:cs="宋体"/>
                <w:color w:val="auto"/>
                <w:sz w:val="22"/>
                <w:szCs w:val="22"/>
                <w:highlight w:val="none"/>
              </w:rPr>
            </w:pPr>
          </w:p>
        </w:tc>
      </w:tr>
      <w:tr w14:paraId="62414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78B1EF6F">
            <w:pPr>
              <w:snapToGrid w:val="0"/>
              <w:spacing w:line="400" w:lineRule="exact"/>
              <w:rPr>
                <w:rFonts w:ascii="宋体" w:hAnsi="宋体" w:cs="宋体"/>
                <w:color w:val="auto"/>
                <w:sz w:val="22"/>
                <w:szCs w:val="22"/>
                <w:highlight w:val="none"/>
              </w:rPr>
            </w:pPr>
          </w:p>
        </w:tc>
        <w:tc>
          <w:tcPr>
            <w:tcW w:w="1238" w:type="dxa"/>
            <w:noWrap/>
          </w:tcPr>
          <w:p w14:paraId="6818CF2E">
            <w:pPr>
              <w:snapToGrid w:val="0"/>
              <w:spacing w:line="400" w:lineRule="exact"/>
              <w:rPr>
                <w:rFonts w:ascii="宋体" w:hAnsi="宋体" w:cs="宋体"/>
                <w:color w:val="auto"/>
                <w:sz w:val="22"/>
                <w:szCs w:val="22"/>
                <w:highlight w:val="none"/>
              </w:rPr>
            </w:pPr>
          </w:p>
        </w:tc>
        <w:tc>
          <w:tcPr>
            <w:tcW w:w="1668" w:type="dxa"/>
            <w:noWrap/>
          </w:tcPr>
          <w:p w14:paraId="562CB193">
            <w:pPr>
              <w:snapToGrid w:val="0"/>
              <w:spacing w:line="400" w:lineRule="exact"/>
              <w:rPr>
                <w:rFonts w:ascii="宋体" w:hAnsi="宋体" w:cs="宋体"/>
                <w:color w:val="auto"/>
                <w:sz w:val="22"/>
                <w:szCs w:val="22"/>
                <w:highlight w:val="none"/>
              </w:rPr>
            </w:pPr>
          </w:p>
        </w:tc>
        <w:tc>
          <w:tcPr>
            <w:tcW w:w="1688" w:type="dxa"/>
            <w:noWrap/>
          </w:tcPr>
          <w:p w14:paraId="6BF259AC">
            <w:pPr>
              <w:snapToGrid w:val="0"/>
              <w:spacing w:line="400" w:lineRule="exact"/>
              <w:rPr>
                <w:rFonts w:ascii="宋体" w:hAnsi="宋体" w:cs="宋体"/>
                <w:color w:val="auto"/>
                <w:sz w:val="22"/>
                <w:szCs w:val="22"/>
                <w:highlight w:val="none"/>
              </w:rPr>
            </w:pPr>
          </w:p>
        </w:tc>
        <w:tc>
          <w:tcPr>
            <w:tcW w:w="1312" w:type="dxa"/>
            <w:noWrap/>
          </w:tcPr>
          <w:p w14:paraId="6F84E933">
            <w:pPr>
              <w:snapToGrid w:val="0"/>
              <w:spacing w:line="400" w:lineRule="exact"/>
              <w:rPr>
                <w:rFonts w:ascii="宋体" w:hAnsi="宋体" w:cs="宋体"/>
                <w:color w:val="auto"/>
                <w:sz w:val="22"/>
                <w:szCs w:val="22"/>
                <w:highlight w:val="none"/>
              </w:rPr>
            </w:pPr>
          </w:p>
        </w:tc>
        <w:tc>
          <w:tcPr>
            <w:tcW w:w="2288" w:type="dxa"/>
            <w:noWrap/>
          </w:tcPr>
          <w:p w14:paraId="209D430B">
            <w:pPr>
              <w:snapToGrid w:val="0"/>
              <w:spacing w:line="400" w:lineRule="exact"/>
              <w:rPr>
                <w:rFonts w:ascii="宋体" w:hAnsi="宋体" w:cs="宋体"/>
                <w:color w:val="auto"/>
                <w:sz w:val="22"/>
                <w:szCs w:val="22"/>
                <w:highlight w:val="none"/>
              </w:rPr>
            </w:pPr>
          </w:p>
        </w:tc>
        <w:tc>
          <w:tcPr>
            <w:tcW w:w="844" w:type="dxa"/>
            <w:noWrap/>
          </w:tcPr>
          <w:p w14:paraId="13007962">
            <w:pPr>
              <w:snapToGrid w:val="0"/>
              <w:spacing w:line="400" w:lineRule="exact"/>
              <w:rPr>
                <w:rFonts w:ascii="宋体" w:hAnsi="宋体" w:cs="宋体"/>
                <w:color w:val="auto"/>
                <w:sz w:val="22"/>
                <w:szCs w:val="22"/>
                <w:highlight w:val="none"/>
              </w:rPr>
            </w:pPr>
          </w:p>
        </w:tc>
      </w:tr>
      <w:tr w14:paraId="47269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71453EC3">
            <w:pPr>
              <w:snapToGrid w:val="0"/>
              <w:spacing w:line="400" w:lineRule="exact"/>
              <w:rPr>
                <w:rFonts w:ascii="宋体" w:hAnsi="宋体" w:cs="宋体"/>
                <w:color w:val="auto"/>
                <w:sz w:val="22"/>
                <w:szCs w:val="22"/>
                <w:highlight w:val="none"/>
              </w:rPr>
            </w:pPr>
          </w:p>
        </w:tc>
        <w:tc>
          <w:tcPr>
            <w:tcW w:w="1238" w:type="dxa"/>
            <w:noWrap/>
          </w:tcPr>
          <w:p w14:paraId="29B9FB93">
            <w:pPr>
              <w:snapToGrid w:val="0"/>
              <w:spacing w:line="400" w:lineRule="exact"/>
              <w:rPr>
                <w:rFonts w:ascii="宋体" w:hAnsi="宋体" w:cs="宋体"/>
                <w:color w:val="auto"/>
                <w:sz w:val="22"/>
                <w:szCs w:val="22"/>
                <w:highlight w:val="none"/>
              </w:rPr>
            </w:pPr>
          </w:p>
        </w:tc>
        <w:tc>
          <w:tcPr>
            <w:tcW w:w="1668" w:type="dxa"/>
            <w:noWrap/>
          </w:tcPr>
          <w:p w14:paraId="6241E947">
            <w:pPr>
              <w:snapToGrid w:val="0"/>
              <w:spacing w:line="400" w:lineRule="exact"/>
              <w:rPr>
                <w:rFonts w:ascii="宋体" w:hAnsi="宋体" w:cs="宋体"/>
                <w:color w:val="auto"/>
                <w:sz w:val="22"/>
                <w:szCs w:val="22"/>
                <w:highlight w:val="none"/>
              </w:rPr>
            </w:pPr>
          </w:p>
        </w:tc>
        <w:tc>
          <w:tcPr>
            <w:tcW w:w="1688" w:type="dxa"/>
            <w:noWrap/>
          </w:tcPr>
          <w:p w14:paraId="3B16293B">
            <w:pPr>
              <w:snapToGrid w:val="0"/>
              <w:spacing w:line="400" w:lineRule="exact"/>
              <w:rPr>
                <w:rFonts w:ascii="宋体" w:hAnsi="宋体" w:cs="宋体"/>
                <w:color w:val="auto"/>
                <w:sz w:val="22"/>
                <w:szCs w:val="22"/>
                <w:highlight w:val="none"/>
              </w:rPr>
            </w:pPr>
          </w:p>
        </w:tc>
        <w:tc>
          <w:tcPr>
            <w:tcW w:w="1312" w:type="dxa"/>
            <w:noWrap/>
          </w:tcPr>
          <w:p w14:paraId="7F6AFC4B">
            <w:pPr>
              <w:snapToGrid w:val="0"/>
              <w:spacing w:line="400" w:lineRule="exact"/>
              <w:rPr>
                <w:rFonts w:ascii="宋体" w:hAnsi="宋体" w:cs="宋体"/>
                <w:color w:val="auto"/>
                <w:sz w:val="22"/>
                <w:szCs w:val="22"/>
                <w:highlight w:val="none"/>
              </w:rPr>
            </w:pPr>
          </w:p>
        </w:tc>
        <w:tc>
          <w:tcPr>
            <w:tcW w:w="2288" w:type="dxa"/>
            <w:noWrap/>
          </w:tcPr>
          <w:p w14:paraId="670C6F5B">
            <w:pPr>
              <w:snapToGrid w:val="0"/>
              <w:spacing w:line="400" w:lineRule="exact"/>
              <w:rPr>
                <w:rFonts w:ascii="宋体" w:hAnsi="宋体" w:cs="宋体"/>
                <w:color w:val="auto"/>
                <w:sz w:val="22"/>
                <w:szCs w:val="22"/>
                <w:highlight w:val="none"/>
              </w:rPr>
            </w:pPr>
          </w:p>
        </w:tc>
        <w:tc>
          <w:tcPr>
            <w:tcW w:w="844" w:type="dxa"/>
            <w:noWrap/>
          </w:tcPr>
          <w:p w14:paraId="684C0D24">
            <w:pPr>
              <w:snapToGrid w:val="0"/>
              <w:spacing w:line="400" w:lineRule="exact"/>
              <w:rPr>
                <w:rFonts w:ascii="宋体" w:hAnsi="宋体" w:cs="宋体"/>
                <w:color w:val="auto"/>
                <w:sz w:val="22"/>
                <w:szCs w:val="22"/>
                <w:highlight w:val="none"/>
              </w:rPr>
            </w:pPr>
          </w:p>
        </w:tc>
      </w:tr>
      <w:tr w14:paraId="25DFE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60" w:type="dxa"/>
            <w:noWrap/>
          </w:tcPr>
          <w:p w14:paraId="08CEE0B7">
            <w:pPr>
              <w:snapToGrid w:val="0"/>
              <w:spacing w:line="400" w:lineRule="exact"/>
              <w:rPr>
                <w:rFonts w:ascii="宋体" w:hAnsi="宋体" w:cs="宋体"/>
                <w:color w:val="auto"/>
                <w:sz w:val="22"/>
                <w:szCs w:val="22"/>
                <w:highlight w:val="none"/>
              </w:rPr>
            </w:pPr>
          </w:p>
        </w:tc>
        <w:tc>
          <w:tcPr>
            <w:tcW w:w="1238" w:type="dxa"/>
            <w:noWrap/>
          </w:tcPr>
          <w:p w14:paraId="4135D5A4">
            <w:pPr>
              <w:snapToGrid w:val="0"/>
              <w:spacing w:line="400" w:lineRule="exact"/>
              <w:rPr>
                <w:rFonts w:ascii="宋体" w:hAnsi="宋体" w:cs="宋体"/>
                <w:color w:val="auto"/>
                <w:sz w:val="22"/>
                <w:szCs w:val="22"/>
                <w:highlight w:val="none"/>
              </w:rPr>
            </w:pPr>
          </w:p>
        </w:tc>
        <w:tc>
          <w:tcPr>
            <w:tcW w:w="1668" w:type="dxa"/>
            <w:noWrap/>
          </w:tcPr>
          <w:p w14:paraId="639D4203">
            <w:pPr>
              <w:snapToGrid w:val="0"/>
              <w:spacing w:line="400" w:lineRule="exact"/>
              <w:rPr>
                <w:rFonts w:ascii="宋体" w:hAnsi="宋体" w:cs="宋体"/>
                <w:color w:val="auto"/>
                <w:sz w:val="22"/>
                <w:szCs w:val="22"/>
                <w:highlight w:val="none"/>
              </w:rPr>
            </w:pPr>
          </w:p>
        </w:tc>
        <w:tc>
          <w:tcPr>
            <w:tcW w:w="1688" w:type="dxa"/>
            <w:noWrap/>
          </w:tcPr>
          <w:p w14:paraId="5654C8F1">
            <w:pPr>
              <w:snapToGrid w:val="0"/>
              <w:spacing w:line="400" w:lineRule="exact"/>
              <w:rPr>
                <w:rFonts w:ascii="宋体" w:hAnsi="宋体" w:cs="宋体"/>
                <w:color w:val="auto"/>
                <w:sz w:val="22"/>
                <w:szCs w:val="22"/>
                <w:highlight w:val="none"/>
              </w:rPr>
            </w:pPr>
          </w:p>
        </w:tc>
        <w:tc>
          <w:tcPr>
            <w:tcW w:w="1312" w:type="dxa"/>
            <w:noWrap/>
          </w:tcPr>
          <w:p w14:paraId="45A01FD9">
            <w:pPr>
              <w:snapToGrid w:val="0"/>
              <w:spacing w:line="400" w:lineRule="exact"/>
              <w:rPr>
                <w:rFonts w:ascii="宋体" w:hAnsi="宋体" w:cs="宋体"/>
                <w:color w:val="auto"/>
                <w:sz w:val="22"/>
                <w:szCs w:val="22"/>
                <w:highlight w:val="none"/>
              </w:rPr>
            </w:pPr>
          </w:p>
        </w:tc>
        <w:tc>
          <w:tcPr>
            <w:tcW w:w="2288" w:type="dxa"/>
            <w:noWrap/>
          </w:tcPr>
          <w:p w14:paraId="3441345B">
            <w:pPr>
              <w:snapToGrid w:val="0"/>
              <w:spacing w:line="400" w:lineRule="exact"/>
              <w:rPr>
                <w:rFonts w:ascii="宋体" w:hAnsi="宋体" w:cs="宋体"/>
                <w:color w:val="auto"/>
                <w:sz w:val="22"/>
                <w:szCs w:val="22"/>
                <w:highlight w:val="none"/>
              </w:rPr>
            </w:pPr>
          </w:p>
        </w:tc>
        <w:tc>
          <w:tcPr>
            <w:tcW w:w="844" w:type="dxa"/>
            <w:noWrap/>
          </w:tcPr>
          <w:p w14:paraId="5D15FC44">
            <w:pPr>
              <w:snapToGrid w:val="0"/>
              <w:spacing w:line="400" w:lineRule="exact"/>
              <w:rPr>
                <w:rFonts w:ascii="宋体" w:hAnsi="宋体" w:cs="宋体"/>
                <w:color w:val="auto"/>
                <w:sz w:val="22"/>
                <w:szCs w:val="22"/>
                <w:highlight w:val="none"/>
              </w:rPr>
            </w:pPr>
          </w:p>
        </w:tc>
      </w:tr>
    </w:tbl>
    <w:p w14:paraId="63BCD4D5">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注：1、此表仅提供了表格形式，投标人可按此表格复制。</w:t>
      </w:r>
    </w:p>
    <w:p w14:paraId="7893863B">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2、后附联系人、联系电话、身份证、资格证书、业绩证明材料等，在服务期内不得更换，如遇特殊情况更换项目服务人员的需经采购人同意。</w:t>
      </w:r>
    </w:p>
    <w:p w14:paraId="7F5E1866">
      <w:pPr>
        <w:spacing w:before="120" w:beforeLines="50" w:after="120" w:afterLines="50"/>
        <w:ind w:right="-10"/>
        <w:jc w:val="center"/>
        <w:rPr>
          <w:rFonts w:ascii="宋体" w:hAnsi="宋体" w:cs="宋体"/>
          <w:color w:val="auto"/>
          <w:sz w:val="22"/>
          <w:szCs w:val="22"/>
          <w:highlight w:val="none"/>
        </w:rPr>
      </w:pPr>
    </w:p>
    <w:p w14:paraId="0807AB0C">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6991F328">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593F636A">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280A97BB">
      <w:pPr>
        <w:rPr>
          <w:color w:val="auto"/>
          <w:highlight w:val="none"/>
        </w:rPr>
      </w:pPr>
      <w:r>
        <w:rPr>
          <w:color w:val="auto"/>
          <w:highlight w:val="none"/>
        </w:rPr>
        <w:br w:type="page"/>
      </w:r>
    </w:p>
    <w:p w14:paraId="731924BA">
      <w:pPr>
        <w:pStyle w:val="61"/>
        <w:rPr>
          <w:color w:val="auto"/>
          <w:highlight w:val="none"/>
        </w:rPr>
      </w:pPr>
    </w:p>
    <w:p w14:paraId="1A679B5D">
      <w:pPr>
        <w:spacing w:line="460" w:lineRule="exact"/>
        <w:rPr>
          <w:rFonts w:ascii="宋体" w:hAnsi="宋体"/>
          <w:b/>
          <w:color w:val="auto"/>
          <w:sz w:val="22"/>
          <w:szCs w:val="22"/>
          <w:highlight w:val="none"/>
        </w:rPr>
      </w:pPr>
      <w:r>
        <w:rPr>
          <w:rFonts w:hint="eastAsia" w:ascii="宋体" w:hAnsi="宋体"/>
          <w:b/>
          <w:color w:val="auto"/>
          <w:sz w:val="22"/>
          <w:szCs w:val="22"/>
          <w:highlight w:val="none"/>
        </w:rPr>
        <w:t>附件七</w:t>
      </w:r>
    </w:p>
    <w:p w14:paraId="6EFB6F39">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08FA8DD8">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37CD3FA8">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bCs/>
          <w:color w:val="auto"/>
          <w:spacing w:val="6"/>
          <w:sz w:val="22"/>
          <w:szCs w:val="22"/>
          <w:highlight w:val="none"/>
          <w:u w:val="single"/>
        </w:rPr>
        <w:t>温州肯恩大学</w:t>
      </w:r>
      <w:r>
        <w:rPr>
          <w:rFonts w:hAnsi="宋体"/>
          <w:b/>
          <w:color w:val="auto"/>
          <w:spacing w:val="6"/>
          <w:sz w:val="22"/>
          <w:szCs w:val="22"/>
          <w:highlight w:val="none"/>
        </w:rPr>
        <w:t>：</w:t>
      </w:r>
    </w:p>
    <w:p w14:paraId="5DD45051">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14:paraId="271CB858">
      <w:pPr>
        <w:pStyle w:val="810"/>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Ansi="宋体"/>
          <w:color w:val="auto"/>
          <w:spacing w:val="6"/>
          <w:sz w:val="22"/>
          <w:szCs w:val="22"/>
          <w:highlight w:val="none"/>
          <w:u w:val="single"/>
        </w:rPr>
        <w:t xml:space="preserve">         项目</w:t>
      </w:r>
      <w:r>
        <w:rPr>
          <w:rFonts w:hAnsi="宋体"/>
          <w:color w:val="auto"/>
          <w:spacing w:val="6"/>
          <w:sz w:val="22"/>
          <w:szCs w:val="22"/>
          <w:highlight w:val="none"/>
        </w:rPr>
        <w:t>（编号：</w:t>
      </w:r>
      <w:r>
        <w:rPr>
          <w:rFonts w:hAnsi="宋体"/>
          <w:color w:val="auto"/>
          <w:spacing w:val="6"/>
          <w:sz w:val="22"/>
          <w:szCs w:val="22"/>
          <w:highlight w:val="none"/>
          <w:u w:val="single"/>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14:paraId="7D4892EE">
      <w:pPr>
        <w:pStyle w:val="809"/>
        <w:widowControl/>
        <w:numPr>
          <w:ilvl w:val="0"/>
          <w:numId w:val="52"/>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5B0BB9AE">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05C67089">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2AC081AC">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6E5C276D">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4058D55E">
      <w:pPr>
        <w:pStyle w:val="810"/>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1E49D49F">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733BC342">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205AF0F2">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46AC9DA">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45735721">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49" w:name="_Toc26171"/>
      <w:bookmarkStart w:id="250" w:name="_Toc24334"/>
      <w:bookmarkStart w:id="251" w:name="_Toc22986"/>
      <w:bookmarkStart w:id="252" w:name="_Toc7169"/>
      <w:r>
        <w:rPr>
          <w:rFonts w:hAnsi="宋体"/>
          <w:color w:val="auto"/>
          <w:kern w:val="0"/>
          <w:sz w:val="22"/>
          <w:szCs w:val="22"/>
          <w:highlight w:val="none"/>
        </w:rPr>
        <w:t>G.存在共同直接或间接投资设立子公司、联营企业和合营企业情况</w:t>
      </w:r>
      <w:bookmarkEnd w:id="249"/>
      <w:bookmarkEnd w:id="250"/>
      <w:bookmarkEnd w:id="251"/>
      <w:bookmarkEnd w:id="252"/>
    </w:p>
    <w:p w14:paraId="32E2A5CD">
      <w:pPr>
        <w:pStyle w:val="810"/>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5AD76800">
      <w:pPr>
        <w:pStyle w:val="810"/>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13841F85">
      <w:pPr>
        <w:pStyle w:val="809"/>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4DE191E2">
      <w:pPr>
        <w:pStyle w:val="809"/>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之间存在或可能存在上述第二条第</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项利害关系。</w:t>
      </w:r>
    </w:p>
    <w:p w14:paraId="7946F87F">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w:t>
      </w:r>
    </w:p>
    <w:p w14:paraId="329712B7">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721D35AA">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63838012">
      <w:pPr>
        <w:spacing w:line="420" w:lineRule="exact"/>
        <w:ind w:left="439" w:leftChars="209"/>
        <w:rPr>
          <w:rFonts w:ascii="宋体" w:hAnsi="宋体"/>
          <w:b/>
          <w:color w:val="auto"/>
          <w:sz w:val="22"/>
          <w:szCs w:val="22"/>
          <w:highlight w:val="none"/>
        </w:rPr>
      </w:pPr>
    </w:p>
    <w:p w14:paraId="407262C3">
      <w:pPr>
        <w:rPr>
          <w:color w:val="auto"/>
          <w:highlight w:val="none"/>
        </w:rPr>
      </w:pPr>
    </w:p>
    <w:p w14:paraId="4C8B1C65">
      <w:pPr>
        <w:rPr>
          <w:color w:val="auto"/>
          <w:highlight w:val="none"/>
        </w:rPr>
      </w:pPr>
    </w:p>
    <w:p w14:paraId="4E1CAB54">
      <w:pPr>
        <w:rPr>
          <w:color w:val="auto"/>
          <w:highlight w:val="none"/>
        </w:rPr>
      </w:pPr>
    </w:p>
    <w:p w14:paraId="5E3922B3">
      <w:pPr>
        <w:rPr>
          <w:color w:val="auto"/>
          <w:highlight w:val="none"/>
        </w:rPr>
      </w:pPr>
    </w:p>
    <w:sectPr>
      <w:headerReference r:id="rId6" w:type="default"/>
      <w:footerReference r:id="rId7"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2000019F" w:csb1="4F01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9" w:usb3="00000000" w:csb0="400001FF" w:csb1="FFFF0000"/>
  </w:font>
  <w:font w:name="hakuyoxingshu7000">
    <w:altName w:val="宋体"/>
    <w:panose1 w:val="00000000000000000000"/>
    <w:charset w:val="86"/>
    <w:family w:val="auto"/>
    <w:pitch w:val="default"/>
    <w:sig w:usb0="00000000" w:usb1="00000000" w:usb2="0000003F" w:usb3="00000000" w:csb0="603F00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9CFBA">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DE1E5">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3DE1E5">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C46F">
    <w:pPr>
      <w:pStyle w:val="40"/>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76E7AEAA">
    <w:pPr>
      <w:pStyle w:val="40"/>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3E80">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FDE62">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CFDE62">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AB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53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7C114"/>
    <w:multiLevelType w:val="singleLevel"/>
    <w:tmpl w:val="B2C7C114"/>
    <w:lvl w:ilvl="0" w:tentative="0">
      <w:start w:val="2"/>
      <w:numFmt w:val="chineseCounting"/>
      <w:suff w:val="nothing"/>
      <w:lvlText w:val="%1、"/>
      <w:lvlJc w:val="left"/>
      <w:rPr>
        <w:rFonts w:hint="eastAsia"/>
      </w:rPr>
    </w:lvl>
  </w:abstractNum>
  <w:abstractNum w:abstractNumId="1">
    <w:nsid w:val="C5B768C2"/>
    <w:multiLevelType w:val="multilevel"/>
    <w:tmpl w:val="C5B768C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C994AE54"/>
    <w:multiLevelType w:val="singleLevel"/>
    <w:tmpl w:val="C994AE54"/>
    <w:lvl w:ilvl="0" w:tentative="0">
      <w:start w:val="1"/>
      <w:numFmt w:val="decimal"/>
      <w:suff w:val="nothing"/>
      <w:lvlText w:val="%1、"/>
      <w:lvlJc w:val="left"/>
      <w:rPr>
        <w:rFonts w:hint="default"/>
        <w:b/>
        <w:bCs/>
      </w:rPr>
    </w:lvl>
  </w:abstractNum>
  <w:abstractNum w:abstractNumId="3">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7"/>
    <w:multiLevelType w:val="multilevel"/>
    <w:tmpl w:val="00000007"/>
    <w:lvl w:ilvl="0" w:tentative="0">
      <w:start w:val="1"/>
      <w:numFmt w:val="decimal"/>
      <w:lvlText w:val="%1、"/>
      <w:lvlJc w:val="left"/>
      <w:pPr>
        <w:tabs>
          <w:tab w:val="left" w:pos="630"/>
        </w:tabs>
        <w:ind w:left="61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9">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1">
    <w:nsid w:val="0000000C"/>
    <w:multiLevelType w:val="multilevel"/>
    <w:tmpl w:val="0000000C"/>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27"/>
    <w:multiLevelType w:val="multilevel"/>
    <w:tmpl w:val="00000027"/>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0">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33">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00000034"/>
    <w:multiLevelType w:val="singleLevel"/>
    <w:tmpl w:val="00000034"/>
    <w:lvl w:ilvl="0" w:tentative="0">
      <w:start w:val="1"/>
      <w:numFmt w:val="chineseCounting"/>
      <w:suff w:val="nothing"/>
      <w:lvlText w:val="%1、"/>
      <w:lvlJc w:val="left"/>
      <w:pPr>
        <w:ind w:left="0" w:firstLine="0"/>
      </w:pPr>
    </w:lvl>
  </w:abstractNum>
  <w:abstractNum w:abstractNumId="36">
    <w:nsid w:val="00000035"/>
    <w:multiLevelType w:val="singleLevel"/>
    <w:tmpl w:val="00000035"/>
    <w:lvl w:ilvl="0" w:tentative="0">
      <w:start w:val="3"/>
      <w:numFmt w:val="chineseCounting"/>
      <w:suff w:val="nothing"/>
      <w:lvlText w:val="%1、"/>
      <w:lvlJc w:val="left"/>
      <w:pPr>
        <w:ind w:left="0" w:firstLine="0"/>
      </w:pPr>
    </w:lvl>
  </w:abstractNum>
  <w:abstractNum w:abstractNumId="37">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9">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40">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1C172839"/>
    <w:multiLevelType w:val="singleLevel"/>
    <w:tmpl w:val="1C172839"/>
    <w:lvl w:ilvl="0" w:tentative="0">
      <w:start w:val="1"/>
      <w:numFmt w:val="decimal"/>
      <w:lvlText w:val="%1)"/>
      <w:lvlJc w:val="left"/>
      <w:pPr>
        <w:ind w:left="425" w:hanging="425"/>
      </w:pPr>
      <w:rPr>
        <w:rFonts w:hint="default"/>
      </w:rPr>
    </w:lvl>
  </w:abstractNum>
  <w:abstractNum w:abstractNumId="43">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4">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5">
    <w:nsid w:val="40CA5093"/>
    <w:multiLevelType w:val="multilevel"/>
    <w:tmpl w:val="40CA5093"/>
    <w:lvl w:ilvl="0" w:tentative="0">
      <w:start w:val="1"/>
      <w:numFmt w:val="japaneseCounting"/>
      <w:lvlText w:val="%1、"/>
      <w:lvlJc w:val="left"/>
      <w:pPr>
        <w:ind w:left="450" w:hanging="45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5040DBB"/>
    <w:multiLevelType w:val="singleLevel"/>
    <w:tmpl w:val="45040DBB"/>
    <w:lvl w:ilvl="0" w:tentative="0">
      <w:start w:val="1"/>
      <w:numFmt w:val="decimal"/>
      <w:lvlText w:val="%1."/>
      <w:lvlJc w:val="left"/>
      <w:pPr>
        <w:ind w:left="425" w:hanging="425"/>
      </w:pPr>
      <w:rPr>
        <w:rFonts w:hint="default"/>
      </w:rPr>
    </w:lvl>
  </w:abstractNum>
  <w:abstractNum w:abstractNumId="47">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8">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9">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38AF1DD"/>
    <w:multiLevelType w:val="singleLevel"/>
    <w:tmpl w:val="538AF1DD"/>
    <w:lvl w:ilvl="0" w:tentative="0">
      <w:start w:val="1"/>
      <w:numFmt w:val="decimal"/>
      <w:suff w:val="space"/>
      <w:lvlText w:val="%1)"/>
      <w:lvlJc w:val="left"/>
    </w:lvl>
  </w:abstractNum>
  <w:abstractNum w:abstractNumId="51">
    <w:nsid w:val="686C1C10"/>
    <w:multiLevelType w:val="singleLevel"/>
    <w:tmpl w:val="686C1C10"/>
    <w:lvl w:ilvl="0" w:tentative="0">
      <w:start w:val="2"/>
      <w:numFmt w:val="decimal"/>
      <w:suff w:val="nothing"/>
      <w:lvlText w:val="%1、"/>
      <w:lvlJc w:val="left"/>
    </w:lvl>
  </w:abstractNum>
  <w:abstractNum w:abstractNumId="52">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45"/>
  </w:num>
  <w:num w:numId="2">
    <w:abstractNumId w:val="42"/>
  </w:num>
  <w:num w:numId="3">
    <w:abstractNumId w:val="10"/>
  </w:num>
  <w:num w:numId="4">
    <w:abstractNumId w:val="44"/>
  </w:num>
  <w:num w:numId="5">
    <w:abstractNumId w:val="1"/>
  </w:num>
  <w:num w:numId="6">
    <w:abstractNumId w:val="43"/>
  </w:num>
  <w:num w:numId="7">
    <w:abstractNumId w:val="48"/>
  </w:num>
  <w:num w:numId="8">
    <w:abstractNumId w:val="21"/>
  </w:num>
  <w:num w:numId="9">
    <w:abstractNumId w:val="52"/>
  </w:num>
  <w:num w:numId="10">
    <w:abstractNumId w:val="40"/>
  </w:num>
  <w:num w:numId="11">
    <w:abstractNumId w:val="8"/>
  </w:num>
  <w:num w:numId="12">
    <w:abstractNumId w:val="30"/>
  </w:num>
  <w:num w:numId="13">
    <w:abstractNumId w:val="18"/>
  </w:num>
  <w:num w:numId="14">
    <w:abstractNumId w:val="4"/>
  </w:num>
  <w:num w:numId="15">
    <w:abstractNumId w:val="14"/>
  </w:num>
  <w:num w:numId="16">
    <w:abstractNumId w:val="12"/>
  </w:num>
  <w:num w:numId="17">
    <w:abstractNumId w:val="17"/>
  </w:num>
  <w:num w:numId="18">
    <w:abstractNumId w:val="37"/>
  </w:num>
  <w:num w:numId="19">
    <w:abstractNumId w:val="31"/>
  </w:num>
  <w:num w:numId="20">
    <w:abstractNumId w:val="22"/>
  </w:num>
  <w:num w:numId="21">
    <w:abstractNumId w:val="39"/>
  </w:num>
  <w:num w:numId="22">
    <w:abstractNumId w:val="32"/>
  </w:num>
  <w:num w:numId="23">
    <w:abstractNumId w:val="33"/>
  </w:num>
  <w:num w:numId="24">
    <w:abstractNumId w:val="13"/>
  </w:num>
  <w:num w:numId="25">
    <w:abstractNumId w:val="24"/>
  </w:num>
  <w:num w:numId="26">
    <w:abstractNumId w:val="7"/>
  </w:num>
  <w:num w:numId="27">
    <w:abstractNumId w:val="11"/>
  </w:num>
  <w:num w:numId="28">
    <w:abstractNumId w:val="26"/>
  </w:num>
  <w:num w:numId="29">
    <w:abstractNumId w:val="38"/>
  </w:num>
  <w:num w:numId="30">
    <w:abstractNumId w:val="29"/>
  </w:num>
  <w:num w:numId="31">
    <w:abstractNumId w:val="34"/>
  </w:num>
  <w:num w:numId="32">
    <w:abstractNumId w:val="25"/>
  </w:num>
  <w:num w:numId="33">
    <w:abstractNumId w:val="23"/>
  </w:num>
  <w:num w:numId="34">
    <w:abstractNumId w:val="16"/>
  </w:num>
  <w:num w:numId="35">
    <w:abstractNumId w:val="28"/>
  </w:num>
  <w:num w:numId="36">
    <w:abstractNumId w:val="9"/>
  </w:num>
  <w:num w:numId="37">
    <w:abstractNumId w:val="27"/>
  </w:num>
  <w:num w:numId="38">
    <w:abstractNumId w:val="3"/>
  </w:num>
  <w:num w:numId="39">
    <w:abstractNumId w:val="41"/>
  </w:num>
  <w:num w:numId="40">
    <w:abstractNumId w:val="20"/>
  </w:num>
  <w:num w:numId="41">
    <w:abstractNumId w:val="15"/>
  </w:num>
  <w:num w:numId="42">
    <w:abstractNumId w:val="5"/>
  </w:num>
  <w:num w:numId="43">
    <w:abstractNumId w:val="6"/>
  </w:num>
  <w:num w:numId="44">
    <w:abstractNumId w:val="19"/>
  </w:num>
  <w:num w:numId="45">
    <w:abstractNumId w:val="0"/>
  </w:num>
  <w:num w:numId="46">
    <w:abstractNumId w:val="46"/>
  </w:num>
  <w:num w:numId="47">
    <w:abstractNumId w:val="2"/>
  </w:num>
  <w:num w:numId="48">
    <w:abstractNumId w:val="50"/>
  </w:num>
  <w:num w:numId="49">
    <w:abstractNumId w:val="47"/>
  </w:num>
  <w:num w:numId="50">
    <w:abstractNumId w:val="49"/>
  </w:num>
  <w:num w:numId="51">
    <w:abstractNumId w:val="51"/>
  </w:num>
  <w:num w:numId="52">
    <w:abstractNumId w:val="35"/>
  </w:num>
  <w:num w:numId="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yNTk3NDM2YzM1ZGFmMTU0ZjY5MGJiMGRhYmRhYmMifQ=="/>
  </w:docVars>
  <w:rsids>
    <w:rsidRoot w:val="00C0263E"/>
    <w:rsid w:val="000009F5"/>
    <w:rsid w:val="0000118C"/>
    <w:rsid w:val="00001380"/>
    <w:rsid w:val="00002CB1"/>
    <w:rsid w:val="0000340D"/>
    <w:rsid w:val="00003A66"/>
    <w:rsid w:val="000053C0"/>
    <w:rsid w:val="00005A26"/>
    <w:rsid w:val="000066EF"/>
    <w:rsid w:val="00007C55"/>
    <w:rsid w:val="00007D33"/>
    <w:rsid w:val="00010FB2"/>
    <w:rsid w:val="00011067"/>
    <w:rsid w:val="00014395"/>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12EC"/>
    <w:rsid w:val="00033B38"/>
    <w:rsid w:val="00034BE2"/>
    <w:rsid w:val="00034BF8"/>
    <w:rsid w:val="00034E38"/>
    <w:rsid w:val="00035750"/>
    <w:rsid w:val="00035CCB"/>
    <w:rsid w:val="00036E25"/>
    <w:rsid w:val="00040402"/>
    <w:rsid w:val="0004164F"/>
    <w:rsid w:val="000421F6"/>
    <w:rsid w:val="00042E2F"/>
    <w:rsid w:val="000444E6"/>
    <w:rsid w:val="000450A9"/>
    <w:rsid w:val="0004573A"/>
    <w:rsid w:val="0005052D"/>
    <w:rsid w:val="000506B4"/>
    <w:rsid w:val="000515F3"/>
    <w:rsid w:val="000526A5"/>
    <w:rsid w:val="00052EC4"/>
    <w:rsid w:val="000548DE"/>
    <w:rsid w:val="00054D5C"/>
    <w:rsid w:val="00054F7D"/>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165C"/>
    <w:rsid w:val="000722B4"/>
    <w:rsid w:val="000722C5"/>
    <w:rsid w:val="00072310"/>
    <w:rsid w:val="0007247B"/>
    <w:rsid w:val="00073304"/>
    <w:rsid w:val="000748C9"/>
    <w:rsid w:val="00074B78"/>
    <w:rsid w:val="00075C22"/>
    <w:rsid w:val="00076686"/>
    <w:rsid w:val="0008019F"/>
    <w:rsid w:val="000803DE"/>
    <w:rsid w:val="00080A26"/>
    <w:rsid w:val="000811D4"/>
    <w:rsid w:val="00081E28"/>
    <w:rsid w:val="00081F95"/>
    <w:rsid w:val="0008207A"/>
    <w:rsid w:val="000832C8"/>
    <w:rsid w:val="00083799"/>
    <w:rsid w:val="000861D1"/>
    <w:rsid w:val="0008646C"/>
    <w:rsid w:val="000873E1"/>
    <w:rsid w:val="00087F08"/>
    <w:rsid w:val="00090259"/>
    <w:rsid w:val="000905CE"/>
    <w:rsid w:val="00092D6D"/>
    <w:rsid w:val="000930EA"/>
    <w:rsid w:val="00094254"/>
    <w:rsid w:val="00095884"/>
    <w:rsid w:val="000966E8"/>
    <w:rsid w:val="00096ABD"/>
    <w:rsid w:val="0009719C"/>
    <w:rsid w:val="000A0528"/>
    <w:rsid w:val="000A328D"/>
    <w:rsid w:val="000A3507"/>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531"/>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3882"/>
    <w:rsid w:val="0010462D"/>
    <w:rsid w:val="0010568D"/>
    <w:rsid w:val="001064A6"/>
    <w:rsid w:val="0010684A"/>
    <w:rsid w:val="00111823"/>
    <w:rsid w:val="00112030"/>
    <w:rsid w:val="00114920"/>
    <w:rsid w:val="0011550B"/>
    <w:rsid w:val="001156FE"/>
    <w:rsid w:val="00123446"/>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853"/>
    <w:rsid w:val="0014791A"/>
    <w:rsid w:val="001508A1"/>
    <w:rsid w:val="00150AA7"/>
    <w:rsid w:val="001528B3"/>
    <w:rsid w:val="001528EB"/>
    <w:rsid w:val="00152A36"/>
    <w:rsid w:val="00154159"/>
    <w:rsid w:val="001547EB"/>
    <w:rsid w:val="0015505B"/>
    <w:rsid w:val="00155310"/>
    <w:rsid w:val="00156F66"/>
    <w:rsid w:val="00157930"/>
    <w:rsid w:val="0016030B"/>
    <w:rsid w:val="00160445"/>
    <w:rsid w:val="00161CFC"/>
    <w:rsid w:val="00161EA2"/>
    <w:rsid w:val="00162A58"/>
    <w:rsid w:val="00162E8F"/>
    <w:rsid w:val="00163C20"/>
    <w:rsid w:val="00164016"/>
    <w:rsid w:val="00165188"/>
    <w:rsid w:val="00165E45"/>
    <w:rsid w:val="00165F5B"/>
    <w:rsid w:val="001671DC"/>
    <w:rsid w:val="0016795B"/>
    <w:rsid w:val="00167ACA"/>
    <w:rsid w:val="00170B47"/>
    <w:rsid w:val="00170C20"/>
    <w:rsid w:val="00170E49"/>
    <w:rsid w:val="0017187B"/>
    <w:rsid w:val="0017264B"/>
    <w:rsid w:val="001745E8"/>
    <w:rsid w:val="00174EB3"/>
    <w:rsid w:val="001754BF"/>
    <w:rsid w:val="00175520"/>
    <w:rsid w:val="00175E74"/>
    <w:rsid w:val="00180634"/>
    <w:rsid w:val="00180C7B"/>
    <w:rsid w:val="00181085"/>
    <w:rsid w:val="00182977"/>
    <w:rsid w:val="00183F0E"/>
    <w:rsid w:val="00184846"/>
    <w:rsid w:val="00186674"/>
    <w:rsid w:val="001866ED"/>
    <w:rsid w:val="00186E54"/>
    <w:rsid w:val="00187CAD"/>
    <w:rsid w:val="00193B17"/>
    <w:rsid w:val="0019491C"/>
    <w:rsid w:val="0019588E"/>
    <w:rsid w:val="00195C4F"/>
    <w:rsid w:val="0019610B"/>
    <w:rsid w:val="001966EF"/>
    <w:rsid w:val="001971F0"/>
    <w:rsid w:val="00197748"/>
    <w:rsid w:val="00197786"/>
    <w:rsid w:val="00197CB8"/>
    <w:rsid w:val="001A1D70"/>
    <w:rsid w:val="001A2414"/>
    <w:rsid w:val="001A370B"/>
    <w:rsid w:val="001A41BD"/>
    <w:rsid w:val="001A441F"/>
    <w:rsid w:val="001A55B3"/>
    <w:rsid w:val="001A57FC"/>
    <w:rsid w:val="001A687D"/>
    <w:rsid w:val="001A6C5A"/>
    <w:rsid w:val="001B0BAA"/>
    <w:rsid w:val="001B1B9B"/>
    <w:rsid w:val="001B2696"/>
    <w:rsid w:val="001B28CB"/>
    <w:rsid w:val="001B45D2"/>
    <w:rsid w:val="001B55AA"/>
    <w:rsid w:val="001B5B34"/>
    <w:rsid w:val="001B7CA1"/>
    <w:rsid w:val="001C0431"/>
    <w:rsid w:val="001C0FC5"/>
    <w:rsid w:val="001C1820"/>
    <w:rsid w:val="001C239E"/>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0990"/>
    <w:rsid w:val="001E376F"/>
    <w:rsid w:val="001E66DD"/>
    <w:rsid w:val="001E7237"/>
    <w:rsid w:val="001E726C"/>
    <w:rsid w:val="001F24A5"/>
    <w:rsid w:val="001F362D"/>
    <w:rsid w:val="001F3B6E"/>
    <w:rsid w:val="001F42CF"/>
    <w:rsid w:val="001F430D"/>
    <w:rsid w:val="001F50CA"/>
    <w:rsid w:val="001F5880"/>
    <w:rsid w:val="001F69BE"/>
    <w:rsid w:val="00201E84"/>
    <w:rsid w:val="00201FC4"/>
    <w:rsid w:val="00205213"/>
    <w:rsid w:val="0020571F"/>
    <w:rsid w:val="00211497"/>
    <w:rsid w:val="00212117"/>
    <w:rsid w:val="00213222"/>
    <w:rsid w:val="00213CAD"/>
    <w:rsid w:val="00214475"/>
    <w:rsid w:val="00214568"/>
    <w:rsid w:val="00216E04"/>
    <w:rsid w:val="00217341"/>
    <w:rsid w:val="00217721"/>
    <w:rsid w:val="00217E51"/>
    <w:rsid w:val="00220A8C"/>
    <w:rsid w:val="00221867"/>
    <w:rsid w:val="002225DC"/>
    <w:rsid w:val="00222ABE"/>
    <w:rsid w:val="002241B4"/>
    <w:rsid w:val="00224B8F"/>
    <w:rsid w:val="00225F76"/>
    <w:rsid w:val="00226492"/>
    <w:rsid w:val="0022687E"/>
    <w:rsid w:val="00231563"/>
    <w:rsid w:val="00232AF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0E15"/>
    <w:rsid w:val="00251A22"/>
    <w:rsid w:val="0025244C"/>
    <w:rsid w:val="00254330"/>
    <w:rsid w:val="00254A99"/>
    <w:rsid w:val="0025505F"/>
    <w:rsid w:val="00256997"/>
    <w:rsid w:val="002602F6"/>
    <w:rsid w:val="00260378"/>
    <w:rsid w:val="00263C8C"/>
    <w:rsid w:val="002652D9"/>
    <w:rsid w:val="0026568B"/>
    <w:rsid w:val="002659A6"/>
    <w:rsid w:val="0026651F"/>
    <w:rsid w:val="0026686D"/>
    <w:rsid w:val="002712BB"/>
    <w:rsid w:val="00271B69"/>
    <w:rsid w:val="00272CB0"/>
    <w:rsid w:val="00275526"/>
    <w:rsid w:val="00275C95"/>
    <w:rsid w:val="002765FA"/>
    <w:rsid w:val="002768CF"/>
    <w:rsid w:val="002770B7"/>
    <w:rsid w:val="00277460"/>
    <w:rsid w:val="00280A65"/>
    <w:rsid w:val="00280FEF"/>
    <w:rsid w:val="0028109A"/>
    <w:rsid w:val="00281DDC"/>
    <w:rsid w:val="00282FD5"/>
    <w:rsid w:val="00286612"/>
    <w:rsid w:val="00286DD8"/>
    <w:rsid w:val="00286F17"/>
    <w:rsid w:val="0029043C"/>
    <w:rsid w:val="00290CB4"/>
    <w:rsid w:val="00291B72"/>
    <w:rsid w:val="00291D32"/>
    <w:rsid w:val="0029218D"/>
    <w:rsid w:val="00292455"/>
    <w:rsid w:val="00292814"/>
    <w:rsid w:val="002928CA"/>
    <w:rsid w:val="00294454"/>
    <w:rsid w:val="00295525"/>
    <w:rsid w:val="00295F60"/>
    <w:rsid w:val="002A051B"/>
    <w:rsid w:val="002A072A"/>
    <w:rsid w:val="002A2C66"/>
    <w:rsid w:val="002A6B85"/>
    <w:rsid w:val="002A6BD5"/>
    <w:rsid w:val="002B038E"/>
    <w:rsid w:val="002B0545"/>
    <w:rsid w:val="002B066A"/>
    <w:rsid w:val="002B0A1B"/>
    <w:rsid w:val="002B1B8F"/>
    <w:rsid w:val="002B1C31"/>
    <w:rsid w:val="002B2154"/>
    <w:rsid w:val="002B41F4"/>
    <w:rsid w:val="002B4A6A"/>
    <w:rsid w:val="002B4D23"/>
    <w:rsid w:val="002B5352"/>
    <w:rsid w:val="002B7D3C"/>
    <w:rsid w:val="002B7F08"/>
    <w:rsid w:val="002C2E5B"/>
    <w:rsid w:val="002C31D6"/>
    <w:rsid w:val="002C3295"/>
    <w:rsid w:val="002C6AE5"/>
    <w:rsid w:val="002D2571"/>
    <w:rsid w:val="002D3563"/>
    <w:rsid w:val="002D6CCA"/>
    <w:rsid w:val="002D7C9E"/>
    <w:rsid w:val="002E09BA"/>
    <w:rsid w:val="002E0B9B"/>
    <w:rsid w:val="002E1874"/>
    <w:rsid w:val="002E1F1D"/>
    <w:rsid w:val="002E3588"/>
    <w:rsid w:val="002E414F"/>
    <w:rsid w:val="002E4D98"/>
    <w:rsid w:val="002E4FC2"/>
    <w:rsid w:val="002E621E"/>
    <w:rsid w:val="002E7FC6"/>
    <w:rsid w:val="002F205E"/>
    <w:rsid w:val="002F2128"/>
    <w:rsid w:val="002F4EE5"/>
    <w:rsid w:val="002F6F42"/>
    <w:rsid w:val="002F74AD"/>
    <w:rsid w:val="00300515"/>
    <w:rsid w:val="0030357F"/>
    <w:rsid w:val="003049BB"/>
    <w:rsid w:val="003051A4"/>
    <w:rsid w:val="00305C03"/>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04F7"/>
    <w:rsid w:val="0032241D"/>
    <w:rsid w:val="003227D9"/>
    <w:rsid w:val="00322886"/>
    <w:rsid w:val="003244E5"/>
    <w:rsid w:val="00325D8E"/>
    <w:rsid w:val="00326910"/>
    <w:rsid w:val="00330173"/>
    <w:rsid w:val="003306ED"/>
    <w:rsid w:val="00330FD0"/>
    <w:rsid w:val="003316FD"/>
    <w:rsid w:val="00331756"/>
    <w:rsid w:val="00331834"/>
    <w:rsid w:val="00333B48"/>
    <w:rsid w:val="0033453F"/>
    <w:rsid w:val="00335FD1"/>
    <w:rsid w:val="0033603E"/>
    <w:rsid w:val="003367B8"/>
    <w:rsid w:val="0033694B"/>
    <w:rsid w:val="0033791E"/>
    <w:rsid w:val="00337E75"/>
    <w:rsid w:val="0034166E"/>
    <w:rsid w:val="00341BF5"/>
    <w:rsid w:val="00342785"/>
    <w:rsid w:val="0034347F"/>
    <w:rsid w:val="0034506F"/>
    <w:rsid w:val="0034675A"/>
    <w:rsid w:val="00346D10"/>
    <w:rsid w:val="003475ED"/>
    <w:rsid w:val="00347A0A"/>
    <w:rsid w:val="00350E2E"/>
    <w:rsid w:val="0035177F"/>
    <w:rsid w:val="003527E3"/>
    <w:rsid w:val="00352E06"/>
    <w:rsid w:val="00354ADD"/>
    <w:rsid w:val="00354DD0"/>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2B0"/>
    <w:rsid w:val="00385F49"/>
    <w:rsid w:val="00390522"/>
    <w:rsid w:val="00391BB8"/>
    <w:rsid w:val="00393AB0"/>
    <w:rsid w:val="00394A83"/>
    <w:rsid w:val="00394DE2"/>
    <w:rsid w:val="00394F7E"/>
    <w:rsid w:val="003A0DB0"/>
    <w:rsid w:val="003A18AB"/>
    <w:rsid w:val="003A1B28"/>
    <w:rsid w:val="003A3092"/>
    <w:rsid w:val="003A445D"/>
    <w:rsid w:val="003A5399"/>
    <w:rsid w:val="003A5A52"/>
    <w:rsid w:val="003A5B10"/>
    <w:rsid w:val="003A600E"/>
    <w:rsid w:val="003A6762"/>
    <w:rsid w:val="003A6AC6"/>
    <w:rsid w:val="003A6F84"/>
    <w:rsid w:val="003A73DC"/>
    <w:rsid w:val="003B01CC"/>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33BE"/>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80C"/>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07F1"/>
    <w:rsid w:val="00401278"/>
    <w:rsid w:val="0040174F"/>
    <w:rsid w:val="00403D22"/>
    <w:rsid w:val="00404EB9"/>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0B1"/>
    <w:rsid w:val="0043374D"/>
    <w:rsid w:val="00434D28"/>
    <w:rsid w:val="00434D51"/>
    <w:rsid w:val="00437627"/>
    <w:rsid w:val="00440128"/>
    <w:rsid w:val="00440CB1"/>
    <w:rsid w:val="004415C4"/>
    <w:rsid w:val="0044172D"/>
    <w:rsid w:val="00442574"/>
    <w:rsid w:val="004435FD"/>
    <w:rsid w:val="00443A57"/>
    <w:rsid w:val="00444956"/>
    <w:rsid w:val="00444E15"/>
    <w:rsid w:val="0044653D"/>
    <w:rsid w:val="00446780"/>
    <w:rsid w:val="00446A8C"/>
    <w:rsid w:val="00447DC1"/>
    <w:rsid w:val="00447DCA"/>
    <w:rsid w:val="0045017E"/>
    <w:rsid w:val="00450328"/>
    <w:rsid w:val="0045052B"/>
    <w:rsid w:val="00451F48"/>
    <w:rsid w:val="00452478"/>
    <w:rsid w:val="00453521"/>
    <w:rsid w:val="00454978"/>
    <w:rsid w:val="00454D15"/>
    <w:rsid w:val="004552D9"/>
    <w:rsid w:val="00456127"/>
    <w:rsid w:val="00457069"/>
    <w:rsid w:val="0045755B"/>
    <w:rsid w:val="0046048E"/>
    <w:rsid w:val="00460743"/>
    <w:rsid w:val="004652EE"/>
    <w:rsid w:val="00465E8E"/>
    <w:rsid w:val="00467509"/>
    <w:rsid w:val="004718DC"/>
    <w:rsid w:val="00472C88"/>
    <w:rsid w:val="00475851"/>
    <w:rsid w:val="004761D2"/>
    <w:rsid w:val="00476775"/>
    <w:rsid w:val="00476BC7"/>
    <w:rsid w:val="004819A1"/>
    <w:rsid w:val="00481A01"/>
    <w:rsid w:val="004838B5"/>
    <w:rsid w:val="00485076"/>
    <w:rsid w:val="00485212"/>
    <w:rsid w:val="0048774A"/>
    <w:rsid w:val="00487C5F"/>
    <w:rsid w:val="00487FE2"/>
    <w:rsid w:val="00491545"/>
    <w:rsid w:val="00492932"/>
    <w:rsid w:val="00496FF4"/>
    <w:rsid w:val="00497DD5"/>
    <w:rsid w:val="004A0195"/>
    <w:rsid w:val="004A06E1"/>
    <w:rsid w:val="004A081D"/>
    <w:rsid w:val="004A1424"/>
    <w:rsid w:val="004A17C0"/>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A25"/>
    <w:rsid w:val="004C1BB5"/>
    <w:rsid w:val="004C30FF"/>
    <w:rsid w:val="004C320B"/>
    <w:rsid w:val="004C40CD"/>
    <w:rsid w:val="004C4CF2"/>
    <w:rsid w:val="004C6222"/>
    <w:rsid w:val="004C6CB1"/>
    <w:rsid w:val="004C7EFB"/>
    <w:rsid w:val="004D201A"/>
    <w:rsid w:val="004D27C2"/>
    <w:rsid w:val="004D2C24"/>
    <w:rsid w:val="004D3753"/>
    <w:rsid w:val="004D4A51"/>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0B9"/>
    <w:rsid w:val="005076A0"/>
    <w:rsid w:val="00507C38"/>
    <w:rsid w:val="00507DE6"/>
    <w:rsid w:val="005120A7"/>
    <w:rsid w:val="00513AB9"/>
    <w:rsid w:val="00513E50"/>
    <w:rsid w:val="0051489B"/>
    <w:rsid w:val="005155A9"/>
    <w:rsid w:val="005175A3"/>
    <w:rsid w:val="00520473"/>
    <w:rsid w:val="0052226E"/>
    <w:rsid w:val="00523418"/>
    <w:rsid w:val="005259C3"/>
    <w:rsid w:val="00526AE5"/>
    <w:rsid w:val="00531F18"/>
    <w:rsid w:val="00532116"/>
    <w:rsid w:val="005331D1"/>
    <w:rsid w:val="00533354"/>
    <w:rsid w:val="00533A01"/>
    <w:rsid w:val="00534E1E"/>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108"/>
    <w:rsid w:val="005764A8"/>
    <w:rsid w:val="00581B85"/>
    <w:rsid w:val="00581C75"/>
    <w:rsid w:val="0058232E"/>
    <w:rsid w:val="0058391D"/>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2C32"/>
    <w:rsid w:val="005B3421"/>
    <w:rsid w:val="005B590E"/>
    <w:rsid w:val="005B645C"/>
    <w:rsid w:val="005C0E93"/>
    <w:rsid w:val="005C0FB1"/>
    <w:rsid w:val="005C11D2"/>
    <w:rsid w:val="005C309B"/>
    <w:rsid w:val="005C38A1"/>
    <w:rsid w:val="005C3E22"/>
    <w:rsid w:val="005C5217"/>
    <w:rsid w:val="005C5414"/>
    <w:rsid w:val="005D08AB"/>
    <w:rsid w:val="005D1AE8"/>
    <w:rsid w:val="005D2FE3"/>
    <w:rsid w:val="005D3C90"/>
    <w:rsid w:val="005D4120"/>
    <w:rsid w:val="005D4F28"/>
    <w:rsid w:val="005E00FE"/>
    <w:rsid w:val="005E0760"/>
    <w:rsid w:val="005E2264"/>
    <w:rsid w:val="005E2743"/>
    <w:rsid w:val="005E3D2F"/>
    <w:rsid w:val="005E639D"/>
    <w:rsid w:val="005E7B5F"/>
    <w:rsid w:val="005E7D70"/>
    <w:rsid w:val="005F11D1"/>
    <w:rsid w:val="005F257E"/>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4567"/>
    <w:rsid w:val="0063588F"/>
    <w:rsid w:val="00636DB2"/>
    <w:rsid w:val="00637038"/>
    <w:rsid w:val="00637722"/>
    <w:rsid w:val="0064203B"/>
    <w:rsid w:val="006420FC"/>
    <w:rsid w:val="00645BF8"/>
    <w:rsid w:val="00651281"/>
    <w:rsid w:val="006512AE"/>
    <w:rsid w:val="00651C31"/>
    <w:rsid w:val="00651CB9"/>
    <w:rsid w:val="00651E27"/>
    <w:rsid w:val="006525CF"/>
    <w:rsid w:val="006532ED"/>
    <w:rsid w:val="00654262"/>
    <w:rsid w:val="00654DE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D80"/>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11C2"/>
    <w:rsid w:val="006A2A5D"/>
    <w:rsid w:val="006A2B18"/>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6D2B"/>
    <w:rsid w:val="006E7AA4"/>
    <w:rsid w:val="006E7DA9"/>
    <w:rsid w:val="006F005C"/>
    <w:rsid w:val="006F130A"/>
    <w:rsid w:val="006F1FB3"/>
    <w:rsid w:val="006F23F8"/>
    <w:rsid w:val="006F2541"/>
    <w:rsid w:val="006F26B0"/>
    <w:rsid w:val="006F2CB1"/>
    <w:rsid w:val="006F30BD"/>
    <w:rsid w:val="006F3C5B"/>
    <w:rsid w:val="006F3F07"/>
    <w:rsid w:val="006F4F33"/>
    <w:rsid w:val="006F50C8"/>
    <w:rsid w:val="006F6520"/>
    <w:rsid w:val="006F68A3"/>
    <w:rsid w:val="00700293"/>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B8"/>
    <w:rsid w:val="00716CDB"/>
    <w:rsid w:val="00716F9F"/>
    <w:rsid w:val="00720B17"/>
    <w:rsid w:val="00721D66"/>
    <w:rsid w:val="0072307C"/>
    <w:rsid w:val="00724991"/>
    <w:rsid w:val="0072560B"/>
    <w:rsid w:val="00725DFA"/>
    <w:rsid w:val="00726AA2"/>
    <w:rsid w:val="007272B9"/>
    <w:rsid w:val="00727B6C"/>
    <w:rsid w:val="007313BA"/>
    <w:rsid w:val="007313DE"/>
    <w:rsid w:val="00731D53"/>
    <w:rsid w:val="00731D9A"/>
    <w:rsid w:val="007320AE"/>
    <w:rsid w:val="007321E9"/>
    <w:rsid w:val="007366B7"/>
    <w:rsid w:val="00736D97"/>
    <w:rsid w:val="007370D4"/>
    <w:rsid w:val="007402F1"/>
    <w:rsid w:val="00740570"/>
    <w:rsid w:val="0074195D"/>
    <w:rsid w:val="00742446"/>
    <w:rsid w:val="007429B5"/>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507"/>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080F"/>
    <w:rsid w:val="00781620"/>
    <w:rsid w:val="007832F6"/>
    <w:rsid w:val="00783D5D"/>
    <w:rsid w:val="00786543"/>
    <w:rsid w:val="0078737B"/>
    <w:rsid w:val="00787D93"/>
    <w:rsid w:val="00787EB1"/>
    <w:rsid w:val="007901F5"/>
    <w:rsid w:val="007904E1"/>
    <w:rsid w:val="00791213"/>
    <w:rsid w:val="00791F8A"/>
    <w:rsid w:val="007946B1"/>
    <w:rsid w:val="00797610"/>
    <w:rsid w:val="007A03DF"/>
    <w:rsid w:val="007A040D"/>
    <w:rsid w:val="007A0DB8"/>
    <w:rsid w:val="007A17D9"/>
    <w:rsid w:val="007A60D5"/>
    <w:rsid w:val="007A73AD"/>
    <w:rsid w:val="007B0FA6"/>
    <w:rsid w:val="007B14EC"/>
    <w:rsid w:val="007B377B"/>
    <w:rsid w:val="007B3E74"/>
    <w:rsid w:val="007B5794"/>
    <w:rsid w:val="007B5D4E"/>
    <w:rsid w:val="007B6DC8"/>
    <w:rsid w:val="007B723F"/>
    <w:rsid w:val="007C002A"/>
    <w:rsid w:val="007C0A17"/>
    <w:rsid w:val="007C15D9"/>
    <w:rsid w:val="007C3732"/>
    <w:rsid w:val="007C5399"/>
    <w:rsid w:val="007C5DA8"/>
    <w:rsid w:val="007C684B"/>
    <w:rsid w:val="007C6978"/>
    <w:rsid w:val="007C6E05"/>
    <w:rsid w:val="007D0F36"/>
    <w:rsid w:val="007D101C"/>
    <w:rsid w:val="007D1F49"/>
    <w:rsid w:val="007D23C5"/>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D32"/>
    <w:rsid w:val="007F51D0"/>
    <w:rsid w:val="007F65D1"/>
    <w:rsid w:val="007F6E1C"/>
    <w:rsid w:val="00801560"/>
    <w:rsid w:val="0080164C"/>
    <w:rsid w:val="008019F0"/>
    <w:rsid w:val="00801E98"/>
    <w:rsid w:val="00803FC2"/>
    <w:rsid w:val="00806022"/>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5963"/>
    <w:rsid w:val="00827B6B"/>
    <w:rsid w:val="00827FE3"/>
    <w:rsid w:val="00830014"/>
    <w:rsid w:val="00831A23"/>
    <w:rsid w:val="00832ED8"/>
    <w:rsid w:val="008344A5"/>
    <w:rsid w:val="00835031"/>
    <w:rsid w:val="00836AA0"/>
    <w:rsid w:val="00836FF1"/>
    <w:rsid w:val="00837372"/>
    <w:rsid w:val="00837469"/>
    <w:rsid w:val="0084002A"/>
    <w:rsid w:val="00840092"/>
    <w:rsid w:val="008413BD"/>
    <w:rsid w:val="00843920"/>
    <w:rsid w:val="0084552A"/>
    <w:rsid w:val="00845A92"/>
    <w:rsid w:val="00847BF2"/>
    <w:rsid w:val="00851920"/>
    <w:rsid w:val="00852D8E"/>
    <w:rsid w:val="008539AD"/>
    <w:rsid w:val="0085482F"/>
    <w:rsid w:val="00854CFC"/>
    <w:rsid w:val="00855C37"/>
    <w:rsid w:val="00860E99"/>
    <w:rsid w:val="00861C05"/>
    <w:rsid w:val="00861E96"/>
    <w:rsid w:val="00862F7F"/>
    <w:rsid w:val="00863657"/>
    <w:rsid w:val="00864E31"/>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434"/>
    <w:rsid w:val="00882982"/>
    <w:rsid w:val="00882AB9"/>
    <w:rsid w:val="00882D02"/>
    <w:rsid w:val="0088325F"/>
    <w:rsid w:val="00883BE3"/>
    <w:rsid w:val="008847B7"/>
    <w:rsid w:val="00885F35"/>
    <w:rsid w:val="008868E3"/>
    <w:rsid w:val="00887719"/>
    <w:rsid w:val="00887DFA"/>
    <w:rsid w:val="00891EA3"/>
    <w:rsid w:val="00892038"/>
    <w:rsid w:val="0089289E"/>
    <w:rsid w:val="008947DF"/>
    <w:rsid w:val="00897248"/>
    <w:rsid w:val="00897944"/>
    <w:rsid w:val="008A0A2F"/>
    <w:rsid w:val="008A211B"/>
    <w:rsid w:val="008A3CC2"/>
    <w:rsid w:val="008A5B2F"/>
    <w:rsid w:val="008A7C91"/>
    <w:rsid w:val="008A7E2C"/>
    <w:rsid w:val="008B01D1"/>
    <w:rsid w:val="008B133A"/>
    <w:rsid w:val="008B55AB"/>
    <w:rsid w:val="008B65EB"/>
    <w:rsid w:val="008B75C0"/>
    <w:rsid w:val="008B779C"/>
    <w:rsid w:val="008B7DD0"/>
    <w:rsid w:val="008C0ECF"/>
    <w:rsid w:val="008C0F76"/>
    <w:rsid w:val="008C1D9A"/>
    <w:rsid w:val="008C2C5E"/>
    <w:rsid w:val="008C483C"/>
    <w:rsid w:val="008C58D1"/>
    <w:rsid w:val="008C61DF"/>
    <w:rsid w:val="008C6E61"/>
    <w:rsid w:val="008C7B9E"/>
    <w:rsid w:val="008D1A1C"/>
    <w:rsid w:val="008D1E81"/>
    <w:rsid w:val="008D3345"/>
    <w:rsid w:val="008D3C03"/>
    <w:rsid w:val="008D5ACB"/>
    <w:rsid w:val="008D6273"/>
    <w:rsid w:val="008D7E34"/>
    <w:rsid w:val="008E1D76"/>
    <w:rsid w:val="008E1EB8"/>
    <w:rsid w:val="008E1FDA"/>
    <w:rsid w:val="008E25B7"/>
    <w:rsid w:val="008E367C"/>
    <w:rsid w:val="008E42F8"/>
    <w:rsid w:val="008E4BE7"/>
    <w:rsid w:val="008E555E"/>
    <w:rsid w:val="008E63D3"/>
    <w:rsid w:val="008E66A3"/>
    <w:rsid w:val="008E737B"/>
    <w:rsid w:val="008F0F01"/>
    <w:rsid w:val="008F1189"/>
    <w:rsid w:val="008F12BA"/>
    <w:rsid w:val="008F1683"/>
    <w:rsid w:val="008F180B"/>
    <w:rsid w:val="008F19D4"/>
    <w:rsid w:val="008F204A"/>
    <w:rsid w:val="008F25A3"/>
    <w:rsid w:val="008F2D47"/>
    <w:rsid w:val="008F3755"/>
    <w:rsid w:val="008F4252"/>
    <w:rsid w:val="008F4EB5"/>
    <w:rsid w:val="00900323"/>
    <w:rsid w:val="00901FBC"/>
    <w:rsid w:val="009020B1"/>
    <w:rsid w:val="00902478"/>
    <w:rsid w:val="0090263B"/>
    <w:rsid w:val="00903044"/>
    <w:rsid w:val="00903F83"/>
    <w:rsid w:val="0090462D"/>
    <w:rsid w:val="00904BBA"/>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30A90"/>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5C4B"/>
    <w:rsid w:val="0094735E"/>
    <w:rsid w:val="009509AA"/>
    <w:rsid w:val="009509BC"/>
    <w:rsid w:val="00952741"/>
    <w:rsid w:val="00952C9E"/>
    <w:rsid w:val="009540B8"/>
    <w:rsid w:val="0095422B"/>
    <w:rsid w:val="00954811"/>
    <w:rsid w:val="00954998"/>
    <w:rsid w:val="00954AAA"/>
    <w:rsid w:val="00954AF6"/>
    <w:rsid w:val="0095540B"/>
    <w:rsid w:val="0095633E"/>
    <w:rsid w:val="0095667F"/>
    <w:rsid w:val="0095682A"/>
    <w:rsid w:val="00960E62"/>
    <w:rsid w:val="00961CD0"/>
    <w:rsid w:val="009645F2"/>
    <w:rsid w:val="009648A2"/>
    <w:rsid w:val="00964FAF"/>
    <w:rsid w:val="00965263"/>
    <w:rsid w:val="0096536F"/>
    <w:rsid w:val="00966853"/>
    <w:rsid w:val="00967186"/>
    <w:rsid w:val="00970F49"/>
    <w:rsid w:val="0097238F"/>
    <w:rsid w:val="009724A5"/>
    <w:rsid w:val="00972A9A"/>
    <w:rsid w:val="00972D68"/>
    <w:rsid w:val="0097333F"/>
    <w:rsid w:val="009733AC"/>
    <w:rsid w:val="00974871"/>
    <w:rsid w:val="00975F94"/>
    <w:rsid w:val="0097791B"/>
    <w:rsid w:val="00977E9B"/>
    <w:rsid w:val="009803A4"/>
    <w:rsid w:val="0098066E"/>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97FA6"/>
    <w:rsid w:val="009A0404"/>
    <w:rsid w:val="009A0EE0"/>
    <w:rsid w:val="009A1055"/>
    <w:rsid w:val="009A4B97"/>
    <w:rsid w:val="009A5200"/>
    <w:rsid w:val="009A544A"/>
    <w:rsid w:val="009A6C27"/>
    <w:rsid w:val="009A7092"/>
    <w:rsid w:val="009A712B"/>
    <w:rsid w:val="009A7610"/>
    <w:rsid w:val="009A7C29"/>
    <w:rsid w:val="009B1AF1"/>
    <w:rsid w:val="009B2BAF"/>
    <w:rsid w:val="009B5557"/>
    <w:rsid w:val="009B5DB8"/>
    <w:rsid w:val="009B6327"/>
    <w:rsid w:val="009B6A1C"/>
    <w:rsid w:val="009C43BB"/>
    <w:rsid w:val="009C4934"/>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5B7D"/>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82E"/>
    <w:rsid w:val="00A10DF2"/>
    <w:rsid w:val="00A10EB5"/>
    <w:rsid w:val="00A121B3"/>
    <w:rsid w:val="00A121B9"/>
    <w:rsid w:val="00A126EB"/>
    <w:rsid w:val="00A143C7"/>
    <w:rsid w:val="00A15C0B"/>
    <w:rsid w:val="00A17099"/>
    <w:rsid w:val="00A2051A"/>
    <w:rsid w:val="00A2169C"/>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2CC"/>
    <w:rsid w:val="00A55903"/>
    <w:rsid w:val="00A55D2E"/>
    <w:rsid w:val="00A56352"/>
    <w:rsid w:val="00A5770C"/>
    <w:rsid w:val="00A60D48"/>
    <w:rsid w:val="00A62116"/>
    <w:rsid w:val="00A62378"/>
    <w:rsid w:val="00A6646F"/>
    <w:rsid w:val="00A66B41"/>
    <w:rsid w:val="00A6752E"/>
    <w:rsid w:val="00A700E2"/>
    <w:rsid w:val="00A70250"/>
    <w:rsid w:val="00A725BB"/>
    <w:rsid w:val="00A726CE"/>
    <w:rsid w:val="00A73385"/>
    <w:rsid w:val="00A73D42"/>
    <w:rsid w:val="00A740A8"/>
    <w:rsid w:val="00A75479"/>
    <w:rsid w:val="00A75705"/>
    <w:rsid w:val="00A75A21"/>
    <w:rsid w:val="00A761B6"/>
    <w:rsid w:val="00A77460"/>
    <w:rsid w:val="00A80E7B"/>
    <w:rsid w:val="00A81C0B"/>
    <w:rsid w:val="00A81FA8"/>
    <w:rsid w:val="00A820A6"/>
    <w:rsid w:val="00A82119"/>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B7E"/>
    <w:rsid w:val="00AB3C32"/>
    <w:rsid w:val="00AB45EF"/>
    <w:rsid w:val="00AB5E5F"/>
    <w:rsid w:val="00AB6279"/>
    <w:rsid w:val="00AB636C"/>
    <w:rsid w:val="00AB731D"/>
    <w:rsid w:val="00AB7A32"/>
    <w:rsid w:val="00AC2DBE"/>
    <w:rsid w:val="00AC4DBA"/>
    <w:rsid w:val="00AC549B"/>
    <w:rsid w:val="00AC607A"/>
    <w:rsid w:val="00AC6E8B"/>
    <w:rsid w:val="00AC7614"/>
    <w:rsid w:val="00AC766C"/>
    <w:rsid w:val="00AC798E"/>
    <w:rsid w:val="00AD0000"/>
    <w:rsid w:val="00AD3682"/>
    <w:rsid w:val="00AD4209"/>
    <w:rsid w:val="00AD44C0"/>
    <w:rsid w:val="00AD61F6"/>
    <w:rsid w:val="00AD70E0"/>
    <w:rsid w:val="00AD7167"/>
    <w:rsid w:val="00AE048A"/>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3417"/>
    <w:rsid w:val="00B04835"/>
    <w:rsid w:val="00B07EE8"/>
    <w:rsid w:val="00B104C6"/>
    <w:rsid w:val="00B11D84"/>
    <w:rsid w:val="00B1224E"/>
    <w:rsid w:val="00B125BF"/>
    <w:rsid w:val="00B12D57"/>
    <w:rsid w:val="00B13390"/>
    <w:rsid w:val="00B13E71"/>
    <w:rsid w:val="00B212E6"/>
    <w:rsid w:val="00B21447"/>
    <w:rsid w:val="00B223C8"/>
    <w:rsid w:val="00B2296A"/>
    <w:rsid w:val="00B22D64"/>
    <w:rsid w:val="00B25796"/>
    <w:rsid w:val="00B27A07"/>
    <w:rsid w:val="00B27AF6"/>
    <w:rsid w:val="00B31690"/>
    <w:rsid w:val="00B32360"/>
    <w:rsid w:val="00B3337D"/>
    <w:rsid w:val="00B34136"/>
    <w:rsid w:val="00B346C1"/>
    <w:rsid w:val="00B34944"/>
    <w:rsid w:val="00B36A21"/>
    <w:rsid w:val="00B3726C"/>
    <w:rsid w:val="00B374A8"/>
    <w:rsid w:val="00B37BEF"/>
    <w:rsid w:val="00B40658"/>
    <w:rsid w:val="00B414B8"/>
    <w:rsid w:val="00B41DAD"/>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61B0"/>
    <w:rsid w:val="00B66398"/>
    <w:rsid w:val="00B669C7"/>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32B1"/>
    <w:rsid w:val="00B85A40"/>
    <w:rsid w:val="00B87616"/>
    <w:rsid w:val="00B90617"/>
    <w:rsid w:val="00B91207"/>
    <w:rsid w:val="00B9205C"/>
    <w:rsid w:val="00B920E4"/>
    <w:rsid w:val="00B94187"/>
    <w:rsid w:val="00B9472A"/>
    <w:rsid w:val="00B94B43"/>
    <w:rsid w:val="00B96AED"/>
    <w:rsid w:val="00B97073"/>
    <w:rsid w:val="00B97620"/>
    <w:rsid w:val="00BA1AB7"/>
    <w:rsid w:val="00BA47A8"/>
    <w:rsid w:val="00BA4DDB"/>
    <w:rsid w:val="00BA57D7"/>
    <w:rsid w:val="00BA5CA3"/>
    <w:rsid w:val="00BA6CBE"/>
    <w:rsid w:val="00BA7D34"/>
    <w:rsid w:val="00BB07E1"/>
    <w:rsid w:val="00BB145E"/>
    <w:rsid w:val="00BB1A2E"/>
    <w:rsid w:val="00BB26BB"/>
    <w:rsid w:val="00BB30DF"/>
    <w:rsid w:val="00BB3241"/>
    <w:rsid w:val="00BB3339"/>
    <w:rsid w:val="00BB4244"/>
    <w:rsid w:val="00BB4CF4"/>
    <w:rsid w:val="00BB5D91"/>
    <w:rsid w:val="00BB610B"/>
    <w:rsid w:val="00BB7ADA"/>
    <w:rsid w:val="00BB7AFC"/>
    <w:rsid w:val="00BB7D7D"/>
    <w:rsid w:val="00BC15EC"/>
    <w:rsid w:val="00BC1E07"/>
    <w:rsid w:val="00BC2B1A"/>
    <w:rsid w:val="00BC3C09"/>
    <w:rsid w:val="00BC5675"/>
    <w:rsid w:val="00BC769F"/>
    <w:rsid w:val="00BC7A4C"/>
    <w:rsid w:val="00BC7FF9"/>
    <w:rsid w:val="00BD07E6"/>
    <w:rsid w:val="00BD2EED"/>
    <w:rsid w:val="00BD3855"/>
    <w:rsid w:val="00BD4B80"/>
    <w:rsid w:val="00BD5628"/>
    <w:rsid w:val="00BD5AF3"/>
    <w:rsid w:val="00BD6258"/>
    <w:rsid w:val="00BD6C21"/>
    <w:rsid w:val="00BD7681"/>
    <w:rsid w:val="00BD7EF8"/>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5DC"/>
    <w:rsid w:val="00C13D4D"/>
    <w:rsid w:val="00C148BC"/>
    <w:rsid w:val="00C16046"/>
    <w:rsid w:val="00C20CDF"/>
    <w:rsid w:val="00C23456"/>
    <w:rsid w:val="00C2390A"/>
    <w:rsid w:val="00C2498B"/>
    <w:rsid w:val="00C24A0A"/>
    <w:rsid w:val="00C24E8B"/>
    <w:rsid w:val="00C25CDF"/>
    <w:rsid w:val="00C263A8"/>
    <w:rsid w:val="00C26C8D"/>
    <w:rsid w:val="00C2708E"/>
    <w:rsid w:val="00C27563"/>
    <w:rsid w:val="00C30A10"/>
    <w:rsid w:val="00C31120"/>
    <w:rsid w:val="00C317A4"/>
    <w:rsid w:val="00C33D18"/>
    <w:rsid w:val="00C350F0"/>
    <w:rsid w:val="00C414D7"/>
    <w:rsid w:val="00C420DF"/>
    <w:rsid w:val="00C43040"/>
    <w:rsid w:val="00C43E3A"/>
    <w:rsid w:val="00C44D2D"/>
    <w:rsid w:val="00C44DAE"/>
    <w:rsid w:val="00C45975"/>
    <w:rsid w:val="00C52C4B"/>
    <w:rsid w:val="00C53DDA"/>
    <w:rsid w:val="00C55C71"/>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4A1B"/>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8634D"/>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C9F"/>
    <w:rsid w:val="00CA7D86"/>
    <w:rsid w:val="00CB049B"/>
    <w:rsid w:val="00CB319C"/>
    <w:rsid w:val="00CB4268"/>
    <w:rsid w:val="00CB4887"/>
    <w:rsid w:val="00CB4D62"/>
    <w:rsid w:val="00CB6FBF"/>
    <w:rsid w:val="00CB7E17"/>
    <w:rsid w:val="00CC0560"/>
    <w:rsid w:val="00CC095B"/>
    <w:rsid w:val="00CC22F9"/>
    <w:rsid w:val="00CC294E"/>
    <w:rsid w:val="00CC33DF"/>
    <w:rsid w:val="00CC4EB8"/>
    <w:rsid w:val="00CC5E64"/>
    <w:rsid w:val="00CC6A51"/>
    <w:rsid w:val="00CD0F60"/>
    <w:rsid w:val="00CD1BCC"/>
    <w:rsid w:val="00CD27F9"/>
    <w:rsid w:val="00CD32E1"/>
    <w:rsid w:val="00CD3427"/>
    <w:rsid w:val="00CD4064"/>
    <w:rsid w:val="00CD4302"/>
    <w:rsid w:val="00CD58EF"/>
    <w:rsid w:val="00CD6D47"/>
    <w:rsid w:val="00CD7FC2"/>
    <w:rsid w:val="00CE0739"/>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16B49"/>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50242"/>
    <w:rsid w:val="00D51C3C"/>
    <w:rsid w:val="00D51CD3"/>
    <w:rsid w:val="00D51E39"/>
    <w:rsid w:val="00D52EE2"/>
    <w:rsid w:val="00D53501"/>
    <w:rsid w:val="00D5386C"/>
    <w:rsid w:val="00D540A6"/>
    <w:rsid w:val="00D55EF3"/>
    <w:rsid w:val="00D5679B"/>
    <w:rsid w:val="00D569AE"/>
    <w:rsid w:val="00D57BE2"/>
    <w:rsid w:val="00D609BD"/>
    <w:rsid w:val="00D60B2A"/>
    <w:rsid w:val="00D616A7"/>
    <w:rsid w:val="00D61BE0"/>
    <w:rsid w:val="00D6282C"/>
    <w:rsid w:val="00D62B56"/>
    <w:rsid w:val="00D6320B"/>
    <w:rsid w:val="00D63B81"/>
    <w:rsid w:val="00D64B55"/>
    <w:rsid w:val="00D66E35"/>
    <w:rsid w:val="00D6767C"/>
    <w:rsid w:val="00D67827"/>
    <w:rsid w:val="00D700A4"/>
    <w:rsid w:val="00D70EA2"/>
    <w:rsid w:val="00D7218E"/>
    <w:rsid w:val="00D72B9B"/>
    <w:rsid w:val="00D72C7F"/>
    <w:rsid w:val="00D72FA5"/>
    <w:rsid w:val="00D74D0B"/>
    <w:rsid w:val="00D770DB"/>
    <w:rsid w:val="00D775D2"/>
    <w:rsid w:val="00D778B7"/>
    <w:rsid w:val="00D808FF"/>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2CAC"/>
    <w:rsid w:val="00D94C2C"/>
    <w:rsid w:val="00D94CD0"/>
    <w:rsid w:val="00D9637F"/>
    <w:rsid w:val="00D96558"/>
    <w:rsid w:val="00D967FA"/>
    <w:rsid w:val="00DA0A3E"/>
    <w:rsid w:val="00DA1330"/>
    <w:rsid w:val="00DA1ADC"/>
    <w:rsid w:val="00DA2BE5"/>
    <w:rsid w:val="00DA2D7A"/>
    <w:rsid w:val="00DA34F2"/>
    <w:rsid w:val="00DA74D6"/>
    <w:rsid w:val="00DB30B2"/>
    <w:rsid w:val="00DB41C9"/>
    <w:rsid w:val="00DB423A"/>
    <w:rsid w:val="00DB548B"/>
    <w:rsid w:val="00DB5765"/>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6C1"/>
    <w:rsid w:val="00DD4837"/>
    <w:rsid w:val="00DD785C"/>
    <w:rsid w:val="00DD7BC3"/>
    <w:rsid w:val="00DD7C26"/>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5BE3"/>
    <w:rsid w:val="00E07445"/>
    <w:rsid w:val="00E111E4"/>
    <w:rsid w:val="00E11BE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0C7F"/>
    <w:rsid w:val="00E31502"/>
    <w:rsid w:val="00E32462"/>
    <w:rsid w:val="00E33424"/>
    <w:rsid w:val="00E33A75"/>
    <w:rsid w:val="00E33F87"/>
    <w:rsid w:val="00E3463F"/>
    <w:rsid w:val="00E34B6C"/>
    <w:rsid w:val="00E361F5"/>
    <w:rsid w:val="00E375CE"/>
    <w:rsid w:val="00E40242"/>
    <w:rsid w:val="00E4028F"/>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5519"/>
    <w:rsid w:val="00E662BB"/>
    <w:rsid w:val="00E673C8"/>
    <w:rsid w:val="00E67446"/>
    <w:rsid w:val="00E67A22"/>
    <w:rsid w:val="00E7044D"/>
    <w:rsid w:val="00E704EA"/>
    <w:rsid w:val="00E70611"/>
    <w:rsid w:val="00E713CD"/>
    <w:rsid w:val="00E736FF"/>
    <w:rsid w:val="00E764C3"/>
    <w:rsid w:val="00E765EF"/>
    <w:rsid w:val="00E77808"/>
    <w:rsid w:val="00E82D9D"/>
    <w:rsid w:val="00E83C85"/>
    <w:rsid w:val="00E84623"/>
    <w:rsid w:val="00E85CDF"/>
    <w:rsid w:val="00E86616"/>
    <w:rsid w:val="00E872C7"/>
    <w:rsid w:val="00E87808"/>
    <w:rsid w:val="00E8790A"/>
    <w:rsid w:val="00E87ABB"/>
    <w:rsid w:val="00E87C91"/>
    <w:rsid w:val="00E9064F"/>
    <w:rsid w:val="00E910A9"/>
    <w:rsid w:val="00E91247"/>
    <w:rsid w:val="00E92BF0"/>
    <w:rsid w:val="00E92C64"/>
    <w:rsid w:val="00E949EC"/>
    <w:rsid w:val="00E953CE"/>
    <w:rsid w:val="00E958E8"/>
    <w:rsid w:val="00E96623"/>
    <w:rsid w:val="00E96668"/>
    <w:rsid w:val="00EA0652"/>
    <w:rsid w:val="00EA1558"/>
    <w:rsid w:val="00EA1782"/>
    <w:rsid w:val="00EA1F24"/>
    <w:rsid w:val="00EA2DB8"/>
    <w:rsid w:val="00EA39A7"/>
    <w:rsid w:val="00EA7125"/>
    <w:rsid w:val="00EB1681"/>
    <w:rsid w:val="00EB2CB4"/>
    <w:rsid w:val="00EB2D72"/>
    <w:rsid w:val="00EB3E97"/>
    <w:rsid w:val="00EB4EA5"/>
    <w:rsid w:val="00EC1A48"/>
    <w:rsid w:val="00EC26FE"/>
    <w:rsid w:val="00EC3B54"/>
    <w:rsid w:val="00EC3F97"/>
    <w:rsid w:val="00EC432B"/>
    <w:rsid w:val="00EC6662"/>
    <w:rsid w:val="00EC675E"/>
    <w:rsid w:val="00EC78FA"/>
    <w:rsid w:val="00ED01AD"/>
    <w:rsid w:val="00ED2146"/>
    <w:rsid w:val="00ED2BB9"/>
    <w:rsid w:val="00ED4146"/>
    <w:rsid w:val="00ED5710"/>
    <w:rsid w:val="00ED7DDD"/>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169"/>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4C4D"/>
    <w:rsid w:val="00F253C7"/>
    <w:rsid w:val="00F279A4"/>
    <w:rsid w:val="00F30C0A"/>
    <w:rsid w:val="00F34C18"/>
    <w:rsid w:val="00F35481"/>
    <w:rsid w:val="00F3562D"/>
    <w:rsid w:val="00F35AE6"/>
    <w:rsid w:val="00F3664A"/>
    <w:rsid w:val="00F3686E"/>
    <w:rsid w:val="00F411E8"/>
    <w:rsid w:val="00F4209F"/>
    <w:rsid w:val="00F42383"/>
    <w:rsid w:val="00F438B4"/>
    <w:rsid w:val="00F43CC8"/>
    <w:rsid w:val="00F4428C"/>
    <w:rsid w:val="00F44C86"/>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2B73"/>
    <w:rsid w:val="00F8574E"/>
    <w:rsid w:val="00F908DC"/>
    <w:rsid w:val="00F928CB"/>
    <w:rsid w:val="00F94F1D"/>
    <w:rsid w:val="00F967F6"/>
    <w:rsid w:val="00FA2C3A"/>
    <w:rsid w:val="00FA4A20"/>
    <w:rsid w:val="00FA4DDD"/>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2B1"/>
    <w:rsid w:val="00FD3EA7"/>
    <w:rsid w:val="00FD44F9"/>
    <w:rsid w:val="00FD4696"/>
    <w:rsid w:val="00FD52DD"/>
    <w:rsid w:val="00FE0974"/>
    <w:rsid w:val="00FE0A7E"/>
    <w:rsid w:val="00FE2780"/>
    <w:rsid w:val="00FE2A0E"/>
    <w:rsid w:val="00FE2FAF"/>
    <w:rsid w:val="00FE504D"/>
    <w:rsid w:val="00FE676D"/>
    <w:rsid w:val="00FE68EA"/>
    <w:rsid w:val="00FE71F2"/>
    <w:rsid w:val="00FE7293"/>
    <w:rsid w:val="00FE76FD"/>
    <w:rsid w:val="00FF0C6B"/>
    <w:rsid w:val="00FF0E71"/>
    <w:rsid w:val="00FF36D3"/>
    <w:rsid w:val="00FF3D8E"/>
    <w:rsid w:val="00FF4F18"/>
    <w:rsid w:val="00FF5FCF"/>
    <w:rsid w:val="00FF6953"/>
    <w:rsid w:val="013327EB"/>
    <w:rsid w:val="016F3588"/>
    <w:rsid w:val="017536A3"/>
    <w:rsid w:val="01BD43CF"/>
    <w:rsid w:val="01D05483"/>
    <w:rsid w:val="01D9763B"/>
    <w:rsid w:val="01ED57EB"/>
    <w:rsid w:val="01FF2D4C"/>
    <w:rsid w:val="023D39EE"/>
    <w:rsid w:val="02A95787"/>
    <w:rsid w:val="02B436F0"/>
    <w:rsid w:val="02B80216"/>
    <w:rsid w:val="030C4D62"/>
    <w:rsid w:val="03DA3D37"/>
    <w:rsid w:val="042943E8"/>
    <w:rsid w:val="04732983"/>
    <w:rsid w:val="04A06609"/>
    <w:rsid w:val="04A604B3"/>
    <w:rsid w:val="04AB3B8E"/>
    <w:rsid w:val="04E50178"/>
    <w:rsid w:val="04F550AA"/>
    <w:rsid w:val="055514B7"/>
    <w:rsid w:val="05656F59"/>
    <w:rsid w:val="05740860"/>
    <w:rsid w:val="059847CC"/>
    <w:rsid w:val="05BD0878"/>
    <w:rsid w:val="05CC62A6"/>
    <w:rsid w:val="05ED2F51"/>
    <w:rsid w:val="05F30542"/>
    <w:rsid w:val="06403EF0"/>
    <w:rsid w:val="06474BCF"/>
    <w:rsid w:val="066B1F91"/>
    <w:rsid w:val="068C64A9"/>
    <w:rsid w:val="06A77627"/>
    <w:rsid w:val="06B43613"/>
    <w:rsid w:val="075D7207"/>
    <w:rsid w:val="07610FB2"/>
    <w:rsid w:val="07C63DDB"/>
    <w:rsid w:val="07D6476B"/>
    <w:rsid w:val="07E5231D"/>
    <w:rsid w:val="08220399"/>
    <w:rsid w:val="083B1F3B"/>
    <w:rsid w:val="08771BBB"/>
    <w:rsid w:val="08F6787C"/>
    <w:rsid w:val="09620962"/>
    <w:rsid w:val="09E74206"/>
    <w:rsid w:val="0A151A15"/>
    <w:rsid w:val="0A4576BF"/>
    <w:rsid w:val="0AE23C3C"/>
    <w:rsid w:val="0B446419"/>
    <w:rsid w:val="0B4765DB"/>
    <w:rsid w:val="0B97592E"/>
    <w:rsid w:val="0BE56BA1"/>
    <w:rsid w:val="0C5B4ED4"/>
    <w:rsid w:val="0CE171A4"/>
    <w:rsid w:val="0CF36E7C"/>
    <w:rsid w:val="0D4A3D75"/>
    <w:rsid w:val="0D7517FC"/>
    <w:rsid w:val="0DC32663"/>
    <w:rsid w:val="0DED4EB2"/>
    <w:rsid w:val="0E4829EE"/>
    <w:rsid w:val="0E5F3FCD"/>
    <w:rsid w:val="0EA873E3"/>
    <w:rsid w:val="0F842560"/>
    <w:rsid w:val="0FEA3A6E"/>
    <w:rsid w:val="101802FD"/>
    <w:rsid w:val="109B69D5"/>
    <w:rsid w:val="10D450A5"/>
    <w:rsid w:val="116B269D"/>
    <w:rsid w:val="11DB0D38"/>
    <w:rsid w:val="123D0B97"/>
    <w:rsid w:val="12C02229"/>
    <w:rsid w:val="12C42B13"/>
    <w:rsid w:val="12C77604"/>
    <w:rsid w:val="12CA76FD"/>
    <w:rsid w:val="135D090B"/>
    <w:rsid w:val="13725CB7"/>
    <w:rsid w:val="13766B61"/>
    <w:rsid w:val="13ED5A74"/>
    <w:rsid w:val="142573E4"/>
    <w:rsid w:val="14871A41"/>
    <w:rsid w:val="14A00FB9"/>
    <w:rsid w:val="14A405FA"/>
    <w:rsid w:val="14DD4BC8"/>
    <w:rsid w:val="14F62E3A"/>
    <w:rsid w:val="14FD5B28"/>
    <w:rsid w:val="15CB656C"/>
    <w:rsid w:val="15D648FA"/>
    <w:rsid w:val="15EF35A0"/>
    <w:rsid w:val="163D77AD"/>
    <w:rsid w:val="169F5708"/>
    <w:rsid w:val="16ED1D0A"/>
    <w:rsid w:val="171700C0"/>
    <w:rsid w:val="172A0E0A"/>
    <w:rsid w:val="175E3B55"/>
    <w:rsid w:val="176F63F5"/>
    <w:rsid w:val="177B641D"/>
    <w:rsid w:val="177B7B43"/>
    <w:rsid w:val="17B617BC"/>
    <w:rsid w:val="17C2714A"/>
    <w:rsid w:val="17C335A2"/>
    <w:rsid w:val="17ED78DB"/>
    <w:rsid w:val="18070DF2"/>
    <w:rsid w:val="184E72F5"/>
    <w:rsid w:val="184F5651"/>
    <w:rsid w:val="189E32D3"/>
    <w:rsid w:val="18DB1BD5"/>
    <w:rsid w:val="18DD3F15"/>
    <w:rsid w:val="19494085"/>
    <w:rsid w:val="199D5BE2"/>
    <w:rsid w:val="19A422AD"/>
    <w:rsid w:val="19F31E08"/>
    <w:rsid w:val="1A23796E"/>
    <w:rsid w:val="1A8E0C9A"/>
    <w:rsid w:val="1B35441D"/>
    <w:rsid w:val="1B695444"/>
    <w:rsid w:val="1BF74147"/>
    <w:rsid w:val="1C356E42"/>
    <w:rsid w:val="1C464299"/>
    <w:rsid w:val="1CB112A1"/>
    <w:rsid w:val="1CEF3999"/>
    <w:rsid w:val="1CF3514C"/>
    <w:rsid w:val="1D5042C5"/>
    <w:rsid w:val="1D6E5E52"/>
    <w:rsid w:val="1DA41599"/>
    <w:rsid w:val="1E0A25C9"/>
    <w:rsid w:val="1E8A0B27"/>
    <w:rsid w:val="1EA70589"/>
    <w:rsid w:val="1ECF36EA"/>
    <w:rsid w:val="1EE61241"/>
    <w:rsid w:val="1EE77B34"/>
    <w:rsid w:val="1EFE608E"/>
    <w:rsid w:val="1F240CB5"/>
    <w:rsid w:val="1F835C0C"/>
    <w:rsid w:val="1FB6553C"/>
    <w:rsid w:val="1FDB73C0"/>
    <w:rsid w:val="1FE30A9E"/>
    <w:rsid w:val="1FF56477"/>
    <w:rsid w:val="20036B1D"/>
    <w:rsid w:val="208213C6"/>
    <w:rsid w:val="20A10B77"/>
    <w:rsid w:val="20AB5963"/>
    <w:rsid w:val="20B072F6"/>
    <w:rsid w:val="20DF64AF"/>
    <w:rsid w:val="215D400B"/>
    <w:rsid w:val="21607E42"/>
    <w:rsid w:val="21712D9B"/>
    <w:rsid w:val="21847B08"/>
    <w:rsid w:val="22235E4D"/>
    <w:rsid w:val="22B22B44"/>
    <w:rsid w:val="22C82FB4"/>
    <w:rsid w:val="22E05AA9"/>
    <w:rsid w:val="22FB2B2B"/>
    <w:rsid w:val="23395E42"/>
    <w:rsid w:val="23646430"/>
    <w:rsid w:val="24622B3D"/>
    <w:rsid w:val="247C3868"/>
    <w:rsid w:val="24AF06C6"/>
    <w:rsid w:val="251F0D64"/>
    <w:rsid w:val="259E7DDD"/>
    <w:rsid w:val="263C0C84"/>
    <w:rsid w:val="26567E4A"/>
    <w:rsid w:val="26633AF3"/>
    <w:rsid w:val="266748E2"/>
    <w:rsid w:val="268418D4"/>
    <w:rsid w:val="26B73BD5"/>
    <w:rsid w:val="26BF579C"/>
    <w:rsid w:val="26CF6C5F"/>
    <w:rsid w:val="27AC00B2"/>
    <w:rsid w:val="289241BC"/>
    <w:rsid w:val="28A563BE"/>
    <w:rsid w:val="28AC5D49"/>
    <w:rsid w:val="28E15521"/>
    <w:rsid w:val="29006C6A"/>
    <w:rsid w:val="290F7A8B"/>
    <w:rsid w:val="298E67E2"/>
    <w:rsid w:val="29D07A70"/>
    <w:rsid w:val="29D409DE"/>
    <w:rsid w:val="29E82188"/>
    <w:rsid w:val="2A4E32AA"/>
    <w:rsid w:val="2A5F0DF4"/>
    <w:rsid w:val="2A82464A"/>
    <w:rsid w:val="2ACC0F70"/>
    <w:rsid w:val="2AF5733A"/>
    <w:rsid w:val="2B0455CB"/>
    <w:rsid w:val="2BD724D7"/>
    <w:rsid w:val="2BFA27C6"/>
    <w:rsid w:val="2BFC4F9F"/>
    <w:rsid w:val="2C075CF4"/>
    <w:rsid w:val="2C2F2E5B"/>
    <w:rsid w:val="2C4D4209"/>
    <w:rsid w:val="2C7F56C9"/>
    <w:rsid w:val="2C9C1417"/>
    <w:rsid w:val="2CAE068C"/>
    <w:rsid w:val="2CDA29B3"/>
    <w:rsid w:val="2CE262F0"/>
    <w:rsid w:val="2D297497"/>
    <w:rsid w:val="2D637AA7"/>
    <w:rsid w:val="2D680C1C"/>
    <w:rsid w:val="2DA32C4E"/>
    <w:rsid w:val="2DC2617B"/>
    <w:rsid w:val="2DC62678"/>
    <w:rsid w:val="2DC90C0D"/>
    <w:rsid w:val="2ED73672"/>
    <w:rsid w:val="2EDA5C06"/>
    <w:rsid w:val="2EEA46FF"/>
    <w:rsid w:val="2EF60297"/>
    <w:rsid w:val="2F6A62B5"/>
    <w:rsid w:val="30956B44"/>
    <w:rsid w:val="309B1297"/>
    <w:rsid w:val="30BC1197"/>
    <w:rsid w:val="310E50AD"/>
    <w:rsid w:val="31401B3B"/>
    <w:rsid w:val="315B11DC"/>
    <w:rsid w:val="317D165D"/>
    <w:rsid w:val="319429AB"/>
    <w:rsid w:val="31A71931"/>
    <w:rsid w:val="31FD405C"/>
    <w:rsid w:val="328A09D8"/>
    <w:rsid w:val="32A94434"/>
    <w:rsid w:val="33024258"/>
    <w:rsid w:val="33AF5832"/>
    <w:rsid w:val="3409258A"/>
    <w:rsid w:val="34204245"/>
    <w:rsid w:val="34227758"/>
    <w:rsid w:val="345F69D3"/>
    <w:rsid w:val="34C76929"/>
    <w:rsid w:val="352E5F4D"/>
    <w:rsid w:val="353A7418"/>
    <w:rsid w:val="35632A92"/>
    <w:rsid w:val="357339A5"/>
    <w:rsid w:val="359C25C1"/>
    <w:rsid w:val="36013D27"/>
    <w:rsid w:val="36CD6E4D"/>
    <w:rsid w:val="37266088"/>
    <w:rsid w:val="3781261C"/>
    <w:rsid w:val="37A01FB3"/>
    <w:rsid w:val="38055B80"/>
    <w:rsid w:val="39221B61"/>
    <w:rsid w:val="39AE6185"/>
    <w:rsid w:val="39C31144"/>
    <w:rsid w:val="39E177E1"/>
    <w:rsid w:val="3A563BEB"/>
    <w:rsid w:val="3A6352F5"/>
    <w:rsid w:val="3A636CE3"/>
    <w:rsid w:val="3A6E0ABC"/>
    <w:rsid w:val="3AD048DC"/>
    <w:rsid w:val="3AE21327"/>
    <w:rsid w:val="3B6D1621"/>
    <w:rsid w:val="3BAA5A9D"/>
    <w:rsid w:val="3BD901DD"/>
    <w:rsid w:val="3C47339A"/>
    <w:rsid w:val="3C9C065B"/>
    <w:rsid w:val="3CAC748F"/>
    <w:rsid w:val="3CCE577B"/>
    <w:rsid w:val="3CE83569"/>
    <w:rsid w:val="3CF059D9"/>
    <w:rsid w:val="3CF85C57"/>
    <w:rsid w:val="3D285208"/>
    <w:rsid w:val="3D34626D"/>
    <w:rsid w:val="3D7C717D"/>
    <w:rsid w:val="3D94641D"/>
    <w:rsid w:val="3DC34B0E"/>
    <w:rsid w:val="3DDF2DA2"/>
    <w:rsid w:val="3E4E3201"/>
    <w:rsid w:val="3E9F6593"/>
    <w:rsid w:val="3F6E6CF9"/>
    <w:rsid w:val="3FA72329"/>
    <w:rsid w:val="3FAF14E4"/>
    <w:rsid w:val="40864895"/>
    <w:rsid w:val="40A83C33"/>
    <w:rsid w:val="40AA0BC3"/>
    <w:rsid w:val="40AF2629"/>
    <w:rsid w:val="40DB78A8"/>
    <w:rsid w:val="41046039"/>
    <w:rsid w:val="414849D1"/>
    <w:rsid w:val="415723CD"/>
    <w:rsid w:val="41576A94"/>
    <w:rsid w:val="41E27AF9"/>
    <w:rsid w:val="427F57B3"/>
    <w:rsid w:val="42B171E6"/>
    <w:rsid w:val="42F37D61"/>
    <w:rsid w:val="433A2C0E"/>
    <w:rsid w:val="438751EB"/>
    <w:rsid w:val="43AD2CD4"/>
    <w:rsid w:val="44147161"/>
    <w:rsid w:val="44B15A54"/>
    <w:rsid w:val="45036479"/>
    <w:rsid w:val="4516015B"/>
    <w:rsid w:val="454A2F0A"/>
    <w:rsid w:val="457D652C"/>
    <w:rsid w:val="459A44BE"/>
    <w:rsid w:val="459C7DF3"/>
    <w:rsid w:val="45DA6558"/>
    <w:rsid w:val="462510F6"/>
    <w:rsid w:val="462C0C9D"/>
    <w:rsid w:val="466803AA"/>
    <w:rsid w:val="46D76A87"/>
    <w:rsid w:val="46E679BE"/>
    <w:rsid w:val="46FD3133"/>
    <w:rsid w:val="46FE00AB"/>
    <w:rsid w:val="47542E30"/>
    <w:rsid w:val="47717B3A"/>
    <w:rsid w:val="47BB0620"/>
    <w:rsid w:val="47C71AC3"/>
    <w:rsid w:val="48437A7C"/>
    <w:rsid w:val="48580D5C"/>
    <w:rsid w:val="486E4245"/>
    <w:rsid w:val="487836AE"/>
    <w:rsid w:val="487B3471"/>
    <w:rsid w:val="488205AE"/>
    <w:rsid w:val="48A8470E"/>
    <w:rsid w:val="48CF4402"/>
    <w:rsid w:val="48DD37B2"/>
    <w:rsid w:val="48DF151F"/>
    <w:rsid w:val="48E60C3B"/>
    <w:rsid w:val="48F34CE6"/>
    <w:rsid w:val="49506E1A"/>
    <w:rsid w:val="497F01AC"/>
    <w:rsid w:val="497F2572"/>
    <w:rsid w:val="4A0B03FE"/>
    <w:rsid w:val="4A442959"/>
    <w:rsid w:val="4A4F1516"/>
    <w:rsid w:val="4A8061AA"/>
    <w:rsid w:val="4AAF3FDF"/>
    <w:rsid w:val="4B2332A6"/>
    <w:rsid w:val="4B8B3A6F"/>
    <w:rsid w:val="4C4B1B83"/>
    <w:rsid w:val="4C7153F5"/>
    <w:rsid w:val="4C792399"/>
    <w:rsid w:val="4C81727E"/>
    <w:rsid w:val="4C940497"/>
    <w:rsid w:val="4C9F46E7"/>
    <w:rsid w:val="4CB40BE1"/>
    <w:rsid w:val="4CFB6AA5"/>
    <w:rsid w:val="4D026B14"/>
    <w:rsid w:val="4D334235"/>
    <w:rsid w:val="4D707B34"/>
    <w:rsid w:val="4DBB0514"/>
    <w:rsid w:val="4DBB518D"/>
    <w:rsid w:val="4E0C6690"/>
    <w:rsid w:val="4E515A0E"/>
    <w:rsid w:val="4E695C37"/>
    <w:rsid w:val="4E8E7966"/>
    <w:rsid w:val="4EAA6AF8"/>
    <w:rsid w:val="4EC37E76"/>
    <w:rsid w:val="4F497C32"/>
    <w:rsid w:val="4FEB58EE"/>
    <w:rsid w:val="5011050A"/>
    <w:rsid w:val="5016110D"/>
    <w:rsid w:val="506D0CED"/>
    <w:rsid w:val="508A6805"/>
    <w:rsid w:val="509E7570"/>
    <w:rsid w:val="511B5D63"/>
    <w:rsid w:val="51303D61"/>
    <w:rsid w:val="519C4C06"/>
    <w:rsid w:val="51D3425A"/>
    <w:rsid w:val="520735B6"/>
    <w:rsid w:val="526428B8"/>
    <w:rsid w:val="527D11F5"/>
    <w:rsid w:val="52A336C4"/>
    <w:rsid w:val="53017835"/>
    <w:rsid w:val="5380701A"/>
    <w:rsid w:val="540341F0"/>
    <w:rsid w:val="546E1AAF"/>
    <w:rsid w:val="547666DB"/>
    <w:rsid w:val="547D09A9"/>
    <w:rsid w:val="55222E5D"/>
    <w:rsid w:val="552A63F2"/>
    <w:rsid w:val="55911706"/>
    <w:rsid w:val="56552F27"/>
    <w:rsid w:val="56775F94"/>
    <w:rsid w:val="574511ED"/>
    <w:rsid w:val="575A0155"/>
    <w:rsid w:val="576F1CDF"/>
    <w:rsid w:val="578166AB"/>
    <w:rsid w:val="578C2807"/>
    <w:rsid w:val="57CE6A29"/>
    <w:rsid w:val="58696144"/>
    <w:rsid w:val="59AA5BEE"/>
    <w:rsid w:val="59C93B6D"/>
    <w:rsid w:val="5A344964"/>
    <w:rsid w:val="5A500383"/>
    <w:rsid w:val="5A517CF1"/>
    <w:rsid w:val="5A7E02F8"/>
    <w:rsid w:val="5B0033BF"/>
    <w:rsid w:val="5B533D47"/>
    <w:rsid w:val="5B925D38"/>
    <w:rsid w:val="5BB86569"/>
    <w:rsid w:val="5BBE331C"/>
    <w:rsid w:val="5C443DF2"/>
    <w:rsid w:val="5CBE7C34"/>
    <w:rsid w:val="5CF50FC0"/>
    <w:rsid w:val="5D2F023B"/>
    <w:rsid w:val="5DEA28F2"/>
    <w:rsid w:val="5E001546"/>
    <w:rsid w:val="5E271159"/>
    <w:rsid w:val="5E360437"/>
    <w:rsid w:val="5E513CB6"/>
    <w:rsid w:val="5E810155"/>
    <w:rsid w:val="5EB4498A"/>
    <w:rsid w:val="5FE62EB3"/>
    <w:rsid w:val="5FEF3ADF"/>
    <w:rsid w:val="603C797C"/>
    <w:rsid w:val="605C6668"/>
    <w:rsid w:val="60651FEB"/>
    <w:rsid w:val="607B0391"/>
    <w:rsid w:val="60973D41"/>
    <w:rsid w:val="60AE7BCD"/>
    <w:rsid w:val="60E016B1"/>
    <w:rsid w:val="60F921AC"/>
    <w:rsid w:val="60FA4659"/>
    <w:rsid w:val="61483DB4"/>
    <w:rsid w:val="62005AA5"/>
    <w:rsid w:val="62354DE3"/>
    <w:rsid w:val="62AA016C"/>
    <w:rsid w:val="62DA051E"/>
    <w:rsid w:val="63065CD5"/>
    <w:rsid w:val="632A45B4"/>
    <w:rsid w:val="638A7BED"/>
    <w:rsid w:val="63A131C2"/>
    <w:rsid w:val="63BE5B81"/>
    <w:rsid w:val="63D43F40"/>
    <w:rsid w:val="63DB539D"/>
    <w:rsid w:val="64B93885"/>
    <w:rsid w:val="65057172"/>
    <w:rsid w:val="6511270F"/>
    <w:rsid w:val="651E54BF"/>
    <w:rsid w:val="65242465"/>
    <w:rsid w:val="65D7391B"/>
    <w:rsid w:val="65F6781C"/>
    <w:rsid w:val="660F2DC0"/>
    <w:rsid w:val="666A3B60"/>
    <w:rsid w:val="666C7CA3"/>
    <w:rsid w:val="66AF40FF"/>
    <w:rsid w:val="66F157A5"/>
    <w:rsid w:val="67165838"/>
    <w:rsid w:val="67C116AC"/>
    <w:rsid w:val="67F025EC"/>
    <w:rsid w:val="68C51C82"/>
    <w:rsid w:val="690D4962"/>
    <w:rsid w:val="6961142C"/>
    <w:rsid w:val="697F4445"/>
    <w:rsid w:val="69C24894"/>
    <w:rsid w:val="6A02377A"/>
    <w:rsid w:val="6A3E6297"/>
    <w:rsid w:val="6A4A0105"/>
    <w:rsid w:val="6A623CBD"/>
    <w:rsid w:val="6A7F6716"/>
    <w:rsid w:val="6AAC36CA"/>
    <w:rsid w:val="6AC10FD5"/>
    <w:rsid w:val="6B080441"/>
    <w:rsid w:val="6B285669"/>
    <w:rsid w:val="6B4355EC"/>
    <w:rsid w:val="6B8426B9"/>
    <w:rsid w:val="6B8D0C17"/>
    <w:rsid w:val="6BB235D5"/>
    <w:rsid w:val="6C5B205C"/>
    <w:rsid w:val="6C9844B0"/>
    <w:rsid w:val="6CF92406"/>
    <w:rsid w:val="6D0766E4"/>
    <w:rsid w:val="6D48013D"/>
    <w:rsid w:val="6D5C551F"/>
    <w:rsid w:val="6D68123A"/>
    <w:rsid w:val="6D7B4CAA"/>
    <w:rsid w:val="6D9A543C"/>
    <w:rsid w:val="6DB00849"/>
    <w:rsid w:val="6DB77BCC"/>
    <w:rsid w:val="6DD4077E"/>
    <w:rsid w:val="6DDA24CA"/>
    <w:rsid w:val="6DF25C05"/>
    <w:rsid w:val="6E1F5372"/>
    <w:rsid w:val="6E292877"/>
    <w:rsid w:val="6E4C2C24"/>
    <w:rsid w:val="6E993EAB"/>
    <w:rsid w:val="6EDE1629"/>
    <w:rsid w:val="6F0B05D8"/>
    <w:rsid w:val="6F262674"/>
    <w:rsid w:val="6F390465"/>
    <w:rsid w:val="6F3D32F3"/>
    <w:rsid w:val="6F62294C"/>
    <w:rsid w:val="6F911326"/>
    <w:rsid w:val="6FB40AA6"/>
    <w:rsid w:val="6FCD2794"/>
    <w:rsid w:val="70230C37"/>
    <w:rsid w:val="70237F3E"/>
    <w:rsid w:val="708E2E66"/>
    <w:rsid w:val="709E6CED"/>
    <w:rsid w:val="70E3740D"/>
    <w:rsid w:val="70F27A3D"/>
    <w:rsid w:val="70F71AD9"/>
    <w:rsid w:val="71181C26"/>
    <w:rsid w:val="72092FF5"/>
    <w:rsid w:val="724524A3"/>
    <w:rsid w:val="728D0EA8"/>
    <w:rsid w:val="7296248F"/>
    <w:rsid w:val="72D44DC4"/>
    <w:rsid w:val="73267C07"/>
    <w:rsid w:val="735369DE"/>
    <w:rsid w:val="738F635B"/>
    <w:rsid w:val="741C5196"/>
    <w:rsid w:val="748B3D8C"/>
    <w:rsid w:val="74AC1DE5"/>
    <w:rsid w:val="75204CB3"/>
    <w:rsid w:val="7522503C"/>
    <w:rsid w:val="752C3278"/>
    <w:rsid w:val="753D5FE2"/>
    <w:rsid w:val="75576C85"/>
    <w:rsid w:val="75AD1FE0"/>
    <w:rsid w:val="75C0207F"/>
    <w:rsid w:val="760A0652"/>
    <w:rsid w:val="761C40F8"/>
    <w:rsid w:val="7640383C"/>
    <w:rsid w:val="767D2FF7"/>
    <w:rsid w:val="77075CE5"/>
    <w:rsid w:val="7782124A"/>
    <w:rsid w:val="77A84CC9"/>
    <w:rsid w:val="77E025F6"/>
    <w:rsid w:val="78332F27"/>
    <w:rsid w:val="78526E6F"/>
    <w:rsid w:val="78742A05"/>
    <w:rsid w:val="78AA4074"/>
    <w:rsid w:val="78AB3D1B"/>
    <w:rsid w:val="792658D9"/>
    <w:rsid w:val="79776EB4"/>
    <w:rsid w:val="79780F16"/>
    <w:rsid w:val="79FE0428"/>
    <w:rsid w:val="7A5706C8"/>
    <w:rsid w:val="7AC0424E"/>
    <w:rsid w:val="7AC36B4A"/>
    <w:rsid w:val="7AD2535F"/>
    <w:rsid w:val="7ADE0DFB"/>
    <w:rsid w:val="7AF449C4"/>
    <w:rsid w:val="7AF7379A"/>
    <w:rsid w:val="7B3A5239"/>
    <w:rsid w:val="7B8D713D"/>
    <w:rsid w:val="7B9C42D9"/>
    <w:rsid w:val="7BE61DA8"/>
    <w:rsid w:val="7C137534"/>
    <w:rsid w:val="7C6575D1"/>
    <w:rsid w:val="7C7959BB"/>
    <w:rsid w:val="7CC1754E"/>
    <w:rsid w:val="7CD06C58"/>
    <w:rsid w:val="7CD32A90"/>
    <w:rsid w:val="7CFE7772"/>
    <w:rsid w:val="7D2E4735"/>
    <w:rsid w:val="7D562097"/>
    <w:rsid w:val="7D9537CB"/>
    <w:rsid w:val="7DB86632"/>
    <w:rsid w:val="7DC80187"/>
    <w:rsid w:val="7DDD2970"/>
    <w:rsid w:val="7E070490"/>
    <w:rsid w:val="7E814A1E"/>
    <w:rsid w:val="7FF44428"/>
    <w:rsid w:val="A7BD5AB3"/>
    <w:rsid w:val="D5DF7011"/>
    <w:rsid w:val="F735A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autoRedefine/>
    <w:qFormat/>
    <w:uiPriority w:val="9"/>
    <w:pPr>
      <w:keepNext/>
      <w:jc w:val="center"/>
      <w:outlineLvl w:val="0"/>
    </w:pPr>
    <w:rPr>
      <w:rFonts w:ascii="楷体_GB2312" w:eastAsia="楷体_GB2312"/>
      <w:b/>
      <w:bCs/>
    </w:rPr>
  </w:style>
  <w:style w:type="paragraph" w:styleId="4">
    <w:name w:val="heading 2"/>
    <w:basedOn w:val="1"/>
    <w:next w:val="1"/>
    <w:link w:val="78"/>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9"/>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80"/>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1"/>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82"/>
    <w:autoRedefine/>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0">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3">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4">
    <w:name w:val="List Number"/>
    <w:basedOn w:val="1"/>
    <w:autoRedefine/>
    <w:qFormat/>
    <w:uiPriority w:val="0"/>
    <w:pPr>
      <w:tabs>
        <w:tab w:val="left" w:pos="360"/>
      </w:tabs>
      <w:ind w:left="360" w:hanging="360" w:hangingChars="200"/>
    </w:pPr>
    <w:rPr>
      <w:rFonts w:ascii="等线" w:hAnsi="等线" w:eastAsia="等线" w:cs="等线"/>
    </w:rPr>
  </w:style>
  <w:style w:type="paragraph" w:styleId="15">
    <w:name w:val="Normal Indent"/>
    <w:basedOn w:val="1"/>
    <w:next w:val="1"/>
    <w:link w:val="101"/>
    <w:autoRedefine/>
    <w:qFormat/>
    <w:uiPriority w:val="0"/>
    <w:pPr>
      <w:adjustRightInd w:val="0"/>
      <w:spacing w:line="312" w:lineRule="atLeast"/>
      <w:ind w:firstLine="420"/>
      <w:textAlignment w:val="baseline"/>
    </w:pPr>
    <w:rPr>
      <w:kern w:val="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8">
    <w:name w:val="Document Map"/>
    <w:basedOn w:val="1"/>
    <w:link w:val="204"/>
    <w:autoRedefine/>
    <w:qFormat/>
    <w:uiPriority w:val="0"/>
    <w:pPr>
      <w:shd w:val="clear" w:color="auto" w:fill="000080"/>
    </w:pPr>
  </w:style>
  <w:style w:type="paragraph" w:styleId="19">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0">
    <w:name w:val="annotation text"/>
    <w:basedOn w:val="1"/>
    <w:link w:val="112"/>
    <w:autoRedefine/>
    <w:qFormat/>
    <w:uiPriority w:val="99"/>
    <w:pPr>
      <w:jc w:val="left"/>
    </w:pPr>
  </w:style>
  <w:style w:type="paragraph" w:styleId="21">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2">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23">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4">
    <w:name w:val="Body Text"/>
    <w:basedOn w:val="1"/>
    <w:next w:val="25"/>
    <w:link w:val="88"/>
    <w:autoRedefine/>
    <w:qFormat/>
    <w:uiPriority w:val="99"/>
    <w:pPr>
      <w:spacing w:after="120"/>
    </w:pPr>
  </w:style>
  <w:style w:type="paragraph" w:styleId="25">
    <w:name w:val="Body Text First Indent"/>
    <w:basedOn w:val="24"/>
    <w:link w:val="100"/>
    <w:autoRedefine/>
    <w:qFormat/>
    <w:uiPriority w:val="0"/>
    <w:pPr>
      <w:ind w:firstLine="420" w:firstLineChars="100"/>
    </w:pPr>
  </w:style>
  <w:style w:type="paragraph" w:styleId="26">
    <w:name w:val="Body Text Indent"/>
    <w:basedOn w:val="1"/>
    <w:next w:val="1"/>
    <w:link w:val="89"/>
    <w:autoRedefine/>
    <w:qFormat/>
    <w:uiPriority w:val="0"/>
    <w:pPr>
      <w:ind w:left="480" w:hanging="480" w:hangingChars="200"/>
    </w:pPr>
    <w:rPr>
      <w:sz w:val="24"/>
    </w:rPr>
  </w:style>
  <w:style w:type="paragraph" w:styleId="27">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8">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9">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0">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1">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2">
    <w:name w:val="toc 3"/>
    <w:basedOn w:val="1"/>
    <w:next w:val="1"/>
    <w:autoRedefine/>
    <w:qFormat/>
    <w:uiPriority w:val="39"/>
    <w:pPr>
      <w:ind w:left="840" w:leftChars="400"/>
    </w:pPr>
  </w:style>
  <w:style w:type="paragraph" w:styleId="33">
    <w:name w:val="Plain Text"/>
    <w:basedOn w:val="1"/>
    <w:link w:val="90"/>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5">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6">
    <w:name w:val="Date"/>
    <w:basedOn w:val="1"/>
    <w:next w:val="1"/>
    <w:link w:val="83"/>
    <w:autoRedefine/>
    <w:qFormat/>
    <w:uiPriority w:val="0"/>
    <w:pPr>
      <w:ind w:left="100" w:leftChars="2500"/>
    </w:pPr>
  </w:style>
  <w:style w:type="paragraph" w:styleId="37">
    <w:name w:val="Body Text Indent 2"/>
    <w:basedOn w:val="1"/>
    <w:link w:val="304"/>
    <w:autoRedefine/>
    <w:qFormat/>
    <w:uiPriority w:val="0"/>
    <w:pPr>
      <w:spacing w:line="500" w:lineRule="exact"/>
      <w:ind w:firstLine="511" w:firstLineChars="213"/>
    </w:pPr>
    <w:rPr>
      <w:sz w:val="24"/>
    </w:rPr>
  </w:style>
  <w:style w:type="paragraph" w:styleId="38">
    <w:name w:val="endnote text"/>
    <w:basedOn w:val="1"/>
    <w:link w:val="756"/>
    <w:autoRedefine/>
    <w:unhideWhenUsed/>
    <w:qFormat/>
    <w:uiPriority w:val="1"/>
    <w:pPr>
      <w:snapToGrid w:val="0"/>
      <w:spacing w:line="360" w:lineRule="auto"/>
      <w:ind w:firstLine="200" w:firstLineChars="200"/>
      <w:jc w:val="left"/>
    </w:pPr>
    <w:rPr>
      <w:sz w:val="28"/>
    </w:rPr>
  </w:style>
  <w:style w:type="paragraph" w:styleId="39">
    <w:name w:val="Balloon Text"/>
    <w:basedOn w:val="1"/>
    <w:link w:val="267"/>
    <w:autoRedefine/>
    <w:qFormat/>
    <w:uiPriority w:val="0"/>
    <w:rPr>
      <w:sz w:val="18"/>
      <w:szCs w:val="18"/>
    </w:rPr>
  </w:style>
  <w:style w:type="paragraph" w:styleId="40">
    <w:name w:val="footer"/>
    <w:basedOn w:val="1"/>
    <w:link w:val="87"/>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2">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4">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5">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6">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7">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8">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49">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0">
    <w:name w:val="Body Text Indent 3"/>
    <w:basedOn w:val="1"/>
    <w:link w:val="201"/>
    <w:autoRedefine/>
    <w:qFormat/>
    <w:uiPriority w:val="0"/>
    <w:pPr>
      <w:spacing w:line="500" w:lineRule="exact"/>
      <w:ind w:left="511" w:hanging="511" w:hangingChars="213"/>
    </w:pPr>
    <w:rPr>
      <w:sz w:val="24"/>
    </w:rPr>
  </w:style>
  <w:style w:type="paragraph" w:styleId="51">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4"/>
    <w:autoRedefine/>
    <w:qFormat/>
    <w:uiPriority w:val="0"/>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0"/>
    <w:next w:val="20"/>
    <w:link w:val="168"/>
    <w:autoRedefine/>
    <w:qFormat/>
    <w:uiPriority w:val="1"/>
    <w:rPr>
      <w:b/>
      <w:bCs/>
    </w:rPr>
  </w:style>
  <w:style w:type="paragraph" w:styleId="61">
    <w:name w:val="Body Text First Indent 2"/>
    <w:basedOn w:val="26"/>
    <w:link w:val="437"/>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6"/>
    <w:autoRedefine/>
    <w:qFormat/>
    <w:uiPriority w:val="0"/>
    <w:pPr>
      <w:ind w:firstLine="420" w:firstLineChars="200"/>
    </w:pPr>
  </w:style>
  <w:style w:type="paragraph" w:customStyle="1" w:styleId="76">
    <w:name w:val="xl53"/>
    <w:basedOn w:val="1"/>
    <w:next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character" w:customStyle="1" w:styleId="77">
    <w:name w:val="标题 1 字符1"/>
    <w:link w:val="3"/>
    <w:autoRedefine/>
    <w:qFormat/>
    <w:uiPriority w:val="9"/>
    <w:rPr>
      <w:rFonts w:ascii="楷体_GB2312" w:eastAsia="楷体_GB2312"/>
      <w:b/>
      <w:bCs/>
      <w:kern w:val="2"/>
      <w:sz w:val="21"/>
      <w:szCs w:val="24"/>
    </w:rPr>
  </w:style>
  <w:style w:type="character" w:customStyle="1" w:styleId="78">
    <w:name w:val="标题 2 字符"/>
    <w:link w:val="4"/>
    <w:autoRedefine/>
    <w:qFormat/>
    <w:uiPriority w:val="9"/>
    <w:rPr>
      <w:rFonts w:ascii="Cambria" w:hAnsi="Cambria" w:eastAsia="宋体" w:cs="Times New Roman"/>
      <w:b/>
      <w:bCs/>
      <w:kern w:val="2"/>
      <w:sz w:val="32"/>
      <w:szCs w:val="32"/>
    </w:rPr>
  </w:style>
  <w:style w:type="character" w:customStyle="1" w:styleId="79">
    <w:name w:val="标题 3 字符1"/>
    <w:link w:val="5"/>
    <w:autoRedefine/>
    <w:qFormat/>
    <w:uiPriority w:val="9"/>
    <w:rPr>
      <w:b/>
      <w:bCs/>
      <w:kern w:val="2"/>
      <w:sz w:val="32"/>
      <w:szCs w:val="32"/>
      <w:lang w:bidi="ar-SA"/>
    </w:rPr>
  </w:style>
  <w:style w:type="character" w:customStyle="1" w:styleId="80">
    <w:name w:val="标题 4 字符1"/>
    <w:link w:val="6"/>
    <w:autoRedefine/>
    <w:qFormat/>
    <w:uiPriority w:val="0"/>
    <w:rPr>
      <w:rFonts w:ascii="Cambria" w:hAnsi="Cambria" w:eastAsia="宋体"/>
      <w:b/>
      <w:bCs/>
      <w:kern w:val="2"/>
      <w:sz w:val="28"/>
      <w:szCs w:val="28"/>
      <w:lang w:bidi="ar-SA"/>
    </w:rPr>
  </w:style>
  <w:style w:type="character" w:customStyle="1" w:styleId="81">
    <w:name w:val="标题 5 字符1"/>
    <w:link w:val="7"/>
    <w:autoRedefine/>
    <w:qFormat/>
    <w:uiPriority w:val="9"/>
    <w:rPr>
      <w:b/>
      <w:bCs/>
      <w:kern w:val="2"/>
      <w:sz w:val="28"/>
      <w:szCs w:val="28"/>
    </w:rPr>
  </w:style>
  <w:style w:type="character" w:customStyle="1" w:styleId="82">
    <w:name w:val="标题 6 字符1"/>
    <w:link w:val="8"/>
    <w:autoRedefine/>
    <w:qFormat/>
    <w:uiPriority w:val="9"/>
    <w:rPr>
      <w:rFonts w:ascii="Cambria" w:hAnsi="Cambria" w:eastAsia="宋体" w:cs="Times New Roman"/>
      <w:b/>
      <w:bCs/>
      <w:kern w:val="2"/>
      <w:sz w:val="24"/>
      <w:szCs w:val="24"/>
    </w:rPr>
  </w:style>
  <w:style w:type="character" w:customStyle="1" w:styleId="83">
    <w:name w:val="日期 字符"/>
    <w:link w:val="36"/>
    <w:autoRedefine/>
    <w:qFormat/>
    <w:uiPriority w:val="0"/>
    <w:rPr>
      <w:kern w:val="2"/>
      <w:sz w:val="21"/>
      <w:szCs w:val="24"/>
    </w:rPr>
  </w:style>
  <w:style w:type="character" w:customStyle="1" w:styleId="84">
    <w:name w:val="样式6 列表并列 Char"/>
    <w:link w:val="85"/>
    <w:autoRedefine/>
    <w:qFormat/>
    <w:locked/>
    <w:uiPriority w:val="0"/>
    <w:rPr>
      <w:rFonts w:ascii="Arial" w:hAnsi="Arial" w:cs="Arial"/>
      <w:kern w:val="21"/>
      <w:sz w:val="21"/>
      <w:szCs w:val="24"/>
    </w:rPr>
  </w:style>
  <w:style w:type="paragraph" w:customStyle="1" w:styleId="85">
    <w:name w:val="样式6 列表并列"/>
    <w:link w:val="84"/>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autoRedefine/>
    <w:qFormat/>
    <w:uiPriority w:val="0"/>
    <w:rPr>
      <w:rFonts w:ascii="宋体" w:hAnsi="Courier New" w:eastAsia="宋体"/>
      <w:sz w:val="21"/>
      <w:szCs w:val="21"/>
      <w:lang w:val="en-US" w:eastAsia="zh-CN" w:bidi="ar-SA"/>
    </w:rPr>
  </w:style>
  <w:style w:type="character" w:customStyle="1" w:styleId="87">
    <w:name w:val="页脚 字符"/>
    <w:link w:val="40"/>
    <w:autoRedefine/>
    <w:qFormat/>
    <w:uiPriority w:val="99"/>
    <w:rPr>
      <w:kern w:val="2"/>
      <w:sz w:val="18"/>
      <w:szCs w:val="18"/>
    </w:rPr>
  </w:style>
  <w:style w:type="character" w:customStyle="1" w:styleId="88">
    <w:name w:val="正文文本 字符1"/>
    <w:link w:val="24"/>
    <w:autoRedefine/>
    <w:qFormat/>
    <w:uiPriority w:val="99"/>
    <w:rPr>
      <w:kern w:val="2"/>
      <w:sz w:val="21"/>
      <w:szCs w:val="24"/>
    </w:rPr>
  </w:style>
  <w:style w:type="character" w:customStyle="1" w:styleId="89">
    <w:name w:val="正文文本缩进 字符1"/>
    <w:link w:val="26"/>
    <w:autoRedefine/>
    <w:qFormat/>
    <w:uiPriority w:val="0"/>
    <w:rPr>
      <w:kern w:val="2"/>
      <w:sz w:val="24"/>
      <w:szCs w:val="24"/>
    </w:rPr>
  </w:style>
  <w:style w:type="character" w:customStyle="1" w:styleId="90">
    <w:name w:val="纯文本 字符1"/>
    <w:link w:val="33"/>
    <w:autoRedefine/>
    <w:qFormat/>
    <w:uiPriority w:val="0"/>
    <w:rPr>
      <w:rFonts w:ascii="宋体" w:hAnsi="Courier New" w:eastAsia="宋体"/>
      <w:sz w:val="21"/>
      <w:szCs w:val="21"/>
      <w:lang w:val="en-US" w:eastAsia="zh-CN" w:bidi="ar-SA"/>
    </w:rPr>
  </w:style>
  <w:style w:type="character" w:customStyle="1" w:styleId="91">
    <w:name w:val="font31"/>
    <w:autoRedefine/>
    <w:qFormat/>
    <w:uiPriority w:val="0"/>
    <w:rPr>
      <w:rFonts w:hint="eastAsia" w:ascii="新宋体" w:hAnsi="新宋体" w:eastAsia="新宋体" w:cs="新宋体"/>
      <w:color w:val="000000"/>
      <w:sz w:val="22"/>
      <w:szCs w:val="22"/>
      <w:u w:val="none"/>
    </w:rPr>
  </w:style>
  <w:style w:type="character" w:customStyle="1" w:styleId="92">
    <w:name w:val="style21"/>
    <w:autoRedefine/>
    <w:qFormat/>
    <w:uiPriority w:val="0"/>
    <w:rPr>
      <w:sz w:val="15"/>
      <w:szCs w:val="15"/>
    </w:rPr>
  </w:style>
  <w:style w:type="character" w:customStyle="1" w:styleId="93">
    <w:name w:val="BZ_正文 Char"/>
    <w:link w:val="94"/>
    <w:autoRedefine/>
    <w:qFormat/>
    <w:uiPriority w:val="0"/>
    <w:rPr>
      <w:rFonts w:ascii="宋体" w:hAnsi="宋体" w:eastAsia="宋体"/>
      <w:kern w:val="2"/>
      <w:sz w:val="24"/>
      <w:szCs w:val="24"/>
    </w:rPr>
  </w:style>
  <w:style w:type="paragraph" w:customStyle="1" w:styleId="94">
    <w:name w:val="BZ_正文"/>
    <w:basedOn w:val="1"/>
    <w:link w:val="93"/>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autoRedefine/>
    <w:qFormat/>
    <w:uiPriority w:val="0"/>
    <w:rPr>
      <w:rFonts w:ascii="宋体" w:hAnsi="Courier New" w:eastAsia="宋体"/>
      <w:sz w:val="21"/>
      <w:szCs w:val="21"/>
      <w:lang w:val="en-US" w:eastAsia="zh-CN" w:bidi="ar-SA"/>
    </w:rPr>
  </w:style>
  <w:style w:type="character" w:customStyle="1" w:styleId="96">
    <w:name w:val="font21"/>
    <w:basedOn w:val="65"/>
    <w:autoRedefine/>
    <w:qFormat/>
    <w:uiPriority w:val="0"/>
    <w:rPr>
      <w:rFonts w:hint="eastAsia" w:ascii="宋体" w:hAnsi="宋体" w:eastAsia="宋体" w:cs="宋体"/>
      <w:b/>
      <w:color w:val="000000"/>
      <w:sz w:val="21"/>
      <w:szCs w:val="21"/>
      <w:u w:val="none"/>
    </w:rPr>
  </w:style>
  <w:style w:type="character" w:customStyle="1" w:styleId="97">
    <w:name w:val="font11"/>
    <w:basedOn w:val="65"/>
    <w:autoRedefine/>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autoRedefine/>
    <w:qFormat/>
    <w:uiPriority w:val="0"/>
    <w:rPr>
      <w:sz w:val="24"/>
      <w:lang w:val="en-US" w:eastAsia="zh-CN" w:bidi="ar-SA"/>
    </w:rPr>
  </w:style>
  <w:style w:type="paragraph" w:customStyle="1" w:styleId="99">
    <w:name w:val="正文1"/>
    <w:link w:val="98"/>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首行缩进 字符1"/>
    <w:basedOn w:val="88"/>
    <w:link w:val="25"/>
    <w:autoRedefine/>
    <w:qFormat/>
    <w:uiPriority w:val="0"/>
    <w:rPr>
      <w:kern w:val="2"/>
      <w:sz w:val="21"/>
      <w:szCs w:val="24"/>
    </w:rPr>
  </w:style>
  <w:style w:type="character" w:customStyle="1" w:styleId="101">
    <w:name w:val="正文缩进 字符1"/>
    <w:link w:val="15"/>
    <w:autoRedefine/>
    <w:qFormat/>
    <w:uiPriority w:val="0"/>
    <w:rPr>
      <w:rFonts w:eastAsia="宋体"/>
      <w:sz w:val="21"/>
      <w:lang w:val="en-US" w:eastAsia="zh-CN" w:bidi="ar-SA"/>
    </w:rPr>
  </w:style>
  <w:style w:type="character" w:customStyle="1" w:styleId="102">
    <w:name w:val="BZ_题注_图 Char"/>
    <w:link w:val="103"/>
    <w:autoRedefine/>
    <w:qFormat/>
    <w:uiPriority w:val="0"/>
    <w:rPr>
      <w:rFonts w:eastAsia="黑体"/>
      <w:kern w:val="2"/>
      <w:sz w:val="21"/>
      <w:szCs w:val="21"/>
    </w:rPr>
  </w:style>
  <w:style w:type="paragraph" w:customStyle="1" w:styleId="103">
    <w:name w:val="BZ_题注_图"/>
    <w:basedOn w:val="16"/>
    <w:next w:val="1"/>
    <w:link w:val="102"/>
    <w:autoRedefine/>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autoRedefine/>
    <w:qFormat/>
    <w:uiPriority w:val="0"/>
    <w:rPr>
      <w:rFonts w:ascii="Tahoma" w:hAnsi="Tahoma" w:eastAsia="仿宋_GB2312"/>
      <w:sz w:val="28"/>
      <w:lang w:val="en-US" w:eastAsia="zh-CN" w:bidi="ar-SA"/>
    </w:rPr>
  </w:style>
  <w:style w:type="paragraph" w:customStyle="1" w:styleId="105">
    <w:name w:val="文档正文"/>
    <w:basedOn w:val="1"/>
    <w:link w:val="104"/>
    <w:autoRedefine/>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autoRedefine/>
    <w:qFormat/>
    <w:uiPriority w:val="0"/>
    <w:rPr>
      <w:sz w:val="22"/>
      <w:szCs w:val="22"/>
    </w:rPr>
  </w:style>
  <w:style w:type="character" w:customStyle="1" w:styleId="107">
    <w:name w:val="Char Char2"/>
    <w:autoRedefine/>
    <w:qFormat/>
    <w:uiPriority w:val="0"/>
    <w:rPr>
      <w:rFonts w:ascii="宋体" w:hAnsi="Courier New" w:eastAsia="宋体"/>
      <w:kern w:val="2"/>
      <w:sz w:val="21"/>
      <w:lang w:val="en-US" w:eastAsia="zh-CN"/>
    </w:rPr>
  </w:style>
  <w:style w:type="character" w:customStyle="1" w:styleId="108">
    <w:name w:val="BZ_三级标题 Char"/>
    <w:link w:val="109"/>
    <w:autoRedefine/>
    <w:qFormat/>
    <w:uiPriority w:val="0"/>
    <w:rPr>
      <w:rFonts w:eastAsia="黑体"/>
      <w:b/>
      <w:bCs/>
      <w:kern w:val="2"/>
      <w:sz w:val="28"/>
      <w:szCs w:val="28"/>
    </w:rPr>
  </w:style>
  <w:style w:type="paragraph" w:customStyle="1" w:styleId="109">
    <w:name w:val="BZ_三级标题"/>
    <w:basedOn w:val="5"/>
    <w:next w:val="94"/>
    <w:link w:val="108"/>
    <w:autoRedefine/>
    <w:qFormat/>
    <w:uiPriority w:val="0"/>
    <w:pPr>
      <w:spacing w:line="240" w:lineRule="auto"/>
      <w:ind w:left="720" w:hanging="720"/>
    </w:pPr>
    <w:rPr>
      <w:rFonts w:eastAsia="黑体"/>
      <w:sz w:val="28"/>
      <w:szCs w:val="28"/>
    </w:rPr>
  </w:style>
  <w:style w:type="character" w:customStyle="1" w:styleId="110">
    <w:name w:val="哈哈正文 Char"/>
    <w:link w:val="111"/>
    <w:autoRedefine/>
    <w:qFormat/>
    <w:uiPriority w:val="0"/>
    <w:rPr>
      <w:rFonts w:ascii="宋体" w:hAnsi="宋体" w:eastAsia="宋体" w:cs="宋体"/>
      <w:kern w:val="2"/>
      <w:sz w:val="24"/>
      <w:lang w:val="en-US" w:eastAsia="zh-CN" w:bidi="ar-SA"/>
    </w:rPr>
  </w:style>
  <w:style w:type="paragraph" w:customStyle="1" w:styleId="111">
    <w:name w:val="哈哈正文"/>
    <w:basedOn w:val="1"/>
    <w:link w:val="110"/>
    <w:autoRedefine/>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0"/>
    <w:autoRedefine/>
    <w:qFormat/>
    <w:uiPriority w:val="99"/>
    <w:rPr>
      <w:kern w:val="2"/>
      <w:sz w:val="21"/>
      <w:szCs w:val="24"/>
    </w:rPr>
  </w:style>
  <w:style w:type="character" w:customStyle="1" w:styleId="113">
    <w:name w:val="fontstyle01"/>
    <w:autoRedefine/>
    <w:qFormat/>
    <w:uiPriority w:val="0"/>
    <w:rPr>
      <w:rFonts w:hint="eastAsia" w:ascii="楷体" w:hAnsi="楷体" w:eastAsia="楷体"/>
      <w:color w:val="000000"/>
      <w:sz w:val="24"/>
      <w:szCs w:val="24"/>
    </w:rPr>
  </w:style>
  <w:style w:type="character" w:customStyle="1" w:styleId="114">
    <w:name w:val="List Paragraph Char"/>
    <w:link w:val="115"/>
    <w:autoRedefine/>
    <w:qFormat/>
    <w:uiPriority w:val="0"/>
    <w:rPr>
      <w:rFonts w:ascii="Calibri" w:hAnsi="Calibri" w:eastAsia="宋体"/>
      <w:kern w:val="2"/>
      <w:sz w:val="21"/>
      <w:szCs w:val="22"/>
      <w:lang w:val="en-US" w:eastAsia="zh-CN" w:bidi="ar-SA"/>
    </w:rPr>
  </w:style>
  <w:style w:type="paragraph" w:customStyle="1" w:styleId="115">
    <w:name w:val="列出段落1"/>
    <w:basedOn w:val="1"/>
    <w:link w:val="114"/>
    <w:autoRedefine/>
    <w:qFormat/>
    <w:uiPriority w:val="0"/>
    <w:pPr>
      <w:ind w:firstLine="420" w:firstLineChars="200"/>
    </w:pPr>
    <w:rPr>
      <w:rFonts w:ascii="Calibri" w:hAnsi="Calibri"/>
      <w:szCs w:val="22"/>
    </w:rPr>
  </w:style>
  <w:style w:type="paragraph" w:customStyle="1" w:styleId="116">
    <w:name w:val="正文2"/>
    <w:basedOn w:val="1"/>
    <w:autoRedefine/>
    <w:qFormat/>
    <w:uiPriority w:val="0"/>
    <w:pPr>
      <w:spacing w:before="156" w:line="360" w:lineRule="auto"/>
      <w:ind w:firstLine="510" w:firstLineChars="200"/>
    </w:pPr>
    <w:rPr>
      <w:sz w:val="24"/>
      <w:szCs w:val="20"/>
    </w:rPr>
  </w:style>
  <w:style w:type="paragraph" w:customStyle="1" w:styleId="117">
    <w:name w:val="Char Char Char Char"/>
    <w:basedOn w:val="18"/>
    <w:autoRedefine/>
    <w:qFormat/>
    <w:uiPriority w:val="0"/>
    <w:rPr>
      <w:rFonts w:ascii="Tahoma" w:hAnsi="Tahoma"/>
      <w:sz w:val="24"/>
    </w:rPr>
  </w:style>
  <w:style w:type="paragraph" w:customStyle="1" w:styleId="118">
    <w:name w:val="Char1 Char Char Char"/>
    <w:basedOn w:val="1"/>
    <w:autoRedefine/>
    <w:qFormat/>
    <w:uiPriority w:val="0"/>
    <w:rPr>
      <w:rFonts w:ascii="Tahoma" w:hAnsi="Tahoma"/>
      <w:sz w:val="24"/>
      <w:szCs w:val="20"/>
    </w:rPr>
  </w:style>
  <w:style w:type="paragraph" w:customStyle="1" w:styleId="119">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autoRedefine/>
    <w:qFormat/>
    <w:uiPriority w:val="0"/>
    <w:rPr>
      <w:rFonts w:ascii="Tahoma" w:hAnsi="Tahoma"/>
      <w:sz w:val="24"/>
      <w:szCs w:val="20"/>
    </w:rPr>
  </w:style>
  <w:style w:type="paragraph" w:styleId="122">
    <w:name w:val="List Paragraph"/>
    <w:basedOn w:val="1"/>
    <w:autoRedefine/>
    <w:qFormat/>
    <w:uiPriority w:val="34"/>
    <w:pPr>
      <w:ind w:firstLine="420" w:firstLineChars="200"/>
    </w:pPr>
  </w:style>
  <w:style w:type="paragraph" w:customStyle="1" w:styleId="123">
    <w:name w:val="BZ_六级标题"/>
    <w:basedOn w:val="8"/>
    <w:next w:val="94"/>
    <w:autoRedefine/>
    <w:qFormat/>
    <w:uiPriority w:val="0"/>
    <w:pPr>
      <w:widowControl/>
      <w:tabs>
        <w:tab w:val="left" w:pos="360"/>
      </w:tabs>
      <w:spacing w:beforeLines="50" w:afterLines="50" w:line="240" w:lineRule="auto"/>
    </w:pPr>
    <w:rPr>
      <w:rFonts w:eastAsia="黑体"/>
    </w:rPr>
  </w:style>
  <w:style w:type="paragraph" w:customStyle="1" w:styleId="124">
    <w:name w:val="正文－恩普"/>
    <w:basedOn w:val="15"/>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18"/>
    <w:autoRedefine/>
    <w:qFormat/>
    <w:uiPriority w:val="0"/>
  </w:style>
  <w:style w:type="paragraph" w:customStyle="1" w:styleId="126">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autoRedefine/>
    <w:qFormat/>
    <w:uiPriority w:val="0"/>
    <w:rPr>
      <w:rFonts w:ascii="仿宋_GB2312" w:eastAsia="仿宋_GB2312"/>
      <w:b/>
      <w:sz w:val="32"/>
      <w:szCs w:val="32"/>
    </w:rPr>
  </w:style>
  <w:style w:type="paragraph" w:customStyle="1" w:styleId="128">
    <w:name w:val="简单回函地址"/>
    <w:basedOn w:val="1"/>
    <w:autoRedefine/>
    <w:qFormat/>
    <w:uiPriority w:val="0"/>
  </w:style>
  <w:style w:type="paragraph" w:customStyle="1" w:styleId="129">
    <w:name w:val="Char Char7 Char"/>
    <w:basedOn w:val="1"/>
    <w:autoRedefine/>
    <w:qFormat/>
    <w:uiPriority w:val="0"/>
    <w:pPr>
      <w:tabs>
        <w:tab w:val="left" w:pos="425"/>
      </w:tabs>
      <w:ind w:left="420" w:leftChars="200" w:firstLine="270" w:firstLineChars="150"/>
    </w:pPr>
  </w:style>
  <w:style w:type="paragraph" w:customStyle="1" w:styleId="130">
    <w:name w:val="BZ_一级标题"/>
    <w:basedOn w:val="3"/>
    <w:next w:val="94"/>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4"/>
    <w:autoRedefine/>
    <w:qFormat/>
    <w:uiPriority w:val="0"/>
    <w:pPr>
      <w:keepNext/>
      <w:spacing w:after="160"/>
    </w:pPr>
  </w:style>
  <w:style w:type="paragraph" w:customStyle="1" w:styleId="132">
    <w:name w:val="Char Char Char Char Char Char Char"/>
    <w:basedOn w:val="1"/>
    <w:autoRedefine/>
    <w:qFormat/>
    <w:uiPriority w:val="0"/>
    <w:rPr>
      <w:rFonts w:ascii="仿宋_GB2312" w:eastAsia="仿宋_GB2312"/>
      <w:b/>
      <w:sz w:val="32"/>
      <w:szCs w:val="32"/>
    </w:rPr>
  </w:style>
  <w:style w:type="paragraph" w:customStyle="1" w:styleId="13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autoRedefine/>
    <w:qFormat/>
    <w:uiPriority w:val="0"/>
    <w:rPr>
      <w:rFonts w:ascii="仿宋_GB2312" w:eastAsia="仿宋_GB2312"/>
      <w:b/>
      <w:sz w:val="32"/>
      <w:szCs w:val="32"/>
    </w:rPr>
  </w:style>
  <w:style w:type="paragraph" w:customStyle="1" w:styleId="135">
    <w:name w:val="CM106"/>
    <w:basedOn w:val="136"/>
    <w:next w:val="136"/>
    <w:autoRedefine/>
    <w:qFormat/>
    <w:uiPriority w:val="0"/>
    <w:rPr>
      <w:rFonts w:ascii="宋体" w:cs="Times New Roman"/>
      <w:color w:val="auto"/>
    </w:rPr>
  </w:style>
  <w:style w:type="paragraph" w:customStyle="1" w:styleId="136">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7"/>
    <w:next w:val="94"/>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5"/>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4"/>
    <w:next w:val="132"/>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99"/>
    <w:rPr>
      <w:rFonts w:ascii="宋体" w:hAnsi="Courier New"/>
      <w:kern w:val="2"/>
      <w:sz w:val="21"/>
      <w:szCs w:val="24"/>
    </w:rPr>
  </w:style>
  <w:style w:type="paragraph" w:customStyle="1" w:styleId="150">
    <w:name w:val="样式6"/>
    <w:basedOn w:val="1"/>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locked/>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字符"/>
    <w:link w:val="59"/>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6"/>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7"/>
    <w:autoRedefine/>
    <w:qFormat/>
    <w:uiPriority w:val="0"/>
    <w:rPr>
      <w:rFonts w:ascii="宋体" w:hAnsi="宋体" w:cs="宋体"/>
      <w:sz w:val="24"/>
      <w:szCs w:val="24"/>
    </w:rPr>
  </w:style>
  <w:style w:type="character" w:customStyle="1" w:styleId="165">
    <w:name w:val="标题 7 字符1"/>
    <w:basedOn w:val="65"/>
    <w:link w:val="9"/>
    <w:autoRedefine/>
    <w:qFormat/>
    <w:uiPriority w:val="9"/>
    <w:rPr>
      <w:rFonts w:eastAsia="等线"/>
      <w:b/>
      <w:kern w:val="2"/>
      <w:sz w:val="24"/>
      <w:szCs w:val="24"/>
    </w:rPr>
  </w:style>
  <w:style w:type="character" w:customStyle="1" w:styleId="166">
    <w:name w:val="标题 8 字符1"/>
    <w:basedOn w:val="65"/>
    <w:link w:val="10"/>
    <w:autoRedefine/>
    <w:qFormat/>
    <w:uiPriority w:val="9"/>
    <w:rPr>
      <w:rFonts w:ascii="Arial" w:hAnsi="Arial" w:eastAsia="黑体"/>
      <w:kern w:val="2"/>
      <w:sz w:val="24"/>
      <w:szCs w:val="24"/>
    </w:rPr>
  </w:style>
  <w:style w:type="character" w:customStyle="1" w:styleId="167">
    <w:name w:val="标题 9 字符1"/>
    <w:basedOn w:val="65"/>
    <w:link w:val="11"/>
    <w:autoRedefine/>
    <w:qFormat/>
    <w:uiPriority w:val="9"/>
    <w:rPr>
      <w:rFonts w:ascii="Arial" w:hAnsi="Arial" w:eastAsia="黑体"/>
      <w:kern w:val="2"/>
      <w:sz w:val="24"/>
      <w:szCs w:val="24"/>
    </w:rPr>
  </w:style>
  <w:style w:type="character" w:customStyle="1" w:styleId="168">
    <w:name w:val="批注主题 字符"/>
    <w:link w:val="60"/>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locked/>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30"/>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5"/>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字符"/>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字符1"/>
    <w:link w:val="50"/>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4"/>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18"/>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3"/>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5"/>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locked/>
    <w:uiPriority w:val="0"/>
    <w:rPr>
      <w:rFonts w:ascii="Arial" w:hAnsi="Arial" w:eastAsia="黑体"/>
      <w:bCs/>
      <w:sz w:val="24"/>
      <w:szCs w:val="28"/>
    </w:rPr>
  </w:style>
  <w:style w:type="paragraph" w:customStyle="1" w:styleId="226">
    <w:name w:val="kpk:4级"/>
    <w:basedOn w:val="6"/>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3"/>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39"/>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6"/>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5"/>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autoRedefine/>
    <w:qFormat/>
    <w:uiPriority w:val="0"/>
    <w:rPr>
      <w:rFonts w:ascii="新宋体" w:hAnsi="新宋体" w:eastAsia="仿宋_GB2312" w:cs="新宋体"/>
      <w:b/>
      <w:bCs/>
      <w:kern w:val="44"/>
      <w:sz w:val="44"/>
      <w:szCs w:val="44"/>
    </w:rPr>
  </w:style>
  <w:style w:type="character" w:customStyle="1" w:styleId="290">
    <w:name w:val="Char Char24"/>
    <w:autoRedefine/>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autoRedefine/>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autoRedefine/>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autoRedefine/>
    <w:qFormat/>
    <w:uiPriority w:val="0"/>
    <w:pPr>
      <w:ind w:firstLine="420" w:firstLineChars="200"/>
    </w:pPr>
    <w:rPr>
      <w:szCs w:val="22"/>
    </w:rPr>
  </w:style>
  <w:style w:type="character" w:customStyle="1" w:styleId="301">
    <w:name w:val="A3 Char"/>
    <w:link w:val="302"/>
    <w:autoRedefine/>
    <w:qFormat/>
    <w:uiPriority w:val="0"/>
    <w:rPr>
      <w:b/>
      <w:bCs/>
      <w:sz w:val="32"/>
      <w:szCs w:val="32"/>
    </w:rPr>
  </w:style>
  <w:style w:type="paragraph" w:customStyle="1" w:styleId="302">
    <w:name w:val="A3"/>
    <w:basedOn w:val="5"/>
    <w:link w:val="301"/>
    <w:autoRedefine/>
    <w:qFormat/>
    <w:uiPriority w:val="0"/>
    <w:pPr>
      <w:spacing w:before="0" w:after="0" w:line="415" w:lineRule="auto"/>
      <w:ind w:left="720" w:hanging="720"/>
      <w:jc w:val="left"/>
    </w:pPr>
    <w:rPr>
      <w:kern w:val="0"/>
    </w:rPr>
  </w:style>
  <w:style w:type="character" w:customStyle="1" w:styleId="303">
    <w:name w:val="批注框文本 字符"/>
    <w:autoRedefine/>
    <w:semiHidden/>
    <w:qFormat/>
    <w:uiPriority w:val="0"/>
    <w:rPr>
      <w:sz w:val="18"/>
      <w:szCs w:val="18"/>
    </w:rPr>
  </w:style>
  <w:style w:type="character" w:customStyle="1" w:styleId="304">
    <w:name w:val="正文文本缩进 2 字符1"/>
    <w:link w:val="37"/>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semiHidden/>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5"/>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6"/>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字符"/>
    <w:link w:val="42"/>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autoRedefine/>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locked/>
    <w:uiPriority w:val="0"/>
    <w:rPr>
      <w:rFonts w:ascii="新宋体" w:hAnsi="新宋体" w:eastAsia="新宋体"/>
      <w:b/>
      <w:bCs/>
      <w:color w:val="000000"/>
      <w:kern w:val="2"/>
      <w:sz w:val="22"/>
      <w:szCs w:val="22"/>
      <w:lang w:val="zh-CN"/>
    </w:rPr>
  </w:style>
  <w:style w:type="paragraph" w:customStyle="1" w:styleId="394">
    <w:name w:val="金保标题2"/>
    <w:basedOn w:val="4"/>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5"/>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autoRedefine/>
    <w:qFormat/>
    <w:uiPriority w:val="0"/>
    <w:rPr>
      <w:rFonts w:ascii="Wingdings" w:hAnsi="Wingdings" w:eastAsia="Times New Roman"/>
      <w:kern w:val="2"/>
      <w:sz w:val="24"/>
      <w:szCs w:val="24"/>
    </w:rPr>
  </w:style>
  <w:style w:type="character" w:customStyle="1" w:styleId="398">
    <w:name w:val="Subtle Reference1"/>
    <w:autoRedefine/>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1"/>
    <w:autoRedefine/>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3"/>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3"/>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4"/>
    <w:autoRedefine/>
    <w:qFormat/>
    <w:uiPriority w:val="0"/>
    <w:pPr>
      <w:ind w:left="576" w:hanging="576"/>
    </w:pPr>
    <w:rPr>
      <w:rFonts w:ascii="华文中宋" w:eastAsia="华文中宋"/>
      <w:kern w:val="0"/>
    </w:rPr>
  </w:style>
  <w:style w:type="character" w:customStyle="1" w:styleId="422">
    <w:name w:val="正文文本 3 字符"/>
    <w:basedOn w:val="65"/>
    <w:link w:val="22"/>
    <w:autoRedefine/>
    <w:qFormat/>
    <w:uiPriority w:val="0"/>
    <w:rPr>
      <w:rFonts w:ascii="等线" w:hAnsi="等线" w:eastAsia="等线" w:cs="等线"/>
    </w:rPr>
  </w:style>
  <w:style w:type="paragraph" w:customStyle="1" w:styleId="423">
    <w:name w:val="数字级连标题2"/>
    <w:basedOn w:val="4"/>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1"/>
    <w:autoRedefine/>
    <w:qFormat/>
    <w:uiPriority w:val="0"/>
    <w:pPr>
      <w:outlineLvl w:val="3"/>
    </w:pPr>
  </w:style>
  <w:style w:type="paragraph" w:customStyle="1" w:styleId="427">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2"/>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24"/>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4"/>
    <w:autoRedefine/>
    <w:qFormat/>
    <w:uiPriority w:val="0"/>
    <w:rPr>
      <w:kern w:val="2"/>
      <w:sz w:val="21"/>
      <w:szCs w:val="24"/>
    </w:rPr>
  </w:style>
  <w:style w:type="character" w:customStyle="1" w:styleId="434">
    <w:name w:val="脚注文本 字符"/>
    <w:basedOn w:val="65"/>
    <w:link w:val="48"/>
    <w:autoRedefine/>
    <w:qFormat/>
    <w:uiPriority w:val="0"/>
    <w:rPr>
      <w:rFonts w:ascii="等线" w:hAnsi="等线" w:eastAsia="等线" w:cs="等线"/>
      <w:kern w:val="2"/>
      <w:sz w:val="18"/>
      <w:szCs w:val="18"/>
    </w:rPr>
  </w:style>
  <w:style w:type="character" w:customStyle="1" w:styleId="435">
    <w:name w:val="副标题 字符"/>
    <w:basedOn w:val="65"/>
    <w:link w:val="46"/>
    <w:autoRedefine/>
    <w:qFormat/>
    <w:uiPriority w:val="0"/>
    <w:rPr>
      <w:rFonts w:asciiTheme="majorHAnsi" w:hAnsiTheme="majorHAnsi" w:cstheme="majorBidi"/>
      <w:b/>
      <w:bCs/>
      <w:kern w:val="28"/>
      <w:sz w:val="32"/>
      <w:szCs w:val="32"/>
    </w:rPr>
  </w:style>
  <w:style w:type="character" w:customStyle="1" w:styleId="436">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7">
    <w:name w:val="正文首行缩进 2 字符"/>
    <w:basedOn w:val="89"/>
    <w:link w:val="61"/>
    <w:autoRedefine/>
    <w:qFormat/>
    <w:uiPriority w:val="0"/>
    <w:rPr>
      <w:kern w:val="2"/>
      <w:sz w:val="21"/>
      <w:szCs w:val="24"/>
    </w:rPr>
  </w:style>
  <w:style w:type="character" w:customStyle="1" w:styleId="438">
    <w:name w:val="HTML 预设格式 字符"/>
    <w:basedOn w:val="65"/>
    <w:link w:val="56"/>
    <w:autoRedefine/>
    <w:qFormat/>
    <w:uiPriority w:val="0"/>
    <w:rPr>
      <w:rFonts w:ascii="Courier New" w:hAnsi="Courier New" w:cs="Courier New"/>
      <w:kern w:val="2"/>
    </w:rPr>
  </w:style>
  <w:style w:type="character" w:customStyle="1" w:styleId="439">
    <w:name w:val="签名 字符"/>
    <w:basedOn w:val="65"/>
    <w:link w:val="43"/>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5"/>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18"/>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5"/>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autoRedefine/>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autoRedefine/>
    <w:semiHidden/>
    <w:qFormat/>
    <w:uiPriority w:val="99"/>
    <w:rPr>
      <w:i/>
      <w:iCs/>
      <w:color w:val="000000" w:themeColor="text1"/>
      <w:kern w:val="2"/>
      <w:sz w:val="21"/>
      <w:szCs w:val="24"/>
      <w14:textFill>
        <w14:solidFill>
          <w14:schemeClr w14:val="tx1"/>
        </w14:solidFill>
      </w14:textFill>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4"/>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6"/>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5"/>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3"/>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6"/>
    <w:next w:val="16"/>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3"/>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3"/>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4"/>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26"/>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9"/>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3"/>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4"/>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4"/>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5"/>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8"/>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3"/>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5"/>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6"/>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3"/>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4">
    <w:name w:val="Char Char Char Char Char Char1 Char Char Char Char"/>
    <w:basedOn w:val="18"/>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5"/>
    <w:next w:val="6"/>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5"/>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6"/>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4"/>
    <w:next w:val="61"/>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4"/>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5"/>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3"/>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4"/>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7"/>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3"/>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3"/>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18"/>
    <w:autoRedefine/>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4"/>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6"/>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2">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3">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4">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5">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6">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7">
    <w:name w:val="Char Char Char Char Char Char"/>
    <w:basedOn w:val="1"/>
    <w:autoRedefine/>
    <w:qFormat/>
    <w:uiPriority w:val="0"/>
    <w:rPr>
      <w:rFonts w:ascii="Tahoma" w:hAnsi="Tahoma" w:eastAsia="等线" w:cs="等线"/>
      <w:sz w:val="24"/>
      <w:szCs w:val="20"/>
    </w:rPr>
  </w:style>
  <w:style w:type="paragraph" w:customStyle="1" w:styleId="698">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1">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2">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4">
    <w:name w:val="TOC Heading1"/>
    <w:basedOn w:val="3"/>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5">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6">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8">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09">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0">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1">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3">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6">
    <w:name w:val="正文缩进HS-正文1"/>
    <w:basedOn w:val="1"/>
    <w:autoRedefine/>
    <w:qFormat/>
    <w:uiPriority w:val="0"/>
    <w:pPr>
      <w:jc w:val="center"/>
    </w:pPr>
    <w:rPr>
      <w:rFonts w:ascii="宋体" w:hAnsi="宋体" w:eastAsia="等线" w:cs="等线"/>
      <w:color w:val="000000"/>
      <w:szCs w:val="21"/>
    </w:rPr>
  </w:style>
  <w:style w:type="paragraph" w:customStyle="1" w:styleId="717">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8">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1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0">
    <w:name w:val="6"/>
    <w:basedOn w:val="1"/>
    <w:autoRedefine/>
    <w:qFormat/>
    <w:uiPriority w:val="0"/>
    <w:pPr>
      <w:tabs>
        <w:tab w:val="left" w:pos="360"/>
      </w:tabs>
    </w:pPr>
    <w:rPr>
      <w:rFonts w:ascii="等线" w:hAnsi="等线" w:eastAsia="等线" w:cs="等线"/>
      <w:szCs w:val="20"/>
    </w:rPr>
  </w:style>
  <w:style w:type="paragraph" w:customStyle="1" w:styleId="7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2">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3">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4">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6">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7">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8">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29">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0">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1">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2">
    <w:name w:val="text1"/>
    <w:autoRedefine/>
    <w:qFormat/>
    <w:uiPriority w:val="0"/>
    <w:rPr>
      <w:rFonts w:ascii="等线" w:hAnsi="等线" w:eastAsia="DFKai-SB" w:cs="等线"/>
      <w:sz w:val="28"/>
      <w:lang w:val="en-US" w:eastAsia="zh-TW" w:bidi="ar-SA"/>
    </w:rPr>
  </w:style>
  <w:style w:type="table" w:customStyle="1" w:styleId="733">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4">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5">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6">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7">
    <w:name w:val="表格 Char"/>
    <w:autoRedefine/>
    <w:qFormat/>
    <w:uiPriority w:val="99"/>
    <w:rPr>
      <w:kern w:val="2"/>
      <w:sz w:val="24"/>
    </w:rPr>
  </w:style>
  <w:style w:type="character" w:customStyle="1" w:styleId="738">
    <w:name w:val="font51"/>
    <w:basedOn w:val="65"/>
    <w:autoRedefine/>
    <w:qFormat/>
    <w:uiPriority w:val="0"/>
    <w:rPr>
      <w:rFonts w:hint="eastAsia" w:ascii="宋体" w:hAnsi="宋体" w:eastAsia="宋体" w:cs="宋体"/>
      <w:color w:val="000000"/>
      <w:sz w:val="24"/>
      <w:szCs w:val="24"/>
      <w:u w:val="none"/>
    </w:rPr>
  </w:style>
  <w:style w:type="character" w:customStyle="1" w:styleId="739">
    <w:name w:val="fontstyle31"/>
    <w:autoRedefine/>
    <w:qFormat/>
    <w:uiPriority w:val="0"/>
    <w:rPr>
      <w:rFonts w:ascii="TimesNewRomanPSMT" w:hAnsi="TimesNewRomanPSMT" w:eastAsia="TimesNewRomanPSMT" w:cs="TimesNewRomanPSMT"/>
      <w:color w:val="000000"/>
      <w:sz w:val="22"/>
      <w:szCs w:val="22"/>
    </w:rPr>
  </w:style>
  <w:style w:type="character" w:customStyle="1" w:styleId="740">
    <w:name w:val="尾注文本 Char"/>
    <w:autoRedefine/>
    <w:qFormat/>
    <w:uiPriority w:val="1"/>
    <w:rPr>
      <w:kern w:val="2"/>
      <w:sz w:val="28"/>
      <w:szCs w:val="24"/>
    </w:rPr>
  </w:style>
  <w:style w:type="character" w:customStyle="1" w:styleId="741">
    <w:name w:val="font81"/>
    <w:autoRedefine/>
    <w:qFormat/>
    <w:uiPriority w:val="0"/>
    <w:rPr>
      <w:rFonts w:hint="eastAsia" w:ascii="宋体" w:hAnsi="宋体" w:eastAsia="宋体" w:cs="宋体"/>
      <w:color w:val="000000"/>
      <w:sz w:val="20"/>
      <w:szCs w:val="20"/>
      <w:u w:val="none"/>
    </w:rPr>
  </w:style>
  <w:style w:type="character" w:customStyle="1" w:styleId="742">
    <w:name w:val="font101"/>
    <w:autoRedefine/>
    <w:qFormat/>
    <w:uiPriority w:val="0"/>
    <w:rPr>
      <w:rFonts w:hint="eastAsia" w:ascii="宋体" w:hAnsi="宋体" w:eastAsia="宋体" w:cs="宋体"/>
      <w:b/>
      <w:color w:val="000000"/>
      <w:sz w:val="24"/>
      <w:szCs w:val="24"/>
      <w:u w:val="none"/>
    </w:rPr>
  </w:style>
  <w:style w:type="character" w:customStyle="1" w:styleId="743">
    <w:name w:val="表头编号 Char"/>
    <w:link w:val="744"/>
    <w:autoRedefine/>
    <w:qFormat/>
    <w:uiPriority w:val="0"/>
    <w:rPr>
      <w:rFonts w:eastAsia="黑体"/>
      <w:sz w:val="24"/>
      <w:szCs w:val="24"/>
    </w:rPr>
  </w:style>
  <w:style w:type="paragraph" w:customStyle="1" w:styleId="744">
    <w:name w:val="表头编号"/>
    <w:basedOn w:val="1"/>
    <w:next w:val="745"/>
    <w:link w:val="743"/>
    <w:autoRedefine/>
    <w:qFormat/>
    <w:uiPriority w:val="0"/>
    <w:pPr>
      <w:adjustRightInd w:val="0"/>
      <w:snapToGrid w:val="0"/>
      <w:spacing w:line="360" w:lineRule="auto"/>
      <w:jc w:val="left"/>
    </w:pPr>
    <w:rPr>
      <w:rFonts w:eastAsia="黑体"/>
      <w:kern w:val="0"/>
      <w:sz w:val="24"/>
    </w:rPr>
  </w:style>
  <w:style w:type="paragraph" w:customStyle="1" w:styleId="745">
    <w:name w:val="表格文本"/>
    <w:basedOn w:val="1"/>
    <w:next w:val="1"/>
    <w:link w:val="807"/>
    <w:autoRedefine/>
    <w:qFormat/>
    <w:uiPriority w:val="0"/>
    <w:pPr>
      <w:adjustRightInd w:val="0"/>
      <w:snapToGrid w:val="0"/>
      <w:jc w:val="center"/>
    </w:pPr>
    <w:rPr>
      <w:color w:val="000000"/>
      <w:kern w:val="0"/>
      <w:sz w:val="24"/>
      <w:szCs w:val="21"/>
    </w:rPr>
  </w:style>
  <w:style w:type="character" w:customStyle="1" w:styleId="746">
    <w:name w:val="表格文字 Char"/>
    <w:link w:val="747"/>
    <w:autoRedefine/>
    <w:qFormat/>
    <w:uiPriority w:val="0"/>
    <w:rPr>
      <w:kern w:val="2"/>
      <w:sz w:val="21"/>
      <w:szCs w:val="21"/>
    </w:rPr>
  </w:style>
  <w:style w:type="paragraph" w:customStyle="1" w:styleId="747">
    <w:name w:val="表格文字"/>
    <w:basedOn w:val="33"/>
    <w:next w:val="24"/>
    <w:link w:val="746"/>
    <w:autoRedefine/>
    <w:qFormat/>
    <w:uiPriority w:val="0"/>
    <w:pPr>
      <w:autoSpaceDE/>
      <w:autoSpaceDN/>
      <w:spacing w:beforeLines="25" w:afterLines="25"/>
      <w:jc w:val="center"/>
    </w:pPr>
    <w:rPr>
      <w:rFonts w:ascii="Times New Roman" w:hAnsi="Times New Roman"/>
      <w:kern w:val="2"/>
    </w:rPr>
  </w:style>
  <w:style w:type="character" w:customStyle="1" w:styleId="748">
    <w:name w:val="font71"/>
    <w:autoRedefine/>
    <w:qFormat/>
    <w:uiPriority w:val="0"/>
    <w:rPr>
      <w:rFonts w:hint="eastAsia" w:ascii="宋体" w:hAnsi="宋体" w:eastAsia="宋体" w:cs="宋体"/>
      <w:color w:val="000000"/>
      <w:sz w:val="24"/>
      <w:szCs w:val="24"/>
      <w:u w:val="none"/>
    </w:rPr>
  </w:style>
  <w:style w:type="character" w:customStyle="1" w:styleId="749">
    <w:name w:val="表格标题/图片标题/日期格式/图片居中 Char"/>
    <w:link w:val="750"/>
    <w:autoRedefine/>
    <w:qFormat/>
    <w:uiPriority w:val="0"/>
    <w:rPr>
      <w:b/>
      <w:kern w:val="2"/>
      <w:sz w:val="28"/>
      <w:szCs w:val="24"/>
    </w:rPr>
  </w:style>
  <w:style w:type="paragraph" w:customStyle="1" w:styleId="750">
    <w:name w:val="表格标题/图片标题/日期格式/图片居中"/>
    <w:link w:val="749"/>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1">
    <w:name w:val="font61"/>
    <w:autoRedefine/>
    <w:qFormat/>
    <w:uiPriority w:val="0"/>
    <w:rPr>
      <w:rFonts w:hint="eastAsia" w:ascii="宋体" w:hAnsi="宋体" w:eastAsia="宋体" w:cs="宋体"/>
      <w:b/>
      <w:color w:val="000000"/>
      <w:sz w:val="24"/>
      <w:szCs w:val="24"/>
      <w:u w:val="none"/>
    </w:rPr>
  </w:style>
  <w:style w:type="character" w:customStyle="1" w:styleId="752">
    <w:name w:val="font41"/>
    <w:basedOn w:val="65"/>
    <w:autoRedefine/>
    <w:qFormat/>
    <w:uiPriority w:val="0"/>
    <w:rPr>
      <w:rFonts w:hint="default" w:ascii="Times New Roman" w:hAnsi="Times New Roman" w:cs="Times New Roman"/>
      <w:color w:val="000000"/>
      <w:sz w:val="20"/>
      <w:szCs w:val="20"/>
      <w:u w:val="none"/>
    </w:rPr>
  </w:style>
  <w:style w:type="character" w:customStyle="1" w:styleId="753">
    <w:name w:val="fontstyle21"/>
    <w:autoRedefine/>
    <w:qFormat/>
    <w:uiPriority w:val="0"/>
    <w:rPr>
      <w:rFonts w:ascii="宋体" w:hAnsi="宋体" w:eastAsia="宋体" w:cs="宋体"/>
      <w:color w:val="000000"/>
      <w:sz w:val="22"/>
      <w:szCs w:val="22"/>
    </w:rPr>
  </w:style>
  <w:style w:type="character" w:customStyle="1" w:styleId="754">
    <w:name w:val="font201"/>
    <w:autoRedefine/>
    <w:qFormat/>
    <w:uiPriority w:val="0"/>
    <w:rPr>
      <w:rFonts w:hint="eastAsia" w:ascii="宋体" w:hAnsi="宋体" w:eastAsia="宋体" w:cs="宋体"/>
      <w:b/>
      <w:color w:val="000000"/>
      <w:sz w:val="24"/>
      <w:szCs w:val="24"/>
      <w:u w:val="none"/>
    </w:rPr>
  </w:style>
  <w:style w:type="character" w:customStyle="1" w:styleId="755">
    <w:name w:val="font221"/>
    <w:autoRedefine/>
    <w:qFormat/>
    <w:uiPriority w:val="0"/>
    <w:rPr>
      <w:rFonts w:hint="eastAsia" w:ascii="宋体" w:hAnsi="宋体" w:eastAsia="宋体" w:cs="宋体"/>
      <w:color w:val="000000"/>
      <w:sz w:val="24"/>
      <w:szCs w:val="24"/>
      <w:u w:val="none"/>
    </w:rPr>
  </w:style>
  <w:style w:type="character" w:customStyle="1" w:styleId="756">
    <w:name w:val="尾注文本 字符"/>
    <w:basedOn w:val="65"/>
    <w:link w:val="38"/>
    <w:autoRedefine/>
    <w:qFormat/>
    <w:uiPriority w:val="99"/>
    <w:rPr>
      <w:kern w:val="2"/>
      <w:sz w:val="21"/>
      <w:szCs w:val="24"/>
    </w:rPr>
  </w:style>
  <w:style w:type="paragraph" w:customStyle="1" w:styleId="757">
    <w:name w:val="[Normal]"/>
    <w:autoRedefine/>
    <w:qFormat/>
    <w:uiPriority w:val="0"/>
    <w:rPr>
      <w:rFonts w:ascii="宋体" w:hAnsi="宋体" w:eastAsia="宋体" w:cs="Times New Roman"/>
      <w:sz w:val="24"/>
      <w:szCs w:val="22"/>
      <w:lang w:val="zh-CN" w:eastAsia="zh-CN" w:bidi="ar-SA"/>
    </w:rPr>
  </w:style>
  <w:style w:type="paragraph" w:customStyle="1" w:styleId="758">
    <w:name w:val="表格文字（居中）"/>
    <w:basedOn w:val="1"/>
    <w:autoRedefine/>
    <w:qFormat/>
    <w:uiPriority w:val="0"/>
    <w:pPr>
      <w:spacing w:line="360" w:lineRule="auto"/>
      <w:ind w:firstLine="200" w:firstLineChars="200"/>
      <w:jc w:val="center"/>
    </w:pPr>
    <w:rPr>
      <w:sz w:val="28"/>
    </w:rPr>
  </w:style>
  <w:style w:type="paragraph" w:customStyle="1" w:styleId="759">
    <w:name w:val="文章正文"/>
    <w:basedOn w:val="1"/>
    <w:autoRedefine/>
    <w:qFormat/>
    <w:uiPriority w:val="0"/>
    <w:pPr>
      <w:spacing w:line="360" w:lineRule="auto"/>
      <w:ind w:firstLine="200" w:firstLineChars="200"/>
    </w:pPr>
    <w:rPr>
      <w:kern w:val="0"/>
      <w:sz w:val="28"/>
      <w:szCs w:val="22"/>
    </w:rPr>
  </w:style>
  <w:style w:type="paragraph" w:customStyle="1" w:styleId="760">
    <w:name w:val="表格内容"/>
    <w:basedOn w:val="1"/>
    <w:autoRedefine/>
    <w:qFormat/>
    <w:uiPriority w:val="0"/>
    <w:pPr>
      <w:jc w:val="center"/>
    </w:pPr>
    <w:rPr>
      <w:sz w:val="24"/>
      <w:szCs w:val="21"/>
    </w:rPr>
  </w:style>
  <w:style w:type="paragraph" w:customStyle="1" w:styleId="761">
    <w:name w:val="图名"/>
    <w:basedOn w:val="1"/>
    <w:next w:val="1"/>
    <w:autoRedefine/>
    <w:qFormat/>
    <w:uiPriority w:val="1"/>
    <w:pPr>
      <w:spacing w:line="360" w:lineRule="auto"/>
      <w:jc w:val="center"/>
    </w:pPr>
    <w:rPr>
      <w:rFonts w:eastAsia="Times New Roman"/>
      <w:b/>
      <w:color w:val="000000"/>
      <w:sz w:val="28"/>
    </w:rPr>
  </w:style>
  <w:style w:type="paragraph" w:customStyle="1" w:styleId="762">
    <w:name w:val="08-123456789"/>
    <w:basedOn w:val="1"/>
    <w:autoRedefine/>
    <w:qFormat/>
    <w:uiPriority w:val="0"/>
    <w:pPr>
      <w:ind w:firstLine="553" w:firstLineChars="200"/>
    </w:pPr>
    <w:rPr>
      <w:rFonts w:cs="宋体"/>
      <w:sz w:val="26"/>
      <w:szCs w:val="26"/>
    </w:rPr>
  </w:style>
  <w:style w:type="paragraph" w:customStyle="1" w:styleId="763">
    <w:name w:val="封面文字"/>
    <w:basedOn w:val="1"/>
    <w:autoRedefine/>
    <w:qFormat/>
    <w:uiPriority w:val="0"/>
    <w:pPr>
      <w:spacing w:line="360" w:lineRule="auto"/>
      <w:jc w:val="center"/>
    </w:pPr>
    <w:rPr>
      <w:rFonts w:hAnsi="宋体" w:eastAsia="黑体"/>
      <w:sz w:val="48"/>
    </w:rPr>
  </w:style>
  <w:style w:type="paragraph" w:customStyle="1" w:styleId="764">
    <w:name w:val="表头、图名"/>
    <w:basedOn w:val="1"/>
    <w:link w:val="806"/>
    <w:autoRedefine/>
    <w:qFormat/>
    <w:uiPriority w:val="0"/>
    <w:pPr>
      <w:spacing w:line="360" w:lineRule="auto"/>
      <w:ind w:firstLine="200" w:firstLineChars="200"/>
      <w:jc w:val="center"/>
    </w:pPr>
    <w:rPr>
      <w:b/>
      <w:sz w:val="28"/>
      <w:szCs w:val="20"/>
    </w:rPr>
  </w:style>
  <w:style w:type="paragraph" w:customStyle="1" w:styleId="765">
    <w:name w:val="表头2"/>
    <w:basedOn w:val="375"/>
    <w:autoRedefine/>
    <w:qFormat/>
    <w:uiPriority w:val="0"/>
    <w:pPr>
      <w:spacing w:line="520" w:lineRule="exact"/>
      <w:jc w:val="left"/>
    </w:pPr>
    <w:rPr>
      <w:rFonts w:ascii="Calibri" w:hAnsi="Calibri" w:eastAsia="宋体"/>
      <w:color w:val="auto"/>
      <w:szCs w:val="28"/>
    </w:rPr>
  </w:style>
  <w:style w:type="paragraph" w:customStyle="1" w:styleId="766">
    <w:name w:val="WPSOffice手动目录 1"/>
    <w:autoRedefine/>
    <w:qFormat/>
    <w:uiPriority w:val="0"/>
    <w:rPr>
      <w:rFonts w:ascii="Times New Roman" w:hAnsi="Times New Roman" w:eastAsia="宋体" w:cs="Times New Roman"/>
      <w:lang w:val="en-US" w:eastAsia="zh-CN" w:bidi="ar-SA"/>
    </w:rPr>
  </w:style>
  <w:style w:type="paragraph" w:customStyle="1" w:styleId="767">
    <w:name w:val="表格备注"/>
    <w:basedOn w:val="1"/>
    <w:next w:val="1"/>
    <w:autoRedefine/>
    <w:qFormat/>
    <w:uiPriority w:val="2"/>
    <w:pPr>
      <w:spacing w:afterLines="50"/>
    </w:pPr>
  </w:style>
  <w:style w:type="paragraph" w:customStyle="1" w:styleId="768">
    <w:name w:val="目  录"/>
    <w:basedOn w:val="1"/>
    <w:autoRedefine/>
    <w:qFormat/>
    <w:uiPriority w:val="0"/>
    <w:pPr>
      <w:spacing w:line="360" w:lineRule="auto"/>
      <w:jc w:val="center"/>
    </w:pPr>
    <w:rPr>
      <w:rFonts w:hAnsi="宋体" w:eastAsia="黑体"/>
      <w:sz w:val="44"/>
    </w:rPr>
  </w:style>
  <w:style w:type="paragraph" w:customStyle="1" w:styleId="769">
    <w:name w:val="表格样式"/>
    <w:basedOn w:val="1"/>
    <w:autoRedefine/>
    <w:qFormat/>
    <w:uiPriority w:val="0"/>
    <w:pPr>
      <w:widowControl/>
      <w:jc w:val="center"/>
    </w:pPr>
    <w:rPr>
      <w:bCs/>
      <w:kern w:val="0"/>
      <w:sz w:val="24"/>
    </w:rPr>
  </w:style>
  <w:style w:type="paragraph" w:customStyle="1" w:styleId="770">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1">
    <w:name w:val="表图内容"/>
    <w:basedOn w:val="1"/>
    <w:autoRedefine/>
    <w:qFormat/>
    <w:uiPriority w:val="0"/>
    <w:pPr>
      <w:spacing w:line="360" w:lineRule="auto"/>
      <w:ind w:firstLine="200" w:firstLineChars="200"/>
      <w:jc w:val="center"/>
    </w:pPr>
    <w:rPr>
      <w:sz w:val="24"/>
      <w:szCs w:val="21"/>
    </w:rPr>
  </w:style>
  <w:style w:type="paragraph" w:customStyle="1" w:styleId="77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4">
    <w:name w:val="图片"/>
    <w:basedOn w:val="1"/>
    <w:autoRedefine/>
    <w:qFormat/>
    <w:uiPriority w:val="0"/>
    <w:pPr>
      <w:jc w:val="center"/>
    </w:pPr>
    <w:rPr>
      <w:sz w:val="28"/>
    </w:rPr>
  </w:style>
  <w:style w:type="character" w:customStyle="1" w:styleId="775">
    <w:name w:val="招标正文 字符"/>
    <w:link w:val="776"/>
    <w:autoRedefine/>
    <w:qFormat/>
    <w:uiPriority w:val="0"/>
    <w:rPr>
      <w:rFonts w:ascii="宋体" w:hAnsi="宋体"/>
      <w:color w:val="000000"/>
      <w:sz w:val="24"/>
      <w:szCs w:val="21"/>
    </w:rPr>
  </w:style>
  <w:style w:type="paragraph" w:customStyle="1" w:styleId="776">
    <w:name w:val="招标正文"/>
    <w:basedOn w:val="1"/>
    <w:link w:val="775"/>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7">
    <w:name w:val="招标-标题1 字符"/>
    <w:link w:val="778"/>
    <w:autoRedefine/>
    <w:qFormat/>
    <w:uiPriority w:val="0"/>
    <w:rPr>
      <w:rFonts w:ascii="宋体" w:hAnsi="宋体"/>
      <w:b/>
      <w:bCs/>
      <w:sz w:val="28"/>
      <w:szCs w:val="21"/>
    </w:rPr>
  </w:style>
  <w:style w:type="paragraph" w:customStyle="1" w:styleId="778">
    <w:name w:val="招标-标题1"/>
    <w:basedOn w:val="1"/>
    <w:link w:val="777"/>
    <w:autoRedefine/>
    <w:qFormat/>
    <w:uiPriority w:val="0"/>
    <w:pPr>
      <w:spacing w:line="300" w:lineRule="auto"/>
      <w:ind w:left="560" w:firstLine="200" w:firstLineChars="200"/>
    </w:pPr>
    <w:rPr>
      <w:rFonts w:ascii="宋体" w:hAnsi="宋体"/>
      <w:b/>
      <w:bCs/>
      <w:kern w:val="0"/>
      <w:sz w:val="28"/>
      <w:szCs w:val="21"/>
    </w:rPr>
  </w:style>
  <w:style w:type="character" w:customStyle="1" w:styleId="779">
    <w:name w:val="招标-主标题 字符"/>
    <w:link w:val="780"/>
    <w:autoRedefine/>
    <w:qFormat/>
    <w:uiPriority w:val="0"/>
    <w:rPr>
      <w:rFonts w:ascii="宋体" w:hAnsi="宋体"/>
      <w:b/>
      <w:sz w:val="32"/>
    </w:rPr>
  </w:style>
  <w:style w:type="paragraph" w:customStyle="1" w:styleId="780">
    <w:name w:val="招标-主标题"/>
    <w:basedOn w:val="1"/>
    <w:link w:val="779"/>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1">
    <w:name w:val="标题 Char1"/>
    <w:basedOn w:val="65"/>
    <w:autoRedefine/>
    <w:qFormat/>
    <w:uiPriority w:val="10"/>
    <w:rPr>
      <w:rFonts w:eastAsia="宋体" w:asciiTheme="majorHAnsi" w:hAnsiTheme="majorHAnsi" w:cstheme="majorBidi"/>
      <w:b/>
      <w:bCs/>
      <w:sz w:val="32"/>
      <w:szCs w:val="32"/>
    </w:rPr>
  </w:style>
  <w:style w:type="paragraph" w:customStyle="1" w:styleId="782">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3">
    <w:name w:val="表名"/>
    <w:basedOn w:val="1"/>
    <w:autoRedefine/>
    <w:qFormat/>
    <w:uiPriority w:val="0"/>
    <w:pPr>
      <w:spacing w:after="60" w:line="560" w:lineRule="exact"/>
      <w:ind w:firstLine="100" w:firstLineChars="100"/>
    </w:pPr>
    <w:rPr>
      <w:rFonts w:ascii="黑体" w:eastAsia="黑体"/>
      <w:sz w:val="24"/>
    </w:rPr>
  </w:style>
  <w:style w:type="paragraph" w:customStyle="1" w:styleId="784">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5">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6">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7">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8">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89">
    <w:name w:val="样式4"/>
    <w:basedOn w:val="1"/>
    <w:autoRedefine/>
    <w:qFormat/>
    <w:uiPriority w:val="0"/>
    <w:pPr>
      <w:spacing w:line="360" w:lineRule="auto"/>
      <w:ind w:firstLine="200" w:firstLineChars="200"/>
    </w:pPr>
    <w:rPr>
      <w:sz w:val="28"/>
      <w:szCs w:val="21"/>
    </w:rPr>
  </w:style>
  <w:style w:type="paragraph" w:customStyle="1" w:styleId="790">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1">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2">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3">
    <w:name w:val="样式 图文仿宋四号 + (西文) 宋体 (中文) 宋体"/>
    <w:basedOn w:val="1"/>
    <w:link w:val="794"/>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4">
    <w:name w:val="样式 图文仿宋四号 + (西文) 宋体 (中文) 宋体 Char"/>
    <w:link w:val="793"/>
    <w:autoRedefine/>
    <w:qFormat/>
    <w:uiPriority w:val="0"/>
    <w:rPr>
      <w:rFonts w:ascii="仿宋_GB2312" w:eastAsia="仿宋_GB2312"/>
      <w:kern w:val="2"/>
      <w:sz w:val="32"/>
      <w:szCs w:val="32"/>
      <w:lang w:val="zh-CN"/>
    </w:rPr>
  </w:style>
  <w:style w:type="paragraph" w:customStyle="1" w:styleId="795">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6">
    <w:name w:val="temp标题1"/>
    <w:basedOn w:val="3"/>
    <w:next w:val="3"/>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7">
    <w:name w:val="temp标题2"/>
    <w:basedOn w:val="4"/>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8">
    <w:name w:val="temp标题3"/>
    <w:basedOn w:val="5"/>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799">
    <w:name w:val="样式 temp标题1 + 段前: 0.5 行"/>
    <w:basedOn w:val="796"/>
    <w:autoRedefine/>
    <w:qFormat/>
    <w:uiPriority w:val="0"/>
    <w:pPr>
      <w:spacing w:beforeLines="100"/>
    </w:pPr>
    <w:rPr>
      <w:rFonts w:cs="宋体"/>
      <w:bCs w:val="0"/>
      <w:szCs w:val="20"/>
    </w:rPr>
  </w:style>
  <w:style w:type="paragraph" w:customStyle="1" w:styleId="800">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1">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2">
    <w:name w:val="附图表"/>
    <w:basedOn w:val="1"/>
    <w:link w:val="803"/>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3">
    <w:name w:val="附图表 Char"/>
    <w:link w:val="802"/>
    <w:autoRedefine/>
    <w:qFormat/>
    <w:uiPriority w:val="0"/>
    <w:rPr>
      <w:rFonts w:ascii="黑体" w:hAnsi="黑体" w:eastAsia="黑体"/>
      <w:color w:val="000000"/>
      <w:sz w:val="28"/>
      <w:szCs w:val="30"/>
      <w:lang w:val="zh-CN"/>
    </w:rPr>
  </w:style>
  <w:style w:type="character" w:customStyle="1" w:styleId="804">
    <w:name w:val="Char Char7"/>
    <w:autoRedefine/>
    <w:qFormat/>
    <w:uiPriority w:val="0"/>
    <w:rPr>
      <w:rFonts w:hAnsi="宋体" w:eastAsia="宋体"/>
      <w:kern w:val="2"/>
      <w:sz w:val="18"/>
      <w:szCs w:val="18"/>
      <w:lang w:val="zh-CN" w:eastAsia="zh-CN" w:bidi="ar-SA"/>
    </w:rPr>
  </w:style>
  <w:style w:type="character" w:customStyle="1" w:styleId="805">
    <w:name w:val="content1"/>
    <w:autoRedefine/>
    <w:qFormat/>
    <w:uiPriority w:val="0"/>
    <w:rPr>
      <w:sz w:val="22"/>
      <w:szCs w:val="22"/>
    </w:rPr>
  </w:style>
  <w:style w:type="character" w:customStyle="1" w:styleId="806">
    <w:name w:val="表头 Char"/>
    <w:link w:val="764"/>
    <w:autoRedefine/>
    <w:qFormat/>
    <w:uiPriority w:val="0"/>
    <w:rPr>
      <w:b/>
      <w:kern w:val="2"/>
      <w:sz w:val="28"/>
    </w:rPr>
  </w:style>
  <w:style w:type="character" w:customStyle="1" w:styleId="807">
    <w:name w:val="表格文本 Char"/>
    <w:link w:val="745"/>
    <w:autoRedefine/>
    <w:qFormat/>
    <w:uiPriority w:val="0"/>
    <w:rPr>
      <w:color w:val="000000"/>
      <w:sz w:val="24"/>
      <w:szCs w:val="21"/>
    </w:rPr>
  </w:style>
  <w:style w:type="character" w:customStyle="1" w:styleId="808">
    <w:name w:val="批注主题 Char1"/>
    <w:basedOn w:val="112"/>
    <w:autoRedefine/>
    <w:semiHidden/>
    <w:qFormat/>
    <w:uiPriority w:val="99"/>
    <w:rPr>
      <w:rFonts w:ascii="Calibri" w:hAnsi="Calibri" w:eastAsia="仿宋" w:cs="Times New Roman"/>
      <w:b/>
      <w:bCs/>
      <w:kern w:val="2"/>
      <w:sz w:val="28"/>
      <w:szCs w:val="22"/>
    </w:rPr>
  </w:style>
  <w:style w:type="paragraph" w:customStyle="1" w:styleId="809">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0">
    <w:name w:val="纯文本2"/>
    <w:basedOn w:val="809"/>
    <w:autoRedefine/>
    <w:qFormat/>
    <w:uiPriority w:val="0"/>
    <w:pPr>
      <w:widowControl/>
      <w:jc w:val="left"/>
    </w:pPr>
    <w:rPr>
      <w:rFonts w:ascii="宋体" w:hAnsi="Courier New"/>
    </w:rPr>
  </w:style>
  <w:style w:type="paragraph" w:customStyle="1" w:styleId="811">
    <w:name w:val="二级无"/>
    <w:basedOn w:val="426"/>
    <w:autoRedefine/>
    <w:qFormat/>
    <w:uiPriority w:val="0"/>
    <w:pPr>
      <w:ind w:left="735"/>
    </w:pPr>
    <w:rPr>
      <w:rFonts w:ascii="宋体" w:hAnsi="Calibri" w:eastAsia="宋体" w:cs="Times New Roman"/>
      <w:szCs w:val="21"/>
    </w:rPr>
  </w:style>
  <w:style w:type="paragraph" w:customStyle="1" w:styleId="81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3">
    <w:name w:val="area_1"/>
    <w:autoRedefine/>
    <w:qFormat/>
    <w:uiPriority w:val="0"/>
    <w:rPr>
      <w:rFonts w:ascii="宋体" w:hAnsi="宋体"/>
      <w:sz w:val="24"/>
    </w:rPr>
  </w:style>
  <w:style w:type="paragraph" w:customStyle="1" w:styleId="814">
    <w:name w:val="样式 10 磅"/>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2701</Words>
  <Characters>3041</Characters>
  <Lines>224</Lines>
  <Paragraphs>63</Paragraphs>
  <TotalTime>10</TotalTime>
  <ScaleCrop>false</ScaleCrop>
  <LinksUpToDate>false</LinksUpToDate>
  <CharactersWithSpaces>3118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2025-05-20T06:39:00Z</dcterms:created>
  <dc:creator>LCMZX</dc:creator>
  <cp:lastModifiedBy>温州元信工程项目管理有限公司</cp:lastModifiedBy>
  <cp:lastPrinted>2025-02-20T03:25:00Z</cp:lastPrinted>
  <dcterms:modified xsi:type="dcterms:W3CDTF">2025-07-10T06:37:46Z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3671CFAF03AF4AD4A7D40B8E5F3B79C7_13</vt:lpwstr>
  </property>
  <property fmtid="{D5CDD505-2E9C-101B-9397-08002B2CF9AE}" pid="4" name="KSOTemplateDocerSaveRecord">
    <vt:lpwstr>eyJoZGlkIjoiNzI1MzljODBiNDliMzEyMzFlZWNlN2EzYjU0N2YzMWEiLCJ1c2VySWQiOiI0MjYxMjg3MDcifQ==</vt:lpwstr>
  </property>
</Properties>
</file>