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500" w:lineRule="atLeast"/>
        <w:textAlignment w:val="bottom"/>
        <w:rPr>
          <w:rFonts w:ascii="宋体" w:hAnsi="宋体"/>
          <w:b/>
          <w:bCs/>
          <w:color w:val="auto"/>
          <w:sz w:val="72"/>
          <w:szCs w:val="72"/>
          <w:highlight w:val="none"/>
        </w:rPr>
      </w:pPr>
      <w:r>
        <w:rPr>
          <w:color w:val="auto"/>
          <w:highlight w:val="none"/>
        </w:rPr>
        <w:drawing>
          <wp:inline distT="0" distB="0" distL="114300" distR="114300">
            <wp:extent cx="3411220" cy="875030"/>
            <wp:effectExtent l="0" t="0" r="17780" b="1270"/>
            <wp:docPr id="1" name="图片 2" descr="026ac5d67cc5bb18d5232baae671f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026ac5d67cc5bb18d5232baae671f27"/>
                    <pic:cNvPicPr>
                      <a:picLocks noChangeAspect="1"/>
                    </pic:cNvPicPr>
                  </pic:nvPicPr>
                  <pic:blipFill>
                    <a:blip r:embed="rId12"/>
                    <a:stretch>
                      <a:fillRect/>
                    </a:stretch>
                  </pic:blipFill>
                  <pic:spPr>
                    <a:xfrm>
                      <a:off x="0" y="0"/>
                      <a:ext cx="3411220" cy="875030"/>
                    </a:xfrm>
                    <a:prstGeom prst="rect">
                      <a:avLst/>
                    </a:prstGeom>
                    <a:noFill/>
                    <a:ln>
                      <a:noFill/>
                    </a:ln>
                  </pic:spPr>
                </pic:pic>
              </a:graphicData>
            </a:graphic>
          </wp:inline>
        </w:drawing>
      </w:r>
    </w:p>
    <w:p>
      <w:pPr>
        <w:spacing w:after="120"/>
        <w:jc w:val="center"/>
        <w:rPr>
          <w:rFonts w:hint="eastAsia" w:ascii="宋体" w:hAnsi="宋体" w:cs="宋体"/>
          <w:b/>
          <w:bCs/>
          <w:color w:val="auto"/>
          <w:sz w:val="72"/>
          <w:szCs w:val="72"/>
          <w:highlight w:val="none"/>
        </w:rPr>
      </w:pPr>
    </w:p>
    <w:p>
      <w:pPr>
        <w:spacing w:after="120"/>
        <w:jc w:val="center"/>
        <w:rPr>
          <w:rFonts w:hint="eastAsia" w:ascii="宋体" w:hAnsi="宋体" w:cs="宋体"/>
          <w:b/>
          <w:bCs/>
          <w:color w:val="auto"/>
          <w:sz w:val="72"/>
          <w:szCs w:val="72"/>
          <w:highlight w:val="none"/>
        </w:rPr>
      </w:pPr>
      <w:r>
        <w:rPr>
          <w:rFonts w:hint="eastAsia" w:ascii="宋体" w:hAnsi="宋体" w:cs="宋体"/>
          <w:b/>
          <w:bCs/>
          <w:color w:val="auto"/>
          <w:sz w:val="72"/>
          <w:szCs w:val="72"/>
          <w:highlight w:val="none"/>
        </w:rPr>
        <w:t>温州市龙湾区国有企业</w:t>
      </w:r>
    </w:p>
    <w:p>
      <w:pPr>
        <w:spacing w:after="120"/>
        <w:jc w:val="center"/>
        <w:rPr>
          <w:rFonts w:ascii="宋体"/>
          <w:bCs/>
          <w:color w:val="auto"/>
          <w:sz w:val="72"/>
          <w:szCs w:val="72"/>
          <w:highlight w:val="none"/>
        </w:rPr>
      </w:pPr>
      <w:r>
        <w:rPr>
          <w:rFonts w:hint="eastAsia" w:ascii="宋体" w:hAnsi="宋体" w:cs="宋体"/>
          <w:b/>
          <w:bCs/>
          <w:color w:val="auto"/>
          <w:sz w:val="72"/>
          <w:szCs w:val="72"/>
          <w:highlight w:val="none"/>
        </w:rPr>
        <w:t>公开采购文件</w:t>
      </w:r>
    </w:p>
    <w:p>
      <w:pPr>
        <w:rPr>
          <w:rFonts w:ascii="宋体"/>
          <w:bCs/>
          <w:color w:val="auto"/>
          <w:highlight w:val="none"/>
        </w:rPr>
      </w:pPr>
    </w:p>
    <w:p>
      <w:pPr>
        <w:jc w:val="center"/>
        <w:rPr>
          <w:rFonts w:ascii="宋体"/>
          <w:bCs/>
          <w:color w:val="auto"/>
          <w:highlight w:val="none"/>
        </w:rPr>
      </w:pPr>
    </w:p>
    <w:p>
      <w:pPr>
        <w:spacing w:line="720" w:lineRule="exact"/>
        <w:ind w:left="565" w:leftChars="201" w:hanging="2"/>
        <w:rPr>
          <w:rFonts w:hint="eastAsia" w:ascii="宋体" w:eastAsia="宋体"/>
          <w:bCs/>
          <w:color w:val="auto"/>
          <w:szCs w:val="28"/>
          <w:highlight w:val="none"/>
          <w:u w:val="single"/>
          <w:lang w:eastAsia="zh-CN"/>
        </w:rPr>
      </w:pPr>
      <w:r>
        <w:rPr>
          <w:rFonts w:hint="eastAsia" w:ascii="宋体" w:hAnsi="宋体" w:cs="宋体"/>
          <w:b/>
          <w:bCs/>
          <w:color w:val="auto"/>
          <w:sz w:val="30"/>
          <w:szCs w:val="30"/>
          <w:highlight w:val="none"/>
        </w:rPr>
        <w:t>项目编号</w:t>
      </w:r>
      <w:r>
        <w:rPr>
          <w:rFonts w:hint="eastAsia" w:ascii="宋体" w:hAnsi="宋体" w:cs="宋体"/>
          <w:b/>
          <w:bCs/>
          <w:color w:val="auto"/>
          <w:szCs w:val="28"/>
          <w:highlight w:val="none"/>
        </w:rPr>
        <w:t>：</w:t>
      </w:r>
      <w:r>
        <w:rPr>
          <w:rFonts w:hint="eastAsia" w:ascii="宋体" w:hAnsi="宋体" w:cs="宋体"/>
          <w:b/>
          <w:bCs/>
          <w:color w:val="auto"/>
          <w:szCs w:val="28"/>
          <w:highlight w:val="none"/>
          <w:u w:val="single"/>
          <w:lang w:eastAsia="zh-CN"/>
        </w:rPr>
        <w:t>WZHC-20220923</w:t>
      </w:r>
    </w:p>
    <w:p>
      <w:pPr>
        <w:spacing w:line="720" w:lineRule="exact"/>
        <w:jc w:val="center"/>
        <w:rPr>
          <w:rFonts w:ascii="宋体"/>
          <w:bCs/>
          <w:color w:val="auto"/>
          <w:sz w:val="15"/>
          <w:szCs w:val="15"/>
          <w:highlight w:val="none"/>
        </w:rPr>
      </w:pPr>
    </w:p>
    <w:p>
      <w:pPr>
        <w:spacing w:after="120" w:line="700" w:lineRule="exact"/>
        <w:ind w:firstLine="602" w:firstLineChars="200"/>
        <w:rPr>
          <w:rFonts w:ascii="宋体"/>
          <w:bCs/>
          <w:color w:val="auto"/>
          <w:szCs w:val="28"/>
          <w:highlight w:val="none"/>
          <w:u w:val="single"/>
        </w:rPr>
      </w:pPr>
      <w:r>
        <w:rPr>
          <w:rFonts w:hint="eastAsia" w:ascii="宋体" w:hAnsi="宋体" w:cs="宋体"/>
          <w:b/>
          <w:bCs/>
          <w:color w:val="auto"/>
          <w:sz w:val="30"/>
          <w:szCs w:val="30"/>
          <w:highlight w:val="none"/>
        </w:rPr>
        <w:t>项目名称：</w:t>
      </w:r>
      <w:r>
        <w:rPr>
          <w:rFonts w:hint="eastAsia" w:ascii="宋体" w:hAnsi="宋体" w:cs="宋体"/>
          <w:b/>
          <w:bCs/>
          <w:color w:val="auto"/>
          <w:sz w:val="30"/>
          <w:szCs w:val="30"/>
          <w:highlight w:val="none"/>
          <w:u w:val="single"/>
        </w:rPr>
        <w:t>龙湾区瑶溪街道环卫保洁一体化项目</w:t>
      </w:r>
    </w:p>
    <w:p>
      <w:pPr>
        <w:rPr>
          <w:rFonts w:ascii="宋体"/>
          <w:color w:val="auto"/>
          <w:highlight w:val="none"/>
        </w:rPr>
      </w:pPr>
    </w:p>
    <w:p>
      <w:pPr>
        <w:jc w:val="center"/>
        <w:rPr>
          <w:rFonts w:ascii="宋体"/>
          <w:color w:val="auto"/>
          <w:highlight w:val="none"/>
        </w:rPr>
      </w:pPr>
    </w:p>
    <w:p>
      <w:pPr>
        <w:spacing w:line="600" w:lineRule="exact"/>
        <w:ind w:left="566" w:leftChars="202"/>
        <w:rPr>
          <w:rFonts w:hint="eastAsia" w:ascii="黑体" w:eastAsia="黑体" w:cs="黑体"/>
          <w:color w:val="auto"/>
          <w:szCs w:val="28"/>
          <w:highlight w:val="none"/>
          <w:lang w:eastAsia="zh-CN"/>
        </w:rPr>
      </w:pPr>
      <w:r>
        <w:rPr>
          <w:rFonts w:hint="eastAsia" w:ascii="黑体" w:eastAsia="黑体" w:cs="黑体"/>
          <w:color w:val="auto"/>
          <w:szCs w:val="28"/>
          <w:highlight w:val="none"/>
        </w:rPr>
        <w:t>采</w:t>
      </w:r>
      <w:r>
        <w:rPr>
          <w:rFonts w:ascii="黑体" w:eastAsia="黑体" w:cs="黑体"/>
          <w:color w:val="auto"/>
          <w:szCs w:val="28"/>
          <w:highlight w:val="none"/>
        </w:rPr>
        <w:t xml:space="preserve"> </w:t>
      </w:r>
      <w:r>
        <w:rPr>
          <w:rFonts w:hint="eastAsia" w:ascii="黑体" w:eastAsia="黑体" w:cs="黑体"/>
          <w:color w:val="auto"/>
          <w:szCs w:val="28"/>
          <w:highlight w:val="none"/>
        </w:rPr>
        <w:t>购</w:t>
      </w:r>
      <w:r>
        <w:rPr>
          <w:rFonts w:ascii="黑体" w:eastAsia="黑体" w:cs="黑体"/>
          <w:color w:val="auto"/>
          <w:szCs w:val="28"/>
          <w:highlight w:val="none"/>
        </w:rPr>
        <w:t xml:space="preserve"> </w:t>
      </w:r>
      <w:r>
        <w:rPr>
          <w:rFonts w:hint="eastAsia" w:ascii="黑体" w:eastAsia="黑体" w:cs="黑体"/>
          <w:color w:val="auto"/>
          <w:szCs w:val="28"/>
          <w:highlight w:val="none"/>
        </w:rPr>
        <w:t>人：</w:t>
      </w:r>
      <w:r>
        <w:rPr>
          <w:rFonts w:hint="eastAsia" w:ascii="黑体" w:eastAsia="黑体" w:cs="黑体"/>
          <w:color w:val="auto"/>
          <w:szCs w:val="28"/>
          <w:highlight w:val="none"/>
          <w:lang w:eastAsia="zh-CN"/>
        </w:rPr>
        <w:t>温州市龙湾区城市管理服务有限公司</w:t>
      </w:r>
    </w:p>
    <w:p>
      <w:pPr>
        <w:spacing w:line="600" w:lineRule="exact"/>
        <w:ind w:left="1540" w:leftChars="202" w:hanging="974" w:hangingChars="348"/>
        <w:rPr>
          <w:rFonts w:ascii="黑体" w:eastAsia="黑体" w:cs="黑体"/>
          <w:color w:val="auto"/>
          <w:szCs w:val="28"/>
          <w:highlight w:val="none"/>
        </w:rPr>
      </w:pPr>
      <w:r>
        <w:rPr>
          <w:rFonts w:hint="eastAsia" w:ascii="黑体" w:eastAsia="黑体" w:cs="黑体"/>
          <w:color w:val="auto"/>
          <w:szCs w:val="28"/>
          <w:highlight w:val="none"/>
        </w:rPr>
        <w:t>代理机构：温州韩诚工程项目管理有限公司</w:t>
      </w:r>
    </w:p>
    <w:p>
      <w:pPr>
        <w:spacing w:line="600" w:lineRule="exact"/>
        <w:ind w:left="566" w:leftChars="202"/>
        <w:rPr>
          <w:rFonts w:ascii="宋体"/>
          <w:color w:val="auto"/>
          <w:highlight w:val="none"/>
        </w:rPr>
      </w:pPr>
      <w:r>
        <w:rPr>
          <w:rFonts w:hint="eastAsia" w:ascii="黑体" w:eastAsia="黑体" w:cs="黑体"/>
          <w:color w:val="auto"/>
          <w:szCs w:val="28"/>
          <w:highlight w:val="none"/>
        </w:rPr>
        <w:t>编制日期：</w:t>
      </w:r>
      <w:r>
        <w:rPr>
          <w:rFonts w:ascii="黑体" w:eastAsia="黑体" w:cs="黑体"/>
          <w:color w:val="auto"/>
          <w:szCs w:val="28"/>
          <w:highlight w:val="none"/>
        </w:rPr>
        <w:t>202</w:t>
      </w:r>
      <w:r>
        <w:rPr>
          <w:rFonts w:hint="eastAsia" w:ascii="黑体" w:eastAsia="黑体" w:cs="黑体"/>
          <w:color w:val="auto"/>
          <w:szCs w:val="28"/>
          <w:highlight w:val="none"/>
        </w:rPr>
        <w:t>2</w:t>
      </w:r>
      <w:r>
        <w:rPr>
          <w:rFonts w:ascii="黑体" w:eastAsia="黑体" w:cs="黑体"/>
          <w:color w:val="auto"/>
          <w:szCs w:val="28"/>
          <w:highlight w:val="none"/>
        </w:rPr>
        <w:t>年</w:t>
      </w:r>
      <w:r>
        <w:rPr>
          <w:rFonts w:hint="eastAsia" w:ascii="黑体" w:eastAsia="黑体" w:cs="黑体"/>
          <w:color w:val="auto"/>
          <w:szCs w:val="28"/>
          <w:highlight w:val="none"/>
          <w:lang w:val="en-US" w:eastAsia="zh-CN"/>
        </w:rPr>
        <w:t>10</w:t>
      </w:r>
      <w:r>
        <w:rPr>
          <w:rFonts w:hint="eastAsia" w:ascii="黑体" w:eastAsia="黑体" w:cs="黑体"/>
          <w:color w:val="auto"/>
          <w:szCs w:val="28"/>
          <w:highlight w:val="none"/>
        </w:rPr>
        <w:t>月</w:t>
      </w:r>
    </w:p>
    <w:p>
      <w:pPr>
        <w:pStyle w:val="2"/>
        <w:ind w:firstLine="280"/>
        <w:rPr>
          <w:color w:val="auto"/>
          <w:highlight w:val="none"/>
        </w:rPr>
      </w:pPr>
    </w:p>
    <w:p>
      <w:pPr>
        <w:pStyle w:val="134"/>
        <w:ind w:firstLine="643"/>
        <w:rPr>
          <w:rFonts w:ascii="Arial" w:hAnsi="Arial" w:cs="Arial"/>
          <w:b/>
          <w:color w:val="auto"/>
          <w:sz w:val="32"/>
          <w:szCs w:val="32"/>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1588" w:right="1418" w:bottom="1134" w:left="1418" w:header="680" w:footer="992" w:gutter="0"/>
          <w:pgNumType w:fmt="numberInDash" w:start="0"/>
          <w:cols w:space="720" w:num="1"/>
          <w:titlePg/>
          <w:docGrid w:type="lines" w:linePitch="312" w:charSpace="0"/>
        </w:sectPr>
      </w:pPr>
    </w:p>
    <w:p>
      <w:pPr>
        <w:spacing w:line="360" w:lineRule="auto"/>
        <w:jc w:val="center"/>
        <w:rPr>
          <w:rFonts w:hint="eastAsia" w:ascii="黑体" w:hAnsi="黑体" w:eastAsia="黑体"/>
          <w:b/>
          <w:color w:val="auto"/>
          <w:sz w:val="32"/>
          <w:szCs w:val="32"/>
          <w:highlight w:val="none"/>
        </w:rPr>
      </w:pPr>
    </w:p>
    <w:p>
      <w:pPr>
        <w:spacing w:line="360" w:lineRule="auto"/>
        <w:jc w:val="center"/>
        <w:rPr>
          <w:rFonts w:hint="eastAsia" w:ascii="黑体" w:hAnsi="黑体" w:eastAsia="黑体"/>
          <w:b/>
          <w:color w:val="auto"/>
          <w:sz w:val="32"/>
          <w:szCs w:val="32"/>
          <w:highlight w:val="none"/>
        </w:rPr>
      </w:pPr>
      <w:r>
        <w:rPr>
          <w:rFonts w:hint="eastAsia" w:ascii="黑体" w:hAnsi="黑体" w:eastAsia="黑体"/>
          <w:b/>
          <w:color w:val="auto"/>
          <w:sz w:val="32"/>
          <w:szCs w:val="32"/>
          <w:highlight w:val="none"/>
        </w:rPr>
        <w:t>目 录</w:t>
      </w:r>
    </w:p>
    <w:p>
      <w:pPr>
        <w:pStyle w:val="2"/>
        <w:ind w:firstLine="0" w:firstLineChars="0"/>
        <w:rPr>
          <w:rFonts w:hint="eastAsia"/>
          <w:color w:val="auto"/>
          <w:highlight w:val="none"/>
        </w:rPr>
      </w:pPr>
    </w:p>
    <w:p>
      <w:pPr>
        <w:pStyle w:val="2"/>
        <w:ind w:firstLine="0" w:firstLineChars="0"/>
        <w:rPr>
          <w:color w:val="auto"/>
          <w:highlight w:val="none"/>
        </w:rPr>
        <w:sectPr>
          <w:headerReference r:id="rId9" w:type="default"/>
          <w:footerReference r:id="rId10" w:type="default"/>
          <w:pgSz w:w="11906" w:h="16838"/>
          <w:pgMar w:top="1247" w:right="1247" w:bottom="1247" w:left="1247" w:header="0" w:footer="782" w:gutter="0"/>
          <w:pgNumType w:start="1"/>
          <w:cols w:space="720" w:num="1"/>
          <w:formProt w:val="0"/>
          <w:docGrid w:linePitch="381" w:charSpace="0"/>
        </w:sectPr>
      </w:pPr>
    </w:p>
    <w:p>
      <w:pPr>
        <w:pStyle w:val="35"/>
        <w:spacing w:line="720" w:lineRule="auto"/>
        <w:rPr>
          <w:rFonts w:ascii="Calibri" w:hAnsi="Calibri"/>
          <w:smallCaps w:val="0"/>
          <w:color w:val="auto"/>
          <w:kern w:val="2"/>
          <w:szCs w:val="22"/>
          <w:highlight w:val="none"/>
        </w:rPr>
      </w:pPr>
      <w:r>
        <w:rPr>
          <w:rFonts w:ascii="宋体" w:hAnsi="宋体"/>
          <w:b/>
          <w:color w:val="auto"/>
          <w:szCs w:val="21"/>
          <w:highlight w:val="none"/>
        </w:rPr>
        <w:fldChar w:fldCharType="begin"/>
      </w:r>
      <w:r>
        <w:rPr>
          <w:rFonts w:ascii="宋体" w:hAnsi="宋体"/>
          <w:b/>
          <w:color w:val="auto"/>
          <w:szCs w:val="21"/>
          <w:highlight w:val="none"/>
        </w:rPr>
        <w:instrText xml:space="preserve"> TOC \o "1-2" \h \z \u </w:instrText>
      </w:r>
      <w:r>
        <w:rPr>
          <w:rFonts w:ascii="宋体" w:hAnsi="宋体"/>
          <w:b/>
          <w:color w:val="auto"/>
          <w:szCs w:val="21"/>
          <w:highlight w:val="none"/>
        </w:rPr>
        <w:fldChar w:fldCharType="separate"/>
      </w:r>
    </w:p>
    <w:p>
      <w:pPr>
        <w:pStyle w:val="35"/>
        <w:spacing w:line="720" w:lineRule="auto"/>
        <w:rPr>
          <w:rFonts w:ascii="Calibri" w:hAnsi="Calibri"/>
          <w:smallCaps w:val="0"/>
          <w:color w:val="auto"/>
          <w:kern w:val="2"/>
          <w:szCs w:val="22"/>
          <w:highlight w:val="none"/>
        </w:rPr>
      </w:pPr>
      <w:r>
        <w:rPr>
          <w:rStyle w:val="49"/>
          <w:color w:val="auto"/>
          <w:highlight w:val="none"/>
        </w:rPr>
        <w:fldChar w:fldCharType="begin"/>
      </w:r>
      <w:r>
        <w:rPr>
          <w:rStyle w:val="49"/>
          <w:color w:val="auto"/>
          <w:highlight w:val="none"/>
        </w:rPr>
        <w:instrText xml:space="preserve"> </w:instrText>
      </w:r>
      <w:r>
        <w:rPr>
          <w:color w:val="auto"/>
          <w:highlight w:val="none"/>
        </w:rPr>
        <w:instrText xml:space="preserve">HYPERLINK \l "_Toc105438801"</w:instrText>
      </w:r>
      <w:r>
        <w:rPr>
          <w:rStyle w:val="49"/>
          <w:color w:val="auto"/>
          <w:highlight w:val="none"/>
        </w:rPr>
        <w:instrText xml:space="preserve"> </w:instrText>
      </w:r>
      <w:r>
        <w:rPr>
          <w:rStyle w:val="49"/>
          <w:color w:val="auto"/>
          <w:highlight w:val="none"/>
        </w:rPr>
        <w:fldChar w:fldCharType="separate"/>
      </w:r>
      <w:r>
        <w:rPr>
          <w:rStyle w:val="49"/>
          <w:rFonts w:hint="eastAsia" w:ascii="黑体" w:eastAsia="黑体"/>
          <w:color w:val="auto"/>
          <w:kern w:val="44"/>
          <w:highlight w:val="none"/>
        </w:rPr>
        <w:t>第一章</w:t>
      </w:r>
      <w:r>
        <w:rPr>
          <w:rStyle w:val="49"/>
          <w:rFonts w:ascii="黑体" w:eastAsia="黑体"/>
          <w:color w:val="auto"/>
          <w:kern w:val="44"/>
          <w:highlight w:val="none"/>
        </w:rPr>
        <w:t xml:space="preserve">  </w:t>
      </w:r>
      <w:r>
        <w:rPr>
          <w:rStyle w:val="49"/>
          <w:rFonts w:hint="eastAsia" w:ascii="黑体" w:eastAsia="黑体"/>
          <w:color w:val="auto"/>
          <w:kern w:val="44"/>
          <w:highlight w:val="none"/>
        </w:rPr>
        <w:t>投标邀请</w:t>
      </w:r>
      <w:r>
        <w:rPr>
          <w:color w:val="auto"/>
          <w:highlight w:val="none"/>
        </w:rPr>
        <w:tab/>
      </w:r>
      <w:r>
        <w:rPr>
          <w:color w:val="auto"/>
          <w:highlight w:val="none"/>
        </w:rPr>
        <w:fldChar w:fldCharType="begin"/>
      </w:r>
      <w:r>
        <w:rPr>
          <w:color w:val="auto"/>
          <w:highlight w:val="none"/>
        </w:rPr>
        <w:instrText xml:space="preserve"> PAGEREF _Toc105438801 \h </w:instrText>
      </w:r>
      <w:r>
        <w:rPr>
          <w:color w:val="auto"/>
          <w:highlight w:val="none"/>
        </w:rPr>
        <w:fldChar w:fldCharType="separate"/>
      </w:r>
      <w:r>
        <w:rPr>
          <w:color w:val="auto"/>
          <w:highlight w:val="none"/>
        </w:rPr>
        <w:t>2</w:t>
      </w:r>
      <w:r>
        <w:rPr>
          <w:color w:val="auto"/>
          <w:highlight w:val="none"/>
        </w:rPr>
        <w:fldChar w:fldCharType="end"/>
      </w:r>
      <w:r>
        <w:rPr>
          <w:rStyle w:val="49"/>
          <w:color w:val="auto"/>
          <w:highlight w:val="none"/>
        </w:rPr>
        <w:fldChar w:fldCharType="end"/>
      </w:r>
    </w:p>
    <w:p>
      <w:pPr>
        <w:pStyle w:val="35"/>
        <w:spacing w:line="720" w:lineRule="auto"/>
        <w:rPr>
          <w:rFonts w:ascii="Calibri" w:hAnsi="Calibri"/>
          <w:smallCaps w:val="0"/>
          <w:color w:val="auto"/>
          <w:kern w:val="2"/>
          <w:szCs w:val="22"/>
          <w:highlight w:val="none"/>
        </w:rPr>
      </w:pPr>
      <w:r>
        <w:rPr>
          <w:rStyle w:val="49"/>
          <w:color w:val="auto"/>
          <w:highlight w:val="none"/>
        </w:rPr>
        <w:fldChar w:fldCharType="begin"/>
      </w:r>
      <w:r>
        <w:rPr>
          <w:rStyle w:val="49"/>
          <w:color w:val="auto"/>
          <w:highlight w:val="none"/>
        </w:rPr>
        <w:instrText xml:space="preserve"> </w:instrText>
      </w:r>
      <w:r>
        <w:rPr>
          <w:color w:val="auto"/>
          <w:highlight w:val="none"/>
        </w:rPr>
        <w:instrText xml:space="preserve">HYPERLINK \l "_Toc105438802"</w:instrText>
      </w:r>
      <w:r>
        <w:rPr>
          <w:rStyle w:val="49"/>
          <w:color w:val="auto"/>
          <w:highlight w:val="none"/>
        </w:rPr>
        <w:instrText xml:space="preserve"> </w:instrText>
      </w:r>
      <w:r>
        <w:rPr>
          <w:rStyle w:val="49"/>
          <w:color w:val="auto"/>
          <w:highlight w:val="none"/>
        </w:rPr>
        <w:fldChar w:fldCharType="separate"/>
      </w:r>
      <w:r>
        <w:rPr>
          <w:rStyle w:val="49"/>
          <w:rFonts w:hint="eastAsia" w:ascii="黑体" w:eastAsia="黑体"/>
          <w:color w:val="auto"/>
          <w:kern w:val="44"/>
          <w:highlight w:val="none"/>
        </w:rPr>
        <w:t>风险提示</w:t>
      </w:r>
      <w:r>
        <w:rPr>
          <w:color w:val="auto"/>
          <w:highlight w:val="none"/>
        </w:rPr>
        <w:tab/>
      </w:r>
      <w:r>
        <w:rPr>
          <w:color w:val="auto"/>
          <w:highlight w:val="none"/>
        </w:rPr>
        <w:fldChar w:fldCharType="begin"/>
      </w:r>
      <w:r>
        <w:rPr>
          <w:color w:val="auto"/>
          <w:highlight w:val="none"/>
        </w:rPr>
        <w:instrText xml:space="preserve"> PAGEREF _Toc105438802 \h </w:instrText>
      </w:r>
      <w:r>
        <w:rPr>
          <w:color w:val="auto"/>
          <w:highlight w:val="none"/>
        </w:rPr>
        <w:fldChar w:fldCharType="separate"/>
      </w:r>
      <w:r>
        <w:rPr>
          <w:color w:val="auto"/>
          <w:highlight w:val="none"/>
        </w:rPr>
        <w:t>4</w:t>
      </w:r>
      <w:r>
        <w:rPr>
          <w:color w:val="auto"/>
          <w:highlight w:val="none"/>
        </w:rPr>
        <w:fldChar w:fldCharType="end"/>
      </w:r>
      <w:r>
        <w:rPr>
          <w:rStyle w:val="49"/>
          <w:color w:val="auto"/>
          <w:highlight w:val="none"/>
        </w:rPr>
        <w:fldChar w:fldCharType="end"/>
      </w:r>
    </w:p>
    <w:p>
      <w:pPr>
        <w:pStyle w:val="35"/>
        <w:spacing w:line="720" w:lineRule="auto"/>
        <w:rPr>
          <w:rFonts w:ascii="Calibri" w:hAnsi="Calibri"/>
          <w:smallCaps w:val="0"/>
          <w:color w:val="auto"/>
          <w:kern w:val="2"/>
          <w:szCs w:val="22"/>
          <w:highlight w:val="none"/>
        </w:rPr>
      </w:pPr>
      <w:r>
        <w:rPr>
          <w:rStyle w:val="49"/>
          <w:color w:val="auto"/>
          <w:highlight w:val="none"/>
        </w:rPr>
        <w:fldChar w:fldCharType="begin"/>
      </w:r>
      <w:r>
        <w:rPr>
          <w:rStyle w:val="49"/>
          <w:color w:val="auto"/>
          <w:highlight w:val="none"/>
        </w:rPr>
        <w:instrText xml:space="preserve"> </w:instrText>
      </w:r>
      <w:r>
        <w:rPr>
          <w:color w:val="auto"/>
          <w:highlight w:val="none"/>
        </w:rPr>
        <w:instrText xml:space="preserve">HYPERLINK \l "_Toc105438803"</w:instrText>
      </w:r>
      <w:r>
        <w:rPr>
          <w:rStyle w:val="49"/>
          <w:color w:val="auto"/>
          <w:highlight w:val="none"/>
        </w:rPr>
        <w:instrText xml:space="preserve"> </w:instrText>
      </w:r>
      <w:r>
        <w:rPr>
          <w:rStyle w:val="49"/>
          <w:color w:val="auto"/>
          <w:highlight w:val="none"/>
        </w:rPr>
        <w:fldChar w:fldCharType="separate"/>
      </w:r>
      <w:r>
        <w:rPr>
          <w:rStyle w:val="49"/>
          <w:rFonts w:hint="eastAsia" w:ascii="黑体" w:eastAsia="黑体"/>
          <w:color w:val="auto"/>
          <w:kern w:val="44"/>
          <w:highlight w:val="none"/>
        </w:rPr>
        <w:t>第二章</w:t>
      </w:r>
      <w:r>
        <w:rPr>
          <w:rStyle w:val="49"/>
          <w:rFonts w:ascii="黑体" w:eastAsia="黑体"/>
          <w:color w:val="auto"/>
          <w:kern w:val="44"/>
          <w:highlight w:val="none"/>
        </w:rPr>
        <w:t xml:space="preserve">  </w:t>
      </w:r>
      <w:r>
        <w:rPr>
          <w:rStyle w:val="49"/>
          <w:rFonts w:hint="eastAsia" w:ascii="黑体" w:eastAsia="黑体"/>
          <w:color w:val="auto"/>
          <w:kern w:val="44"/>
          <w:highlight w:val="none"/>
        </w:rPr>
        <w:t>采购需求</w:t>
      </w:r>
      <w:r>
        <w:rPr>
          <w:color w:val="auto"/>
          <w:highlight w:val="none"/>
        </w:rPr>
        <w:tab/>
      </w:r>
      <w:r>
        <w:rPr>
          <w:color w:val="auto"/>
          <w:highlight w:val="none"/>
        </w:rPr>
        <w:fldChar w:fldCharType="begin"/>
      </w:r>
      <w:r>
        <w:rPr>
          <w:color w:val="auto"/>
          <w:highlight w:val="none"/>
        </w:rPr>
        <w:instrText xml:space="preserve"> PAGEREF _Toc105438803 \h </w:instrText>
      </w:r>
      <w:r>
        <w:rPr>
          <w:color w:val="auto"/>
          <w:highlight w:val="none"/>
        </w:rPr>
        <w:fldChar w:fldCharType="separate"/>
      </w:r>
      <w:r>
        <w:rPr>
          <w:color w:val="auto"/>
          <w:highlight w:val="none"/>
        </w:rPr>
        <w:t>6</w:t>
      </w:r>
      <w:r>
        <w:rPr>
          <w:color w:val="auto"/>
          <w:highlight w:val="none"/>
        </w:rPr>
        <w:fldChar w:fldCharType="end"/>
      </w:r>
      <w:r>
        <w:rPr>
          <w:rStyle w:val="49"/>
          <w:color w:val="auto"/>
          <w:highlight w:val="none"/>
        </w:rPr>
        <w:fldChar w:fldCharType="end"/>
      </w:r>
    </w:p>
    <w:p>
      <w:pPr>
        <w:pStyle w:val="35"/>
        <w:spacing w:line="720" w:lineRule="auto"/>
        <w:rPr>
          <w:rFonts w:ascii="Calibri" w:hAnsi="Calibri"/>
          <w:smallCaps w:val="0"/>
          <w:color w:val="auto"/>
          <w:kern w:val="2"/>
          <w:szCs w:val="22"/>
          <w:highlight w:val="none"/>
        </w:rPr>
      </w:pPr>
      <w:r>
        <w:rPr>
          <w:rStyle w:val="49"/>
          <w:color w:val="auto"/>
          <w:highlight w:val="none"/>
        </w:rPr>
        <w:fldChar w:fldCharType="begin"/>
      </w:r>
      <w:r>
        <w:rPr>
          <w:rStyle w:val="49"/>
          <w:color w:val="auto"/>
          <w:highlight w:val="none"/>
        </w:rPr>
        <w:instrText xml:space="preserve"> </w:instrText>
      </w:r>
      <w:r>
        <w:rPr>
          <w:color w:val="auto"/>
          <w:highlight w:val="none"/>
        </w:rPr>
        <w:instrText xml:space="preserve">HYPERLINK \l "_Toc105438825"</w:instrText>
      </w:r>
      <w:r>
        <w:rPr>
          <w:rStyle w:val="49"/>
          <w:color w:val="auto"/>
          <w:highlight w:val="none"/>
        </w:rPr>
        <w:instrText xml:space="preserve"> </w:instrText>
      </w:r>
      <w:r>
        <w:rPr>
          <w:rStyle w:val="49"/>
          <w:color w:val="auto"/>
          <w:highlight w:val="none"/>
        </w:rPr>
        <w:fldChar w:fldCharType="separate"/>
      </w:r>
      <w:r>
        <w:rPr>
          <w:rStyle w:val="49"/>
          <w:rFonts w:hint="eastAsia" w:ascii="黑体" w:eastAsia="黑体"/>
          <w:color w:val="auto"/>
          <w:kern w:val="44"/>
          <w:highlight w:val="none"/>
        </w:rPr>
        <w:t>第三章</w:t>
      </w:r>
      <w:r>
        <w:rPr>
          <w:rStyle w:val="49"/>
          <w:rFonts w:ascii="黑体" w:eastAsia="黑体"/>
          <w:color w:val="auto"/>
          <w:kern w:val="44"/>
          <w:highlight w:val="none"/>
        </w:rPr>
        <w:t xml:space="preserve">  </w:t>
      </w:r>
      <w:r>
        <w:rPr>
          <w:rStyle w:val="49"/>
          <w:rFonts w:hint="eastAsia" w:ascii="黑体" w:eastAsia="黑体"/>
          <w:color w:val="auto"/>
          <w:kern w:val="44"/>
          <w:highlight w:val="none"/>
        </w:rPr>
        <w:t>投标人须知</w:t>
      </w:r>
      <w:r>
        <w:rPr>
          <w:color w:val="auto"/>
          <w:highlight w:val="none"/>
        </w:rPr>
        <w:tab/>
      </w:r>
      <w:r>
        <w:rPr>
          <w:color w:val="auto"/>
          <w:highlight w:val="none"/>
        </w:rPr>
        <w:fldChar w:fldCharType="begin"/>
      </w:r>
      <w:r>
        <w:rPr>
          <w:color w:val="auto"/>
          <w:highlight w:val="none"/>
        </w:rPr>
        <w:instrText xml:space="preserve"> PAGEREF _Toc105438825 \h </w:instrText>
      </w:r>
      <w:r>
        <w:rPr>
          <w:color w:val="auto"/>
          <w:highlight w:val="none"/>
        </w:rPr>
        <w:fldChar w:fldCharType="separate"/>
      </w:r>
      <w:r>
        <w:rPr>
          <w:color w:val="auto"/>
          <w:highlight w:val="none"/>
        </w:rPr>
        <w:t>25</w:t>
      </w:r>
      <w:r>
        <w:rPr>
          <w:color w:val="auto"/>
          <w:highlight w:val="none"/>
        </w:rPr>
        <w:fldChar w:fldCharType="end"/>
      </w:r>
      <w:r>
        <w:rPr>
          <w:rStyle w:val="49"/>
          <w:color w:val="auto"/>
          <w:highlight w:val="none"/>
        </w:rPr>
        <w:fldChar w:fldCharType="end"/>
      </w:r>
    </w:p>
    <w:p>
      <w:pPr>
        <w:pStyle w:val="35"/>
        <w:spacing w:line="720" w:lineRule="auto"/>
        <w:rPr>
          <w:rFonts w:ascii="Calibri" w:hAnsi="Calibri"/>
          <w:smallCaps w:val="0"/>
          <w:color w:val="auto"/>
          <w:kern w:val="2"/>
          <w:szCs w:val="22"/>
          <w:highlight w:val="none"/>
        </w:rPr>
      </w:pPr>
      <w:r>
        <w:rPr>
          <w:rStyle w:val="49"/>
          <w:color w:val="auto"/>
          <w:highlight w:val="none"/>
        </w:rPr>
        <w:fldChar w:fldCharType="begin"/>
      </w:r>
      <w:r>
        <w:rPr>
          <w:rStyle w:val="49"/>
          <w:color w:val="auto"/>
          <w:highlight w:val="none"/>
        </w:rPr>
        <w:instrText xml:space="preserve"> </w:instrText>
      </w:r>
      <w:r>
        <w:rPr>
          <w:color w:val="auto"/>
          <w:highlight w:val="none"/>
        </w:rPr>
        <w:instrText xml:space="preserve">HYPERLINK \l "_Toc105438826"</w:instrText>
      </w:r>
      <w:r>
        <w:rPr>
          <w:rStyle w:val="49"/>
          <w:color w:val="auto"/>
          <w:highlight w:val="none"/>
        </w:rPr>
        <w:instrText xml:space="preserve"> </w:instrText>
      </w:r>
      <w:r>
        <w:rPr>
          <w:rStyle w:val="49"/>
          <w:color w:val="auto"/>
          <w:highlight w:val="none"/>
        </w:rPr>
        <w:fldChar w:fldCharType="separate"/>
      </w:r>
      <w:r>
        <w:rPr>
          <w:rStyle w:val="49"/>
          <w:rFonts w:hint="eastAsia" w:ascii="黑体" w:eastAsia="黑体"/>
          <w:color w:val="auto"/>
          <w:kern w:val="44"/>
          <w:highlight w:val="none"/>
        </w:rPr>
        <w:t>前附表</w:t>
      </w:r>
      <w:r>
        <w:rPr>
          <w:color w:val="auto"/>
          <w:highlight w:val="none"/>
        </w:rPr>
        <w:tab/>
      </w:r>
      <w:r>
        <w:rPr>
          <w:color w:val="auto"/>
          <w:highlight w:val="none"/>
        </w:rPr>
        <w:fldChar w:fldCharType="begin"/>
      </w:r>
      <w:r>
        <w:rPr>
          <w:color w:val="auto"/>
          <w:highlight w:val="none"/>
        </w:rPr>
        <w:instrText xml:space="preserve"> PAGEREF _Toc105438826 \h </w:instrText>
      </w:r>
      <w:r>
        <w:rPr>
          <w:color w:val="auto"/>
          <w:highlight w:val="none"/>
        </w:rPr>
        <w:fldChar w:fldCharType="separate"/>
      </w:r>
      <w:r>
        <w:rPr>
          <w:color w:val="auto"/>
          <w:highlight w:val="none"/>
        </w:rPr>
        <w:t>25</w:t>
      </w:r>
      <w:r>
        <w:rPr>
          <w:color w:val="auto"/>
          <w:highlight w:val="none"/>
        </w:rPr>
        <w:fldChar w:fldCharType="end"/>
      </w:r>
      <w:r>
        <w:rPr>
          <w:rStyle w:val="49"/>
          <w:color w:val="auto"/>
          <w:highlight w:val="none"/>
        </w:rPr>
        <w:fldChar w:fldCharType="end"/>
      </w:r>
    </w:p>
    <w:p>
      <w:pPr>
        <w:pStyle w:val="35"/>
        <w:spacing w:line="720" w:lineRule="auto"/>
        <w:rPr>
          <w:rFonts w:ascii="Calibri" w:hAnsi="Calibri"/>
          <w:smallCaps w:val="0"/>
          <w:color w:val="auto"/>
          <w:kern w:val="2"/>
          <w:szCs w:val="22"/>
          <w:highlight w:val="none"/>
        </w:rPr>
      </w:pPr>
      <w:r>
        <w:rPr>
          <w:rStyle w:val="49"/>
          <w:color w:val="auto"/>
          <w:highlight w:val="none"/>
        </w:rPr>
        <w:fldChar w:fldCharType="begin"/>
      </w:r>
      <w:r>
        <w:rPr>
          <w:rStyle w:val="49"/>
          <w:color w:val="auto"/>
          <w:highlight w:val="none"/>
        </w:rPr>
        <w:instrText xml:space="preserve"> </w:instrText>
      </w:r>
      <w:r>
        <w:rPr>
          <w:color w:val="auto"/>
          <w:highlight w:val="none"/>
        </w:rPr>
        <w:instrText xml:space="preserve">HYPERLINK \l "_Toc105438835"</w:instrText>
      </w:r>
      <w:r>
        <w:rPr>
          <w:rStyle w:val="49"/>
          <w:color w:val="auto"/>
          <w:highlight w:val="none"/>
        </w:rPr>
        <w:instrText xml:space="preserve"> </w:instrText>
      </w:r>
      <w:r>
        <w:rPr>
          <w:rStyle w:val="49"/>
          <w:color w:val="auto"/>
          <w:highlight w:val="none"/>
        </w:rPr>
        <w:fldChar w:fldCharType="separate"/>
      </w:r>
      <w:r>
        <w:rPr>
          <w:rStyle w:val="49"/>
          <w:rFonts w:hint="eastAsia" w:ascii="黑体" w:eastAsia="黑体"/>
          <w:color w:val="auto"/>
          <w:kern w:val="44"/>
          <w:highlight w:val="none"/>
        </w:rPr>
        <w:t>第四章</w:t>
      </w:r>
      <w:r>
        <w:rPr>
          <w:rStyle w:val="49"/>
          <w:rFonts w:ascii="黑体" w:eastAsia="黑体"/>
          <w:color w:val="auto"/>
          <w:kern w:val="44"/>
          <w:highlight w:val="none"/>
        </w:rPr>
        <w:t xml:space="preserve">  </w:t>
      </w:r>
      <w:r>
        <w:rPr>
          <w:rStyle w:val="49"/>
          <w:rFonts w:hint="eastAsia" w:ascii="黑体" w:eastAsia="黑体"/>
          <w:color w:val="auto"/>
          <w:kern w:val="44"/>
          <w:highlight w:val="none"/>
        </w:rPr>
        <w:t>评标办法及评分标准</w:t>
      </w:r>
      <w:r>
        <w:rPr>
          <w:color w:val="auto"/>
          <w:highlight w:val="none"/>
        </w:rPr>
        <w:tab/>
      </w:r>
      <w:r>
        <w:rPr>
          <w:color w:val="auto"/>
          <w:highlight w:val="none"/>
        </w:rPr>
        <w:fldChar w:fldCharType="begin"/>
      </w:r>
      <w:r>
        <w:rPr>
          <w:color w:val="auto"/>
          <w:highlight w:val="none"/>
        </w:rPr>
        <w:instrText xml:space="preserve"> PAGEREF _Toc105438835 \h </w:instrText>
      </w:r>
      <w:r>
        <w:rPr>
          <w:color w:val="auto"/>
          <w:highlight w:val="none"/>
        </w:rPr>
        <w:fldChar w:fldCharType="separate"/>
      </w:r>
      <w:r>
        <w:rPr>
          <w:color w:val="auto"/>
          <w:highlight w:val="none"/>
        </w:rPr>
        <w:t>38</w:t>
      </w:r>
      <w:r>
        <w:rPr>
          <w:color w:val="auto"/>
          <w:highlight w:val="none"/>
        </w:rPr>
        <w:fldChar w:fldCharType="end"/>
      </w:r>
      <w:r>
        <w:rPr>
          <w:rStyle w:val="49"/>
          <w:color w:val="auto"/>
          <w:highlight w:val="none"/>
        </w:rPr>
        <w:fldChar w:fldCharType="end"/>
      </w:r>
    </w:p>
    <w:p>
      <w:pPr>
        <w:pStyle w:val="35"/>
        <w:spacing w:line="720" w:lineRule="auto"/>
        <w:rPr>
          <w:rFonts w:ascii="Calibri" w:hAnsi="Calibri"/>
          <w:smallCaps w:val="0"/>
          <w:color w:val="auto"/>
          <w:kern w:val="2"/>
          <w:szCs w:val="22"/>
          <w:highlight w:val="none"/>
        </w:rPr>
      </w:pPr>
      <w:r>
        <w:rPr>
          <w:rStyle w:val="49"/>
          <w:color w:val="auto"/>
          <w:highlight w:val="none"/>
        </w:rPr>
        <w:fldChar w:fldCharType="begin"/>
      </w:r>
      <w:r>
        <w:rPr>
          <w:rStyle w:val="49"/>
          <w:color w:val="auto"/>
          <w:highlight w:val="none"/>
        </w:rPr>
        <w:instrText xml:space="preserve"> </w:instrText>
      </w:r>
      <w:r>
        <w:rPr>
          <w:color w:val="auto"/>
          <w:highlight w:val="none"/>
        </w:rPr>
        <w:instrText xml:space="preserve">HYPERLINK \l "_Toc105438844"</w:instrText>
      </w:r>
      <w:r>
        <w:rPr>
          <w:rStyle w:val="49"/>
          <w:color w:val="auto"/>
          <w:highlight w:val="none"/>
        </w:rPr>
        <w:instrText xml:space="preserve"> </w:instrText>
      </w:r>
      <w:r>
        <w:rPr>
          <w:rStyle w:val="49"/>
          <w:color w:val="auto"/>
          <w:highlight w:val="none"/>
        </w:rPr>
        <w:fldChar w:fldCharType="separate"/>
      </w:r>
      <w:r>
        <w:rPr>
          <w:rStyle w:val="49"/>
          <w:rFonts w:hint="eastAsia" w:ascii="黑体" w:eastAsia="黑体"/>
          <w:color w:val="auto"/>
          <w:kern w:val="44"/>
          <w:highlight w:val="none"/>
        </w:rPr>
        <w:t>第五章</w:t>
      </w:r>
      <w:r>
        <w:rPr>
          <w:rStyle w:val="49"/>
          <w:rFonts w:ascii="黑体" w:eastAsia="黑体"/>
          <w:color w:val="auto"/>
          <w:kern w:val="44"/>
          <w:highlight w:val="none"/>
        </w:rPr>
        <w:t xml:space="preserve">  </w:t>
      </w:r>
      <w:r>
        <w:rPr>
          <w:rStyle w:val="49"/>
          <w:rFonts w:hint="eastAsia" w:ascii="黑体" w:eastAsia="黑体"/>
          <w:color w:val="auto"/>
          <w:kern w:val="44"/>
          <w:highlight w:val="none"/>
        </w:rPr>
        <w:t>拟签订的合同文本</w:t>
      </w:r>
      <w:r>
        <w:rPr>
          <w:color w:val="auto"/>
          <w:highlight w:val="none"/>
        </w:rPr>
        <w:tab/>
      </w:r>
      <w:r>
        <w:rPr>
          <w:color w:val="auto"/>
          <w:highlight w:val="none"/>
        </w:rPr>
        <w:fldChar w:fldCharType="begin"/>
      </w:r>
      <w:r>
        <w:rPr>
          <w:color w:val="auto"/>
          <w:highlight w:val="none"/>
        </w:rPr>
        <w:instrText xml:space="preserve"> PAGEREF _Toc105438844 \h </w:instrText>
      </w:r>
      <w:r>
        <w:rPr>
          <w:color w:val="auto"/>
          <w:highlight w:val="none"/>
        </w:rPr>
        <w:fldChar w:fldCharType="separate"/>
      </w:r>
      <w:r>
        <w:rPr>
          <w:color w:val="auto"/>
          <w:highlight w:val="none"/>
        </w:rPr>
        <w:t>43</w:t>
      </w:r>
      <w:r>
        <w:rPr>
          <w:color w:val="auto"/>
          <w:highlight w:val="none"/>
        </w:rPr>
        <w:fldChar w:fldCharType="end"/>
      </w:r>
      <w:r>
        <w:rPr>
          <w:rStyle w:val="49"/>
          <w:color w:val="auto"/>
          <w:highlight w:val="none"/>
        </w:rPr>
        <w:fldChar w:fldCharType="end"/>
      </w:r>
    </w:p>
    <w:p>
      <w:pPr>
        <w:pStyle w:val="35"/>
        <w:spacing w:line="720" w:lineRule="auto"/>
        <w:rPr>
          <w:rFonts w:ascii="Calibri" w:hAnsi="Calibri"/>
          <w:smallCaps w:val="0"/>
          <w:color w:val="auto"/>
          <w:kern w:val="2"/>
          <w:szCs w:val="22"/>
          <w:highlight w:val="none"/>
        </w:rPr>
      </w:pPr>
      <w:r>
        <w:rPr>
          <w:rStyle w:val="49"/>
          <w:color w:val="auto"/>
          <w:highlight w:val="none"/>
        </w:rPr>
        <w:fldChar w:fldCharType="begin"/>
      </w:r>
      <w:r>
        <w:rPr>
          <w:rStyle w:val="49"/>
          <w:color w:val="auto"/>
          <w:highlight w:val="none"/>
        </w:rPr>
        <w:instrText xml:space="preserve"> </w:instrText>
      </w:r>
      <w:r>
        <w:rPr>
          <w:color w:val="auto"/>
          <w:highlight w:val="none"/>
        </w:rPr>
        <w:instrText xml:space="preserve">HYPERLINK \l "_Toc105438846"</w:instrText>
      </w:r>
      <w:r>
        <w:rPr>
          <w:rStyle w:val="49"/>
          <w:color w:val="auto"/>
          <w:highlight w:val="none"/>
        </w:rPr>
        <w:instrText xml:space="preserve"> </w:instrText>
      </w:r>
      <w:r>
        <w:rPr>
          <w:rStyle w:val="49"/>
          <w:color w:val="auto"/>
          <w:highlight w:val="none"/>
        </w:rPr>
        <w:fldChar w:fldCharType="separate"/>
      </w:r>
      <w:r>
        <w:rPr>
          <w:rStyle w:val="49"/>
          <w:rFonts w:hint="eastAsia" w:ascii="黑体" w:eastAsia="黑体"/>
          <w:color w:val="auto"/>
          <w:kern w:val="44"/>
          <w:highlight w:val="none"/>
        </w:rPr>
        <w:t>第六章　</w:t>
      </w:r>
      <w:r>
        <w:rPr>
          <w:rStyle w:val="49"/>
          <w:rFonts w:ascii="黑体" w:eastAsia="黑体"/>
          <w:color w:val="auto"/>
          <w:kern w:val="44"/>
          <w:highlight w:val="none"/>
        </w:rPr>
        <w:t xml:space="preserve"> </w:t>
      </w:r>
      <w:r>
        <w:rPr>
          <w:rStyle w:val="49"/>
          <w:rFonts w:hint="eastAsia" w:ascii="黑体" w:eastAsia="黑体"/>
          <w:color w:val="auto"/>
          <w:kern w:val="44"/>
          <w:highlight w:val="none"/>
        </w:rPr>
        <w:t>投标文件格式</w:t>
      </w:r>
      <w:r>
        <w:rPr>
          <w:color w:val="auto"/>
          <w:highlight w:val="none"/>
        </w:rPr>
        <w:tab/>
      </w:r>
      <w:r>
        <w:rPr>
          <w:color w:val="auto"/>
          <w:highlight w:val="none"/>
        </w:rPr>
        <w:fldChar w:fldCharType="begin"/>
      </w:r>
      <w:r>
        <w:rPr>
          <w:color w:val="auto"/>
          <w:highlight w:val="none"/>
        </w:rPr>
        <w:instrText xml:space="preserve"> PAGEREF _Toc105438846 \h </w:instrText>
      </w:r>
      <w:r>
        <w:rPr>
          <w:color w:val="auto"/>
          <w:highlight w:val="none"/>
        </w:rPr>
        <w:fldChar w:fldCharType="separate"/>
      </w:r>
      <w:r>
        <w:rPr>
          <w:color w:val="auto"/>
          <w:highlight w:val="none"/>
        </w:rPr>
        <w:t>60</w:t>
      </w:r>
      <w:r>
        <w:rPr>
          <w:color w:val="auto"/>
          <w:highlight w:val="none"/>
        </w:rPr>
        <w:fldChar w:fldCharType="end"/>
      </w:r>
      <w:r>
        <w:rPr>
          <w:rStyle w:val="49"/>
          <w:color w:val="auto"/>
          <w:highlight w:val="none"/>
        </w:rPr>
        <w:fldChar w:fldCharType="end"/>
      </w:r>
    </w:p>
    <w:p>
      <w:pPr>
        <w:pStyle w:val="35"/>
        <w:spacing w:line="720" w:lineRule="auto"/>
        <w:rPr>
          <w:rFonts w:ascii="Calibri" w:hAnsi="Calibri"/>
          <w:smallCaps w:val="0"/>
          <w:color w:val="auto"/>
          <w:kern w:val="2"/>
          <w:szCs w:val="22"/>
          <w:highlight w:val="none"/>
        </w:rPr>
      </w:pPr>
      <w:r>
        <w:rPr>
          <w:rStyle w:val="49"/>
          <w:color w:val="auto"/>
          <w:highlight w:val="none"/>
        </w:rPr>
        <w:fldChar w:fldCharType="begin"/>
      </w:r>
      <w:r>
        <w:rPr>
          <w:rStyle w:val="49"/>
          <w:color w:val="auto"/>
          <w:highlight w:val="none"/>
        </w:rPr>
        <w:instrText xml:space="preserve"> </w:instrText>
      </w:r>
      <w:r>
        <w:rPr>
          <w:color w:val="auto"/>
          <w:highlight w:val="none"/>
        </w:rPr>
        <w:instrText xml:space="preserve">HYPERLINK \l "_Toc105438847"</w:instrText>
      </w:r>
      <w:r>
        <w:rPr>
          <w:rStyle w:val="49"/>
          <w:color w:val="auto"/>
          <w:highlight w:val="none"/>
        </w:rPr>
        <w:instrText xml:space="preserve"> </w:instrText>
      </w:r>
      <w:r>
        <w:rPr>
          <w:rStyle w:val="49"/>
          <w:color w:val="auto"/>
          <w:highlight w:val="none"/>
        </w:rPr>
        <w:fldChar w:fldCharType="separate"/>
      </w:r>
      <w:r>
        <w:rPr>
          <w:rStyle w:val="49"/>
          <w:rFonts w:hint="eastAsia" w:ascii="黑体" w:eastAsia="黑体"/>
          <w:color w:val="auto"/>
          <w:kern w:val="44"/>
          <w:highlight w:val="none"/>
          <w:lang w:eastAsia="zh-CN"/>
        </w:rPr>
        <w:t>国企</w:t>
      </w:r>
      <w:r>
        <w:rPr>
          <w:rStyle w:val="49"/>
          <w:rFonts w:hint="eastAsia" w:ascii="黑体" w:eastAsia="黑体"/>
          <w:color w:val="auto"/>
          <w:kern w:val="44"/>
          <w:highlight w:val="none"/>
        </w:rPr>
        <w:t>采购活动现场确认声明书</w:t>
      </w:r>
      <w:r>
        <w:rPr>
          <w:color w:val="auto"/>
          <w:highlight w:val="none"/>
        </w:rPr>
        <w:tab/>
      </w:r>
      <w:r>
        <w:rPr>
          <w:color w:val="auto"/>
          <w:highlight w:val="none"/>
        </w:rPr>
        <w:fldChar w:fldCharType="begin"/>
      </w:r>
      <w:r>
        <w:rPr>
          <w:color w:val="auto"/>
          <w:highlight w:val="none"/>
        </w:rPr>
        <w:instrText xml:space="preserve"> PAGEREF _Toc105438847 \h </w:instrText>
      </w:r>
      <w:r>
        <w:rPr>
          <w:color w:val="auto"/>
          <w:highlight w:val="none"/>
        </w:rPr>
        <w:fldChar w:fldCharType="separate"/>
      </w:r>
      <w:r>
        <w:rPr>
          <w:color w:val="auto"/>
          <w:highlight w:val="none"/>
        </w:rPr>
        <w:t>85</w:t>
      </w:r>
      <w:r>
        <w:rPr>
          <w:color w:val="auto"/>
          <w:highlight w:val="none"/>
        </w:rPr>
        <w:fldChar w:fldCharType="end"/>
      </w:r>
      <w:r>
        <w:rPr>
          <w:rStyle w:val="49"/>
          <w:color w:val="auto"/>
          <w:highlight w:val="none"/>
        </w:rPr>
        <w:fldChar w:fldCharType="end"/>
      </w:r>
    </w:p>
    <w:p>
      <w:pPr>
        <w:pStyle w:val="35"/>
        <w:spacing w:line="720" w:lineRule="auto"/>
        <w:rPr>
          <w:rFonts w:hint="eastAsia" w:ascii="Calibri" w:hAnsi="Calibri" w:eastAsia="宋体"/>
          <w:smallCaps w:val="0"/>
          <w:color w:val="auto"/>
          <w:kern w:val="2"/>
          <w:szCs w:val="22"/>
          <w:highlight w:val="none"/>
          <w:lang w:val="en-US" w:eastAsia="zh-CN"/>
        </w:rPr>
      </w:pPr>
      <w:r>
        <w:rPr>
          <w:rStyle w:val="49"/>
          <w:color w:val="auto"/>
          <w:highlight w:val="none"/>
        </w:rPr>
        <w:fldChar w:fldCharType="begin"/>
      </w:r>
      <w:r>
        <w:rPr>
          <w:rStyle w:val="49"/>
          <w:color w:val="auto"/>
          <w:highlight w:val="none"/>
        </w:rPr>
        <w:instrText xml:space="preserve"> </w:instrText>
      </w:r>
      <w:r>
        <w:rPr>
          <w:color w:val="auto"/>
          <w:highlight w:val="none"/>
        </w:rPr>
        <w:instrText xml:space="preserve">HYPERLINK \l "_Toc105438848"</w:instrText>
      </w:r>
      <w:r>
        <w:rPr>
          <w:rStyle w:val="49"/>
          <w:color w:val="auto"/>
          <w:highlight w:val="none"/>
        </w:rPr>
        <w:instrText xml:space="preserve"> </w:instrText>
      </w:r>
      <w:r>
        <w:rPr>
          <w:rStyle w:val="49"/>
          <w:color w:val="auto"/>
          <w:highlight w:val="none"/>
        </w:rPr>
        <w:fldChar w:fldCharType="separate"/>
      </w:r>
      <w:r>
        <w:rPr>
          <w:rStyle w:val="49"/>
          <w:rFonts w:hint="eastAsia" w:ascii="黑体" w:eastAsia="黑体"/>
          <w:color w:val="auto"/>
          <w:kern w:val="44"/>
          <w:highlight w:val="none"/>
        </w:rPr>
        <w:t>附件：瑶溪街道保洁一体化清单</w:t>
      </w:r>
      <w:r>
        <w:rPr>
          <w:color w:val="auto"/>
          <w:highlight w:val="none"/>
        </w:rPr>
        <w:tab/>
      </w:r>
      <w:r>
        <w:rPr>
          <w:rFonts w:hint="eastAsia"/>
          <w:color w:val="auto"/>
          <w:highlight w:val="none"/>
          <w:lang w:val="en-US" w:eastAsia="zh-CN"/>
        </w:rPr>
        <w:t>9</w:t>
      </w:r>
      <w:r>
        <w:rPr>
          <w:rStyle w:val="49"/>
          <w:color w:val="auto"/>
          <w:highlight w:val="none"/>
        </w:rPr>
        <w:fldChar w:fldCharType="end"/>
      </w:r>
      <w:r>
        <w:rPr>
          <w:rStyle w:val="49"/>
          <w:rFonts w:hint="eastAsia"/>
          <w:color w:val="auto"/>
          <w:highlight w:val="none"/>
          <w:lang w:val="en-US" w:eastAsia="zh-CN"/>
        </w:rPr>
        <w:t>4</w:t>
      </w:r>
    </w:p>
    <w:p>
      <w:pPr>
        <w:spacing w:line="360" w:lineRule="auto"/>
        <w:rPr>
          <w:rFonts w:ascii="宋体" w:hAnsi="宋体"/>
          <w:b/>
          <w:color w:val="auto"/>
          <w:sz w:val="30"/>
          <w:szCs w:val="30"/>
          <w:highlight w:val="none"/>
        </w:rPr>
      </w:pPr>
      <w:r>
        <w:rPr>
          <w:rFonts w:ascii="宋体" w:hAnsi="宋体"/>
          <w:b/>
          <w:color w:val="auto"/>
          <w:sz w:val="21"/>
          <w:szCs w:val="21"/>
          <w:highlight w:val="none"/>
        </w:rPr>
        <w:fldChar w:fldCharType="end"/>
      </w:r>
    </w:p>
    <w:p>
      <w:pPr>
        <w:pStyle w:val="23"/>
        <w:spacing w:beforeLines="0" w:afterLines="0" w:line="288" w:lineRule="auto"/>
        <w:rPr>
          <w:rFonts w:hAnsi="宋体"/>
          <w:color w:val="auto"/>
          <w:sz w:val="21"/>
          <w:szCs w:val="21"/>
          <w:highlight w:val="none"/>
        </w:rPr>
      </w:pPr>
      <w:r>
        <w:rPr>
          <w:rFonts w:hAnsi="宋体"/>
          <w:color w:val="auto"/>
          <w:sz w:val="21"/>
          <w:szCs w:val="21"/>
          <w:highlight w:val="none"/>
        </w:rPr>
        <w:br w:type="page"/>
      </w:r>
    </w:p>
    <w:p>
      <w:pPr>
        <w:keepNext w:val="0"/>
        <w:keepLines w:val="0"/>
        <w:widowControl/>
        <w:suppressLineNumbers w:val="0"/>
        <w:ind w:firstLine="440" w:firstLineChars="200"/>
        <w:jc w:val="left"/>
        <w:rPr>
          <w:rFonts w:hint="eastAsia" w:ascii="宋体" w:hAnsi="宋体" w:eastAsia="宋体" w:cs="宋体"/>
          <w:color w:val="auto"/>
          <w:kern w:val="0"/>
          <w:sz w:val="22"/>
          <w:szCs w:val="22"/>
          <w:highlight w:val="none"/>
          <w:lang w:val="en-US" w:eastAsia="zh-CN" w:bidi="ar"/>
        </w:rPr>
      </w:pPr>
      <w:bookmarkStart w:id="0" w:name="_Toc105438801"/>
    </w:p>
    <w:p>
      <w:pPr>
        <w:keepNext w:val="0"/>
        <w:keepLines w:val="0"/>
        <w:widowControl/>
        <w:suppressLineNumbers w:val="0"/>
        <w:ind w:firstLine="440" w:firstLineChars="200"/>
        <w:jc w:val="left"/>
        <w:rPr>
          <w:rStyle w:val="139"/>
          <w:b/>
          <w:color w:val="auto"/>
          <w:highlight w:val="none"/>
        </w:rPr>
      </w:pPr>
      <w:r>
        <w:rPr>
          <w:rFonts w:hint="eastAsia" w:ascii="宋体" w:hAnsi="宋体" w:eastAsia="宋体" w:cs="宋体"/>
          <w:color w:val="auto"/>
          <w:kern w:val="0"/>
          <w:sz w:val="22"/>
          <w:szCs w:val="22"/>
          <w:highlight w:val="none"/>
          <w:lang w:val="en-US" w:eastAsia="zh-CN" w:bidi="ar"/>
        </w:rPr>
        <w:t xml:space="preserve">本项目由温州市龙湾区瑶溪街道人民政府办事处授权温州市龙湾区城市管理服务有限公司进行采购，项目 日常管理、考核等事宜由温州市龙湾区瑶溪街道人民政府办事处代表采购人负责项目实施，中标人必须无条件接受温州市龙湾区瑶溪街道人民政府办事处指导、监督、检查、考核等，否则采购人有权无责解除合同。 </w:t>
      </w:r>
    </w:p>
    <w:p>
      <w:pPr>
        <w:pStyle w:val="6"/>
        <w:numPr>
          <w:ilvl w:val="0"/>
          <w:numId w:val="2"/>
        </w:numPr>
        <w:spacing w:before="0" w:after="0" w:line="276" w:lineRule="auto"/>
        <w:jc w:val="center"/>
        <w:rPr>
          <w:rStyle w:val="139"/>
          <w:b/>
          <w:color w:val="auto"/>
          <w:highlight w:val="none"/>
        </w:rPr>
      </w:pPr>
      <w:r>
        <w:rPr>
          <w:rStyle w:val="139"/>
          <w:b/>
          <w:color w:val="auto"/>
          <w:highlight w:val="none"/>
        </w:rPr>
        <w:t xml:space="preserve"> 投标邀请</w:t>
      </w:r>
      <w:bookmarkEnd w:id="0"/>
    </w:p>
    <w:p>
      <w:pPr>
        <w:keepNext w:val="0"/>
        <w:keepLines w:val="0"/>
        <w:widowControl/>
        <w:suppressLineNumbers w:val="0"/>
        <w:ind w:firstLine="440" w:firstLineChars="200"/>
        <w:jc w:val="left"/>
        <w:rPr>
          <w:color w:val="auto"/>
          <w:highlight w:val="none"/>
        </w:rPr>
      </w:pPr>
      <w:r>
        <w:rPr>
          <w:rFonts w:hint="eastAsia" w:ascii="宋体" w:hAnsi="宋体" w:eastAsia="宋体" w:cs="宋体"/>
          <w:color w:val="auto"/>
          <w:kern w:val="0"/>
          <w:sz w:val="22"/>
          <w:szCs w:val="22"/>
          <w:highlight w:val="none"/>
          <w:lang w:val="en-US" w:eastAsia="zh-CN" w:bidi="ar"/>
        </w:rPr>
        <w:t>温州韩诚工程项目管理有限公司受温州市龙湾区城市管理服务有限公司委托，就</w:t>
      </w:r>
      <w:r>
        <w:rPr>
          <w:rFonts w:hint="eastAsia" w:ascii="宋体" w:hAnsi="宋体" w:cs="宋体"/>
          <w:color w:val="auto"/>
          <w:sz w:val="21"/>
          <w:szCs w:val="21"/>
          <w:highlight w:val="none"/>
        </w:rPr>
        <w:t>龙湾区瑶溪街道环卫保洁一体化项目</w:t>
      </w:r>
      <w:r>
        <w:rPr>
          <w:rFonts w:hint="eastAsia" w:ascii="宋体" w:hAnsi="宋体" w:eastAsia="宋体" w:cs="宋体"/>
          <w:color w:val="auto"/>
          <w:kern w:val="0"/>
          <w:sz w:val="22"/>
          <w:szCs w:val="22"/>
          <w:highlight w:val="none"/>
          <w:lang w:val="en-US" w:eastAsia="zh-CN" w:bidi="ar"/>
        </w:rPr>
        <w:t>进行公开招标，欢迎国内合格的供应商前来投标。</w:t>
      </w:r>
    </w:p>
    <w:p>
      <w:pPr>
        <w:pBdr>
          <w:top w:val="single" w:color="auto" w:sz="4" w:space="1"/>
          <w:left w:val="single" w:color="auto" w:sz="4" w:space="0"/>
          <w:bottom w:val="single" w:color="auto" w:sz="4" w:space="1"/>
          <w:right w:val="single" w:color="auto" w:sz="4" w:space="4"/>
        </w:pBdr>
        <w:spacing w:line="30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项目概况</w:t>
      </w:r>
    </w:p>
    <w:p>
      <w:pPr>
        <w:pBdr>
          <w:top w:val="single" w:color="auto" w:sz="4" w:space="1"/>
          <w:left w:val="single" w:color="auto" w:sz="4" w:space="0"/>
          <w:bottom w:val="single" w:color="auto" w:sz="4" w:space="1"/>
          <w:right w:val="single" w:color="auto" w:sz="4" w:space="4"/>
        </w:pBdr>
        <w:spacing w:line="30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u w:val="single"/>
        </w:rPr>
        <w:t>龙湾区瑶溪街道环卫保洁一体化项目</w:t>
      </w:r>
      <w:r>
        <w:rPr>
          <w:rFonts w:hint="eastAsia" w:ascii="宋体" w:hAnsi="宋体"/>
          <w:color w:val="auto"/>
          <w:sz w:val="21"/>
          <w:szCs w:val="21"/>
          <w:highlight w:val="none"/>
        </w:rPr>
        <w:t>招标项目的潜在投标人应在</w:t>
      </w:r>
      <w:r>
        <w:rPr>
          <w:rFonts w:hint="eastAsia" w:ascii="宋体" w:hAnsi="宋体"/>
          <w:color w:val="auto"/>
          <w:sz w:val="21"/>
          <w:szCs w:val="21"/>
          <w:highlight w:val="none"/>
          <w:u w:val="single"/>
        </w:rPr>
        <w:t>政府采购</w:t>
      </w:r>
      <w:r>
        <w:rPr>
          <w:rFonts w:hint="eastAsia" w:ascii="宋体" w:hAnsi="宋体"/>
          <w:color w:val="auto"/>
          <w:sz w:val="21"/>
          <w:szCs w:val="21"/>
          <w:highlight w:val="none"/>
          <w:u w:val="single"/>
          <w:lang w:eastAsia="zh-CN"/>
        </w:rPr>
        <w:t>网</w:t>
      </w:r>
      <w:r>
        <w:rPr>
          <w:rFonts w:hint="eastAsia" w:ascii="宋体" w:hAnsi="宋体"/>
          <w:color w:val="auto"/>
          <w:sz w:val="21"/>
          <w:szCs w:val="21"/>
          <w:highlight w:val="none"/>
        </w:rPr>
        <w:t>获取（下载）招标文件，并于</w:t>
      </w:r>
      <w:r>
        <w:rPr>
          <w:rFonts w:hint="eastAsia" w:ascii="宋体" w:hAnsi="宋体"/>
          <w:b/>
          <w:bCs/>
          <w:color w:val="auto"/>
          <w:sz w:val="21"/>
          <w:szCs w:val="21"/>
          <w:highlight w:val="none"/>
          <w:u w:val="single"/>
        </w:rPr>
        <w:t>2022年</w:t>
      </w:r>
      <w:r>
        <w:rPr>
          <w:rFonts w:hint="eastAsia" w:ascii="宋体" w:hAnsi="宋体"/>
          <w:b/>
          <w:bCs/>
          <w:color w:val="auto"/>
          <w:sz w:val="21"/>
          <w:szCs w:val="21"/>
          <w:highlight w:val="none"/>
          <w:u w:val="single"/>
          <w:lang w:val="en-US" w:eastAsia="zh-CN"/>
        </w:rPr>
        <w:t>11</w:t>
      </w:r>
      <w:r>
        <w:rPr>
          <w:rFonts w:hint="eastAsia" w:ascii="宋体" w:hAnsi="宋体"/>
          <w:b/>
          <w:bCs/>
          <w:color w:val="auto"/>
          <w:sz w:val="21"/>
          <w:szCs w:val="21"/>
          <w:highlight w:val="none"/>
          <w:u w:val="single"/>
        </w:rPr>
        <w:t>月</w:t>
      </w:r>
      <w:r>
        <w:rPr>
          <w:rFonts w:hint="eastAsia" w:ascii="宋体" w:hAnsi="宋体"/>
          <w:b/>
          <w:bCs/>
          <w:color w:val="auto"/>
          <w:sz w:val="21"/>
          <w:szCs w:val="21"/>
          <w:highlight w:val="none"/>
          <w:u w:val="single"/>
          <w:lang w:val="en-US" w:eastAsia="zh-CN"/>
        </w:rPr>
        <w:t xml:space="preserve"> 8  </w:t>
      </w:r>
      <w:r>
        <w:rPr>
          <w:rFonts w:hint="eastAsia" w:ascii="宋体" w:hAnsi="宋体"/>
          <w:b/>
          <w:bCs/>
          <w:color w:val="auto"/>
          <w:sz w:val="21"/>
          <w:szCs w:val="21"/>
          <w:highlight w:val="none"/>
          <w:u w:val="single"/>
        </w:rPr>
        <w:t>日</w:t>
      </w:r>
      <w:r>
        <w:rPr>
          <w:rFonts w:ascii="宋体" w:hAnsi="宋体"/>
          <w:b/>
          <w:bCs/>
          <w:color w:val="auto"/>
          <w:sz w:val="21"/>
          <w:szCs w:val="21"/>
          <w:highlight w:val="none"/>
          <w:u w:val="single"/>
        </w:rPr>
        <w:t>09:30</w:t>
      </w:r>
      <w:r>
        <w:rPr>
          <w:rFonts w:hint="eastAsia" w:ascii="宋体" w:hAnsi="宋体"/>
          <w:b/>
          <w:bCs/>
          <w:color w:val="auto"/>
          <w:sz w:val="21"/>
          <w:szCs w:val="21"/>
          <w:highlight w:val="none"/>
          <w:u w:val="single"/>
        </w:rPr>
        <w:t>（</w:t>
      </w:r>
      <w:r>
        <w:rPr>
          <w:rFonts w:hint="eastAsia" w:ascii="宋体" w:hAnsi="宋体"/>
          <w:bCs/>
          <w:color w:val="auto"/>
          <w:sz w:val="21"/>
          <w:szCs w:val="21"/>
          <w:highlight w:val="none"/>
        </w:rPr>
        <w:t>北京时间）前递交投标</w:t>
      </w:r>
      <w:r>
        <w:rPr>
          <w:rFonts w:ascii="宋体" w:hAnsi="宋体"/>
          <w:bCs/>
          <w:color w:val="auto"/>
          <w:sz w:val="21"/>
          <w:szCs w:val="21"/>
          <w:highlight w:val="none"/>
        </w:rPr>
        <w:t>文件</w:t>
      </w:r>
      <w:r>
        <w:rPr>
          <w:rFonts w:hint="eastAsia" w:ascii="宋体" w:hAnsi="宋体"/>
          <w:color w:val="auto"/>
          <w:sz w:val="21"/>
          <w:szCs w:val="21"/>
          <w:highlight w:val="none"/>
        </w:rPr>
        <w:t>。</w:t>
      </w:r>
    </w:p>
    <w:p>
      <w:pPr>
        <w:spacing w:line="340" w:lineRule="exact"/>
        <w:rPr>
          <w:rFonts w:ascii="宋体" w:hAnsi="宋体"/>
          <w:b/>
          <w:color w:val="auto"/>
          <w:sz w:val="21"/>
          <w:szCs w:val="21"/>
          <w:highlight w:val="none"/>
        </w:rPr>
      </w:pPr>
      <w:bookmarkStart w:id="1" w:name="_Toc35393790"/>
      <w:bookmarkStart w:id="2" w:name="_Toc35393621"/>
      <w:bookmarkStart w:id="3" w:name="_Toc28359079"/>
      <w:bookmarkStart w:id="4" w:name="_Toc28359002"/>
      <w:bookmarkStart w:id="5" w:name="_Hlk24379207"/>
      <w:r>
        <w:rPr>
          <w:rFonts w:hint="eastAsia" w:ascii="宋体" w:hAnsi="宋体"/>
          <w:b/>
          <w:color w:val="auto"/>
          <w:sz w:val="21"/>
          <w:szCs w:val="21"/>
          <w:highlight w:val="none"/>
        </w:rPr>
        <w:t>一、项目基本情况</w:t>
      </w:r>
      <w:bookmarkEnd w:id="1"/>
      <w:bookmarkEnd w:id="2"/>
      <w:bookmarkEnd w:id="3"/>
      <w:bookmarkEnd w:id="4"/>
    </w:p>
    <w:p>
      <w:pPr>
        <w:spacing w:line="340" w:lineRule="exact"/>
        <w:ind w:firstLine="420" w:firstLineChars="200"/>
        <w:rPr>
          <w:rFonts w:hint="eastAsia" w:ascii="宋体" w:hAnsi="宋体" w:eastAsia="宋体"/>
          <w:color w:val="auto"/>
          <w:sz w:val="21"/>
          <w:szCs w:val="21"/>
          <w:highlight w:val="none"/>
          <w:lang w:eastAsia="zh-CN"/>
        </w:rPr>
      </w:pPr>
      <w:r>
        <w:rPr>
          <w:rFonts w:hint="eastAsia" w:ascii="宋体" w:hAnsi="宋体"/>
          <w:color w:val="auto"/>
          <w:sz w:val="21"/>
          <w:szCs w:val="21"/>
          <w:highlight w:val="none"/>
        </w:rPr>
        <w:t>1.项目编号：</w:t>
      </w:r>
      <w:r>
        <w:rPr>
          <w:rFonts w:hint="eastAsia" w:ascii="宋体" w:hAnsi="宋体"/>
          <w:color w:val="auto"/>
          <w:sz w:val="21"/>
          <w:szCs w:val="21"/>
          <w:highlight w:val="none"/>
          <w:lang w:eastAsia="zh-CN"/>
        </w:rPr>
        <w:t>WZHC-20220923</w:t>
      </w:r>
    </w:p>
    <w:p>
      <w:pPr>
        <w:spacing w:line="34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2.项目名称：</w:t>
      </w:r>
      <w:r>
        <w:rPr>
          <w:rFonts w:hint="eastAsia" w:ascii="宋体" w:hAnsi="宋体" w:cs="宋体"/>
          <w:color w:val="auto"/>
          <w:sz w:val="21"/>
          <w:szCs w:val="21"/>
          <w:highlight w:val="none"/>
        </w:rPr>
        <w:t xml:space="preserve">龙湾区瑶溪街道环卫保洁一体化项目 </w:t>
      </w:r>
    </w:p>
    <w:bookmarkEnd w:id="5"/>
    <w:p>
      <w:pPr>
        <w:spacing w:line="340" w:lineRule="exact"/>
        <w:ind w:firstLine="420" w:firstLineChars="200"/>
        <w:rPr>
          <w:rFonts w:hint="eastAsia" w:ascii="宋体" w:hAnsi="宋体" w:eastAsia="宋体"/>
          <w:color w:val="auto"/>
          <w:sz w:val="21"/>
          <w:szCs w:val="21"/>
          <w:highlight w:val="none"/>
          <w:lang w:val="en-US" w:eastAsia="zh-CN"/>
        </w:rPr>
      </w:pPr>
      <w:r>
        <w:rPr>
          <w:rFonts w:hint="eastAsia" w:ascii="宋体" w:hAnsi="宋体"/>
          <w:color w:val="auto"/>
          <w:sz w:val="21"/>
          <w:szCs w:val="21"/>
          <w:highlight w:val="none"/>
        </w:rPr>
        <w:t>3.预算金额</w:t>
      </w:r>
      <w:r>
        <w:rPr>
          <w:rFonts w:hint="eastAsia" w:ascii="宋体" w:hAnsi="宋体"/>
          <w:color w:val="auto"/>
          <w:sz w:val="21"/>
          <w:szCs w:val="21"/>
          <w:highlight w:val="none"/>
          <w:lang w:val="en-US" w:eastAsia="zh-CN"/>
        </w:rPr>
        <w:t>(元）</w:t>
      </w:r>
      <w:r>
        <w:rPr>
          <w:rFonts w:hint="eastAsia" w:ascii="宋体" w:hAnsi="宋体"/>
          <w:color w:val="auto"/>
          <w:sz w:val="21"/>
          <w:szCs w:val="21"/>
          <w:highlight w:val="none"/>
        </w:rPr>
        <w:t>：</w:t>
      </w:r>
      <w:r>
        <w:rPr>
          <w:rFonts w:ascii="宋体" w:hAnsi="宋体" w:cs="宋体"/>
          <w:color w:val="auto"/>
          <w:sz w:val="21"/>
          <w:szCs w:val="21"/>
          <w:highlight w:val="none"/>
        </w:rPr>
        <w:t>67613231</w:t>
      </w:r>
    </w:p>
    <w:p>
      <w:pPr>
        <w:spacing w:line="340" w:lineRule="exact"/>
        <w:ind w:firstLine="420" w:firstLineChars="200"/>
        <w:rPr>
          <w:rFonts w:hint="eastAsia" w:ascii="宋体" w:hAnsi="宋体" w:eastAsia="宋体"/>
          <w:color w:val="auto"/>
          <w:sz w:val="21"/>
          <w:szCs w:val="21"/>
          <w:highlight w:val="none"/>
          <w:lang w:eastAsia="zh-CN"/>
        </w:rPr>
      </w:pPr>
      <w:r>
        <w:rPr>
          <w:rFonts w:hint="eastAsia" w:ascii="宋体" w:hAnsi="宋体"/>
          <w:color w:val="auto"/>
          <w:sz w:val="21"/>
          <w:szCs w:val="21"/>
          <w:highlight w:val="none"/>
        </w:rPr>
        <w:t>4.最高限价</w:t>
      </w:r>
      <w:r>
        <w:rPr>
          <w:rFonts w:hint="eastAsia" w:ascii="宋体" w:hAnsi="宋体"/>
          <w:color w:val="auto"/>
          <w:sz w:val="21"/>
          <w:szCs w:val="21"/>
          <w:highlight w:val="none"/>
          <w:lang w:eastAsia="zh-CN"/>
        </w:rPr>
        <w:t>（元）</w:t>
      </w:r>
      <w:r>
        <w:rPr>
          <w:rFonts w:hint="eastAsia" w:ascii="宋体" w:hAnsi="宋体"/>
          <w:color w:val="auto"/>
          <w:sz w:val="21"/>
          <w:szCs w:val="21"/>
          <w:highlight w:val="none"/>
        </w:rPr>
        <w:t>：67613231</w:t>
      </w:r>
    </w:p>
    <w:p>
      <w:pPr>
        <w:spacing w:line="34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5.采购需求：</w:t>
      </w:r>
      <w:r>
        <w:rPr>
          <w:rFonts w:ascii="宋体" w:hAnsi="宋体"/>
          <w:color w:val="auto"/>
          <w:sz w:val="21"/>
          <w:szCs w:val="21"/>
          <w:highlight w:val="none"/>
        </w:rPr>
        <w:t xml:space="preserve"> </w:t>
      </w:r>
    </w:p>
    <w:tbl>
      <w:tblPr>
        <w:tblStyle w:val="42"/>
        <w:tblW w:w="91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3792"/>
        <w:gridCol w:w="567"/>
        <w:gridCol w:w="567"/>
        <w:gridCol w:w="3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noWrap w:val="0"/>
            <w:vAlign w:val="center"/>
          </w:tcPr>
          <w:p>
            <w:pPr>
              <w:widowControl/>
              <w:ind w:right="69"/>
              <w:jc w:val="center"/>
              <w:rPr>
                <w:rFonts w:ascii="宋体" w:hAnsi="宋体" w:cs="宋体"/>
                <w:color w:val="auto"/>
                <w:sz w:val="21"/>
                <w:szCs w:val="21"/>
                <w:highlight w:val="none"/>
              </w:rPr>
            </w:pPr>
            <w:r>
              <w:rPr>
                <w:rFonts w:hint="eastAsia" w:ascii="宋体" w:hAnsi="宋体" w:cs="宋体"/>
                <w:color w:val="auto"/>
                <w:sz w:val="21"/>
                <w:szCs w:val="21"/>
                <w:highlight w:val="none"/>
              </w:rPr>
              <w:t>序号</w:t>
            </w:r>
          </w:p>
        </w:tc>
        <w:tc>
          <w:tcPr>
            <w:tcW w:w="3792" w:type="dxa"/>
            <w:noWrap w:val="0"/>
            <w:vAlign w:val="center"/>
          </w:tcPr>
          <w:p>
            <w:pPr>
              <w:widowControl/>
              <w:ind w:right="69"/>
              <w:jc w:val="center"/>
              <w:rPr>
                <w:rFonts w:ascii="宋体" w:hAnsi="宋体" w:cs="宋体"/>
                <w:color w:val="auto"/>
                <w:sz w:val="21"/>
                <w:szCs w:val="21"/>
                <w:highlight w:val="none"/>
              </w:rPr>
            </w:pPr>
            <w:r>
              <w:rPr>
                <w:rFonts w:hint="eastAsia" w:ascii="宋体" w:hAnsi="宋体" w:cs="宋体"/>
                <w:color w:val="auto"/>
                <w:sz w:val="21"/>
                <w:szCs w:val="21"/>
                <w:highlight w:val="none"/>
              </w:rPr>
              <w:t>标项名称</w:t>
            </w:r>
          </w:p>
        </w:tc>
        <w:tc>
          <w:tcPr>
            <w:tcW w:w="567" w:type="dxa"/>
            <w:noWrap w:val="0"/>
            <w:vAlign w:val="center"/>
          </w:tcPr>
          <w:p>
            <w:pPr>
              <w:widowControl/>
              <w:ind w:right="69"/>
              <w:jc w:val="center"/>
              <w:rPr>
                <w:rFonts w:ascii="宋体" w:hAnsi="宋体" w:cs="宋体"/>
                <w:color w:val="auto"/>
                <w:sz w:val="21"/>
                <w:szCs w:val="21"/>
                <w:highlight w:val="none"/>
              </w:rPr>
            </w:pPr>
            <w:r>
              <w:rPr>
                <w:rFonts w:hint="eastAsia" w:ascii="宋体" w:hAnsi="宋体" w:cs="宋体"/>
                <w:color w:val="auto"/>
                <w:sz w:val="21"/>
                <w:szCs w:val="21"/>
                <w:highlight w:val="none"/>
              </w:rPr>
              <w:t>数量</w:t>
            </w:r>
          </w:p>
        </w:tc>
        <w:tc>
          <w:tcPr>
            <w:tcW w:w="567" w:type="dxa"/>
            <w:noWrap w:val="0"/>
            <w:vAlign w:val="center"/>
          </w:tcPr>
          <w:p>
            <w:pPr>
              <w:widowControl/>
              <w:ind w:right="69"/>
              <w:jc w:val="center"/>
              <w:rPr>
                <w:rFonts w:ascii="宋体" w:hAnsi="宋体" w:cs="宋体"/>
                <w:color w:val="auto"/>
                <w:sz w:val="21"/>
                <w:szCs w:val="21"/>
                <w:highlight w:val="none"/>
              </w:rPr>
            </w:pPr>
            <w:r>
              <w:rPr>
                <w:rFonts w:hint="eastAsia" w:ascii="宋体" w:hAnsi="宋体" w:cs="宋体"/>
                <w:color w:val="auto"/>
                <w:sz w:val="21"/>
                <w:szCs w:val="21"/>
                <w:highlight w:val="none"/>
              </w:rPr>
              <w:t>单位</w:t>
            </w:r>
          </w:p>
        </w:tc>
        <w:tc>
          <w:tcPr>
            <w:tcW w:w="3515" w:type="dxa"/>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简要规格描述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738" w:type="dxa"/>
            <w:noWrap w:val="0"/>
            <w:vAlign w:val="center"/>
          </w:tcPr>
          <w:p>
            <w:pPr>
              <w:widowControl/>
              <w:ind w:right="69"/>
              <w:jc w:val="center"/>
              <w:rPr>
                <w:rFonts w:ascii="宋体" w:hAnsi="宋体" w:cs="宋体"/>
                <w:color w:val="auto"/>
                <w:sz w:val="21"/>
                <w:szCs w:val="21"/>
                <w:highlight w:val="none"/>
              </w:rPr>
            </w:pPr>
            <w:r>
              <w:rPr>
                <w:rFonts w:hint="eastAsia" w:ascii="宋体" w:hAnsi="宋体" w:cs="宋体"/>
                <w:color w:val="auto"/>
                <w:sz w:val="21"/>
                <w:szCs w:val="21"/>
                <w:highlight w:val="none"/>
              </w:rPr>
              <w:t>1</w:t>
            </w:r>
          </w:p>
        </w:tc>
        <w:tc>
          <w:tcPr>
            <w:tcW w:w="3792" w:type="dxa"/>
            <w:noWrap w:val="0"/>
            <w:vAlign w:val="center"/>
          </w:tcPr>
          <w:p>
            <w:pPr>
              <w:widowControl/>
              <w:ind w:right="69"/>
              <w:jc w:val="center"/>
              <w:rPr>
                <w:rFonts w:ascii="宋体" w:hAnsi="宋体" w:cs="宋体"/>
                <w:color w:val="auto"/>
                <w:sz w:val="21"/>
                <w:szCs w:val="21"/>
                <w:highlight w:val="none"/>
              </w:rPr>
            </w:pPr>
            <w:r>
              <w:rPr>
                <w:rFonts w:hint="eastAsia" w:ascii="宋体" w:hAnsi="宋体" w:cs="宋体"/>
                <w:color w:val="auto"/>
                <w:sz w:val="21"/>
                <w:szCs w:val="21"/>
                <w:highlight w:val="none"/>
              </w:rPr>
              <w:t xml:space="preserve">龙湾区瑶溪街道环卫保洁一体化项目  </w:t>
            </w:r>
          </w:p>
        </w:tc>
        <w:tc>
          <w:tcPr>
            <w:tcW w:w="567" w:type="dxa"/>
            <w:noWrap w:val="0"/>
            <w:vAlign w:val="center"/>
          </w:tcPr>
          <w:p>
            <w:pPr>
              <w:widowControl/>
              <w:ind w:right="69"/>
              <w:jc w:val="center"/>
              <w:rPr>
                <w:rFonts w:ascii="宋体" w:hAnsi="宋体" w:cs="宋体"/>
                <w:color w:val="auto"/>
                <w:sz w:val="21"/>
                <w:szCs w:val="21"/>
                <w:highlight w:val="none"/>
              </w:rPr>
            </w:pPr>
            <w:r>
              <w:rPr>
                <w:rFonts w:hint="eastAsia" w:ascii="宋体" w:hAnsi="宋体" w:cs="宋体"/>
                <w:color w:val="auto"/>
                <w:sz w:val="21"/>
                <w:szCs w:val="21"/>
                <w:highlight w:val="none"/>
              </w:rPr>
              <w:t>1</w:t>
            </w:r>
          </w:p>
        </w:tc>
        <w:tc>
          <w:tcPr>
            <w:tcW w:w="567" w:type="dxa"/>
            <w:noWrap w:val="0"/>
            <w:vAlign w:val="center"/>
          </w:tcPr>
          <w:p>
            <w:pPr>
              <w:widowControl/>
              <w:ind w:right="69"/>
              <w:jc w:val="center"/>
              <w:rPr>
                <w:rFonts w:ascii="宋体" w:hAnsi="宋体" w:cs="宋体"/>
                <w:color w:val="auto"/>
                <w:sz w:val="21"/>
                <w:szCs w:val="21"/>
                <w:highlight w:val="none"/>
              </w:rPr>
            </w:pPr>
            <w:r>
              <w:rPr>
                <w:rFonts w:hint="eastAsia" w:ascii="宋体" w:hAnsi="宋体" w:cs="宋体"/>
                <w:color w:val="auto"/>
                <w:sz w:val="21"/>
                <w:szCs w:val="21"/>
                <w:highlight w:val="none"/>
              </w:rPr>
              <w:t>项</w:t>
            </w:r>
          </w:p>
        </w:tc>
        <w:tc>
          <w:tcPr>
            <w:tcW w:w="3515" w:type="dxa"/>
            <w:noWrap w:val="0"/>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保洁服务，具体内容详见招标文件。</w:t>
            </w:r>
          </w:p>
        </w:tc>
      </w:tr>
    </w:tbl>
    <w:p>
      <w:pPr>
        <w:spacing w:line="340" w:lineRule="exact"/>
        <w:ind w:firstLine="420" w:firstLineChars="200"/>
        <w:rPr>
          <w:rFonts w:ascii="宋体" w:hAnsi="宋体"/>
          <w:color w:val="auto"/>
          <w:sz w:val="21"/>
          <w:szCs w:val="21"/>
          <w:highlight w:val="none"/>
          <w:u w:val="single"/>
        </w:rPr>
      </w:pPr>
      <w:r>
        <w:rPr>
          <w:rFonts w:hint="eastAsia" w:ascii="宋体" w:hAnsi="宋体"/>
          <w:color w:val="auto"/>
          <w:sz w:val="21"/>
          <w:szCs w:val="21"/>
          <w:highlight w:val="none"/>
        </w:rPr>
        <w:t>6.合同履行期限：本项目服务期限为2年，服务合同一年一签，详见招标文件</w:t>
      </w:r>
      <w:r>
        <w:rPr>
          <w:rFonts w:hint="eastAsia" w:ascii="宋体" w:hAnsi="宋体"/>
          <w:bCs/>
          <w:color w:val="auto"/>
          <w:sz w:val="21"/>
          <w:szCs w:val="21"/>
          <w:highlight w:val="none"/>
        </w:rPr>
        <w:t>。</w:t>
      </w:r>
    </w:p>
    <w:p>
      <w:pPr>
        <w:spacing w:line="34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7.本项目不接受联合体投标</w:t>
      </w:r>
    </w:p>
    <w:p>
      <w:pPr>
        <w:spacing w:line="340" w:lineRule="exact"/>
        <w:rPr>
          <w:rFonts w:ascii="宋体" w:hAnsi="宋体"/>
          <w:b/>
          <w:color w:val="auto"/>
          <w:sz w:val="21"/>
          <w:szCs w:val="21"/>
          <w:highlight w:val="none"/>
        </w:rPr>
      </w:pPr>
      <w:bookmarkStart w:id="6" w:name="_Toc28359003"/>
      <w:bookmarkStart w:id="7" w:name="_Toc35393622"/>
      <w:bookmarkStart w:id="8" w:name="_Toc28359080"/>
      <w:bookmarkStart w:id="9" w:name="_Toc35393791"/>
      <w:r>
        <w:rPr>
          <w:rFonts w:hint="eastAsia" w:ascii="宋体" w:hAnsi="宋体"/>
          <w:b/>
          <w:color w:val="auto"/>
          <w:sz w:val="21"/>
          <w:szCs w:val="21"/>
          <w:highlight w:val="none"/>
        </w:rPr>
        <w:t>二、申请人的资格要求：</w:t>
      </w:r>
      <w:bookmarkEnd w:id="6"/>
      <w:bookmarkEnd w:id="7"/>
      <w:bookmarkEnd w:id="8"/>
      <w:bookmarkEnd w:id="9"/>
    </w:p>
    <w:p>
      <w:pPr>
        <w:spacing w:line="340" w:lineRule="exact"/>
        <w:rPr>
          <w:rFonts w:hint="eastAsia" w:ascii="宋体" w:hAnsi="宋体"/>
          <w:b/>
          <w:color w:val="auto"/>
          <w:sz w:val="21"/>
          <w:szCs w:val="21"/>
          <w:highlight w:val="none"/>
        </w:rPr>
      </w:pPr>
      <w:bookmarkStart w:id="10" w:name="_Toc35393792"/>
      <w:bookmarkStart w:id="11" w:name="_Toc28359081"/>
      <w:bookmarkStart w:id="12" w:name="_Toc35393623"/>
      <w:bookmarkStart w:id="13" w:name="_Toc28359004"/>
      <w:r>
        <w:rPr>
          <w:rFonts w:hint="eastAsia" w:ascii="宋体" w:hAnsi="宋体"/>
          <w:b/>
          <w:color w:val="auto"/>
          <w:sz w:val="21"/>
          <w:szCs w:val="21"/>
          <w:highlight w:val="none"/>
          <w:lang w:val="en-US" w:eastAsia="zh-CN"/>
        </w:rPr>
        <w:t xml:space="preserve">1、符合《温州市龙湾区区属国有企业采购管理办法》第十四条对供应商参加国有企业采购活 </w:t>
      </w:r>
    </w:p>
    <w:p>
      <w:pPr>
        <w:spacing w:line="340" w:lineRule="exact"/>
        <w:rPr>
          <w:rFonts w:hint="eastAsia" w:ascii="宋体" w:hAnsi="宋体"/>
          <w:b/>
          <w:color w:val="auto"/>
          <w:sz w:val="21"/>
          <w:szCs w:val="21"/>
          <w:highlight w:val="none"/>
        </w:rPr>
      </w:pPr>
      <w:r>
        <w:rPr>
          <w:rFonts w:hint="eastAsia" w:ascii="宋体" w:hAnsi="宋体"/>
          <w:b/>
          <w:color w:val="auto"/>
          <w:sz w:val="21"/>
          <w:szCs w:val="21"/>
          <w:highlight w:val="none"/>
          <w:lang w:val="en-US" w:eastAsia="zh-CN"/>
        </w:rPr>
        <w:t xml:space="preserve">动应当具备的条件的要求； </w:t>
      </w:r>
    </w:p>
    <w:p>
      <w:pPr>
        <w:spacing w:line="340" w:lineRule="exact"/>
        <w:rPr>
          <w:rFonts w:hint="eastAsia" w:ascii="宋体" w:hAnsi="宋体"/>
          <w:b/>
          <w:color w:val="auto"/>
          <w:sz w:val="21"/>
          <w:szCs w:val="21"/>
          <w:highlight w:val="none"/>
        </w:rPr>
      </w:pPr>
      <w:r>
        <w:rPr>
          <w:rFonts w:hint="eastAsia" w:ascii="宋体" w:hAnsi="宋体"/>
          <w:b/>
          <w:color w:val="auto"/>
          <w:sz w:val="21"/>
          <w:szCs w:val="21"/>
          <w:highlight w:val="none"/>
          <w:lang w:val="en-US" w:eastAsia="zh-CN"/>
        </w:rPr>
        <w:t xml:space="preserve">2、投标人未被“信用中国”（www.creditchina.gov.cn）、中国政府采购网 </w:t>
      </w:r>
    </w:p>
    <w:p>
      <w:pPr>
        <w:spacing w:line="340" w:lineRule="exact"/>
        <w:rPr>
          <w:rFonts w:hint="eastAsia" w:ascii="宋体" w:hAnsi="宋体"/>
          <w:b/>
          <w:color w:val="auto"/>
          <w:sz w:val="21"/>
          <w:szCs w:val="21"/>
          <w:highlight w:val="none"/>
        </w:rPr>
      </w:pPr>
      <w:r>
        <w:rPr>
          <w:rFonts w:hint="eastAsia" w:ascii="宋体" w:hAnsi="宋体"/>
          <w:b/>
          <w:color w:val="auto"/>
          <w:sz w:val="21"/>
          <w:szCs w:val="21"/>
          <w:highlight w:val="none"/>
          <w:lang w:val="en-US" w:eastAsia="zh-CN"/>
        </w:rPr>
        <w:t xml:space="preserve">（www.ccgp.gov.cn）列入失信被执行人、重大税收违法案件当事人名单、政府采购严重违法 </w:t>
      </w:r>
    </w:p>
    <w:p>
      <w:pPr>
        <w:spacing w:line="340" w:lineRule="exact"/>
        <w:rPr>
          <w:rFonts w:hint="eastAsia" w:ascii="宋体" w:hAnsi="宋体"/>
          <w:b/>
          <w:color w:val="auto"/>
          <w:sz w:val="21"/>
          <w:szCs w:val="21"/>
          <w:highlight w:val="none"/>
        </w:rPr>
      </w:pPr>
      <w:r>
        <w:rPr>
          <w:rFonts w:hint="eastAsia" w:ascii="宋体" w:hAnsi="宋体"/>
          <w:b/>
          <w:color w:val="auto"/>
          <w:sz w:val="21"/>
          <w:szCs w:val="21"/>
          <w:highlight w:val="none"/>
          <w:lang w:val="en-US" w:eastAsia="zh-CN"/>
        </w:rPr>
        <w:t xml:space="preserve">失信行为记录名单； </w:t>
      </w:r>
    </w:p>
    <w:p>
      <w:pPr>
        <w:spacing w:line="340" w:lineRule="exact"/>
        <w:rPr>
          <w:rFonts w:hint="eastAsia" w:ascii="宋体" w:hAnsi="宋体"/>
          <w:b/>
          <w:color w:val="auto"/>
          <w:sz w:val="21"/>
          <w:szCs w:val="21"/>
          <w:highlight w:val="none"/>
        </w:rPr>
      </w:pPr>
      <w:r>
        <w:rPr>
          <w:rFonts w:hint="eastAsia" w:ascii="宋体" w:hAnsi="宋体"/>
          <w:b/>
          <w:color w:val="auto"/>
          <w:sz w:val="21"/>
          <w:szCs w:val="21"/>
          <w:highlight w:val="none"/>
          <w:lang w:val="en-US" w:eastAsia="zh-CN"/>
        </w:rPr>
        <w:t xml:space="preserve">3、本项目不接受联合体投标。 </w:t>
      </w:r>
    </w:p>
    <w:p>
      <w:pPr>
        <w:spacing w:line="340" w:lineRule="exact"/>
        <w:rPr>
          <w:rFonts w:ascii="宋体" w:hAnsi="宋体"/>
          <w:b/>
          <w:color w:val="auto"/>
          <w:sz w:val="21"/>
          <w:szCs w:val="21"/>
          <w:highlight w:val="none"/>
        </w:rPr>
      </w:pPr>
      <w:r>
        <w:rPr>
          <w:rFonts w:hint="eastAsia" w:ascii="宋体" w:hAnsi="宋体"/>
          <w:b/>
          <w:color w:val="auto"/>
          <w:sz w:val="21"/>
          <w:szCs w:val="21"/>
          <w:highlight w:val="none"/>
        </w:rPr>
        <w:t>三、获取招标文件</w:t>
      </w:r>
      <w:bookmarkEnd w:id="10"/>
      <w:bookmarkEnd w:id="11"/>
      <w:bookmarkEnd w:id="12"/>
      <w:bookmarkEnd w:id="13"/>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b w:val="0"/>
          <w:bCs/>
          <w:color w:val="auto"/>
          <w:sz w:val="21"/>
          <w:szCs w:val="21"/>
          <w:highlight w:val="none"/>
        </w:rPr>
      </w:pPr>
      <w:bookmarkStart w:id="14" w:name="_Toc28359005"/>
      <w:bookmarkStart w:id="15" w:name="_Toc28359082"/>
      <w:bookmarkStart w:id="16" w:name="_Toc35393793"/>
      <w:bookmarkStart w:id="17" w:name="_Toc35393624"/>
      <w:r>
        <w:rPr>
          <w:rFonts w:hint="eastAsia" w:ascii="宋体" w:hAnsi="宋体"/>
          <w:b w:val="0"/>
          <w:bCs/>
          <w:color w:val="auto"/>
          <w:sz w:val="21"/>
          <w:szCs w:val="21"/>
          <w:highlight w:val="none"/>
        </w:rPr>
        <w:t>1、获取招标文件方式：供应商登录浙江政府采购网（http://zfcg.czt.zj.gov.cn/），进入政采云系统“项目采购”模块“获取采购文件”菜单，进行网上获取招标文件。</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b w:val="0"/>
          <w:bCs/>
          <w:color w:val="auto"/>
          <w:sz w:val="21"/>
          <w:szCs w:val="21"/>
          <w:highlight w:val="none"/>
        </w:rPr>
      </w:pPr>
      <w:r>
        <w:rPr>
          <w:rFonts w:hint="eastAsia" w:ascii="宋体" w:hAnsi="宋体"/>
          <w:b w:val="0"/>
          <w:bCs/>
          <w:color w:val="auto"/>
          <w:sz w:val="21"/>
          <w:szCs w:val="21"/>
          <w:highlight w:val="none"/>
        </w:rPr>
        <w:t>2、获取招标文件时间：公告发布之日起至投标截止时间止。</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b w:val="0"/>
          <w:bCs/>
          <w:color w:val="auto"/>
          <w:sz w:val="21"/>
          <w:szCs w:val="21"/>
          <w:highlight w:val="none"/>
        </w:rPr>
      </w:pPr>
      <w:r>
        <w:rPr>
          <w:rFonts w:hint="eastAsia" w:ascii="宋体" w:hAnsi="宋体"/>
          <w:b w:val="0"/>
          <w:bCs/>
          <w:color w:val="auto"/>
          <w:sz w:val="21"/>
          <w:szCs w:val="21"/>
          <w:highlight w:val="none"/>
        </w:rPr>
        <w:t>3、招标文件售价：人民币500元(售后不退)。</w:t>
      </w:r>
    </w:p>
    <w:p>
      <w:pPr>
        <w:spacing w:line="340" w:lineRule="exact"/>
        <w:rPr>
          <w:rFonts w:ascii="宋体" w:hAnsi="宋体"/>
          <w:b/>
          <w:color w:val="auto"/>
          <w:sz w:val="21"/>
          <w:szCs w:val="21"/>
          <w:highlight w:val="none"/>
        </w:rPr>
      </w:pPr>
      <w:r>
        <w:rPr>
          <w:rFonts w:hint="eastAsia" w:ascii="宋体" w:hAnsi="宋体"/>
          <w:b/>
          <w:color w:val="auto"/>
          <w:sz w:val="21"/>
          <w:szCs w:val="21"/>
          <w:highlight w:val="none"/>
        </w:rPr>
        <w:t>四、提交投标文件</w:t>
      </w:r>
      <w:bookmarkEnd w:id="14"/>
      <w:bookmarkEnd w:id="15"/>
      <w:r>
        <w:rPr>
          <w:rFonts w:hint="eastAsia" w:ascii="宋体" w:hAnsi="宋体"/>
          <w:b/>
          <w:color w:val="auto"/>
          <w:sz w:val="21"/>
          <w:szCs w:val="21"/>
          <w:highlight w:val="none"/>
        </w:rPr>
        <w:t>截止时间、开标时间和地点</w:t>
      </w:r>
      <w:bookmarkEnd w:id="16"/>
      <w:bookmarkEnd w:id="17"/>
    </w:p>
    <w:p>
      <w:pPr>
        <w:spacing w:line="340" w:lineRule="exact"/>
        <w:ind w:firstLine="420" w:firstLineChars="200"/>
        <w:rPr>
          <w:rFonts w:ascii="宋体" w:hAnsi="宋体"/>
          <w:bCs/>
          <w:color w:val="auto"/>
          <w:sz w:val="21"/>
          <w:szCs w:val="21"/>
          <w:highlight w:val="none"/>
        </w:rPr>
      </w:pPr>
      <w:bookmarkStart w:id="18" w:name="_Toc35393794"/>
      <w:bookmarkStart w:id="19" w:name="_Toc35393625"/>
      <w:bookmarkStart w:id="20" w:name="_Toc28359007"/>
      <w:bookmarkStart w:id="21" w:name="_Toc28359084"/>
      <w:r>
        <w:rPr>
          <w:rFonts w:hint="eastAsia" w:ascii="宋体" w:hAnsi="宋体"/>
          <w:bCs/>
          <w:color w:val="auto"/>
          <w:sz w:val="21"/>
          <w:szCs w:val="21"/>
          <w:highlight w:val="none"/>
        </w:rPr>
        <w:t>1.提交投标文件截止时间：</w:t>
      </w:r>
      <w:r>
        <w:rPr>
          <w:rFonts w:hint="eastAsia" w:ascii="宋体" w:hAnsi="宋体"/>
          <w:b/>
          <w:bCs w:val="0"/>
          <w:color w:val="auto"/>
          <w:sz w:val="21"/>
          <w:szCs w:val="21"/>
          <w:highlight w:val="none"/>
        </w:rPr>
        <w:t>2022年</w:t>
      </w:r>
      <w:r>
        <w:rPr>
          <w:rFonts w:hint="eastAsia" w:ascii="宋体" w:hAnsi="宋体"/>
          <w:b/>
          <w:bCs w:val="0"/>
          <w:color w:val="auto"/>
          <w:sz w:val="21"/>
          <w:szCs w:val="21"/>
          <w:highlight w:val="none"/>
          <w:lang w:val="en-US" w:eastAsia="zh-CN"/>
        </w:rPr>
        <w:t>11</w:t>
      </w:r>
      <w:r>
        <w:rPr>
          <w:rFonts w:hint="eastAsia" w:ascii="宋体" w:hAnsi="宋体"/>
          <w:b/>
          <w:bCs w:val="0"/>
          <w:color w:val="auto"/>
          <w:sz w:val="21"/>
          <w:szCs w:val="21"/>
          <w:highlight w:val="none"/>
        </w:rPr>
        <w:t>月</w:t>
      </w:r>
      <w:r>
        <w:rPr>
          <w:rFonts w:hint="eastAsia" w:ascii="宋体" w:hAnsi="宋体"/>
          <w:b/>
          <w:bCs w:val="0"/>
          <w:color w:val="auto"/>
          <w:sz w:val="21"/>
          <w:szCs w:val="21"/>
          <w:highlight w:val="none"/>
          <w:lang w:val="en-US" w:eastAsia="zh-CN"/>
        </w:rPr>
        <w:t xml:space="preserve">8 </w:t>
      </w:r>
      <w:r>
        <w:rPr>
          <w:rFonts w:hint="eastAsia" w:ascii="宋体" w:hAnsi="宋体"/>
          <w:b/>
          <w:bCs w:val="0"/>
          <w:color w:val="auto"/>
          <w:sz w:val="21"/>
          <w:szCs w:val="21"/>
          <w:highlight w:val="none"/>
        </w:rPr>
        <w:t>日09:30</w:t>
      </w:r>
      <w:r>
        <w:rPr>
          <w:rFonts w:hint="eastAsia" w:ascii="宋体" w:hAnsi="宋体"/>
          <w:bCs/>
          <w:color w:val="auto"/>
          <w:sz w:val="21"/>
          <w:szCs w:val="21"/>
          <w:highlight w:val="none"/>
        </w:rPr>
        <w:t>（北京时间）；</w:t>
      </w:r>
    </w:p>
    <w:p>
      <w:pPr>
        <w:spacing w:line="340" w:lineRule="exact"/>
        <w:ind w:firstLine="420" w:firstLineChars="200"/>
        <w:rPr>
          <w:rFonts w:ascii="宋体" w:hAnsi="宋体"/>
          <w:bCs/>
          <w:color w:val="auto"/>
          <w:sz w:val="21"/>
          <w:szCs w:val="21"/>
          <w:highlight w:val="none"/>
        </w:rPr>
      </w:pPr>
      <w:r>
        <w:rPr>
          <w:rFonts w:hint="eastAsia" w:ascii="宋体" w:hAnsi="宋体"/>
          <w:bCs/>
          <w:color w:val="auto"/>
          <w:sz w:val="21"/>
          <w:szCs w:val="21"/>
          <w:highlight w:val="none"/>
        </w:rPr>
        <w:t>2.投标地点（</w:t>
      </w:r>
      <w:r>
        <w:rPr>
          <w:rFonts w:hint="eastAsia" w:ascii="宋体" w:hAnsi="宋体"/>
          <w:bCs/>
          <w:color w:val="auto"/>
          <w:sz w:val="21"/>
          <w:szCs w:val="21"/>
          <w:highlight w:val="none"/>
          <w:lang w:eastAsia="zh-CN"/>
        </w:rPr>
        <w:t>地</w:t>
      </w:r>
      <w:r>
        <w:rPr>
          <w:rFonts w:hint="eastAsia" w:ascii="宋体" w:hAnsi="宋体"/>
          <w:bCs/>
          <w:color w:val="auto"/>
          <w:sz w:val="21"/>
          <w:szCs w:val="21"/>
          <w:highlight w:val="none"/>
        </w:rPr>
        <w:t>址）：</w:t>
      </w:r>
      <w:r>
        <w:rPr>
          <w:rFonts w:hint="eastAsia" w:ascii="宋体" w:hAnsi="宋体"/>
          <w:b/>
          <w:bCs w:val="0"/>
          <w:color w:val="auto"/>
          <w:sz w:val="21"/>
          <w:szCs w:val="21"/>
          <w:highlight w:val="none"/>
        </w:rPr>
        <w:t>龙湾区公共资源交易中心(温州市龙湾区永中街道升平路77号便民服务中心西裙楼三楼大厅。</w:t>
      </w:r>
    </w:p>
    <w:p>
      <w:pPr>
        <w:spacing w:line="340" w:lineRule="exact"/>
        <w:ind w:firstLine="420" w:firstLineChars="200"/>
        <w:rPr>
          <w:rFonts w:ascii="宋体" w:hAnsi="宋体"/>
          <w:color w:val="auto"/>
          <w:sz w:val="21"/>
          <w:szCs w:val="21"/>
          <w:highlight w:val="none"/>
        </w:rPr>
      </w:pPr>
      <w:r>
        <w:rPr>
          <w:rFonts w:hint="eastAsia" w:ascii="宋体" w:hAnsi="宋体"/>
          <w:bCs/>
          <w:color w:val="auto"/>
          <w:sz w:val="21"/>
          <w:szCs w:val="21"/>
          <w:highlight w:val="none"/>
        </w:rPr>
        <w:t>3.开标时间：</w:t>
      </w:r>
      <w:r>
        <w:rPr>
          <w:rFonts w:hint="eastAsia" w:ascii="宋体" w:hAnsi="宋体"/>
          <w:b/>
          <w:bCs w:val="0"/>
          <w:color w:val="auto"/>
          <w:sz w:val="21"/>
          <w:szCs w:val="21"/>
          <w:highlight w:val="none"/>
        </w:rPr>
        <w:t>2022年</w:t>
      </w:r>
      <w:r>
        <w:rPr>
          <w:rFonts w:hint="eastAsia" w:ascii="宋体" w:hAnsi="宋体"/>
          <w:b/>
          <w:bCs w:val="0"/>
          <w:color w:val="auto"/>
          <w:sz w:val="21"/>
          <w:szCs w:val="21"/>
          <w:highlight w:val="none"/>
          <w:lang w:val="en-US" w:eastAsia="zh-CN"/>
        </w:rPr>
        <w:t>11</w:t>
      </w:r>
      <w:r>
        <w:rPr>
          <w:rFonts w:hint="eastAsia" w:ascii="宋体" w:hAnsi="宋体"/>
          <w:b/>
          <w:bCs w:val="0"/>
          <w:color w:val="auto"/>
          <w:sz w:val="21"/>
          <w:szCs w:val="21"/>
          <w:highlight w:val="none"/>
        </w:rPr>
        <w:t xml:space="preserve">月 </w:t>
      </w:r>
      <w:r>
        <w:rPr>
          <w:rFonts w:hint="eastAsia" w:ascii="宋体" w:hAnsi="宋体"/>
          <w:b/>
          <w:bCs w:val="0"/>
          <w:color w:val="auto"/>
          <w:sz w:val="21"/>
          <w:szCs w:val="21"/>
          <w:highlight w:val="none"/>
          <w:lang w:val="en-US" w:eastAsia="zh-CN"/>
        </w:rPr>
        <w:t xml:space="preserve">8 </w:t>
      </w:r>
      <w:r>
        <w:rPr>
          <w:rFonts w:hint="eastAsia" w:ascii="宋体" w:hAnsi="宋体"/>
          <w:b/>
          <w:bCs w:val="0"/>
          <w:color w:val="auto"/>
          <w:sz w:val="21"/>
          <w:szCs w:val="21"/>
          <w:highlight w:val="none"/>
        </w:rPr>
        <w:t>日09:30</w:t>
      </w:r>
      <w:r>
        <w:rPr>
          <w:rFonts w:hint="eastAsia" w:ascii="宋体" w:hAnsi="宋体"/>
          <w:bCs/>
          <w:color w:val="auto"/>
          <w:sz w:val="21"/>
          <w:szCs w:val="21"/>
          <w:highlight w:val="none"/>
        </w:rPr>
        <w:t>；</w:t>
      </w:r>
    </w:p>
    <w:p>
      <w:pPr>
        <w:spacing w:line="340" w:lineRule="exact"/>
        <w:ind w:firstLine="420" w:firstLineChars="200"/>
        <w:rPr>
          <w:rFonts w:hint="eastAsia" w:ascii="宋体" w:hAnsi="宋体"/>
          <w:b/>
          <w:bCs w:val="0"/>
          <w:color w:val="auto"/>
          <w:sz w:val="21"/>
          <w:szCs w:val="21"/>
          <w:highlight w:val="none"/>
        </w:rPr>
      </w:pPr>
      <w:r>
        <w:rPr>
          <w:rFonts w:hint="eastAsia" w:ascii="宋体" w:hAnsi="宋体"/>
          <w:bCs/>
          <w:color w:val="auto"/>
          <w:sz w:val="21"/>
          <w:szCs w:val="21"/>
          <w:highlight w:val="none"/>
        </w:rPr>
        <w:t>4.开标地点（</w:t>
      </w:r>
      <w:r>
        <w:rPr>
          <w:rFonts w:hint="eastAsia" w:ascii="宋体" w:hAnsi="宋体"/>
          <w:bCs/>
          <w:color w:val="auto"/>
          <w:sz w:val="21"/>
          <w:szCs w:val="21"/>
          <w:highlight w:val="none"/>
          <w:lang w:eastAsia="zh-CN"/>
        </w:rPr>
        <w:t>地</w:t>
      </w:r>
      <w:r>
        <w:rPr>
          <w:rFonts w:hint="eastAsia" w:ascii="宋体" w:hAnsi="宋体"/>
          <w:bCs/>
          <w:color w:val="auto"/>
          <w:sz w:val="21"/>
          <w:szCs w:val="21"/>
          <w:highlight w:val="none"/>
        </w:rPr>
        <w:t>址）：</w:t>
      </w:r>
      <w:r>
        <w:rPr>
          <w:rFonts w:hint="eastAsia" w:ascii="宋体" w:hAnsi="宋体"/>
          <w:b/>
          <w:bCs w:val="0"/>
          <w:color w:val="auto"/>
          <w:sz w:val="21"/>
          <w:szCs w:val="21"/>
          <w:highlight w:val="none"/>
        </w:rPr>
        <w:t>龙湾区公共资源交易中心(温州市龙湾区永中街道升平路77号便民服务中心西裙楼三楼大厅。</w:t>
      </w:r>
    </w:p>
    <w:p>
      <w:pPr>
        <w:spacing w:line="340" w:lineRule="exact"/>
        <w:rPr>
          <w:rFonts w:ascii="宋体" w:hAnsi="宋体"/>
          <w:b/>
          <w:color w:val="auto"/>
          <w:sz w:val="21"/>
          <w:szCs w:val="21"/>
          <w:highlight w:val="none"/>
        </w:rPr>
      </w:pPr>
      <w:r>
        <w:rPr>
          <w:rFonts w:hint="eastAsia" w:ascii="宋体" w:hAnsi="宋体"/>
          <w:b/>
          <w:color w:val="auto"/>
          <w:sz w:val="21"/>
          <w:szCs w:val="21"/>
          <w:highlight w:val="none"/>
        </w:rPr>
        <w:t>五、公告期限</w:t>
      </w:r>
      <w:bookmarkEnd w:id="18"/>
      <w:bookmarkEnd w:id="19"/>
      <w:bookmarkEnd w:id="20"/>
      <w:bookmarkEnd w:id="21"/>
    </w:p>
    <w:p>
      <w:pPr>
        <w:spacing w:line="340" w:lineRule="exact"/>
        <w:ind w:firstLine="420" w:firstLineChars="200"/>
        <w:rPr>
          <w:rFonts w:ascii="宋体" w:hAnsi="宋体" w:cs="宋体"/>
          <w:color w:val="auto"/>
          <w:kern w:val="0"/>
          <w:sz w:val="21"/>
          <w:szCs w:val="21"/>
          <w:highlight w:val="none"/>
        </w:rPr>
      </w:pPr>
      <w:r>
        <w:rPr>
          <w:rFonts w:hint="eastAsia" w:ascii="宋体" w:hAnsi="宋体" w:cs="宋体"/>
          <w:color w:val="auto"/>
          <w:kern w:val="0"/>
          <w:sz w:val="21"/>
          <w:szCs w:val="21"/>
          <w:highlight w:val="none"/>
        </w:rPr>
        <w:t>自本公告发布之日起5个工作日。</w:t>
      </w:r>
    </w:p>
    <w:p>
      <w:pPr>
        <w:spacing w:line="340" w:lineRule="exact"/>
        <w:rPr>
          <w:rFonts w:ascii="宋体" w:hAnsi="宋体"/>
          <w:b/>
          <w:color w:val="auto"/>
          <w:sz w:val="21"/>
          <w:szCs w:val="21"/>
          <w:highlight w:val="none"/>
        </w:rPr>
      </w:pPr>
      <w:bookmarkStart w:id="22" w:name="_Toc35393795"/>
      <w:bookmarkStart w:id="23" w:name="_Toc35393626"/>
      <w:r>
        <w:rPr>
          <w:rFonts w:hint="eastAsia" w:ascii="宋体" w:hAnsi="宋体"/>
          <w:b/>
          <w:color w:val="auto"/>
          <w:sz w:val="21"/>
          <w:szCs w:val="21"/>
          <w:highlight w:val="none"/>
        </w:rPr>
        <w:t>六、其他补充事宜</w:t>
      </w:r>
      <w:bookmarkEnd w:id="22"/>
      <w:bookmarkEnd w:id="23"/>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宋体" w:hAnsi="宋体"/>
          <w:b w:val="0"/>
          <w:bCs/>
          <w:color w:val="auto"/>
          <w:sz w:val="21"/>
          <w:szCs w:val="21"/>
          <w:highlight w:val="none"/>
        </w:rPr>
      </w:pPr>
      <w:bookmarkStart w:id="24" w:name="B38_其他事项"/>
      <w:bookmarkEnd w:id="24"/>
      <w:bookmarkStart w:id="25" w:name="_Toc35393796"/>
      <w:bookmarkStart w:id="26" w:name="_Toc28359008"/>
      <w:bookmarkStart w:id="27" w:name="_Toc35393627"/>
      <w:bookmarkStart w:id="28" w:name="_Toc28359085"/>
      <w:r>
        <w:rPr>
          <w:rFonts w:hint="eastAsia" w:ascii="宋体" w:hAnsi="宋体"/>
          <w:b w:val="0"/>
          <w:bCs/>
          <w:color w:val="auto"/>
          <w:sz w:val="21"/>
          <w:szCs w:val="21"/>
          <w:highlight w:val="none"/>
          <w:lang w:val="en-US" w:eastAsia="zh-CN"/>
        </w:rPr>
        <w:t xml:space="preserve">1、本公告有效期限为发出之后五个工作日。 </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宋体" w:hAnsi="宋体"/>
          <w:b w:val="0"/>
          <w:bCs/>
          <w:color w:val="auto"/>
          <w:sz w:val="21"/>
          <w:szCs w:val="21"/>
          <w:highlight w:val="none"/>
        </w:rPr>
      </w:pPr>
      <w:r>
        <w:rPr>
          <w:rFonts w:hint="eastAsia" w:ascii="宋体" w:hAnsi="宋体"/>
          <w:b w:val="0"/>
          <w:bCs/>
          <w:color w:val="auto"/>
          <w:sz w:val="21"/>
          <w:szCs w:val="21"/>
          <w:highlight w:val="none"/>
          <w:lang w:val="en-US" w:eastAsia="zh-CN"/>
        </w:rPr>
        <w:t xml:space="preserve">2、对采购公告信息（含供应商资格条件）、采购文件提出质疑的，供应商可以在知道或者应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b w:val="0"/>
          <w:bCs/>
          <w:color w:val="auto"/>
          <w:sz w:val="21"/>
          <w:szCs w:val="21"/>
          <w:highlight w:val="none"/>
        </w:rPr>
      </w:pPr>
      <w:r>
        <w:rPr>
          <w:rFonts w:hint="eastAsia" w:ascii="宋体" w:hAnsi="宋体"/>
          <w:b w:val="0"/>
          <w:bCs/>
          <w:color w:val="auto"/>
          <w:sz w:val="21"/>
          <w:szCs w:val="21"/>
          <w:highlight w:val="none"/>
          <w:lang w:val="en-US" w:eastAsia="zh-CN"/>
        </w:rPr>
        <w:t xml:space="preserve">知其权益受到损害之日（公告届满之日）起七个工作日内提出质疑。 </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宋体" w:hAnsi="宋体"/>
          <w:b w:val="0"/>
          <w:bCs/>
          <w:color w:val="auto"/>
          <w:sz w:val="21"/>
          <w:szCs w:val="21"/>
          <w:highlight w:val="none"/>
        </w:rPr>
      </w:pPr>
      <w:r>
        <w:rPr>
          <w:rFonts w:hint="eastAsia" w:ascii="宋体" w:hAnsi="宋体"/>
          <w:b w:val="0"/>
          <w:bCs/>
          <w:color w:val="auto"/>
          <w:sz w:val="21"/>
          <w:szCs w:val="21"/>
          <w:highlight w:val="none"/>
          <w:lang w:val="en-US" w:eastAsia="zh-CN"/>
        </w:rPr>
        <w:t xml:space="preserve">3、逾期提出质疑的，采购人及招标代理机构可不予接受。 </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宋体" w:hAnsi="宋体"/>
          <w:b w:val="0"/>
          <w:bCs/>
          <w:color w:val="auto"/>
          <w:sz w:val="21"/>
          <w:szCs w:val="21"/>
          <w:highlight w:val="none"/>
        </w:rPr>
      </w:pPr>
      <w:r>
        <w:rPr>
          <w:rFonts w:hint="eastAsia" w:ascii="宋体" w:hAnsi="宋体"/>
          <w:b w:val="0"/>
          <w:bCs/>
          <w:color w:val="auto"/>
          <w:sz w:val="21"/>
          <w:szCs w:val="21"/>
          <w:highlight w:val="none"/>
          <w:lang w:val="en-US" w:eastAsia="zh-CN"/>
        </w:rPr>
        <w:t xml:space="preserve">4、供应商质疑应当有明确的请求和必要的证明材料；采购人及招标代理机构按《温州市国有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b w:val="0"/>
          <w:bCs/>
          <w:color w:val="auto"/>
          <w:sz w:val="21"/>
          <w:szCs w:val="21"/>
          <w:highlight w:val="none"/>
        </w:rPr>
      </w:pPr>
      <w:r>
        <w:rPr>
          <w:rFonts w:hint="eastAsia" w:ascii="宋体" w:hAnsi="宋体"/>
          <w:b w:val="0"/>
          <w:bCs/>
          <w:color w:val="auto"/>
          <w:sz w:val="21"/>
          <w:szCs w:val="21"/>
          <w:highlight w:val="none"/>
          <w:lang w:val="en-US" w:eastAsia="zh-CN"/>
        </w:rPr>
        <w:t xml:space="preserve">企业采购供应商质疑处理办法》进行处理供应商质疑事项。 </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宋体" w:hAnsi="宋体"/>
          <w:b w:val="0"/>
          <w:bCs/>
          <w:color w:val="auto"/>
          <w:sz w:val="21"/>
          <w:szCs w:val="21"/>
          <w:highlight w:val="none"/>
        </w:rPr>
      </w:pPr>
      <w:r>
        <w:rPr>
          <w:rFonts w:hint="eastAsia" w:ascii="宋体" w:hAnsi="宋体"/>
          <w:b w:val="0"/>
          <w:bCs/>
          <w:color w:val="auto"/>
          <w:sz w:val="21"/>
          <w:szCs w:val="21"/>
          <w:highlight w:val="none"/>
          <w:lang w:val="en-US" w:eastAsia="zh-CN"/>
        </w:rPr>
        <w:t xml:space="preserve">5、潜在供应商可在浙江政府采购网 http://zfcg.czt.zj.gov.cn/进行免费注册，具体详见浙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b/>
          <w:color w:val="auto"/>
          <w:sz w:val="21"/>
          <w:szCs w:val="21"/>
          <w:highlight w:val="none"/>
        </w:rPr>
      </w:pPr>
      <w:r>
        <w:rPr>
          <w:rFonts w:hint="eastAsia" w:ascii="宋体" w:hAnsi="宋体"/>
          <w:b w:val="0"/>
          <w:bCs/>
          <w:color w:val="auto"/>
          <w:sz w:val="21"/>
          <w:szCs w:val="21"/>
          <w:highlight w:val="none"/>
          <w:lang w:val="en-US" w:eastAsia="zh-CN"/>
        </w:rPr>
        <w:t xml:space="preserve">江政府采购网供应商注册要求（客服电话：400-881-7190）； </w:t>
      </w:r>
    </w:p>
    <w:p>
      <w:pPr>
        <w:spacing w:line="340" w:lineRule="exact"/>
        <w:rPr>
          <w:rFonts w:ascii="宋体" w:hAnsi="宋体"/>
          <w:b/>
          <w:color w:val="auto"/>
          <w:sz w:val="21"/>
          <w:szCs w:val="21"/>
          <w:highlight w:val="none"/>
        </w:rPr>
      </w:pPr>
      <w:r>
        <w:rPr>
          <w:rFonts w:hint="eastAsia" w:ascii="宋体" w:hAnsi="宋体"/>
          <w:b/>
          <w:color w:val="auto"/>
          <w:sz w:val="21"/>
          <w:szCs w:val="21"/>
          <w:highlight w:val="none"/>
        </w:rPr>
        <w:t>七、</w:t>
      </w:r>
      <w:bookmarkEnd w:id="25"/>
      <w:bookmarkEnd w:id="26"/>
      <w:bookmarkEnd w:id="27"/>
      <w:bookmarkEnd w:id="28"/>
      <w:r>
        <w:rPr>
          <w:rFonts w:hint="eastAsia" w:ascii="宋体" w:hAnsi="宋体"/>
          <w:b/>
          <w:color w:val="auto"/>
          <w:sz w:val="21"/>
          <w:szCs w:val="21"/>
          <w:highlight w:val="none"/>
        </w:rPr>
        <w:t>对本次采购提出询问、质疑、投诉，请按以下方式联系</w:t>
      </w:r>
    </w:p>
    <w:p>
      <w:pPr>
        <w:widowControl/>
        <w:spacing w:line="340" w:lineRule="exact"/>
        <w:ind w:firstLine="420" w:firstLineChars="200"/>
        <w:jc w:val="left"/>
        <w:rPr>
          <w:rFonts w:hint="eastAsia" w:ascii="宋体" w:hAnsi="宋体" w:cs="宋体"/>
          <w:color w:val="auto"/>
          <w:sz w:val="21"/>
          <w:szCs w:val="21"/>
          <w:highlight w:val="none"/>
        </w:rPr>
      </w:pPr>
      <w:bookmarkStart w:id="29" w:name="_Toc28359010"/>
      <w:bookmarkStart w:id="30" w:name="_Toc28359087"/>
      <w:r>
        <w:rPr>
          <w:rFonts w:hint="eastAsia" w:ascii="宋体" w:hAnsi="宋体" w:cs="宋体"/>
          <w:color w:val="auto"/>
          <w:sz w:val="21"/>
          <w:szCs w:val="21"/>
          <w:highlight w:val="none"/>
        </w:rPr>
        <w:t>1、采购人信息</w:t>
      </w:r>
    </w:p>
    <w:p>
      <w:pPr>
        <w:widowControl/>
        <w:spacing w:line="340" w:lineRule="exact"/>
        <w:ind w:firstLine="420" w:firstLineChars="200"/>
        <w:jc w:val="left"/>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名称：</w:t>
      </w:r>
      <w:r>
        <w:rPr>
          <w:rFonts w:hint="eastAsia" w:ascii="宋体" w:hAnsi="宋体" w:cs="宋体"/>
          <w:color w:val="auto"/>
          <w:sz w:val="21"/>
          <w:szCs w:val="21"/>
          <w:highlight w:val="none"/>
          <w:lang w:eastAsia="zh-CN"/>
        </w:rPr>
        <w:t>温州市龙湾区城市管理服务有限公司</w:t>
      </w:r>
    </w:p>
    <w:p>
      <w:pPr>
        <w:widowControl/>
        <w:spacing w:line="340" w:lineRule="exact"/>
        <w:ind w:firstLine="420" w:firstLineChars="200"/>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地址：浙江省温州市龙湾区永中街道繁青路208号</w:t>
      </w:r>
    </w:p>
    <w:p>
      <w:pPr>
        <w:widowControl/>
        <w:spacing w:line="340" w:lineRule="exact"/>
        <w:ind w:firstLine="420" w:firstLineChars="200"/>
        <w:jc w:val="left"/>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rPr>
        <w:t>联系人：</w:t>
      </w:r>
      <w:r>
        <w:rPr>
          <w:rFonts w:hint="eastAsia" w:ascii="宋体" w:hAnsi="宋体" w:cs="宋体"/>
          <w:color w:val="auto"/>
          <w:sz w:val="21"/>
          <w:szCs w:val="21"/>
          <w:highlight w:val="none"/>
          <w:lang w:val="en-US" w:eastAsia="zh-CN"/>
        </w:rPr>
        <w:t>董先生</w:t>
      </w:r>
    </w:p>
    <w:p>
      <w:pPr>
        <w:widowControl/>
        <w:spacing w:line="340" w:lineRule="exact"/>
        <w:ind w:firstLine="420" w:firstLineChars="200"/>
        <w:jc w:val="left"/>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rPr>
        <w:t>联系电话：0577-</w:t>
      </w:r>
      <w:r>
        <w:rPr>
          <w:rFonts w:hint="eastAsia" w:ascii="宋体" w:hAnsi="宋体" w:cs="宋体"/>
          <w:color w:val="auto"/>
          <w:sz w:val="21"/>
          <w:szCs w:val="21"/>
          <w:highlight w:val="none"/>
          <w:lang w:val="en-US" w:eastAsia="zh-CN"/>
        </w:rPr>
        <w:t>85985069</w:t>
      </w:r>
    </w:p>
    <w:p>
      <w:pPr>
        <w:widowControl/>
        <w:spacing w:line="340" w:lineRule="exact"/>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2.采购代理机构信息</w:t>
      </w:r>
    </w:p>
    <w:p>
      <w:pPr>
        <w:widowControl/>
        <w:spacing w:line="340" w:lineRule="exact"/>
        <w:ind w:firstLine="420" w:firstLineChars="200"/>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名称：温州韩诚工程项目管理有限公司</w:t>
      </w:r>
    </w:p>
    <w:p>
      <w:pPr>
        <w:widowControl/>
        <w:spacing w:line="340" w:lineRule="exact"/>
        <w:ind w:firstLine="420" w:firstLineChars="200"/>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地址：温州市鹿城区温州大道展宏大厦B栋901室</w:t>
      </w:r>
    </w:p>
    <w:p>
      <w:pPr>
        <w:widowControl/>
        <w:spacing w:line="340" w:lineRule="exact"/>
        <w:ind w:firstLine="420" w:firstLineChars="200"/>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传真：0577-86446637</w:t>
      </w:r>
    </w:p>
    <w:p>
      <w:pPr>
        <w:widowControl/>
        <w:spacing w:line="340" w:lineRule="exact"/>
        <w:ind w:firstLine="420" w:firstLineChars="200"/>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项目联系人：</w:t>
      </w:r>
      <w:bookmarkStart w:id="31" w:name="B41_联系人"/>
      <w:bookmarkEnd w:id="31"/>
      <w:r>
        <w:rPr>
          <w:rFonts w:hint="eastAsia" w:ascii="宋体" w:hAnsi="宋体" w:cs="宋体"/>
          <w:color w:val="auto"/>
          <w:sz w:val="21"/>
          <w:szCs w:val="21"/>
          <w:highlight w:val="none"/>
        </w:rPr>
        <w:t>陈小英</w:t>
      </w:r>
    </w:p>
    <w:p>
      <w:pPr>
        <w:widowControl/>
        <w:spacing w:line="340" w:lineRule="exact"/>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 xml:space="preserve">项目联系方式：15805872316 </w:t>
      </w:r>
    </w:p>
    <w:p>
      <w:pPr>
        <w:widowControl/>
        <w:spacing w:line="340" w:lineRule="exact"/>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质疑联系人：</w:t>
      </w:r>
      <w:r>
        <w:rPr>
          <w:rFonts w:hint="eastAsia" w:ascii="宋体" w:hAnsi="宋体" w:cs="宋体"/>
          <w:color w:val="auto"/>
          <w:kern w:val="0"/>
          <w:sz w:val="21"/>
          <w:szCs w:val="21"/>
          <w:highlight w:val="none"/>
        </w:rPr>
        <w:t>陈小飞</w:t>
      </w:r>
      <w:r>
        <w:rPr>
          <w:rFonts w:hint="eastAsia" w:ascii="宋体" w:hAnsi="宋体" w:cs="宋体"/>
          <w:color w:val="auto"/>
          <w:sz w:val="21"/>
          <w:szCs w:val="21"/>
          <w:highlight w:val="none"/>
        </w:rPr>
        <w:t xml:space="preserve"> </w:t>
      </w:r>
    </w:p>
    <w:p>
      <w:pPr>
        <w:widowControl/>
        <w:spacing w:line="340" w:lineRule="exact"/>
        <w:ind w:firstLine="420" w:firstLineChars="200"/>
        <w:jc w:val="left"/>
        <w:rPr>
          <w:rFonts w:hint="eastAsia" w:ascii="宋体" w:hAnsi="宋体" w:cs="宋体"/>
          <w:color w:val="auto"/>
          <w:kern w:val="0"/>
          <w:sz w:val="21"/>
          <w:szCs w:val="21"/>
          <w:highlight w:val="none"/>
        </w:rPr>
      </w:pPr>
      <w:r>
        <w:rPr>
          <w:rFonts w:hint="eastAsia" w:ascii="宋体" w:hAnsi="宋体" w:cs="宋体"/>
          <w:color w:val="auto"/>
          <w:sz w:val="21"/>
          <w:szCs w:val="21"/>
          <w:highlight w:val="none"/>
        </w:rPr>
        <w:t>质疑联系方式：</w:t>
      </w:r>
      <w:r>
        <w:rPr>
          <w:rFonts w:hint="eastAsia" w:ascii="宋体" w:hAnsi="宋体" w:cs="宋体"/>
          <w:color w:val="auto"/>
          <w:kern w:val="0"/>
          <w:sz w:val="21"/>
          <w:szCs w:val="21"/>
          <w:highlight w:val="none"/>
        </w:rPr>
        <w:t>15825677253</w:t>
      </w:r>
    </w:p>
    <w:p>
      <w:pPr>
        <w:widowControl/>
        <w:spacing w:line="340" w:lineRule="exact"/>
        <w:ind w:firstLine="420" w:firstLineChars="200"/>
        <w:jc w:val="left"/>
        <w:rPr>
          <w:rFonts w:ascii="宋体" w:hAnsi="宋体" w:cs="宋体"/>
          <w:color w:val="auto"/>
          <w:kern w:val="0"/>
          <w:sz w:val="21"/>
          <w:szCs w:val="21"/>
          <w:highlight w:val="none"/>
        </w:rPr>
      </w:pPr>
      <w:r>
        <w:rPr>
          <w:rFonts w:hint="eastAsia" w:ascii="宋体" w:hAnsi="宋体" w:cs="宋体"/>
          <w:color w:val="auto"/>
          <w:sz w:val="21"/>
          <w:szCs w:val="21"/>
          <w:highlight w:val="none"/>
        </w:rPr>
        <w:t>3.</w:t>
      </w:r>
      <w:bookmarkEnd w:id="29"/>
      <w:bookmarkEnd w:id="30"/>
      <w:r>
        <w:rPr>
          <w:rFonts w:hint="eastAsia" w:ascii="宋体" w:hAnsi="宋体" w:cs="宋体"/>
          <w:color w:val="auto"/>
          <w:kern w:val="0"/>
          <w:sz w:val="21"/>
          <w:szCs w:val="21"/>
          <w:highlight w:val="none"/>
        </w:rPr>
        <w:t>同级政府采购监督管理部门</w:t>
      </w:r>
    </w:p>
    <w:p>
      <w:pPr>
        <w:pStyle w:val="6"/>
        <w:spacing w:before="0" w:after="0" w:line="276" w:lineRule="auto"/>
        <w:ind w:firstLine="420" w:firstLineChars="200"/>
        <w:jc w:val="both"/>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 xml:space="preserve">同级政府采购监管管理部门：温州市龙湾区国资办 </w:t>
      </w:r>
    </w:p>
    <w:p>
      <w:pPr>
        <w:pStyle w:val="6"/>
        <w:spacing w:before="0" w:after="0" w:line="276" w:lineRule="auto"/>
        <w:ind w:firstLine="420" w:firstLineChars="200"/>
        <w:jc w:val="both"/>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 xml:space="preserve">联 系 人：郑女士 </w:t>
      </w:r>
    </w:p>
    <w:p>
      <w:pPr>
        <w:pStyle w:val="6"/>
        <w:spacing w:before="0" w:after="0" w:line="276" w:lineRule="auto"/>
        <w:ind w:firstLine="420" w:firstLineChars="200"/>
        <w:jc w:val="both"/>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监督投诉电话：0577-85600831</w:t>
      </w:r>
    </w:p>
    <w:p>
      <w:pPr>
        <w:pStyle w:val="6"/>
        <w:spacing w:before="0" w:after="0" w:line="276" w:lineRule="auto"/>
        <w:jc w:val="center"/>
        <w:rPr>
          <w:rStyle w:val="139"/>
          <w:b/>
          <w:color w:val="auto"/>
          <w:highlight w:val="none"/>
        </w:rPr>
      </w:pPr>
      <w:r>
        <w:rPr>
          <w:color w:val="auto"/>
          <w:highlight w:val="none"/>
        </w:rPr>
        <w:br w:type="page"/>
      </w:r>
      <w:bookmarkStart w:id="32" w:name="_Toc105435644"/>
      <w:bookmarkStart w:id="33" w:name="_Toc105435702"/>
      <w:bookmarkStart w:id="34" w:name="_Toc105435516"/>
      <w:bookmarkStart w:id="35" w:name="_Toc105438802"/>
      <w:bookmarkStart w:id="36" w:name="_Toc104190720"/>
      <w:bookmarkStart w:id="37" w:name="_Toc23621"/>
      <w:r>
        <w:rPr>
          <w:rStyle w:val="139"/>
          <w:b/>
          <w:color w:val="auto"/>
          <w:highlight w:val="none"/>
        </w:rPr>
        <w:t>风险提示</w:t>
      </w:r>
      <w:bookmarkEnd w:id="32"/>
      <w:bookmarkEnd w:id="33"/>
      <w:bookmarkEnd w:id="34"/>
      <w:bookmarkEnd w:id="35"/>
      <w:bookmarkEnd w:id="36"/>
      <w:bookmarkEnd w:id="37"/>
    </w:p>
    <w:p>
      <w:pPr>
        <w:widowControl/>
        <w:numPr>
          <w:ilvl w:val="0"/>
          <w:numId w:val="3"/>
        </w:numPr>
        <w:spacing w:line="400" w:lineRule="exact"/>
        <w:ind w:left="-400" w:leftChars="0" w:firstLine="480" w:firstLineChars="0"/>
        <w:jc w:val="left"/>
        <w:rPr>
          <w:rFonts w:ascii="宋体" w:hAnsi="宋体" w:cs="Arial"/>
          <w:color w:val="auto"/>
          <w:sz w:val="21"/>
          <w:szCs w:val="21"/>
          <w:highlight w:val="none"/>
        </w:rPr>
      </w:pPr>
      <w:r>
        <w:rPr>
          <w:rFonts w:ascii="宋体" w:hAnsi="宋体" w:cs="Arial"/>
          <w:color w:val="auto"/>
          <w:sz w:val="21"/>
          <w:szCs w:val="21"/>
          <w:highlight w:val="none"/>
        </w:rPr>
        <w:t>本次采购为</w:t>
      </w:r>
      <w:r>
        <w:rPr>
          <w:rFonts w:hint="eastAsia" w:ascii="宋体" w:hAnsi="宋体" w:cs="宋体"/>
          <w:color w:val="auto"/>
          <w:sz w:val="21"/>
          <w:szCs w:val="21"/>
          <w:highlight w:val="none"/>
        </w:rPr>
        <w:t>龙湾区瑶溪街道环卫保洁一体化项目</w:t>
      </w:r>
      <w:r>
        <w:rPr>
          <w:rFonts w:ascii="宋体" w:hAnsi="宋体" w:cs="Arial"/>
          <w:color w:val="auto"/>
          <w:sz w:val="21"/>
          <w:szCs w:val="21"/>
          <w:highlight w:val="none"/>
        </w:rPr>
        <w:t>招标采购的改革，采购人将对中标单位的环卫保洁工作</w:t>
      </w:r>
      <w:r>
        <w:rPr>
          <w:rFonts w:ascii="宋体" w:hAnsi="宋体" w:cs="Arial"/>
          <w:b/>
          <w:bCs/>
          <w:color w:val="auto"/>
          <w:sz w:val="21"/>
          <w:szCs w:val="21"/>
          <w:highlight w:val="none"/>
          <w:u w:val="single"/>
        </w:rPr>
        <w:t>从严、从重考核，并引入了退出机制</w:t>
      </w:r>
      <w:r>
        <w:rPr>
          <w:rFonts w:ascii="宋体" w:hAnsi="宋体" w:cs="Arial"/>
          <w:color w:val="auto"/>
          <w:sz w:val="21"/>
          <w:szCs w:val="21"/>
          <w:highlight w:val="none"/>
        </w:rPr>
        <w:t>，对考核不合格并触发退出条件的</w:t>
      </w:r>
      <w:r>
        <w:rPr>
          <w:rFonts w:hint="eastAsia" w:ascii="宋体" w:hAnsi="宋体" w:cs="Arial"/>
          <w:color w:val="auto"/>
          <w:sz w:val="21"/>
          <w:szCs w:val="21"/>
          <w:highlight w:val="none"/>
        </w:rPr>
        <w:t>中标单位</w:t>
      </w:r>
      <w:r>
        <w:rPr>
          <w:rFonts w:ascii="宋体" w:hAnsi="宋体" w:cs="Arial"/>
          <w:color w:val="auto"/>
          <w:sz w:val="21"/>
          <w:szCs w:val="21"/>
          <w:highlight w:val="none"/>
        </w:rPr>
        <w:t>将予以通报，并启动退出机制，以</w:t>
      </w:r>
      <w:r>
        <w:rPr>
          <w:rFonts w:ascii="宋体" w:hAnsi="宋体" w:cs="Arial"/>
          <w:b/>
          <w:bCs/>
          <w:color w:val="auto"/>
          <w:sz w:val="21"/>
          <w:szCs w:val="21"/>
          <w:highlight w:val="none"/>
          <w:u w:val="single"/>
        </w:rPr>
        <w:t>遏制投标人通过恶意低价谋取中标</w:t>
      </w:r>
      <w:r>
        <w:rPr>
          <w:rFonts w:ascii="宋体" w:hAnsi="宋体" w:cs="Arial"/>
          <w:color w:val="auto"/>
          <w:sz w:val="21"/>
          <w:szCs w:val="21"/>
          <w:highlight w:val="none"/>
        </w:rPr>
        <w:t>。如乙方（中标单位）触发本合同或采购文件规定的退出条件（终止合同），</w:t>
      </w:r>
      <w:r>
        <w:rPr>
          <w:rFonts w:hint="eastAsia" w:ascii="宋体" w:hAnsi="宋体" w:cs="Arial"/>
          <w:color w:val="auto"/>
          <w:sz w:val="21"/>
          <w:szCs w:val="21"/>
          <w:highlight w:val="none"/>
        </w:rPr>
        <w:t>采购人立即启动新一轮招投标，待新的中标单位产生后，</w:t>
      </w:r>
      <w:r>
        <w:rPr>
          <w:rFonts w:ascii="宋体" w:hAnsi="宋体" w:cs="Arial"/>
          <w:color w:val="auto"/>
          <w:sz w:val="21"/>
          <w:szCs w:val="21"/>
          <w:highlight w:val="none"/>
        </w:rPr>
        <w:t>乙方（中标单位）</w:t>
      </w:r>
      <w:r>
        <w:rPr>
          <w:rFonts w:hint="eastAsia" w:ascii="宋体" w:hAnsi="宋体" w:cs="Arial"/>
          <w:color w:val="auto"/>
          <w:sz w:val="21"/>
          <w:szCs w:val="21"/>
          <w:highlight w:val="none"/>
        </w:rPr>
        <w:t>无条件退出。</w:t>
      </w:r>
    </w:p>
    <w:p>
      <w:pPr>
        <w:widowControl/>
        <w:numPr>
          <w:ilvl w:val="0"/>
          <w:numId w:val="3"/>
        </w:numPr>
        <w:spacing w:line="400" w:lineRule="exact"/>
        <w:ind w:left="-400" w:leftChars="0" w:firstLine="480" w:firstLineChars="0"/>
        <w:jc w:val="left"/>
        <w:rPr>
          <w:rFonts w:ascii="宋体" w:hAnsi="宋体" w:cs="Arial"/>
          <w:color w:val="auto"/>
          <w:sz w:val="21"/>
          <w:szCs w:val="21"/>
          <w:highlight w:val="none"/>
        </w:rPr>
      </w:pPr>
      <w:r>
        <w:rPr>
          <w:rFonts w:ascii="宋体" w:hAnsi="宋体" w:cs="Arial"/>
          <w:color w:val="auto"/>
          <w:sz w:val="21"/>
          <w:szCs w:val="21"/>
          <w:highlight w:val="none"/>
        </w:rPr>
        <w:t>本次采购，采购人有权不续签或终止合同的情形包括且不限于：</w:t>
      </w:r>
    </w:p>
    <w:p>
      <w:pPr>
        <w:widowControl/>
        <w:numPr>
          <w:ilvl w:val="0"/>
          <w:numId w:val="4"/>
        </w:numPr>
        <w:spacing w:line="400" w:lineRule="exact"/>
        <w:ind w:firstLine="480"/>
        <w:jc w:val="left"/>
        <w:rPr>
          <w:rFonts w:ascii="宋体" w:hAnsi="宋体" w:cs="Arial"/>
          <w:color w:val="auto"/>
          <w:sz w:val="21"/>
          <w:szCs w:val="21"/>
          <w:highlight w:val="none"/>
        </w:rPr>
      </w:pPr>
      <w:r>
        <w:rPr>
          <w:rFonts w:ascii="宋体" w:hAnsi="宋体" w:cs="Arial"/>
          <w:color w:val="auto"/>
          <w:sz w:val="21"/>
          <w:szCs w:val="21"/>
          <w:highlight w:val="none"/>
        </w:rPr>
        <w:t xml:space="preserve">本项目遇不可抗力影响或法律、法规、国家政策重大调整影响合同无法执行的； </w:t>
      </w:r>
    </w:p>
    <w:p>
      <w:pPr>
        <w:widowControl/>
        <w:numPr>
          <w:ilvl w:val="0"/>
          <w:numId w:val="4"/>
        </w:numPr>
        <w:spacing w:line="400" w:lineRule="exact"/>
        <w:ind w:firstLine="480"/>
        <w:jc w:val="left"/>
        <w:rPr>
          <w:rFonts w:ascii="宋体" w:hAnsi="宋体" w:cs="Arial"/>
          <w:color w:val="auto"/>
          <w:sz w:val="21"/>
          <w:szCs w:val="21"/>
          <w:highlight w:val="none"/>
        </w:rPr>
      </w:pPr>
      <w:r>
        <w:rPr>
          <w:rFonts w:ascii="宋体" w:hAnsi="宋体" w:cs="Arial"/>
          <w:color w:val="auto"/>
          <w:sz w:val="21"/>
          <w:szCs w:val="21"/>
          <w:highlight w:val="none"/>
        </w:rPr>
        <w:t>实际投入人员、机械车辆、船只与投标文件承诺不符合，拒不履行投标承诺的中标单位（未按采购文件规定时间人员、机械车辆、船只到位，达到解除合同条件的），采购人有权无责任终止采购合同。</w:t>
      </w:r>
    </w:p>
    <w:p>
      <w:pPr>
        <w:widowControl/>
        <w:numPr>
          <w:ilvl w:val="0"/>
          <w:numId w:val="4"/>
        </w:numPr>
        <w:spacing w:line="400" w:lineRule="exact"/>
        <w:ind w:firstLine="480"/>
        <w:jc w:val="left"/>
        <w:rPr>
          <w:rFonts w:hint="eastAsia" w:ascii="宋体" w:hAnsi="宋体" w:cs="Arial"/>
          <w:color w:val="auto"/>
          <w:sz w:val="21"/>
          <w:szCs w:val="21"/>
          <w:highlight w:val="none"/>
        </w:rPr>
      </w:pPr>
      <w:r>
        <w:rPr>
          <w:rFonts w:hint="eastAsia" w:ascii="宋体" w:hAnsi="宋体" w:cs="Arial"/>
          <w:color w:val="auto"/>
          <w:sz w:val="21"/>
          <w:szCs w:val="21"/>
          <w:highlight w:val="none"/>
        </w:rPr>
        <w:t>中标单位</w:t>
      </w:r>
      <w:r>
        <w:rPr>
          <w:rFonts w:ascii="宋体" w:hAnsi="宋体" w:cs="Arial"/>
          <w:color w:val="auto"/>
          <w:sz w:val="21"/>
          <w:szCs w:val="21"/>
          <w:highlight w:val="none"/>
        </w:rPr>
        <w:t>有下列情形之一的，采购人有权不续签或终止合同：</w:t>
      </w:r>
    </w:p>
    <w:p>
      <w:pPr>
        <w:widowControl/>
        <w:spacing w:line="400" w:lineRule="exact"/>
        <w:ind w:firstLine="567" w:firstLineChars="270"/>
        <w:jc w:val="left"/>
        <w:rPr>
          <w:rFonts w:hint="eastAsia" w:ascii="宋体" w:hAnsi="宋体" w:cs="Arial"/>
          <w:color w:val="auto"/>
          <w:sz w:val="21"/>
          <w:szCs w:val="21"/>
          <w:highlight w:val="none"/>
        </w:rPr>
      </w:pPr>
      <w:r>
        <w:rPr>
          <w:rFonts w:hint="eastAsia" w:ascii="宋体" w:hAnsi="宋体" w:cs="Arial"/>
          <w:color w:val="auto"/>
          <w:sz w:val="21"/>
          <w:szCs w:val="21"/>
          <w:highlight w:val="none"/>
        </w:rPr>
        <w:t>①本项目12个月内中标单位在龙湾区环卫保洁考核排名前3名少于7个月的，或考核排名倒数后2名累计3次的，采购人有权不续签合同。</w:t>
      </w:r>
    </w:p>
    <w:p>
      <w:pPr>
        <w:tabs>
          <w:tab w:val="left" w:pos="1985"/>
          <w:tab w:val="left" w:pos="2268"/>
        </w:tabs>
        <w:spacing w:line="400" w:lineRule="exact"/>
        <w:ind w:left="210" w:leftChars="75" w:firstLine="420" w:firstLineChars="200"/>
        <w:jc w:val="left"/>
        <w:rPr>
          <w:rFonts w:ascii="宋体" w:hAnsi="宋体" w:cs="Arial"/>
          <w:color w:val="auto"/>
          <w:sz w:val="21"/>
          <w:szCs w:val="21"/>
          <w:highlight w:val="none"/>
        </w:rPr>
      </w:pPr>
      <w:r>
        <w:rPr>
          <w:rFonts w:hint="eastAsia" w:ascii="宋体" w:hAnsi="宋体" w:cs="Arial"/>
          <w:color w:val="auto"/>
          <w:sz w:val="21"/>
          <w:szCs w:val="21"/>
          <w:highlight w:val="none"/>
        </w:rPr>
        <w:t>②</w:t>
      </w:r>
      <w:r>
        <w:rPr>
          <w:rFonts w:ascii="宋体" w:hAnsi="宋体" w:cs="Arial"/>
          <w:color w:val="auto"/>
          <w:sz w:val="21"/>
          <w:szCs w:val="21"/>
          <w:highlight w:val="none"/>
        </w:rPr>
        <w:t>连续2个月（或全年累计3个月）考核不合格的，采购人有权无责任终止采购合同。</w:t>
      </w:r>
    </w:p>
    <w:p>
      <w:pPr>
        <w:tabs>
          <w:tab w:val="left" w:pos="1985"/>
          <w:tab w:val="left" w:pos="2268"/>
        </w:tabs>
        <w:spacing w:line="400" w:lineRule="exact"/>
        <w:ind w:left="210" w:leftChars="75" w:firstLine="420" w:firstLineChars="200"/>
        <w:jc w:val="left"/>
        <w:rPr>
          <w:rFonts w:ascii="宋体" w:hAnsi="宋体" w:cs="Arial"/>
          <w:color w:val="auto"/>
          <w:sz w:val="21"/>
          <w:szCs w:val="21"/>
          <w:highlight w:val="none"/>
        </w:rPr>
      </w:pPr>
      <w:r>
        <w:rPr>
          <w:rFonts w:hint="eastAsia" w:ascii="宋体" w:hAnsi="宋体" w:cs="Arial"/>
          <w:color w:val="auto"/>
          <w:sz w:val="21"/>
          <w:szCs w:val="21"/>
          <w:highlight w:val="none"/>
        </w:rPr>
        <w:t>③</w:t>
      </w:r>
      <w:r>
        <w:rPr>
          <w:rFonts w:ascii="宋体" w:hAnsi="宋体" w:cs="Arial"/>
          <w:color w:val="auto"/>
          <w:sz w:val="21"/>
          <w:szCs w:val="21"/>
          <w:highlight w:val="none"/>
        </w:rPr>
        <w:t>违反安全管理、规范作业规定，造成重大伤亡或重大损失。</w:t>
      </w:r>
    </w:p>
    <w:p>
      <w:pPr>
        <w:tabs>
          <w:tab w:val="left" w:pos="1985"/>
          <w:tab w:val="left" w:pos="2268"/>
        </w:tabs>
        <w:spacing w:line="400" w:lineRule="exact"/>
        <w:ind w:left="210" w:leftChars="75" w:firstLine="420" w:firstLineChars="200"/>
        <w:jc w:val="left"/>
        <w:rPr>
          <w:rFonts w:ascii="宋体" w:hAnsi="宋体" w:cs="Arial"/>
          <w:color w:val="auto"/>
          <w:sz w:val="21"/>
          <w:szCs w:val="21"/>
          <w:highlight w:val="none"/>
        </w:rPr>
      </w:pPr>
      <w:r>
        <w:rPr>
          <w:rFonts w:hint="eastAsia" w:ascii="宋体" w:hAnsi="宋体" w:cs="Arial"/>
          <w:color w:val="auto"/>
          <w:sz w:val="21"/>
          <w:szCs w:val="21"/>
          <w:highlight w:val="none"/>
        </w:rPr>
        <w:t>④</w:t>
      </w:r>
      <w:r>
        <w:rPr>
          <w:rFonts w:ascii="宋体" w:hAnsi="宋体" w:cs="Arial"/>
          <w:color w:val="auto"/>
          <w:sz w:val="21"/>
          <w:szCs w:val="21"/>
          <w:highlight w:val="none"/>
        </w:rPr>
        <w:t>经省、市级新闻媒体曝光，中标单位为责任方，造成恶劣影响的。</w:t>
      </w:r>
    </w:p>
    <w:p>
      <w:pPr>
        <w:tabs>
          <w:tab w:val="left" w:pos="1985"/>
          <w:tab w:val="left" w:pos="2268"/>
        </w:tabs>
        <w:spacing w:line="400" w:lineRule="exact"/>
        <w:ind w:left="210" w:leftChars="75" w:firstLine="420" w:firstLineChars="200"/>
        <w:jc w:val="left"/>
        <w:rPr>
          <w:rFonts w:ascii="宋体" w:hAnsi="宋体" w:cs="Arial"/>
          <w:color w:val="auto"/>
          <w:sz w:val="21"/>
          <w:szCs w:val="21"/>
          <w:highlight w:val="none"/>
        </w:rPr>
      </w:pPr>
      <w:r>
        <w:rPr>
          <w:rFonts w:ascii="宋体" w:hAnsi="宋体" w:cs="Arial"/>
          <w:color w:val="auto"/>
          <w:sz w:val="21"/>
          <w:szCs w:val="21"/>
          <w:highlight w:val="none"/>
        </w:rPr>
        <w:fldChar w:fldCharType="begin"/>
      </w:r>
      <w:r>
        <w:rPr>
          <w:rFonts w:ascii="宋体" w:hAnsi="宋体" w:cs="Arial"/>
          <w:color w:val="auto"/>
          <w:sz w:val="21"/>
          <w:szCs w:val="21"/>
          <w:highlight w:val="none"/>
        </w:rPr>
        <w:instrText xml:space="preserve"> </w:instrText>
      </w:r>
      <w:r>
        <w:rPr>
          <w:rFonts w:hint="eastAsia" w:ascii="宋体" w:hAnsi="宋体" w:cs="Arial"/>
          <w:color w:val="auto"/>
          <w:sz w:val="21"/>
          <w:szCs w:val="21"/>
          <w:highlight w:val="none"/>
        </w:rPr>
        <w:instrText xml:space="preserve">= 5 \* GB3</w:instrText>
      </w:r>
      <w:r>
        <w:rPr>
          <w:rFonts w:ascii="宋体" w:hAnsi="宋体" w:cs="Arial"/>
          <w:color w:val="auto"/>
          <w:sz w:val="21"/>
          <w:szCs w:val="21"/>
          <w:highlight w:val="none"/>
        </w:rPr>
        <w:instrText xml:space="preserve"> </w:instrText>
      </w:r>
      <w:r>
        <w:rPr>
          <w:rFonts w:ascii="宋体" w:hAnsi="宋体" w:cs="Arial"/>
          <w:color w:val="auto"/>
          <w:sz w:val="21"/>
          <w:szCs w:val="21"/>
          <w:highlight w:val="none"/>
        </w:rPr>
        <w:fldChar w:fldCharType="separate"/>
      </w:r>
      <w:r>
        <w:rPr>
          <w:rFonts w:hint="eastAsia" w:ascii="宋体" w:hAnsi="宋体" w:cs="Arial"/>
          <w:color w:val="auto"/>
          <w:sz w:val="21"/>
          <w:szCs w:val="21"/>
          <w:highlight w:val="none"/>
        </w:rPr>
        <w:t>⑤</w:t>
      </w:r>
      <w:r>
        <w:rPr>
          <w:rFonts w:ascii="宋体" w:hAnsi="宋体" w:cs="Arial"/>
          <w:color w:val="auto"/>
          <w:sz w:val="21"/>
          <w:szCs w:val="21"/>
          <w:highlight w:val="none"/>
        </w:rPr>
        <w:fldChar w:fldCharType="end"/>
      </w:r>
      <w:r>
        <w:rPr>
          <w:rFonts w:ascii="宋体" w:hAnsi="宋体" w:cs="Arial"/>
          <w:color w:val="auto"/>
          <w:sz w:val="21"/>
          <w:szCs w:val="21"/>
          <w:highlight w:val="none"/>
        </w:rPr>
        <w:t>经有关部门认定严重违反劳动法，造成恶劣影响的；或其它因违法经营受到刑事处罚或者责令停产停业、吊销许可证或者执照、较大数额罚款等行政处罚的。</w:t>
      </w:r>
    </w:p>
    <w:p>
      <w:pPr>
        <w:widowControl/>
        <w:numPr>
          <w:ilvl w:val="0"/>
          <w:numId w:val="4"/>
        </w:numPr>
        <w:spacing w:line="400" w:lineRule="exact"/>
        <w:ind w:firstLine="480"/>
        <w:jc w:val="left"/>
        <w:rPr>
          <w:rFonts w:ascii="宋体" w:hAnsi="宋体" w:cs="Arial"/>
          <w:color w:val="auto"/>
          <w:sz w:val="21"/>
          <w:szCs w:val="21"/>
          <w:highlight w:val="none"/>
        </w:rPr>
      </w:pPr>
      <w:r>
        <w:rPr>
          <w:rFonts w:ascii="宋体" w:hAnsi="宋体" w:cs="Arial"/>
          <w:color w:val="auto"/>
          <w:sz w:val="21"/>
          <w:szCs w:val="21"/>
          <w:highlight w:val="none"/>
        </w:rPr>
        <w:t>其它弄虚作假及其他不正当行为。</w:t>
      </w:r>
    </w:p>
    <w:p>
      <w:pPr>
        <w:widowControl/>
        <w:numPr>
          <w:ilvl w:val="0"/>
          <w:numId w:val="4"/>
        </w:numPr>
        <w:spacing w:line="400" w:lineRule="exact"/>
        <w:ind w:firstLine="480"/>
        <w:jc w:val="left"/>
        <w:rPr>
          <w:rFonts w:ascii="宋体" w:hAnsi="宋体" w:cs="Arial"/>
          <w:color w:val="auto"/>
          <w:sz w:val="21"/>
          <w:szCs w:val="21"/>
          <w:highlight w:val="none"/>
        </w:rPr>
      </w:pPr>
      <w:r>
        <w:rPr>
          <w:rFonts w:ascii="宋体" w:hAnsi="宋体" w:cs="Arial"/>
          <w:color w:val="auto"/>
          <w:sz w:val="21"/>
          <w:szCs w:val="21"/>
          <w:highlight w:val="none"/>
        </w:rPr>
        <w:t>合同履约期间，中标单位法人组织破产的；</w:t>
      </w:r>
    </w:p>
    <w:p>
      <w:pPr>
        <w:widowControl/>
        <w:numPr>
          <w:ilvl w:val="0"/>
          <w:numId w:val="4"/>
        </w:numPr>
        <w:spacing w:line="400" w:lineRule="exact"/>
        <w:ind w:firstLine="480"/>
        <w:jc w:val="left"/>
        <w:rPr>
          <w:rFonts w:ascii="宋体" w:hAnsi="宋体" w:cs="Arial"/>
          <w:color w:val="auto"/>
          <w:sz w:val="21"/>
          <w:szCs w:val="21"/>
          <w:highlight w:val="none"/>
        </w:rPr>
      </w:pPr>
      <w:r>
        <w:rPr>
          <w:rFonts w:ascii="宋体" w:hAnsi="宋体" w:cs="Arial"/>
          <w:color w:val="auto"/>
          <w:sz w:val="21"/>
          <w:szCs w:val="21"/>
          <w:highlight w:val="none"/>
        </w:rPr>
        <w:t>根据采购文件及合同约定，其它不续签或终止合同的规定，其它法律规定的终止情形。</w:t>
      </w:r>
    </w:p>
    <w:p>
      <w:pPr>
        <w:widowControl/>
        <w:numPr>
          <w:ilvl w:val="0"/>
          <w:numId w:val="3"/>
        </w:numPr>
        <w:spacing w:line="400" w:lineRule="exact"/>
        <w:ind w:left="-400" w:leftChars="0" w:firstLineChars="0"/>
        <w:jc w:val="left"/>
        <w:rPr>
          <w:rFonts w:ascii="宋体" w:hAnsi="宋体" w:cs="Arial"/>
          <w:color w:val="auto"/>
          <w:sz w:val="21"/>
          <w:szCs w:val="21"/>
          <w:highlight w:val="none"/>
        </w:rPr>
      </w:pPr>
      <w:r>
        <w:rPr>
          <w:rFonts w:ascii="宋体" w:hAnsi="宋体" w:cs="Arial"/>
          <w:color w:val="auto"/>
          <w:sz w:val="21"/>
          <w:szCs w:val="21"/>
          <w:highlight w:val="none"/>
        </w:rPr>
        <w:t>本采购的报价形式按作业量清单报价，但是作业量清单中未明确表示的</w:t>
      </w:r>
      <w:r>
        <w:rPr>
          <w:rFonts w:ascii="宋体" w:hAnsi="宋体" w:cs="Arial"/>
          <w:b/>
          <w:bCs/>
          <w:color w:val="auto"/>
          <w:sz w:val="21"/>
          <w:szCs w:val="21"/>
          <w:highlight w:val="none"/>
          <w:u w:val="single"/>
        </w:rPr>
        <w:t>广场、天桥、地下通道、桥下空间、公共绿地、公共绿化、公共花坛、废弃地（拆后空地）、房前屋后等区域，城市道路护栏，隔离栏、站牌、电杆、监控杆、灯箱、广告牌、弱电设施、固定室外座椅等市政设施，池塘、溪流、沟、渠、小微水体、河道沿岸、沿河游步道等水体区域，城市道路两侧的小区店铺门口或围墙外的区域</w:t>
      </w:r>
      <w:r>
        <w:rPr>
          <w:rFonts w:ascii="宋体" w:hAnsi="宋体" w:cs="Arial"/>
          <w:color w:val="auto"/>
          <w:sz w:val="21"/>
          <w:szCs w:val="21"/>
          <w:highlight w:val="none"/>
        </w:rPr>
        <w:t>，无论是否报价单列，以上内容全部包括在投标总价中。</w:t>
      </w:r>
    </w:p>
    <w:p>
      <w:pPr>
        <w:widowControl/>
        <w:numPr>
          <w:ilvl w:val="0"/>
          <w:numId w:val="3"/>
        </w:numPr>
        <w:spacing w:line="400" w:lineRule="exact"/>
        <w:ind w:left="-400" w:leftChars="0" w:firstLineChars="0"/>
        <w:jc w:val="left"/>
        <w:rPr>
          <w:rFonts w:ascii="宋体" w:hAnsi="宋体" w:cs="Arial"/>
          <w:color w:val="auto"/>
          <w:sz w:val="21"/>
          <w:szCs w:val="21"/>
          <w:highlight w:val="none"/>
        </w:rPr>
      </w:pPr>
      <w:r>
        <w:rPr>
          <w:rFonts w:ascii="宋体" w:hAnsi="宋体" w:cs="Arial"/>
          <w:color w:val="auto"/>
          <w:sz w:val="21"/>
          <w:szCs w:val="21"/>
          <w:highlight w:val="none"/>
        </w:rPr>
        <w:t>本次采购，一、二级道路及重点街区的普扫时间较以往有调整，具体如下：</w:t>
      </w:r>
    </w:p>
    <w:tbl>
      <w:tblPr>
        <w:tblStyle w:val="42"/>
        <w:tblW w:w="572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969"/>
        <w:gridCol w:w="27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1" w:hRule="atLeast"/>
          <w:jc w:val="center"/>
        </w:trPr>
        <w:tc>
          <w:tcPr>
            <w:tcW w:w="2969" w:type="dxa"/>
            <w:noWrap w:val="0"/>
            <w:vAlign w:val="center"/>
          </w:tcPr>
          <w:p>
            <w:pPr>
              <w:spacing w:line="400" w:lineRule="exact"/>
              <w:jc w:val="left"/>
              <w:rPr>
                <w:rFonts w:ascii="宋体" w:hAnsi="宋体" w:cs="Arial"/>
                <w:color w:val="auto"/>
                <w:sz w:val="21"/>
                <w:szCs w:val="21"/>
                <w:highlight w:val="none"/>
              </w:rPr>
            </w:pPr>
            <w:r>
              <w:rPr>
                <w:rFonts w:ascii="宋体" w:hAnsi="宋体" w:cs="Arial"/>
                <w:color w:val="auto"/>
                <w:sz w:val="21"/>
                <w:szCs w:val="21"/>
                <w:highlight w:val="none"/>
              </w:rPr>
              <w:t>6</w:t>
            </w:r>
            <w:r>
              <w:rPr>
                <w:rFonts w:hint="eastAsia" w:ascii="宋体" w:hAnsi="宋体" w:cs="Arial"/>
                <w:color w:val="auto"/>
                <w:sz w:val="21"/>
                <w:szCs w:val="21"/>
                <w:highlight w:val="none"/>
              </w:rPr>
              <w:t>月</w:t>
            </w:r>
            <w:r>
              <w:rPr>
                <w:rFonts w:ascii="宋体" w:hAnsi="宋体" w:cs="Arial"/>
                <w:color w:val="auto"/>
                <w:sz w:val="21"/>
                <w:szCs w:val="21"/>
                <w:highlight w:val="none"/>
              </w:rPr>
              <w:t>-9月</w:t>
            </w:r>
          </w:p>
        </w:tc>
        <w:tc>
          <w:tcPr>
            <w:tcW w:w="2760" w:type="dxa"/>
            <w:noWrap w:val="0"/>
            <w:vAlign w:val="center"/>
          </w:tcPr>
          <w:p>
            <w:pPr>
              <w:spacing w:line="400" w:lineRule="exact"/>
              <w:jc w:val="left"/>
              <w:rPr>
                <w:rFonts w:ascii="宋体" w:hAnsi="宋体" w:cs="Arial"/>
                <w:color w:val="auto"/>
                <w:sz w:val="21"/>
                <w:szCs w:val="21"/>
                <w:highlight w:val="none"/>
              </w:rPr>
            </w:pPr>
            <w:r>
              <w:rPr>
                <w:rFonts w:ascii="宋体" w:hAnsi="宋体" w:cs="Arial"/>
                <w:color w:val="auto"/>
                <w:sz w:val="21"/>
                <w:szCs w:val="21"/>
                <w:highlight w:val="none"/>
              </w:rPr>
              <w:t>10</w:t>
            </w:r>
            <w:r>
              <w:rPr>
                <w:rFonts w:hint="eastAsia" w:ascii="宋体" w:hAnsi="宋体" w:cs="Arial"/>
                <w:color w:val="auto"/>
                <w:sz w:val="21"/>
                <w:szCs w:val="21"/>
                <w:highlight w:val="none"/>
              </w:rPr>
              <w:t>月</w:t>
            </w:r>
            <w:r>
              <w:rPr>
                <w:rFonts w:ascii="宋体" w:hAnsi="宋体" w:cs="Arial"/>
                <w:color w:val="auto"/>
                <w:sz w:val="21"/>
                <w:szCs w:val="21"/>
                <w:highlight w:val="none"/>
              </w:rPr>
              <w:t>-5月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0" w:hRule="atLeast"/>
          <w:jc w:val="center"/>
        </w:trPr>
        <w:tc>
          <w:tcPr>
            <w:tcW w:w="2969" w:type="dxa"/>
            <w:noWrap w:val="0"/>
            <w:vAlign w:val="center"/>
          </w:tcPr>
          <w:p>
            <w:pPr>
              <w:spacing w:line="400" w:lineRule="exact"/>
              <w:jc w:val="left"/>
              <w:rPr>
                <w:rFonts w:ascii="宋体" w:hAnsi="宋体" w:cs="Arial"/>
                <w:color w:val="auto"/>
                <w:sz w:val="21"/>
                <w:szCs w:val="21"/>
                <w:highlight w:val="none"/>
              </w:rPr>
            </w:pPr>
            <w:r>
              <w:rPr>
                <w:rFonts w:ascii="宋体" w:hAnsi="宋体" w:cs="Arial"/>
                <w:color w:val="auto"/>
                <w:sz w:val="21"/>
                <w:szCs w:val="21"/>
                <w:highlight w:val="none"/>
              </w:rPr>
              <w:t>04:30-06:30</w:t>
            </w:r>
          </w:p>
          <w:p>
            <w:pPr>
              <w:spacing w:line="400" w:lineRule="exact"/>
              <w:jc w:val="left"/>
              <w:rPr>
                <w:rFonts w:ascii="宋体" w:hAnsi="宋体" w:cs="Arial"/>
                <w:color w:val="auto"/>
                <w:sz w:val="21"/>
                <w:szCs w:val="21"/>
                <w:highlight w:val="none"/>
              </w:rPr>
            </w:pPr>
            <w:r>
              <w:rPr>
                <w:rFonts w:ascii="宋体" w:hAnsi="宋体" w:cs="Arial"/>
                <w:color w:val="auto"/>
                <w:sz w:val="21"/>
                <w:szCs w:val="21"/>
                <w:highlight w:val="none"/>
              </w:rPr>
              <w:t>11:00-13:00</w:t>
            </w:r>
          </w:p>
          <w:p>
            <w:pPr>
              <w:spacing w:line="400" w:lineRule="exact"/>
              <w:jc w:val="left"/>
              <w:rPr>
                <w:rFonts w:ascii="宋体" w:hAnsi="宋体" w:cs="Arial"/>
                <w:color w:val="auto"/>
                <w:sz w:val="21"/>
                <w:szCs w:val="21"/>
                <w:highlight w:val="none"/>
              </w:rPr>
            </w:pPr>
            <w:r>
              <w:rPr>
                <w:rFonts w:ascii="宋体" w:hAnsi="宋体" w:cs="Arial"/>
                <w:b/>
                <w:bCs/>
                <w:color w:val="auto"/>
                <w:sz w:val="21"/>
                <w:szCs w:val="21"/>
                <w:highlight w:val="none"/>
              </w:rPr>
              <w:t>19:00-20:30</w:t>
            </w:r>
          </w:p>
        </w:tc>
        <w:tc>
          <w:tcPr>
            <w:tcW w:w="2760" w:type="dxa"/>
            <w:noWrap w:val="0"/>
            <w:vAlign w:val="center"/>
          </w:tcPr>
          <w:p>
            <w:pPr>
              <w:spacing w:line="400" w:lineRule="exact"/>
              <w:jc w:val="left"/>
              <w:rPr>
                <w:rFonts w:ascii="宋体" w:hAnsi="宋体" w:cs="Arial"/>
                <w:color w:val="auto"/>
                <w:sz w:val="21"/>
                <w:szCs w:val="21"/>
                <w:highlight w:val="none"/>
              </w:rPr>
            </w:pPr>
            <w:r>
              <w:rPr>
                <w:rFonts w:ascii="宋体" w:hAnsi="宋体" w:cs="Arial"/>
                <w:color w:val="auto"/>
                <w:sz w:val="21"/>
                <w:szCs w:val="21"/>
                <w:highlight w:val="none"/>
              </w:rPr>
              <w:t>05:00-07:00</w:t>
            </w:r>
          </w:p>
          <w:p>
            <w:pPr>
              <w:spacing w:line="400" w:lineRule="exact"/>
              <w:jc w:val="left"/>
              <w:rPr>
                <w:rFonts w:ascii="宋体" w:hAnsi="宋体" w:cs="Arial"/>
                <w:color w:val="auto"/>
                <w:sz w:val="21"/>
                <w:szCs w:val="21"/>
                <w:highlight w:val="none"/>
              </w:rPr>
            </w:pPr>
            <w:r>
              <w:rPr>
                <w:rFonts w:ascii="宋体" w:hAnsi="宋体" w:cs="Arial"/>
                <w:color w:val="auto"/>
                <w:sz w:val="21"/>
                <w:szCs w:val="21"/>
                <w:highlight w:val="none"/>
              </w:rPr>
              <w:t>12:00-14:00</w:t>
            </w:r>
          </w:p>
          <w:p>
            <w:pPr>
              <w:spacing w:line="400" w:lineRule="exact"/>
              <w:jc w:val="left"/>
              <w:rPr>
                <w:rFonts w:ascii="宋体" w:hAnsi="宋体" w:cs="Arial"/>
                <w:color w:val="auto"/>
                <w:sz w:val="21"/>
                <w:szCs w:val="21"/>
                <w:highlight w:val="none"/>
              </w:rPr>
            </w:pPr>
            <w:r>
              <w:rPr>
                <w:rFonts w:ascii="宋体" w:hAnsi="宋体" w:cs="Arial"/>
                <w:b/>
                <w:bCs/>
                <w:color w:val="auto"/>
                <w:sz w:val="21"/>
                <w:szCs w:val="21"/>
                <w:highlight w:val="none"/>
              </w:rPr>
              <w:t>18:30-20:00</w:t>
            </w:r>
          </w:p>
        </w:tc>
      </w:tr>
    </w:tbl>
    <w:p>
      <w:pPr>
        <w:spacing w:line="400" w:lineRule="exact"/>
        <w:jc w:val="left"/>
        <w:rPr>
          <w:rFonts w:ascii="宋体" w:hAnsi="宋体" w:cs="Arial"/>
          <w:color w:val="auto"/>
          <w:sz w:val="21"/>
          <w:szCs w:val="21"/>
          <w:highlight w:val="none"/>
        </w:rPr>
      </w:pPr>
      <w:r>
        <w:rPr>
          <w:rFonts w:ascii="宋体" w:hAnsi="宋体" w:cs="Arial"/>
          <w:color w:val="auto"/>
          <w:sz w:val="21"/>
          <w:szCs w:val="21"/>
          <w:highlight w:val="none"/>
        </w:rPr>
        <w:t>三四级道路普扫时间安排：第一次普扫应在7:00前完成（夏季6-9月应在6：30前完成），第二次普扫在13:00前完成，第三次普扫在17:00前完成。</w:t>
      </w:r>
    </w:p>
    <w:p>
      <w:pPr>
        <w:widowControl/>
        <w:numPr>
          <w:ilvl w:val="0"/>
          <w:numId w:val="3"/>
        </w:numPr>
        <w:spacing w:line="400" w:lineRule="exact"/>
        <w:ind w:left="-400" w:leftChars="0" w:firstLineChars="0"/>
        <w:jc w:val="left"/>
        <w:rPr>
          <w:rFonts w:ascii="宋体" w:hAnsi="宋体" w:cs="Arial"/>
          <w:color w:val="auto"/>
          <w:sz w:val="21"/>
          <w:szCs w:val="21"/>
          <w:highlight w:val="none"/>
        </w:rPr>
      </w:pPr>
      <w:r>
        <w:rPr>
          <w:rFonts w:ascii="宋体" w:hAnsi="宋体" w:cs="Arial"/>
          <w:color w:val="auto"/>
          <w:sz w:val="21"/>
          <w:szCs w:val="21"/>
          <w:highlight w:val="none"/>
        </w:rPr>
        <w:t>本次采购，</w:t>
      </w:r>
      <w:r>
        <w:rPr>
          <w:rFonts w:hint="eastAsia" w:ascii="宋体" w:hAnsi="宋体" w:cs="Arial"/>
          <w:color w:val="auto"/>
          <w:sz w:val="21"/>
          <w:szCs w:val="21"/>
          <w:highlight w:val="none"/>
        </w:rPr>
        <w:t>中标单位</w:t>
      </w:r>
      <w:r>
        <w:rPr>
          <w:rFonts w:ascii="宋体" w:hAnsi="宋体" w:cs="Arial"/>
          <w:color w:val="auto"/>
          <w:sz w:val="21"/>
          <w:szCs w:val="21"/>
          <w:highlight w:val="none"/>
        </w:rPr>
        <w:t>要对</w:t>
      </w:r>
      <w:r>
        <w:rPr>
          <w:rFonts w:hint="eastAsia" w:ascii="宋体" w:hAnsi="宋体" w:cs="Arial"/>
          <w:color w:val="auto"/>
          <w:sz w:val="21"/>
          <w:szCs w:val="21"/>
          <w:highlight w:val="none"/>
        </w:rPr>
        <w:t>商业街</w:t>
      </w:r>
      <w:r>
        <w:rPr>
          <w:rFonts w:ascii="宋体" w:hAnsi="宋体" w:cs="Arial"/>
          <w:b/>
          <w:bCs/>
          <w:color w:val="auto"/>
          <w:sz w:val="21"/>
          <w:szCs w:val="21"/>
          <w:highlight w:val="none"/>
          <w:u w:val="single"/>
        </w:rPr>
        <w:t>所有沿街店铺产生的生活垃圾、</w:t>
      </w:r>
      <w:r>
        <w:rPr>
          <w:rFonts w:hint="eastAsia" w:ascii="宋体" w:hAnsi="宋体" w:cs="Arial"/>
          <w:b/>
          <w:bCs/>
          <w:color w:val="auto"/>
          <w:sz w:val="21"/>
          <w:szCs w:val="21"/>
          <w:highlight w:val="none"/>
          <w:u w:val="single"/>
        </w:rPr>
        <w:t>易腐</w:t>
      </w:r>
      <w:r>
        <w:rPr>
          <w:rFonts w:ascii="宋体" w:hAnsi="宋体" w:cs="Arial"/>
          <w:b/>
          <w:bCs/>
          <w:color w:val="auto"/>
          <w:sz w:val="21"/>
          <w:szCs w:val="21"/>
          <w:highlight w:val="none"/>
          <w:u w:val="single"/>
        </w:rPr>
        <w:t>垃圾定时上门分类收集，其中厨余垃圾（除伟明</w:t>
      </w:r>
      <w:r>
        <w:rPr>
          <w:rFonts w:hint="eastAsia" w:ascii="宋体" w:hAnsi="宋体" w:cs="Arial"/>
          <w:b/>
          <w:bCs/>
          <w:color w:val="auto"/>
          <w:sz w:val="21"/>
          <w:szCs w:val="21"/>
          <w:highlight w:val="none"/>
          <w:u w:val="single"/>
          <w:lang w:eastAsia="zh-CN"/>
        </w:rPr>
        <w:t>等公司</w:t>
      </w:r>
      <w:r>
        <w:rPr>
          <w:rFonts w:ascii="宋体" w:hAnsi="宋体" w:cs="Arial"/>
          <w:b/>
          <w:bCs/>
          <w:color w:val="auto"/>
          <w:sz w:val="21"/>
          <w:szCs w:val="21"/>
          <w:highlight w:val="none"/>
          <w:u w:val="single"/>
        </w:rPr>
        <w:t>直运外）应收运到街道指定的中转站集置点</w:t>
      </w:r>
      <w:r>
        <w:rPr>
          <w:rFonts w:ascii="宋体" w:hAnsi="宋体" w:cs="Arial"/>
          <w:color w:val="auto"/>
          <w:sz w:val="21"/>
          <w:szCs w:val="21"/>
          <w:highlight w:val="none"/>
          <w:u w:val="single"/>
        </w:rPr>
        <w:t>，</w:t>
      </w:r>
      <w:r>
        <w:rPr>
          <w:rFonts w:ascii="宋体" w:hAnsi="宋体" w:cs="Arial"/>
          <w:b/>
          <w:bCs/>
          <w:color w:val="auto"/>
          <w:sz w:val="21"/>
          <w:szCs w:val="21"/>
          <w:highlight w:val="none"/>
          <w:u w:val="single"/>
        </w:rPr>
        <w:t>收集时应广播或音乐提醒</w:t>
      </w:r>
      <w:r>
        <w:rPr>
          <w:rFonts w:ascii="宋体" w:hAnsi="宋体" w:cs="Arial"/>
          <w:color w:val="auto"/>
          <w:sz w:val="21"/>
          <w:szCs w:val="21"/>
          <w:highlight w:val="none"/>
        </w:rPr>
        <w:t>，</w:t>
      </w:r>
      <w:r>
        <w:rPr>
          <w:rFonts w:ascii="宋体" w:hAnsi="宋体" w:cs="Arial"/>
          <w:b/>
          <w:bCs/>
          <w:color w:val="auto"/>
          <w:sz w:val="21"/>
          <w:szCs w:val="21"/>
          <w:highlight w:val="none"/>
          <w:u w:val="single"/>
        </w:rPr>
        <w:t>每日不少于3次</w:t>
      </w:r>
      <w:r>
        <w:rPr>
          <w:rFonts w:ascii="宋体" w:hAnsi="宋体" w:cs="Arial"/>
          <w:color w:val="auto"/>
          <w:sz w:val="21"/>
          <w:szCs w:val="21"/>
          <w:highlight w:val="none"/>
        </w:rPr>
        <w:t>，时间为上午9:00~10:</w:t>
      </w:r>
      <w:r>
        <w:rPr>
          <w:rFonts w:hint="eastAsia" w:ascii="宋体" w:hAnsi="宋体" w:cs="Arial"/>
          <w:color w:val="auto"/>
          <w:sz w:val="21"/>
          <w:szCs w:val="21"/>
          <w:highlight w:val="none"/>
        </w:rPr>
        <w:t>3</w:t>
      </w:r>
      <w:r>
        <w:rPr>
          <w:rFonts w:ascii="宋体" w:hAnsi="宋体" w:cs="Arial"/>
          <w:color w:val="auto"/>
          <w:sz w:val="21"/>
          <w:szCs w:val="21"/>
          <w:highlight w:val="none"/>
        </w:rPr>
        <w:t>0，中午13:00~14:00，晚上19:00~20:00（根据实际情况，时间及频次</w:t>
      </w:r>
      <w:r>
        <w:rPr>
          <w:rFonts w:hint="eastAsia" w:ascii="宋体" w:hAnsi="宋体" w:cs="Arial"/>
          <w:color w:val="auto"/>
          <w:sz w:val="21"/>
          <w:szCs w:val="21"/>
          <w:highlight w:val="none"/>
          <w:lang w:eastAsia="zh-CN"/>
        </w:rPr>
        <w:t>瑶溪街道</w:t>
      </w:r>
      <w:r>
        <w:rPr>
          <w:rFonts w:ascii="宋体" w:hAnsi="宋体" w:cs="Arial"/>
          <w:color w:val="auto"/>
          <w:sz w:val="21"/>
          <w:szCs w:val="21"/>
          <w:highlight w:val="none"/>
        </w:rPr>
        <w:t>可作适当调整）。</w:t>
      </w:r>
    </w:p>
    <w:p>
      <w:pPr>
        <w:widowControl/>
        <w:numPr>
          <w:ilvl w:val="0"/>
          <w:numId w:val="3"/>
        </w:numPr>
        <w:spacing w:line="400" w:lineRule="exact"/>
        <w:ind w:left="-400" w:leftChars="0" w:firstLineChars="0"/>
        <w:jc w:val="left"/>
        <w:rPr>
          <w:rFonts w:ascii="宋体" w:hAnsi="宋体" w:cs="Arial"/>
          <w:color w:val="auto"/>
          <w:sz w:val="21"/>
          <w:szCs w:val="21"/>
          <w:highlight w:val="none"/>
        </w:rPr>
      </w:pPr>
      <w:r>
        <w:rPr>
          <w:rFonts w:hint="eastAsia" w:ascii="宋体" w:hAnsi="宋体" w:cs="Arial"/>
          <w:color w:val="auto"/>
          <w:sz w:val="21"/>
          <w:szCs w:val="21"/>
          <w:highlight w:val="none"/>
        </w:rPr>
        <w:t>采用</w:t>
      </w:r>
      <w:r>
        <w:rPr>
          <w:rFonts w:ascii="宋体" w:hAnsi="宋体" w:cs="Arial"/>
          <w:color w:val="auto"/>
          <w:sz w:val="21"/>
          <w:szCs w:val="21"/>
          <w:highlight w:val="none"/>
        </w:rPr>
        <w:t>“</w:t>
      </w:r>
      <w:r>
        <w:rPr>
          <w:rFonts w:hint="eastAsia" w:ascii="宋体" w:hAnsi="宋体" w:cs="Arial"/>
          <w:color w:val="auto"/>
          <w:sz w:val="21"/>
          <w:szCs w:val="21"/>
          <w:highlight w:val="none"/>
        </w:rPr>
        <w:t>以桶换桶</w:t>
      </w:r>
      <w:r>
        <w:rPr>
          <w:rFonts w:ascii="宋体" w:hAnsi="宋体" w:cs="Arial"/>
          <w:color w:val="auto"/>
          <w:sz w:val="21"/>
          <w:szCs w:val="21"/>
          <w:highlight w:val="none"/>
        </w:rPr>
        <w:t>”</w:t>
      </w:r>
      <w:r>
        <w:rPr>
          <w:rFonts w:hint="eastAsia" w:ascii="宋体" w:hAnsi="宋体" w:cs="Arial"/>
          <w:color w:val="auto"/>
          <w:sz w:val="21"/>
          <w:szCs w:val="21"/>
          <w:highlight w:val="none"/>
        </w:rPr>
        <w:t>垃圾分类的收运方式，收运到指点的垃圾集置点。合同期内，转运方式发生变化的，中标单位应无条件服从，合同价格不予调整</w:t>
      </w:r>
      <w:r>
        <w:rPr>
          <w:rFonts w:ascii="宋体" w:hAnsi="宋体" w:cs="Arial"/>
          <w:color w:val="auto"/>
          <w:sz w:val="21"/>
          <w:szCs w:val="21"/>
          <w:highlight w:val="none"/>
        </w:rPr>
        <w:t>。</w:t>
      </w:r>
    </w:p>
    <w:p>
      <w:pPr>
        <w:widowControl/>
        <w:numPr>
          <w:ilvl w:val="0"/>
          <w:numId w:val="3"/>
        </w:numPr>
        <w:spacing w:line="400" w:lineRule="exact"/>
        <w:ind w:left="-400" w:leftChars="0" w:firstLineChars="0"/>
        <w:jc w:val="left"/>
        <w:rPr>
          <w:rFonts w:ascii="宋体" w:hAnsi="宋体" w:cs="Arial"/>
          <w:color w:val="auto"/>
          <w:sz w:val="21"/>
          <w:szCs w:val="21"/>
          <w:highlight w:val="none"/>
        </w:rPr>
      </w:pPr>
      <w:r>
        <w:rPr>
          <w:rFonts w:ascii="宋体" w:hAnsi="宋体" w:cs="Arial"/>
          <w:color w:val="auto"/>
          <w:sz w:val="21"/>
          <w:szCs w:val="21"/>
          <w:highlight w:val="none"/>
        </w:rPr>
        <w:t>本次采购，作业车辆、工具的停放场地由中标单位自行负责解决，要求规范、统一停放，</w:t>
      </w:r>
      <w:r>
        <w:rPr>
          <w:rFonts w:hint="eastAsia" w:ascii="宋体" w:hAnsi="宋体" w:cs="Arial"/>
          <w:color w:val="auto"/>
          <w:sz w:val="21"/>
          <w:szCs w:val="21"/>
          <w:highlight w:val="none"/>
        </w:rPr>
        <w:t>中标单位</w:t>
      </w:r>
      <w:r>
        <w:rPr>
          <w:rFonts w:ascii="宋体" w:hAnsi="宋体" w:cs="Arial"/>
          <w:color w:val="auto"/>
          <w:sz w:val="21"/>
          <w:szCs w:val="21"/>
          <w:highlight w:val="none"/>
        </w:rPr>
        <w:t>须在中标通知书发出之日起30日内在本次招标保洁区域内</w:t>
      </w:r>
      <w:r>
        <w:rPr>
          <w:rFonts w:ascii="宋体" w:hAnsi="宋体" w:cs="Arial"/>
          <w:b/>
          <w:bCs/>
          <w:color w:val="auto"/>
          <w:sz w:val="21"/>
          <w:szCs w:val="21"/>
          <w:highlight w:val="none"/>
          <w:u w:val="single"/>
        </w:rPr>
        <w:t>建立专门的停车场</w:t>
      </w:r>
      <w:r>
        <w:rPr>
          <w:rFonts w:ascii="宋体" w:hAnsi="宋体" w:cs="Arial"/>
          <w:color w:val="auto"/>
          <w:sz w:val="21"/>
          <w:szCs w:val="21"/>
          <w:highlight w:val="none"/>
        </w:rPr>
        <w:t>，</w:t>
      </w:r>
      <w:r>
        <w:rPr>
          <w:rFonts w:hint="eastAsia" w:ascii="宋体" w:hAnsi="宋体" w:cs="Arial"/>
          <w:color w:val="auto"/>
          <w:sz w:val="21"/>
          <w:szCs w:val="21"/>
          <w:highlight w:val="none"/>
          <w:lang w:eastAsia="zh-CN"/>
        </w:rPr>
        <w:t>瑶溪街道</w:t>
      </w:r>
      <w:r>
        <w:rPr>
          <w:rFonts w:ascii="宋体" w:hAnsi="宋体" w:cs="Arial"/>
          <w:color w:val="auto"/>
          <w:sz w:val="21"/>
          <w:szCs w:val="21"/>
          <w:highlight w:val="none"/>
        </w:rPr>
        <w:t>在考核过程中将随时抽查。</w:t>
      </w:r>
    </w:p>
    <w:p>
      <w:pPr>
        <w:widowControl/>
        <w:numPr>
          <w:ilvl w:val="0"/>
          <w:numId w:val="3"/>
        </w:numPr>
        <w:spacing w:line="400" w:lineRule="exact"/>
        <w:ind w:left="-400" w:leftChars="0" w:firstLineChars="0"/>
        <w:jc w:val="left"/>
        <w:rPr>
          <w:rFonts w:ascii="宋体" w:hAnsi="宋体" w:cs="Arial"/>
          <w:color w:val="auto"/>
          <w:sz w:val="21"/>
          <w:szCs w:val="21"/>
          <w:highlight w:val="none"/>
        </w:rPr>
      </w:pPr>
      <w:r>
        <w:rPr>
          <w:rFonts w:ascii="宋体" w:hAnsi="宋体" w:cs="Arial"/>
          <w:color w:val="auto"/>
          <w:sz w:val="21"/>
          <w:szCs w:val="21"/>
          <w:highlight w:val="none"/>
        </w:rPr>
        <w:t>本次采购，</w:t>
      </w:r>
      <w:r>
        <w:rPr>
          <w:rFonts w:ascii="宋体" w:hAnsi="宋体" w:cs="Arial"/>
          <w:b/>
          <w:bCs/>
          <w:color w:val="auto"/>
          <w:sz w:val="21"/>
          <w:szCs w:val="21"/>
          <w:highlight w:val="none"/>
          <w:u w:val="single"/>
        </w:rPr>
        <w:t>在领取中标通知书后15个工作日内</w:t>
      </w:r>
      <w:r>
        <w:rPr>
          <w:rFonts w:hint="eastAsia" w:ascii="宋体" w:hAnsi="宋体" w:cs="Arial"/>
          <w:b/>
          <w:bCs/>
          <w:color w:val="auto"/>
          <w:sz w:val="21"/>
          <w:szCs w:val="21"/>
          <w:highlight w:val="none"/>
          <w:u w:val="single"/>
        </w:rPr>
        <w:t>，提供实际保洁作业方案</w:t>
      </w:r>
      <w:r>
        <w:rPr>
          <w:rFonts w:ascii="宋体" w:hAnsi="宋体" w:cs="Arial"/>
          <w:color w:val="auto"/>
          <w:sz w:val="21"/>
          <w:szCs w:val="21"/>
          <w:highlight w:val="none"/>
        </w:rPr>
        <w:t>报</w:t>
      </w:r>
      <w:r>
        <w:rPr>
          <w:rFonts w:hint="eastAsia" w:ascii="宋体" w:hAnsi="宋体" w:cs="Arial"/>
          <w:color w:val="auto"/>
          <w:sz w:val="21"/>
          <w:szCs w:val="21"/>
          <w:highlight w:val="none"/>
          <w:lang w:eastAsia="zh-CN"/>
        </w:rPr>
        <w:t>瑶溪街道</w:t>
      </w:r>
      <w:r>
        <w:rPr>
          <w:rFonts w:ascii="宋体" w:hAnsi="宋体" w:cs="Arial"/>
          <w:color w:val="auto"/>
          <w:sz w:val="21"/>
          <w:szCs w:val="21"/>
          <w:highlight w:val="none"/>
        </w:rPr>
        <w:t>审定</w:t>
      </w:r>
      <w:r>
        <w:rPr>
          <w:rFonts w:hint="eastAsia" w:ascii="宋体" w:hAnsi="宋体" w:cs="Arial"/>
          <w:b/>
          <w:bCs/>
          <w:color w:val="auto"/>
          <w:sz w:val="21"/>
          <w:szCs w:val="21"/>
          <w:highlight w:val="none"/>
          <w:u w:val="single"/>
        </w:rPr>
        <w:t>，需明确首批进场服务的机械设备和人员安排清单</w:t>
      </w:r>
      <w:r>
        <w:rPr>
          <w:rFonts w:ascii="宋体" w:hAnsi="宋体" w:cs="Arial"/>
          <w:color w:val="auto"/>
          <w:sz w:val="21"/>
          <w:szCs w:val="21"/>
          <w:highlight w:val="none"/>
        </w:rPr>
        <w:t>，并严格按照</w:t>
      </w:r>
      <w:r>
        <w:rPr>
          <w:rFonts w:hint="eastAsia" w:ascii="宋体" w:hAnsi="宋体" w:cs="Arial"/>
          <w:color w:val="auto"/>
          <w:sz w:val="21"/>
          <w:szCs w:val="21"/>
          <w:highlight w:val="none"/>
          <w:lang w:eastAsia="zh-CN"/>
        </w:rPr>
        <w:t>瑶溪街道</w:t>
      </w:r>
      <w:r>
        <w:rPr>
          <w:rFonts w:ascii="宋体" w:hAnsi="宋体" w:cs="Arial"/>
          <w:color w:val="auto"/>
          <w:sz w:val="21"/>
          <w:szCs w:val="21"/>
          <w:highlight w:val="none"/>
        </w:rPr>
        <w:t>确认的范围、路线、时间进行作业，不得随意变更。</w:t>
      </w:r>
    </w:p>
    <w:p>
      <w:pPr>
        <w:widowControl/>
        <w:numPr>
          <w:ilvl w:val="0"/>
          <w:numId w:val="3"/>
        </w:numPr>
        <w:spacing w:line="400" w:lineRule="exact"/>
        <w:ind w:left="-400" w:leftChars="0" w:firstLineChars="0"/>
        <w:jc w:val="left"/>
        <w:rPr>
          <w:rFonts w:ascii="宋体" w:hAnsi="宋体" w:cs="Arial"/>
          <w:color w:val="auto"/>
          <w:sz w:val="21"/>
          <w:szCs w:val="21"/>
          <w:highlight w:val="none"/>
        </w:rPr>
      </w:pPr>
      <w:r>
        <w:rPr>
          <w:rFonts w:ascii="宋体" w:hAnsi="宋体" w:cs="Arial"/>
          <w:color w:val="auto"/>
          <w:sz w:val="21"/>
          <w:szCs w:val="21"/>
          <w:highlight w:val="none"/>
        </w:rPr>
        <w:t>环卫驿站：为体现对环卫工人的关爱，各街道</w:t>
      </w:r>
      <w:r>
        <w:rPr>
          <w:rFonts w:hint="eastAsia" w:ascii="宋体" w:hAnsi="宋体" w:cs="Arial"/>
          <w:color w:val="auto"/>
          <w:sz w:val="21"/>
          <w:szCs w:val="21"/>
          <w:highlight w:val="none"/>
        </w:rPr>
        <w:t>辖区内的所有环卫驿站根据需要可以由中标单位使用管理并定期维护。</w:t>
      </w:r>
    </w:p>
    <w:p>
      <w:pPr>
        <w:widowControl/>
        <w:numPr>
          <w:ilvl w:val="0"/>
          <w:numId w:val="3"/>
        </w:numPr>
        <w:spacing w:line="400" w:lineRule="exact"/>
        <w:ind w:left="-400" w:leftChars="0" w:firstLineChars="0"/>
        <w:jc w:val="left"/>
        <w:rPr>
          <w:rFonts w:ascii="宋体" w:hAnsi="宋体" w:cs="Arial"/>
          <w:color w:val="auto"/>
          <w:sz w:val="21"/>
          <w:szCs w:val="21"/>
          <w:highlight w:val="none"/>
        </w:rPr>
      </w:pPr>
      <w:r>
        <w:rPr>
          <w:rFonts w:ascii="宋体" w:hAnsi="宋体" w:cs="Arial"/>
          <w:color w:val="auto"/>
          <w:sz w:val="21"/>
          <w:szCs w:val="21"/>
          <w:highlight w:val="none"/>
        </w:rPr>
        <w:t>本次采购，所有车辆、船只必须重新涂装，必须按照</w:t>
      </w:r>
      <w:r>
        <w:rPr>
          <w:rFonts w:hint="eastAsia" w:ascii="宋体" w:hAnsi="宋体" w:cs="Arial"/>
          <w:color w:val="auto"/>
          <w:sz w:val="21"/>
          <w:szCs w:val="21"/>
          <w:highlight w:val="none"/>
          <w:lang w:eastAsia="zh-CN"/>
        </w:rPr>
        <w:t>瑶溪街道</w:t>
      </w:r>
      <w:r>
        <w:rPr>
          <w:rFonts w:ascii="宋体" w:hAnsi="宋体" w:cs="Arial"/>
          <w:color w:val="auto"/>
          <w:sz w:val="21"/>
          <w:szCs w:val="21"/>
          <w:highlight w:val="none"/>
        </w:rPr>
        <w:t>指定的设计方案</w:t>
      </w:r>
      <w:r>
        <w:rPr>
          <w:rFonts w:ascii="宋体" w:hAnsi="宋体" w:cs="Arial"/>
          <w:b/>
          <w:bCs/>
          <w:color w:val="auto"/>
          <w:sz w:val="21"/>
          <w:szCs w:val="21"/>
          <w:highlight w:val="none"/>
          <w:u w:val="single"/>
        </w:rPr>
        <w:t>统一涂装、统一LOGO</w:t>
      </w:r>
      <w:r>
        <w:rPr>
          <w:rFonts w:ascii="宋体" w:hAnsi="宋体" w:cs="Arial"/>
          <w:color w:val="auto"/>
          <w:sz w:val="21"/>
          <w:szCs w:val="21"/>
          <w:highlight w:val="none"/>
        </w:rPr>
        <w:t>，涂装的费用由</w:t>
      </w:r>
      <w:r>
        <w:rPr>
          <w:rFonts w:hint="eastAsia" w:ascii="宋体" w:hAnsi="宋体" w:cs="Arial"/>
          <w:color w:val="auto"/>
          <w:sz w:val="21"/>
          <w:szCs w:val="21"/>
          <w:highlight w:val="none"/>
        </w:rPr>
        <w:t>中标单位</w:t>
      </w:r>
      <w:r>
        <w:rPr>
          <w:rFonts w:ascii="宋体" w:hAnsi="宋体" w:cs="Arial"/>
          <w:color w:val="auto"/>
          <w:sz w:val="21"/>
          <w:szCs w:val="21"/>
          <w:highlight w:val="none"/>
        </w:rPr>
        <w:t>自行承担。</w:t>
      </w:r>
    </w:p>
    <w:p>
      <w:pPr>
        <w:widowControl/>
        <w:numPr>
          <w:ilvl w:val="0"/>
          <w:numId w:val="3"/>
        </w:numPr>
        <w:spacing w:line="400" w:lineRule="exact"/>
        <w:ind w:left="-400" w:leftChars="0" w:firstLineChars="0"/>
        <w:jc w:val="left"/>
        <w:rPr>
          <w:rFonts w:ascii="宋体" w:hAnsi="宋体" w:cs="Arial"/>
          <w:color w:val="auto"/>
          <w:sz w:val="21"/>
          <w:szCs w:val="21"/>
          <w:highlight w:val="none"/>
        </w:rPr>
      </w:pPr>
      <w:r>
        <w:rPr>
          <w:rFonts w:ascii="宋体" w:hAnsi="宋体" w:cs="Arial"/>
          <w:color w:val="auto"/>
          <w:sz w:val="21"/>
          <w:szCs w:val="21"/>
          <w:highlight w:val="none"/>
        </w:rPr>
        <w:t>中标单位履约保证金采用</w:t>
      </w:r>
      <w:r>
        <w:rPr>
          <w:rFonts w:ascii="宋体" w:hAnsi="宋体" w:cs="Arial"/>
          <w:b/>
          <w:bCs/>
          <w:color w:val="auto"/>
          <w:sz w:val="21"/>
          <w:szCs w:val="21"/>
          <w:highlight w:val="none"/>
          <w:u w:val="single"/>
        </w:rPr>
        <w:t>银行</w:t>
      </w:r>
      <w:r>
        <w:rPr>
          <w:rFonts w:hint="eastAsia" w:ascii="宋体" w:hAnsi="宋体" w:cs="Arial"/>
          <w:b/>
          <w:bCs/>
          <w:color w:val="auto"/>
          <w:sz w:val="21"/>
          <w:szCs w:val="21"/>
          <w:highlight w:val="none"/>
          <w:u w:val="single"/>
          <w:lang w:eastAsia="zh-CN"/>
        </w:rPr>
        <w:t>转账，中标后</w:t>
      </w:r>
      <w:r>
        <w:rPr>
          <w:rFonts w:hint="eastAsia" w:ascii="宋体" w:hAnsi="宋体" w:cs="Arial"/>
          <w:b/>
          <w:bCs/>
          <w:color w:val="auto"/>
          <w:sz w:val="21"/>
          <w:szCs w:val="21"/>
          <w:highlight w:val="none"/>
          <w:u w:val="single"/>
          <w:lang w:val="en-US" w:eastAsia="zh-CN"/>
        </w:rPr>
        <w:t xml:space="preserve">需向采购人提供合同价的1%的履约保证金，待服务期限结束后，无息退还。 </w:t>
      </w:r>
    </w:p>
    <w:p>
      <w:pPr>
        <w:widowControl/>
        <w:numPr>
          <w:ilvl w:val="0"/>
          <w:numId w:val="3"/>
        </w:numPr>
        <w:spacing w:line="400" w:lineRule="exact"/>
        <w:ind w:left="-400" w:leftChars="0" w:firstLineChars="0"/>
        <w:jc w:val="left"/>
        <w:rPr>
          <w:rFonts w:ascii="宋体" w:hAnsi="宋体" w:cs="Arial"/>
          <w:b/>
          <w:bCs/>
          <w:color w:val="auto"/>
          <w:sz w:val="21"/>
          <w:szCs w:val="21"/>
          <w:highlight w:val="none"/>
          <w:u w:val="single"/>
        </w:rPr>
      </w:pPr>
      <w:r>
        <w:rPr>
          <w:rFonts w:ascii="宋体" w:hAnsi="宋体" w:cs="Arial"/>
          <w:b/>
          <w:bCs/>
          <w:color w:val="auto"/>
          <w:sz w:val="21"/>
          <w:szCs w:val="21"/>
          <w:highlight w:val="none"/>
        </w:rPr>
        <w:t>本次采购，投标人不得恶意低价竞标，评标委员会认为投标人的报价明显低于其他通过符合性审查投标人的报价或低于成本价，有可能影响</w:t>
      </w:r>
      <w:r>
        <w:rPr>
          <w:rFonts w:hint="eastAsia" w:ascii="宋体" w:hAnsi="宋体" w:cs="Arial"/>
          <w:b/>
          <w:bCs/>
          <w:color w:val="auto"/>
          <w:sz w:val="21"/>
          <w:szCs w:val="21"/>
          <w:highlight w:val="none"/>
        </w:rPr>
        <w:t>服务质量</w:t>
      </w:r>
      <w:r>
        <w:rPr>
          <w:rFonts w:ascii="宋体" w:hAnsi="宋体" w:cs="Arial"/>
          <w:b/>
          <w:bCs/>
          <w:color w:val="auto"/>
          <w:sz w:val="21"/>
          <w:szCs w:val="21"/>
          <w:highlight w:val="none"/>
        </w:rPr>
        <w:t>或者不能诚信履约的，应当要求其在评标现场合理的时间内提供书面说明，必要时提交相关证明材料；投标人不能证明其报价合理性的，评标委员会应当将其作为无效投标处理。</w:t>
      </w:r>
    </w:p>
    <w:p>
      <w:pPr>
        <w:widowControl/>
        <w:numPr>
          <w:ilvl w:val="0"/>
          <w:numId w:val="3"/>
        </w:numPr>
        <w:spacing w:line="400" w:lineRule="exact"/>
        <w:ind w:left="-400" w:leftChars="0" w:firstLineChars="0"/>
        <w:jc w:val="left"/>
        <w:rPr>
          <w:rFonts w:ascii="宋体" w:hAnsi="宋体" w:cs="Arial"/>
          <w:color w:val="auto"/>
          <w:sz w:val="21"/>
          <w:szCs w:val="21"/>
          <w:highlight w:val="none"/>
        </w:rPr>
      </w:pPr>
      <w:r>
        <w:rPr>
          <w:rFonts w:ascii="宋体" w:hAnsi="宋体" w:cs="Arial"/>
          <w:color w:val="auto"/>
          <w:sz w:val="21"/>
          <w:szCs w:val="21"/>
          <w:highlight w:val="none"/>
        </w:rPr>
        <w:t>本次采购，保洁作业的进场时间存在差异，保洁经费以实际进场的保洁作业量和单价进行结算，</w:t>
      </w:r>
      <w:r>
        <w:rPr>
          <w:rFonts w:hint="eastAsia" w:ascii="宋体" w:hAnsi="宋体" w:cs="Arial"/>
          <w:color w:val="auto"/>
          <w:sz w:val="21"/>
          <w:szCs w:val="21"/>
          <w:highlight w:val="none"/>
        </w:rPr>
        <w:t>中标单位</w:t>
      </w:r>
      <w:r>
        <w:rPr>
          <w:rFonts w:ascii="宋体" w:hAnsi="宋体" w:cs="Arial"/>
          <w:color w:val="auto"/>
          <w:sz w:val="21"/>
          <w:szCs w:val="21"/>
          <w:highlight w:val="none"/>
        </w:rPr>
        <w:t>自行承担相应风险。</w:t>
      </w:r>
    </w:p>
    <w:p>
      <w:pPr>
        <w:widowControl/>
        <w:numPr>
          <w:ilvl w:val="0"/>
          <w:numId w:val="3"/>
        </w:numPr>
        <w:spacing w:line="400" w:lineRule="exact"/>
        <w:ind w:left="-400" w:leftChars="0" w:firstLineChars="0"/>
        <w:jc w:val="left"/>
        <w:rPr>
          <w:rFonts w:ascii="宋体" w:hAnsi="宋体" w:cs="Arial"/>
          <w:color w:val="auto"/>
          <w:sz w:val="21"/>
          <w:szCs w:val="21"/>
          <w:highlight w:val="none"/>
        </w:rPr>
      </w:pPr>
      <w:r>
        <w:rPr>
          <w:rFonts w:ascii="宋体" w:hAnsi="宋体" w:cs="Arial"/>
          <w:color w:val="auto"/>
          <w:sz w:val="21"/>
          <w:szCs w:val="21"/>
          <w:highlight w:val="none"/>
        </w:rPr>
        <w:t>项目进场前及合同在履约期内，果壳箱、垃圾桶有油漆掉落、损坏、破损等，</w:t>
      </w:r>
      <w:r>
        <w:rPr>
          <w:rFonts w:hint="eastAsia" w:ascii="宋体" w:hAnsi="宋体" w:cs="Arial"/>
          <w:color w:val="auto"/>
          <w:sz w:val="21"/>
          <w:szCs w:val="21"/>
          <w:highlight w:val="none"/>
        </w:rPr>
        <w:t>中标单位</w:t>
      </w:r>
      <w:r>
        <w:rPr>
          <w:rFonts w:ascii="宋体" w:hAnsi="宋体" w:cs="Arial"/>
          <w:color w:val="auto"/>
          <w:sz w:val="21"/>
          <w:szCs w:val="21"/>
          <w:highlight w:val="none"/>
        </w:rPr>
        <w:t>应及时更换维修，更换后的垃圾桶及果壳箱应符合垃圾分类的标准。垃圾桶需要维修更换的，未能在24小时内完成维修更换工作，</w:t>
      </w:r>
      <w:r>
        <w:rPr>
          <w:rFonts w:hint="eastAsia" w:ascii="宋体" w:hAnsi="宋体" w:cs="Arial"/>
          <w:color w:val="auto"/>
          <w:sz w:val="21"/>
          <w:szCs w:val="21"/>
          <w:highlight w:val="none"/>
          <w:lang w:eastAsia="zh-CN"/>
        </w:rPr>
        <w:t>瑶溪街道</w:t>
      </w:r>
      <w:r>
        <w:rPr>
          <w:rFonts w:ascii="宋体" w:hAnsi="宋体" w:cs="Arial"/>
          <w:color w:val="auto"/>
          <w:sz w:val="21"/>
          <w:szCs w:val="21"/>
          <w:highlight w:val="none"/>
        </w:rPr>
        <w:t>将代为更换维修，并从当期的</w:t>
      </w:r>
      <w:r>
        <w:rPr>
          <w:rFonts w:hint="eastAsia" w:ascii="宋体" w:hAnsi="宋体" w:cs="Arial"/>
          <w:color w:val="auto"/>
          <w:sz w:val="21"/>
          <w:szCs w:val="21"/>
          <w:highlight w:val="none"/>
        </w:rPr>
        <w:t>保洁款</w:t>
      </w:r>
      <w:r>
        <w:rPr>
          <w:rFonts w:ascii="宋体" w:hAnsi="宋体" w:cs="Arial"/>
          <w:color w:val="auto"/>
          <w:sz w:val="21"/>
          <w:szCs w:val="21"/>
          <w:highlight w:val="none"/>
        </w:rPr>
        <w:t>中按500元/垃圾桶直接扣除。</w:t>
      </w:r>
      <w:r>
        <w:rPr>
          <w:rFonts w:hint="eastAsia" w:ascii="宋体" w:hAnsi="宋体" w:cs="Arial"/>
          <w:color w:val="auto"/>
          <w:sz w:val="21"/>
          <w:szCs w:val="21"/>
          <w:highlight w:val="none"/>
        </w:rPr>
        <w:t>新增投入使用道路果壳箱由</w:t>
      </w:r>
      <w:r>
        <w:rPr>
          <w:rFonts w:hint="eastAsia" w:ascii="宋体" w:hAnsi="宋体" w:cs="Arial"/>
          <w:color w:val="auto"/>
          <w:sz w:val="21"/>
          <w:szCs w:val="21"/>
          <w:highlight w:val="none"/>
          <w:lang w:eastAsia="zh-CN"/>
        </w:rPr>
        <w:t>瑶溪街道</w:t>
      </w:r>
      <w:r>
        <w:rPr>
          <w:rFonts w:hint="eastAsia" w:ascii="宋体" w:hAnsi="宋体" w:cs="Arial"/>
          <w:color w:val="auto"/>
          <w:sz w:val="21"/>
          <w:szCs w:val="21"/>
          <w:highlight w:val="none"/>
        </w:rPr>
        <w:t>配置。</w:t>
      </w:r>
    </w:p>
    <w:p>
      <w:pPr>
        <w:widowControl/>
        <w:numPr>
          <w:ilvl w:val="0"/>
          <w:numId w:val="3"/>
        </w:numPr>
        <w:spacing w:line="400" w:lineRule="exact"/>
        <w:ind w:left="-400" w:leftChars="0" w:firstLineChars="0"/>
        <w:jc w:val="left"/>
        <w:rPr>
          <w:rFonts w:ascii="宋体" w:hAnsi="宋体" w:cs="Arial"/>
          <w:color w:val="auto"/>
          <w:sz w:val="21"/>
          <w:szCs w:val="21"/>
          <w:highlight w:val="none"/>
        </w:rPr>
      </w:pPr>
      <w:r>
        <w:rPr>
          <w:rFonts w:ascii="宋体" w:hAnsi="宋体" w:cs="Arial"/>
          <w:color w:val="auto"/>
          <w:sz w:val="21"/>
          <w:szCs w:val="21"/>
          <w:highlight w:val="none"/>
        </w:rPr>
        <w:t>本项目公厕全部要求专人保洁，</w:t>
      </w:r>
      <w:r>
        <w:rPr>
          <w:rFonts w:hint="eastAsia" w:ascii="宋体" w:hAnsi="宋体" w:cs="Arial"/>
          <w:color w:val="auto"/>
          <w:sz w:val="21"/>
          <w:szCs w:val="21"/>
          <w:highlight w:val="none"/>
        </w:rPr>
        <w:t>中标单位</w:t>
      </w:r>
      <w:r>
        <w:rPr>
          <w:rFonts w:ascii="宋体" w:hAnsi="宋体" w:cs="Arial"/>
          <w:color w:val="auto"/>
          <w:sz w:val="21"/>
          <w:szCs w:val="21"/>
          <w:highlight w:val="none"/>
        </w:rPr>
        <w:t>公厕保洁人员未专人到位的，则按500元/人/次的标准从当期</w:t>
      </w:r>
      <w:r>
        <w:rPr>
          <w:rFonts w:hint="eastAsia" w:ascii="宋体" w:hAnsi="宋体" w:cs="Arial"/>
          <w:color w:val="auto"/>
          <w:sz w:val="21"/>
          <w:szCs w:val="21"/>
          <w:highlight w:val="none"/>
        </w:rPr>
        <w:t>保洁款</w:t>
      </w:r>
      <w:r>
        <w:rPr>
          <w:rFonts w:ascii="宋体" w:hAnsi="宋体" w:cs="Arial"/>
          <w:color w:val="auto"/>
          <w:sz w:val="21"/>
          <w:szCs w:val="21"/>
          <w:highlight w:val="none"/>
        </w:rPr>
        <w:t>中直接扣除。</w:t>
      </w:r>
    </w:p>
    <w:p>
      <w:pPr>
        <w:widowControl/>
        <w:numPr>
          <w:ilvl w:val="0"/>
          <w:numId w:val="3"/>
        </w:numPr>
        <w:spacing w:line="400" w:lineRule="exact"/>
        <w:ind w:left="-400" w:leftChars="0" w:firstLineChars="0"/>
        <w:jc w:val="left"/>
        <w:rPr>
          <w:rFonts w:ascii="宋体" w:hAnsi="宋体" w:cs="Arial"/>
          <w:color w:val="auto"/>
          <w:sz w:val="21"/>
          <w:szCs w:val="21"/>
          <w:highlight w:val="none"/>
        </w:rPr>
      </w:pPr>
      <w:r>
        <w:rPr>
          <w:rFonts w:ascii="宋体" w:hAnsi="宋体" w:cs="Arial"/>
          <w:color w:val="auto"/>
          <w:sz w:val="21"/>
          <w:szCs w:val="21"/>
          <w:highlight w:val="none"/>
        </w:rPr>
        <w:t>中标单位应在中标通知书发出后30日内，应在中标的街道辖区内单独成立项目部。</w:t>
      </w:r>
    </w:p>
    <w:p>
      <w:pPr>
        <w:widowControl/>
        <w:numPr>
          <w:ilvl w:val="0"/>
          <w:numId w:val="3"/>
        </w:numPr>
        <w:spacing w:line="400" w:lineRule="exact"/>
        <w:ind w:left="-400" w:leftChars="0" w:firstLineChars="0"/>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本项目投用的洒水车至少2辆应具备雾炮车抑尘功能。瑶溪街道国控点周边2公里范围内，一天洒水+雾炮抑尘作业需达8次以上，并成立专门大气污染问题快速响应处置队伍，接到快速响应指令15分钟内，出动车辆、人员进行处置。</w:t>
      </w:r>
    </w:p>
    <w:p>
      <w:pPr>
        <w:pStyle w:val="6"/>
        <w:spacing w:before="0" w:after="0" w:line="276" w:lineRule="auto"/>
        <w:jc w:val="center"/>
        <w:rPr>
          <w:rFonts w:cs="宋体"/>
          <w:color w:val="auto"/>
          <w:highlight w:val="none"/>
        </w:rPr>
      </w:pPr>
      <w:r>
        <w:rPr>
          <w:color w:val="auto"/>
          <w:highlight w:val="none"/>
        </w:rPr>
        <w:br w:type="page"/>
      </w:r>
      <w:bookmarkStart w:id="38" w:name="_Toc105435517"/>
      <w:bookmarkStart w:id="39" w:name="_Toc105438803"/>
      <w:r>
        <w:rPr>
          <w:rStyle w:val="139"/>
          <w:rFonts w:hint="eastAsia"/>
          <w:b/>
          <w:color w:val="auto"/>
          <w:highlight w:val="none"/>
        </w:rPr>
        <w:t>第二章  采购需求</w:t>
      </w:r>
      <w:bookmarkEnd w:id="38"/>
      <w:bookmarkEnd w:id="39"/>
    </w:p>
    <w:p>
      <w:pPr>
        <w:adjustRightInd w:val="0"/>
        <w:snapToGrid w:val="0"/>
        <w:spacing w:line="400" w:lineRule="exact"/>
        <w:jc w:val="left"/>
        <w:outlineLvl w:val="1"/>
        <w:rPr>
          <w:rFonts w:hint="eastAsia" w:ascii="宋体" w:hAnsi="宋体"/>
          <w:b/>
          <w:color w:val="auto"/>
          <w:sz w:val="21"/>
          <w:szCs w:val="21"/>
          <w:highlight w:val="none"/>
        </w:rPr>
      </w:pPr>
      <w:bookmarkStart w:id="40" w:name="_Toc105438752"/>
      <w:bookmarkStart w:id="41" w:name="_Toc105435704"/>
      <w:bookmarkStart w:id="42" w:name="_Toc105435518"/>
      <w:bookmarkStart w:id="43" w:name="_Toc105438804"/>
      <w:bookmarkStart w:id="44" w:name="_Toc105435646"/>
      <w:r>
        <w:rPr>
          <w:rFonts w:hint="eastAsia" w:ascii="宋体" w:hAnsi="宋体"/>
          <w:b/>
          <w:color w:val="auto"/>
          <w:sz w:val="21"/>
          <w:szCs w:val="21"/>
          <w:highlight w:val="none"/>
        </w:rPr>
        <w:t>一、</w:t>
      </w:r>
      <w:bookmarkEnd w:id="40"/>
      <w:bookmarkEnd w:id="41"/>
      <w:bookmarkEnd w:id="42"/>
      <w:bookmarkEnd w:id="43"/>
      <w:bookmarkEnd w:id="44"/>
      <w:bookmarkStart w:id="45" w:name="_Toc105435519"/>
      <w:bookmarkStart w:id="46" w:name="_Toc105435647"/>
      <w:bookmarkStart w:id="47" w:name="_Toc72407402"/>
      <w:bookmarkStart w:id="48" w:name="_Toc10004"/>
      <w:bookmarkStart w:id="49" w:name="_Toc104190730"/>
      <w:bookmarkStart w:id="50" w:name="_Toc9343"/>
      <w:bookmarkStart w:id="51" w:name="_Toc10008"/>
      <w:bookmarkStart w:id="52" w:name="_Toc105438753"/>
      <w:bookmarkStart w:id="53" w:name="_Toc105435705"/>
      <w:bookmarkStart w:id="54" w:name="_Toc105438805"/>
      <w:bookmarkStart w:id="55" w:name="_Toc196474518"/>
      <w:r>
        <w:rPr>
          <w:rFonts w:hint="eastAsia" w:ascii="宋体" w:hAnsi="宋体" w:cs="Arial"/>
          <w:b/>
          <w:bCs/>
          <w:color w:val="auto"/>
          <w:sz w:val="21"/>
          <w:szCs w:val="21"/>
          <w:highlight w:val="none"/>
          <w:lang w:val="en-US" w:eastAsia="zh-CN"/>
        </w:rPr>
        <w:t xml:space="preserve">本项目由温州市龙湾区瑶溪街道人民政府办事处授权温州市龙湾区城市管理服务有限公司进行采购，项目 日常管理、考核等事宜由温州市龙湾区瑶溪街道人民政府办事处代表采购人负责项目实施，中标人必须无条 件接受温州市龙湾区瑶溪街道人民政府办事处指导、监督、检查、考核等，否则采购人有权无责解除合同。 </w:t>
      </w:r>
    </w:p>
    <w:p>
      <w:pPr>
        <w:adjustRightInd w:val="0"/>
        <w:snapToGrid w:val="0"/>
        <w:spacing w:line="400" w:lineRule="exact"/>
        <w:jc w:val="left"/>
        <w:outlineLvl w:val="1"/>
        <w:rPr>
          <w:rFonts w:ascii="宋体" w:hAnsi="宋体"/>
          <w:b/>
          <w:color w:val="auto"/>
          <w:sz w:val="21"/>
          <w:szCs w:val="21"/>
          <w:highlight w:val="none"/>
        </w:rPr>
      </w:pPr>
      <w:r>
        <w:rPr>
          <w:rFonts w:hint="eastAsia" w:ascii="宋体" w:hAnsi="宋体"/>
          <w:b/>
          <w:color w:val="auto"/>
          <w:sz w:val="21"/>
          <w:szCs w:val="21"/>
          <w:highlight w:val="none"/>
        </w:rPr>
        <w:t>二</w:t>
      </w:r>
      <w:r>
        <w:rPr>
          <w:rFonts w:ascii="宋体" w:hAnsi="宋体"/>
          <w:b/>
          <w:color w:val="auto"/>
          <w:sz w:val="21"/>
          <w:szCs w:val="21"/>
          <w:highlight w:val="none"/>
        </w:rPr>
        <w:t>、概述</w:t>
      </w:r>
      <w:bookmarkEnd w:id="45"/>
      <w:bookmarkEnd w:id="46"/>
      <w:bookmarkEnd w:id="47"/>
      <w:bookmarkEnd w:id="48"/>
      <w:bookmarkEnd w:id="49"/>
      <w:bookmarkEnd w:id="50"/>
      <w:bookmarkEnd w:id="51"/>
      <w:bookmarkEnd w:id="52"/>
      <w:bookmarkEnd w:id="53"/>
      <w:bookmarkEnd w:id="54"/>
    </w:p>
    <w:p>
      <w:pPr>
        <w:tabs>
          <w:tab w:val="left" w:pos="540"/>
        </w:tabs>
        <w:adjustRightInd w:val="0"/>
        <w:snapToGrid w:val="0"/>
        <w:spacing w:line="400" w:lineRule="exact"/>
        <w:ind w:firstLine="315" w:firstLineChars="150"/>
        <w:jc w:val="left"/>
        <w:rPr>
          <w:rFonts w:ascii="宋体" w:hAnsi="宋体" w:cs="Arial"/>
          <w:color w:val="auto"/>
          <w:sz w:val="21"/>
          <w:szCs w:val="21"/>
          <w:highlight w:val="none"/>
        </w:rPr>
      </w:pPr>
      <w:r>
        <w:rPr>
          <w:rFonts w:ascii="宋体" w:hAnsi="宋体" w:cs="Arial"/>
          <w:color w:val="auto"/>
          <w:sz w:val="21"/>
          <w:szCs w:val="21"/>
          <w:highlight w:val="none"/>
        </w:rPr>
        <w:t>（一）</w:t>
      </w:r>
      <w:r>
        <w:rPr>
          <w:rFonts w:hint="eastAsia" w:ascii="宋体" w:hAnsi="宋体" w:cs="Arial"/>
          <w:color w:val="auto"/>
          <w:sz w:val="21"/>
          <w:szCs w:val="21"/>
          <w:highlight w:val="none"/>
        </w:rPr>
        <w:t>投标人</w:t>
      </w:r>
      <w:r>
        <w:rPr>
          <w:rFonts w:ascii="宋体" w:hAnsi="宋体" w:cs="Arial"/>
          <w:color w:val="auto"/>
          <w:sz w:val="21"/>
          <w:szCs w:val="21"/>
          <w:highlight w:val="none"/>
        </w:rPr>
        <w:t>必须完成采购内容和合同规定义务，不允许只对部分内容进行报价。</w:t>
      </w:r>
    </w:p>
    <w:p>
      <w:pPr>
        <w:tabs>
          <w:tab w:val="left" w:pos="540"/>
        </w:tabs>
        <w:adjustRightInd w:val="0"/>
        <w:snapToGrid w:val="0"/>
        <w:spacing w:line="400" w:lineRule="exact"/>
        <w:ind w:firstLine="310" w:firstLineChars="147"/>
        <w:jc w:val="left"/>
        <w:rPr>
          <w:rFonts w:ascii="宋体" w:hAnsi="宋体" w:cs="Arial"/>
          <w:color w:val="auto"/>
          <w:sz w:val="21"/>
          <w:szCs w:val="21"/>
          <w:highlight w:val="none"/>
        </w:rPr>
      </w:pPr>
      <w:r>
        <w:rPr>
          <w:rFonts w:ascii="宋体" w:hAnsi="宋体" w:cs="Arial"/>
          <w:b/>
          <w:color w:val="auto"/>
          <w:sz w:val="21"/>
          <w:szCs w:val="21"/>
          <w:highlight w:val="none"/>
        </w:rPr>
        <w:t>（二）现场踏勘：各</w:t>
      </w:r>
      <w:r>
        <w:rPr>
          <w:rFonts w:hint="eastAsia" w:ascii="宋体" w:hAnsi="宋体" w:cs="Arial"/>
          <w:b/>
          <w:color w:val="auto"/>
          <w:sz w:val="21"/>
          <w:szCs w:val="21"/>
          <w:highlight w:val="none"/>
        </w:rPr>
        <w:t>投标人</w:t>
      </w:r>
      <w:r>
        <w:rPr>
          <w:rFonts w:ascii="宋体" w:hAnsi="宋体" w:cs="Arial"/>
          <w:b/>
          <w:color w:val="auto"/>
          <w:sz w:val="21"/>
          <w:szCs w:val="21"/>
          <w:highlight w:val="none"/>
        </w:rPr>
        <w:t>于投标截止时间前自行到现场进行踏勘，以获取本次投标所需的现场资料及数据，</w:t>
      </w:r>
      <w:r>
        <w:rPr>
          <w:rFonts w:hint="eastAsia" w:ascii="宋体" w:hAnsi="宋体" w:cs="Arial"/>
          <w:b/>
          <w:color w:val="auto"/>
          <w:sz w:val="21"/>
          <w:szCs w:val="21"/>
          <w:highlight w:val="none"/>
        </w:rPr>
        <w:t>投标人</w:t>
      </w:r>
      <w:r>
        <w:rPr>
          <w:rFonts w:ascii="宋体" w:hAnsi="宋体" w:cs="Arial"/>
          <w:b/>
          <w:color w:val="auto"/>
          <w:sz w:val="21"/>
          <w:szCs w:val="21"/>
          <w:highlight w:val="none"/>
        </w:rPr>
        <w:t>若未到现场踏勘，引起的一切后果均由其自行负责，由此造成投标价的偏差均不予调整。现场踏勘费用自理。</w:t>
      </w:r>
    </w:p>
    <w:p>
      <w:pPr>
        <w:tabs>
          <w:tab w:val="left" w:pos="540"/>
        </w:tabs>
        <w:adjustRightInd w:val="0"/>
        <w:snapToGrid w:val="0"/>
        <w:spacing w:line="400" w:lineRule="exact"/>
        <w:ind w:firstLine="315" w:firstLineChars="150"/>
        <w:jc w:val="left"/>
        <w:rPr>
          <w:rFonts w:ascii="宋体" w:hAnsi="宋体" w:cs="Arial"/>
          <w:color w:val="auto"/>
          <w:sz w:val="21"/>
          <w:szCs w:val="21"/>
          <w:highlight w:val="none"/>
        </w:rPr>
      </w:pPr>
      <w:r>
        <w:rPr>
          <w:rFonts w:ascii="宋体" w:hAnsi="宋体" w:cs="Arial"/>
          <w:color w:val="auto"/>
          <w:sz w:val="21"/>
          <w:szCs w:val="21"/>
          <w:highlight w:val="none"/>
        </w:rPr>
        <w:t>（三）</w:t>
      </w:r>
      <w:r>
        <w:rPr>
          <w:rFonts w:hint="eastAsia" w:ascii="宋体" w:hAnsi="宋体" w:cs="Arial"/>
          <w:color w:val="auto"/>
          <w:sz w:val="21"/>
          <w:szCs w:val="21"/>
          <w:highlight w:val="none"/>
        </w:rPr>
        <w:t>投标人</w:t>
      </w:r>
      <w:r>
        <w:rPr>
          <w:rFonts w:ascii="宋体" w:hAnsi="宋体" w:cs="Arial"/>
          <w:bCs/>
          <w:color w:val="auto"/>
          <w:sz w:val="21"/>
          <w:szCs w:val="21"/>
          <w:highlight w:val="none"/>
        </w:rPr>
        <w:t>需要对本次招标的全部采购内容进行投标，不允许只对其中部分内容进行投标，谢绝联合投标。</w:t>
      </w:r>
    </w:p>
    <w:p>
      <w:pPr>
        <w:tabs>
          <w:tab w:val="left" w:pos="540"/>
        </w:tabs>
        <w:adjustRightInd w:val="0"/>
        <w:snapToGrid w:val="0"/>
        <w:spacing w:line="400" w:lineRule="exact"/>
        <w:ind w:firstLine="315" w:firstLineChars="150"/>
        <w:jc w:val="left"/>
        <w:rPr>
          <w:rFonts w:ascii="宋体" w:hAnsi="宋体" w:cs="Arial"/>
          <w:color w:val="auto"/>
          <w:sz w:val="21"/>
          <w:szCs w:val="21"/>
          <w:highlight w:val="none"/>
        </w:rPr>
      </w:pPr>
      <w:r>
        <w:rPr>
          <w:rFonts w:ascii="宋体" w:hAnsi="宋体" w:cs="Arial"/>
          <w:bCs/>
          <w:color w:val="auto"/>
          <w:sz w:val="21"/>
          <w:szCs w:val="21"/>
          <w:highlight w:val="none"/>
        </w:rPr>
        <w:t>（四）</w:t>
      </w:r>
      <w:r>
        <w:rPr>
          <w:rFonts w:hint="eastAsia" w:ascii="宋体" w:hAnsi="宋体" w:cs="Arial"/>
          <w:color w:val="auto"/>
          <w:sz w:val="21"/>
          <w:szCs w:val="21"/>
          <w:highlight w:val="none"/>
        </w:rPr>
        <w:t>投标人</w:t>
      </w:r>
      <w:r>
        <w:rPr>
          <w:rFonts w:ascii="宋体" w:hAnsi="宋体" w:cs="Arial"/>
          <w:bCs/>
          <w:color w:val="auto"/>
          <w:sz w:val="21"/>
          <w:szCs w:val="21"/>
          <w:highlight w:val="none"/>
        </w:rPr>
        <w:t>应按招标文件的要求完成采购工作。按工作顺序提交所需的无论其是否被明细列在合同文件中的所有资料，提供的货物和服务必须满足招标文件中提出的相关要求。</w:t>
      </w:r>
    </w:p>
    <w:p>
      <w:pPr>
        <w:tabs>
          <w:tab w:val="left" w:pos="540"/>
        </w:tabs>
        <w:adjustRightInd w:val="0"/>
        <w:snapToGrid w:val="0"/>
        <w:spacing w:line="400" w:lineRule="exact"/>
        <w:ind w:firstLine="315" w:firstLineChars="150"/>
        <w:jc w:val="left"/>
        <w:rPr>
          <w:rFonts w:ascii="宋体" w:hAnsi="宋体" w:cs="Arial"/>
          <w:color w:val="auto"/>
          <w:sz w:val="21"/>
          <w:szCs w:val="21"/>
          <w:highlight w:val="none"/>
        </w:rPr>
      </w:pPr>
      <w:r>
        <w:rPr>
          <w:rFonts w:ascii="宋体" w:hAnsi="宋体" w:cs="Arial"/>
          <w:color w:val="auto"/>
          <w:sz w:val="21"/>
          <w:szCs w:val="21"/>
          <w:highlight w:val="none"/>
        </w:rPr>
        <w:t>（五）在投标之前，</w:t>
      </w:r>
      <w:r>
        <w:rPr>
          <w:rFonts w:hint="eastAsia" w:ascii="宋体" w:hAnsi="宋体" w:cs="Arial"/>
          <w:color w:val="auto"/>
          <w:sz w:val="21"/>
          <w:szCs w:val="21"/>
          <w:highlight w:val="none"/>
        </w:rPr>
        <w:t>投标人</w:t>
      </w:r>
      <w:r>
        <w:rPr>
          <w:rFonts w:ascii="宋体" w:hAnsi="宋体" w:cs="Arial"/>
          <w:color w:val="auto"/>
          <w:sz w:val="21"/>
          <w:szCs w:val="21"/>
          <w:highlight w:val="none"/>
        </w:rPr>
        <w:t>须仔细阅读招标文件，如发现有任何疑问、冲突或技术问题，</w:t>
      </w:r>
      <w:r>
        <w:rPr>
          <w:rFonts w:hint="eastAsia" w:ascii="宋体" w:hAnsi="宋体" w:cs="Arial"/>
          <w:color w:val="auto"/>
          <w:sz w:val="21"/>
          <w:szCs w:val="21"/>
          <w:highlight w:val="none"/>
        </w:rPr>
        <w:t>投标人</w:t>
      </w:r>
      <w:r>
        <w:rPr>
          <w:rFonts w:ascii="宋体" w:hAnsi="宋体" w:cs="Arial"/>
          <w:color w:val="auto"/>
          <w:sz w:val="21"/>
          <w:szCs w:val="21"/>
          <w:highlight w:val="none"/>
        </w:rPr>
        <w:t>在答疑截止时间前以书面形式向采购代理机构提出。逾期采购人不再作答复，有关风险及责任由</w:t>
      </w:r>
      <w:r>
        <w:rPr>
          <w:rFonts w:hint="eastAsia" w:ascii="宋体" w:hAnsi="宋体" w:cs="Arial"/>
          <w:color w:val="auto"/>
          <w:sz w:val="21"/>
          <w:szCs w:val="21"/>
          <w:highlight w:val="none"/>
        </w:rPr>
        <w:t>投标人</w:t>
      </w:r>
      <w:r>
        <w:rPr>
          <w:rFonts w:ascii="宋体" w:hAnsi="宋体" w:cs="Arial"/>
          <w:color w:val="auto"/>
          <w:sz w:val="21"/>
          <w:szCs w:val="21"/>
          <w:highlight w:val="none"/>
        </w:rPr>
        <w:t>自行承担。</w:t>
      </w:r>
    </w:p>
    <w:p>
      <w:pPr>
        <w:tabs>
          <w:tab w:val="left" w:pos="540"/>
        </w:tabs>
        <w:adjustRightInd w:val="0"/>
        <w:snapToGrid w:val="0"/>
        <w:spacing w:line="400" w:lineRule="exact"/>
        <w:ind w:firstLine="315" w:firstLineChars="150"/>
        <w:jc w:val="left"/>
        <w:rPr>
          <w:rFonts w:ascii="宋体" w:hAnsi="宋体" w:cs="Arial"/>
          <w:snapToGrid w:val="0"/>
          <w:color w:val="auto"/>
          <w:sz w:val="21"/>
          <w:szCs w:val="21"/>
          <w:highlight w:val="none"/>
        </w:rPr>
      </w:pPr>
      <w:r>
        <w:rPr>
          <w:rFonts w:ascii="宋体" w:hAnsi="宋体" w:cs="Arial"/>
          <w:color w:val="auto"/>
          <w:sz w:val="21"/>
          <w:szCs w:val="21"/>
          <w:highlight w:val="none"/>
        </w:rPr>
        <w:t>（六）</w:t>
      </w:r>
      <w:r>
        <w:rPr>
          <w:rFonts w:hint="eastAsia" w:ascii="宋体" w:hAnsi="宋体" w:cs="Arial"/>
          <w:color w:val="auto"/>
          <w:sz w:val="21"/>
          <w:szCs w:val="21"/>
          <w:highlight w:val="none"/>
        </w:rPr>
        <w:t>投标人</w:t>
      </w:r>
      <w:r>
        <w:rPr>
          <w:rFonts w:ascii="宋体" w:hAnsi="宋体" w:cs="Arial"/>
          <w:color w:val="auto"/>
          <w:sz w:val="21"/>
          <w:szCs w:val="21"/>
          <w:highlight w:val="none"/>
        </w:rPr>
        <w:t>须对招标文件中各个条款一一给予实质性答复，否则有可能导致作无效标处理。</w:t>
      </w:r>
      <w:r>
        <w:rPr>
          <w:rFonts w:ascii="宋体" w:hAnsi="宋体" w:cs="Arial"/>
          <w:b/>
          <w:color w:val="auto"/>
          <w:sz w:val="21"/>
          <w:szCs w:val="21"/>
          <w:highlight w:val="none"/>
        </w:rPr>
        <w:t xml:space="preserve">  </w:t>
      </w:r>
    </w:p>
    <w:p>
      <w:pPr>
        <w:adjustRightInd w:val="0"/>
        <w:snapToGrid w:val="0"/>
        <w:spacing w:line="400" w:lineRule="exact"/>
        <w:jc w:val="left"/>
        <w:outlineLvl w:val="1"/>
        <w:rPr>
          <w:rFonts w:ascii="宋体" w:hAnsi="宋体"/>
          <w:b/>
          <w:color w:val="auto"/>
          <w:sz w:val="21"/>
          <w:szCs w:val="21"/>
          <w:highlight w:val="none"/>
        </w:rPr>
      </w:pPr>
      <w:bookmarkStart w:id="56" w:name="_Toc105438754"/>
      <w:bookmarkStart w:id="57" w:name="_Toc72407403"/>
      <w:bookmarkStart w:id="58" w:name="_Toc105435520"/>
      <w:bookmarkStart w:id="59" w:name="_Toc105438806"/>
      <w:bookmarkStart w:id="60" w:name="_Toc105435648"/>
      <w:bookmarkStart w:id="61" w:name="_Toc17349"/>
      <w:bookmarkStart w:id="62" w:name="_Toc105435706"/>
      <w:bookmarkStart w:id="63" w:name="_Toc104190731"/>
      <w:r>
        <w:rPr>
          <w:rFonts w:hint="eastAsia" w:ascii="宋体" w:hAnsi="宋体"/>
          <w:b/>
          <w:color w:val="auto"/>
          <w:sz w:val="21"/>
          <w:szCs w:val="21"/>
          <w:highlight w:val="none"/>
        </w:rPr>
        <w:t>三</w:t>
      </w:r>
      <w:r>
        <w:rPr>
          <w:rFonts w:ascii="宋体" w:hAnsi="宋体"/>
          <w:b/>
          <w:color w:val="auto"/>
          <w:sz w:val="21"/>
          <w:szCs w:val="21"/>
          <w:highlight w:val="none"/>
        </w:rPr>
        <w:t>、招标范围</w:t>
      </w:r>
      <w:bookmarkEnd w:id="55"/>
      <w:bookmarkEnd w:id="56"/>
      <w:bookmarkEnd w:id="57"/>
      <w:bookmarkEnd w:id="58"/>
      <w:bookmarkEnd w:id="59"/>
      <w:bookmarkEnd w:id="60"/>
      <w:bookmarkEnd w:id="61"/>
      <w:bookmarkEnd w:id="62"/>
      <w:bookmarkEnd w:id="63"/>
    </w:p>
    <w:p>
      <w:pPr>
        <w:autoSpaceDE w:val="0"/>
        <w:autoSpaceDN w:val="0"/>
        <w:adjustRightInd w:val="0"/>
        <w:spacing w:line="400" w:lineRule="exact"/>
        <w:ind w:firstLine="413" w:firstLineChars="196"/>
        <w:jc w:val="left"/>
        <w:textAlignment w:val="bottom"/>
        <w:rPr>
          <w:rFonts w:ascii="宋体" w:hAnsi="宋体" w:cs="Arial"/>
          <w:b/>
          <w:color w:val="auto"/>
          <w:sz w:val="21"/>
          <w:szCs w:val="21"/>
          <w:highlight w:val="none"/>
        </w:rPr>
      </w:pPr>
      <w:bookmarkStart w:id="64" w:name="_Toc10142"/>
      <w:bookmarkStart w:id="65" w:name="_Toc22179"/>
      <w:bookmarkStart w:id="66" w:name="_Toc12376"/>
      <w:r>
        <w:rPr>
          <w:rFonts w:ascii="宋体" w:hAnsi="宋体" w:cs="Arial"/>
          <w:b/>
          <w:color w:val="auto"/>
          <w:sz w:val="21"/>
          <w:szCs w:val="21"/>
          <w:highlight w:val="none"/>
        </w:rPr>
        <w:t>（一）项目概况</w:t>
      </w:r>
      <w:bookmarkEnd w:id="64"/>
      <w:bookmarkEnd w:id="65"/>
      <w:bookmarkEnd w:id="66"/>
    </w:p>
    <w:tbl>
      <w:tblPr>
        <w:tblStyle w:val="42"/>
        <w:tblW w:w="8973"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639"/>
        <w:gridCol w:w="1018"/>
        <w:gridCol w:w="2132"/>
        <w:gridCol w:w="4525"/>
        <w:gridCol w:w="659"/>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03" w:hRule="atLeast"/>
          <w:jc w:val="center"/>
        </w:trPr>
        <w:tc>
          <w:tcPr>
            <w:tcW w:w="639" w:type="dxa"/>
            <w:noWrap w:val="0"/>
            <w:vAlign w:val="center"/>
          </w:tcPr>
          <w:p>
            <w:pPr>
              <w:spacing w:line="400" w:lineRule="exact"/>
              <w:jc w:val="center"/>
              <w:rPr>
                <w:rFonts w:ascii="宋体" w:hAnsi="宋体" w:cs="Arial"/>
                <w:b/>
                <w:bCs/>
                <w:color w:val="auto"/>
                <w:sz w:val="21"/>
                <w:szCs w:val="21"/>
                <w:highlight w:val="none"/>
              </w:rPr>
            </w:pPr>
            <w:r>
              <w:rPr>
                <w:rFonts w:ascii="宋体" w:hAnsi="宋体" w:cs="Arial"/>
                <w:b/>
                <w:bCs/>
                <w:color w:val="auto"/>
                <w:sz w:val="21"/>
                <w:szCs w:val="21"/>
                <w:highlight w:val="none"/>
              </w:rPr>
              <w:t>序号</w:t>
            </w:r>
          </w:p>
        </w:tc>
        <w:tc>
          <w:tcPr>
            <w:tcW w:w="1018" w:type="dxa"/>
            <w:noWrap w:val="0"/>
            <w:vAlign w:val="center"/>
          </w:tcPr>
          <w:p>
            <w:pPr>
              <w:tabs>
                <w:tab w:val="left" w:pos="426"/>
              </w:tabs>
              <w:snapToGrid w:val="0"/>
              <w:spacing w:line="400" w:lineRule="exact"/>
              <w:ind w:left="13"/>
              <w:jc w:val="center"/>
              <w:rPr>
                <w:rFonts w:ascii="宋体" w:hAnsi="宋体" w:cs="Arial"/>
                <w:b/>
                <w:bCs/>
                <w:color w:val="auto"/>
                <w:sz w:val="21"/>
                <w:szCs w:val="21"/>
                <w:highlight w:val="none"/>
              </w:rPr>
            </w:pPr>
            <w:r>
              <w:rPr>
                <w:rFonts w:ascii="宋体" w:hAnsi="宋体" w:cs="Arial"/>
                <w:b/>
                <w:bCs/>
                <w:color w:val="auto"/>
                <w:sz w:val="21"/>
                <w:szCs w:val="21"/>
                <w:highlight w:val="none"/>
              </w:rPr>
              <w:t>标项内容</w:t>
            </w:r>
          </w:p>
        </w:tc>
        <w:tc>
          <w:tcPr>
            <w:tcW w:w="2132" w:type="dxa"/>
            <w:noWrap w:val="0"/>
            <w:tcMar>
              <w:top w:w="30" w:type="dxa"/>
              <w:left w:w="30" w:type="dxa"/>
              <w:bottom w:w="30" w:type="dxa"/>
              <w:right w:w="30" w:type="dxa"/>
            </w:tcMar>
            <w:vAlign w:val="center"/>
          </w:tcPr>
          <w:p>
            <w:pPr>
              <w:spacing w:line="400" w:lineRule="exact"/>
              <w:jc w:val="center"/>
              <w:rPr>
                <w:rFonts w:ascii="宋体" w:hAnsi="宋体" w:cs="Arial"/>
                <w:b/>
                <w:bCs/>
                <w:color w:val="auto"/>
                <w:sz w:val="21"/>
                <w:szCs w:val="21"/>
                <w:highlight w:val="none"/>
              </w:rPr>
            </w:pPr>
            <w:r>
              <w:rPr>
                <w:rFonts w:ascii="宋体" w:hAnsi="宋体" w:cs="Arial"/>
                <w:b/>
                <w:bCs/>
                <w:color w:val="auto"/>
                <w:sz w:val="21"/>
                <w:szCs w:val="21"/>
                <w:highlight w:val="none"/>
              </w:rPr>
              <w:t>采购人/合同签订主体</w:t>
            </w:r>
          </w:p>
        </w:tc>
        <w:tc>
          <w:tcPr>
            <w:tcW w:w="4525" w:type="dxa"/>
            <w:noWrap w:val="0"/>
            <w:tcMar>
              <w:top w:w="30" w:type="dxa"/>
              <w:left w:w="30" w:type="dxa"/>
              <w:bottom w:w="30" w:type="dxa"/>
              <w:right w:w="30" w:type="dxa"/>
            </w:tcMar>
            <w:vAlign w:val="center"/>
          </w:tcPr>
          <w:p>
            <w:pPr>
              <w:spacing w:line="400" w:lineRule="exact"/>
              <w:jc w:val="center"/>
              <w:rPr>
                <w:rFonts w:ascii="宋体" w:hAnsi="宋体" w:cs="Arial"/>
                <w:b/>
                <w:bCs/>
                <w:color w:val="auto"/>
                <w:sz w:val="21"/>
                <w:szCs w:val="21"/>
                <w:highlight w:val="none"/>
              </w:rPr>
            </w:pPr>
            <w:r>
              <w:rPr>
                <w:rFonts w:ascii="宋体" w:hAnsi="宋体" w:cs="Arial"/>
                <w:b/>
                <w:bCs/>
                <w:color w:val="auto"/>
                <w:sz w:val="21"/>
                <w:szCs w:val="21"/>
                <w:highlight w:val="none"/>
              </w:rPr>
              <w:t>服务内容（简述）</w:t>
            </w:r>
          </w:p>
        </w:tc>
        <w:tc>
          <w:tcPr>
            <w:tcW w:w="659" w:type="dxa"/>
            <w:noWrap w:val="0"/>
            <w:vAlign w:val="center"/>
          </w:tcPr>
          <w:p>
            <w:pPr>
              <w:spacing w:line="400" w:lineRule="exact"/>
              <w:jc w:val="center"/>
              <w:rPr>
                <w:rFonts w:ascii="宋体" w:hAnsi="宋体" w:cs="Arial"/>
                <w:b/>
                <w:bCs/>
                <w:color w:val="auto"/>
                <w:sz w:val="21"/>
                <w:szCs w:val="21"/>
                <w:highlight w:val="none"/>
              </w:rPr>
            </w:pPr>
            <w:r>
              <w:rPr>
                <w:rFonts w:ascii="宋体" w:hAnsi="宋体" w:cs="Arial"/>
                <w:b/>
                <w:bCs/>
                <w:color w:val="auto"/>
                <w:sz w:val="21"/>
                <w:szCs w:val="21"/>
                <w:highlight w:val="none"/>
              </w:rPr>
              <w:t>备注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468" w:hRule="atLeast"/>
          <w:jc w:val="center"/>
        </w:trPr>
        <w:tc>
          <w:tcPr>
            <w:tcW w:w="639" w:type="dxa"/>
            <w:noWrap w:val="0"/>
            <w:vAlign w:val="center"/>
          </w:tcPr>
          <w:p>
            <w:pPr>
              <w:spacing w:line="400" w:lineRule="exact"/>
              <w:jc w:val="center"/>
              <w:rPr>
                <w:rFonts w:ascii="宋体" w:hAnsi="宋体" w:cs="Arial"/>
                <w:color w:val="auto"/>
                <w:sz w:val="21"/>
                <w:szCs w:val="21"/>
                <w:highlight w:val="none"/>
              </w:rPr>
            </w:pPr>
            <w:bookmarkStart w:id="67" w:name="_Toc196474520"/>
            <w:bookmarkStart w:id="68" w:name="_Toc174420629"/>
            <w:r>
              <w:rPr>
                <w:rFonts w:ascii="宋体" w:hAnsi="宋体" w:cs="Arial"/>
                <w:color w:val="auto"/>
                <w:sz w:val="21"/>
                <w:szCs w:val="21"/>
                <w:highlight w:val="none"/>
              </w:rPr>
              <w:t>1</w:t>
            </w:r>
          </w:p>
        </w:tc>
        <w:tc>
          <w:tcPr>
            <w:tcW w:w="1018" w:type="dxa"/>
            <w:noWrap w:val="0"/>
            <w:vAlign w:val="center"/>
          </w:tcPr>
          <w:p>
            <w:pPr>
              <w:spacing w:line="400" w:lineRule="exact"/>
              <w:jc w:val="center"/>
              <w:rPr>
                <w:rFonts w:hint="eastAsia" w:ascii="宋体" w:hAnsi="宋体" w:cs="Arial"/>
                <w:color w:val="auto"/>
                <w:sz w:val="21"/>
                <w:szCs w:val="21"/>
                <w:highlight w:val="none"/>
              </w:rPr>
            </w:pPr>
            <w:r>
              <w:rPr>
                <w:rFonts w:hint="eastAsia" w:ascii="宋体" w:hAnsi="宋体" w:cs="Arial"/>
                <w:color w:val="auto"/>
                <w:sz w:val="21"/>
                <w:szCs w:val="21"/>
                <w:highlight w:val="none"/>
              </w:rPr>
              <w:t>龙湾区瑶溪街道环卫保洁一体化项目</w:t>
            </w:r>
          </w:p>
        </w:tc>
        <w:tc>
          <w:tcPr>
            <w:tcW w:w="2132" w:type="dxa"/>
            <w:noWrap w:val="0"/>
            <w:tcMar>
              <w:top w:w="30" w:type="dxa"/>
              <w:left w:w="30" w:type="dxa"/>
              <w:bottom w:w="30" w:type="dxa"/>
              <w:right w:w="30" w:type="dxa"/>
            </w:tcMar>
            <w:vAlign w:val="center"/>
          </w:tcPr>
          <w:p>
            <w:pPr>
              <w:spacing w:line="400" w:lineRule="exact"/>
              <w:jc w:val="center"/>
              <w:rPr>
                <w:rFonts w:hint="eastAsia" w:ascii="宋体" w:hAnsi="宋体" w:eastAsia="宋体" w:cs="Arial"/>
                <w:color w:val="auto"/>
                <w:sz w:val="21"/>
                <w:szCs w:val="21"/>
                <w:highlight w:val="none"/>
                <w:lang w:eastAsia="zh-CN"/>
              </w:rPr>
            </w:pPr>
            <w:r>
              <w:rPr>
                <w:rFonts w:hint="eastAsia" w:ascii="宋体" w:hAnsi="宋体" w:cs="Arial"/>
                <w:color w:val="auto"/>
                <w:sz w:val="21"/>
                <w:szCs w:val="21"/>
                <w:highlight w:val="none"/>
                <w:lang w:eastAsia="zh-CN"/>
              </w:rPr>
              <w:t>温州市龙湾区城市管理服务有限公司</w:t>
            </w:r>
          </w:p>
        </w:tc>
        <w:tc>
          <w:tcPr>
            <w:tcW w:w="4525" w:type="dxa"/>
            <w:noWrap w:val="0"/>
            <w:tcMar>
              <w:top w:w="30" w:type="dxa"/>
              <w:left w:w="30" w:type="dxa"/>
              <w:bottom w:w="30" w:type="dxa"/>
              <w:right w:w="30" w:type="dxa"/>
            </w:tcMar>
            <w:vAlign w:val="center"/>
          </w:tcPr>
          <w:p>
            <w:pPr>
              <w:spacing w:line="400" w:lineRule="exact"/>
              <w:jc w:val="left"/>
              <w:rPr>
                <w:rFonts w:ascii="宋体" w:hAnsi="宋体" w:cs="Arial"/>
                <w:color w:val="auto"/>
                <w:sz w:val="21"/>
                <w:szCs w:val="21"/>
                <w:highlight w:val="none"/>
              </w:rPr>
            </w:pPr>
            <w:r>
              <w:rPr>
                <w:rFonts w:ascii="宋体" w:hAnsi="宋体" w:cs="Arial"/>
                <w:color w:val="auto"/>
                <w:sz w:val="21"/>
                <w:szCs w:val="21"/>
                <w:highlight w:val="none"/>
              </w:rPr>
              <w:t>包括</w:t>
            </w:r>
            <w:r>
              <w:rPr>
                <w:rFonts w:hint="eastAsia" w:ascii="宋体" w:hAnsi="宋体" w:cs="Arial"/>
                <w:color w:val="auto"/>
                <w:sz w:val="21"/>
                <w:szCs w:val="21"/>
                <w:highlight w:val="none"/>
              </w:rPr>
              <w:t>瑶溪街道辖区内的</w:t>
            </w:r>
            <w:r>
              <w:rPr>
                <w:rFonts w:ascii="宋体" w:hAnsi="宋体" w:cs="Arial"/>
                <w:color w:val="auto"/>
                <w:sz w:val="21"/>
                <w:szCs w:val="21"/>
                <w:highlight w:val="none"/>
              </w:rPr>
              <w:t>城市道路、村庄道路、背街小巷</w:t>
            </w:r>
            <w:r>
              <w:rPr>
                <w:rFonts w:hint="eastAsia" w:ascii="宋体" w:hAnsi="宋体" w:cs="Arial"/>
                <w:color w:val="auto"/>
                <w:sz w:val="21"/>
                <w:szCs w:val="21"/>
                <w:highlight w:val="none"/>
              </w:rPr>
              <w:t>、</w:t>
            </w:r>
            <w:r>
              <w:rPr>
                <w:rFonts w:ascii="宋体" w:hAnsi="宋体" w:cs="Arial"/>
                <w:color w:val="auto"/>
                <w:sz w:val="21"/>
                <w:szCs w:val="21"/>
                <w:highlight w:val="none"/>
              </w:rPr>
              <w:t>社区道路（包括开放式小区）、公园、广场及公共绿地（包括街头绿地、沿河游步道等）、公共厕所（公共服务空间）的精细化保洁作业，主要道路机械化清扫作业、道路洒水和冲洗；环卫设施（果壳箱、垃圾桶、</w:t>
            </w:r>
            <w:r>
              <w:rPr>
                <w:rFonts w:hint="eastAsia" w:ascii="宋体" w:hAnsi="宋体" w:cs="Arial"/>
                <w:color w:val="auto"/>
                <w:sz w:val="21"/>
                <w:szCs w:val="21"/>
                <w:highlight w:val="none"/>
              </w:rPr>
              <w:t>垃圾屋</w:t>
            </w:r>
            <w:r>
              <w:rPr>
                <w:rFonts w:ascii="宋体" w:hAnsi="宋体" w:cs="Arial"/>
                <w:color w:val="auto"/>
                <w:sz w:val="21"/>
                <w:szCs w:val="21"/>
                <w:highlight w:val="none"/>
              </w:rPr>
              <w:t>）、城市家具（道路护栏、隔离带、配电箱等）的清洗保洁；小广告</w:t>
            </w:r>
            <w:r>
              <w:rPr>
                <w:rFonts w:hint="eastAsia" w:ascii="宋体" w:hAnsi="宋体" w:cs="Arial"/>
                <w:color w:val="auto"/>
                <w:sz w:val="21"/>
                <w:szCs w:val="21"/>
                <w:highlight w:val="none"/>
              </w:rPr>
              <w:t>清理</w:t>
            </w:r>
            <w:r>
              <w:rPr>
                <w:rFonts w:ascii="宋体" w:hAnsi="宋体" w:cs="Arial"/>
                <w:color w:val="auto"/>
                <w:sz w:val="21"/>
                <w:szCs w:val="21"/>
                <w:highlight w:val="none"/>
              </w:rPr>
              <w:t>；河道保洁；垃圾分类收集及运输(沿街店铺生活垃圾分类定时定点上门分类收运)；无主垃圾（生活垃圾、建筑垃圾、大件垃圾等）清运，应急服务等内容；具体要求以采购文件及</w:t>
            </w:r>
            <w:r>
              <w:rPr>
                <w:rFonts w:hint="eastAsia" w:ascii="宋体" w:hAnsi="宋体" w:cs="Arial"/>
                <w:color w:val="auto"/>
                <w:sz w:val="21"/>
                <w:szCs w:val="21"/>
                <w:highlight w:val="none"/>
                <w:lang w:eastAsia="zh-CN"/>
              </w:rPr>
              <w:t>瑶溪街道</w:t>
            </w:r>
            <w:r>
              <w:rPr>
                <w:rFonts w:ascii="宋体" w:hAnsi="宋体" w:cs="Arial"/>
                <w:color w:val="auto"/>
                <w:sz w:val="21"/>
                <w:szCs w:val="21"/>
                <w:highlight w:val="none"/>
              </w:rPr>
              <w:t>业务要求为准。</w:t>
            </w:r>
          </w:p>
        </w:tc>
        <w:tc>
          <w:tcPr>
            <w:tcW w:w="659" w:type="dxa"/>
            <w:noWrap w:val="0"/>
            <w:vAlign w:val="center"/>
          </w:tcPr>
          <w:p>
            <w:pPr>
              <w:spacing w:line="400" w:lineRule="exact"/>
              <w:jc w:val="center"/>
              <w:rPr>
                <w:rFonts w:ascii="宋体" w:hAnsi="宋体" w:cs="Arial"/>
                <w:color w:val="auto"/>
                <w:sz w:val="21"/>
                <w:szCs w:val="21"/>
                <w:highlight w:val="none"/>
              </w:rPr>
            </w:pPr>
          </w:p>
        </w:tc>
      </w:tr>
    </w:tbl>
    <w:p>
      <w:pPr>
        <w:autoSpaceDE w:val="0"/>
        <w:autoSpaceDN w:val="0"/>
        <w:adjustRightInd w:val="0"/>
        <w:spacing w:line="400" w:lineRule="exact"/>
        <w:ind w:firstLine="413" w:firstLineChars="196"/>
        <w:jc w:val="left"/>
        <w:textAlignment w:val="bottom"/>
        <w:rPr>
          <w:rFonts w:ascii="宋体" w:hAnsi="宋体" w:cs="Arial"/>
          <w:b/>
          <w:color w:val="auto"/>
          <w:sz w:val="21"/>
          <w:szCs w:val="21"/>
          <w:highlight w:val="none"/>
        </w:rPr>
      </w:pPr>
      <w:bookmarkStart w:id="69" w:name="_Toc8601"/>
      <w:bookmarkStart w:id="70" w:name="_Toc26645"/>
      <w:bookmarkStart w:id="71" w:name="_Toc11925"/>
      <w:r>
        <w:rPr>
          <w:rFonts w:ascii="宋体" w:hAnsi="宋体" w:cs="Arial"/>
          <w:b/>
          <w:color w:val="auto"/>
          <w:sz w:val="21"/>
          <w:szCs w:val="21"/>
          <w:highlight w:val="none"/>
        </w:rPr>
        <w:t>（二）具体保洁范围</w:t>
      </w:r>
      <w:bookmarkEnd w:id="69"/>
      <w:bookmarkEnd w:id="70"/>
      <w:bookmarkEnd w:id="71"/>
    </w:p>
    <w:p>
      <w:pPr>
        <w:autoSpaceDE w:val="0"/>
        <w:autoSpaceDN w:val="0"/>
        <w:adjustRightInd w:val="0"/>
        <w:spacing w:line="400" w:lineRule="exact"/>
        <w:ind w:firstLine="413" w:firstLineChars="196"/>
        <w:jc w:val="left"/>
        <w:textAlignment w:val="bottom"/>
        <w:rPr>
          <w:rFonts w:ascii="宋体" w:hAnsi="宋体" w:cs="Arial"/>
          <w:b/>
          <w:color w:val="auto"/>
          <w:sz w:val="21"/>
          <w:szCs w:val="21"/>
          <w:highlight w:val="none"/>
        </w:rPr>
      </w:pPr>
      <w:r>
        <w:rPr>
          <w:rFonts w:ascii="宋体" w:hAnsi="宋体" w:cs="Arial"/>
          <w:b/>
          <w:color w:val="auto"/>
          <w:sz w:val="21"/>
          <w:szCs w:val="21"/>
          <w:highlight w:val="none"/>
        </w:rPr>
        <w:t>1、</w:t>
      </w:r>
      <w:r>
        <w:rPr>
          <w:rFonts w:hint="eastAsia" w:ascii="宋体" w:hAnsi="宋体" w:cs="Arial"/>
          <w:b/>
          <w:color w:val="auto"/>
          <w:sz w:val="21"/>
          <w:szCs w:val="21"/>
          <w:highlight w:val="none"/>
        </w:rPr>
        <w:t>瑶溪街道</w:t>
      </w:r>
      <w:r>
        <w:rPr>
          <w:rFonts w:ascii="宋体" w:hAnsi="宋体" w:cs="Arial"/>
          <w:b/>
          <w:color w:val="auto"/>
          <w:sz w:val="21"/>
          <w:szCs w:val="21"/>
          <w:highlight w:val="none"/>
        </w:rPr>
        <w:t>行政区域范围的所有公共区域，具体见招标文件附件</w:t>
      </w:r>
      <w:r>
        <w:rPr>
          <w:rFonts w:hint="eastAsia" w:ascii="宋体" w:hAnsi="宋体" w:cs="Arial"/>
          <w:b/>
          <w:color w:val="auto"/>
          <w:sz w:val="21"/>
          <w:szCs w:val="21"/>
          <w:highlight w:val="none"/>
        </w:rPr>
        <w:t>——</w:t>
      </w:r>
      <w:r>
        <w:rPr>
          <w:rFonts w:ascii="宋体" w:hAnsi="宋体" w:cs="Arial"/>
          <w:b/>
          <w:color w:val="auto"/>
          <w:sz w:val="21"/>
          <w:szCs w:val="21"/>
          <w:highlight w:val="none"/>
        </w:rPr>
        <w:t>《</w:t>
      </w:r>
      <w:r>
        <w:rPr>
          <w:rFonts w:hint="eastAsia" w:ascii="宋体" w:hAnsi="宋体" w:cs="Arial"/>
          <w:b/>
          <w:color w:val="auto"/>
          <w:sz w:val="21"/>
          <w:szCs w:val="21"/>
          <w:highlight w:val="none"/>
        </w:rPr>
        <w:t>瑶溪街道</w:t>
      </w:r>
      <w:r>
        <w:rPr>
          <w:rFonts w:ascii="宋体" w:hAnsi="宋体" w:cs="Arial"/>
          <w:b/>
          <w:color w:val="auto"/>
          <w:sz w:val="21"/>
          <w:szCs w:val="21"/>
          <w:highlight w:val="none"/>
        </w:rPr>
        <w:t>环卫保洁作业量清单》。</w:t>
      </w:r>
    </w:p>
    <w:p>
      <w:pPr>
        <w:autoSpaceDE w:val="0"/>
        <w:autoSpaceDN w:val="0"/>
        <w:adjustRightInd w:val="0"/>
        <w:spacing w:line="400" w:lineRule="exact"/>
        <w:ind w:firstLine="413" w:firstLineChars="196"/>
        <w:jc w:val="left"/>
        <w:textAlignment w:val="bottom"/>
        <w:rPr>
          <w:rFonts w:ascii="宋体" w:hAnsi="宋体" w:cs="Arial"/>
          <w:b/>
          <w:color w:val="auto"/>
          <w:sz w:val="21"/>
          <w:szCs w:val="21"/>
          <w:highlight w:val="none"/>
        </w:rPr>
      </w:pPr>
      <w:r>
        <w:rPr>
          <w:rFonts w:hint="eastAsia" w:ascii="宋体" w:hAnsi="宋体" w:cs="Arial"/>
          <w:b/>
          <w:color w:val="auto"/>
          <w:sz w:val="21"/>
          <w:szCs w:val="21"/>
          <w:highlight w:val="none"/>
        </w:rPr>
        <w:t>2</w:t>
      </w:r>
      <w:r>
        <w:rPr>
          <w:rFonts w:ascii="宋体" w:hAnsi="宋体" w:cs="Arial"/>
          <w:b/>
          <w:color w:val="auto"/>
          <w:sz w:val="21"/>
          <w:szCs w:val="21"/>
          <w:highlight w:val="none"/>
        </w:rPr>
        <w:t>、作业量清单说明</w:t>
      </w:r>
    </w:p>
    <w:p>
      <w:pPr>
        <w:spacing w:line="400" w:lineRule="exact"/>
        <w:ind w:firstLine="422" w:firstLineChars="200"/>
        <w:jc w:val="left"/>
        <w:rPr>
          <w:rFonts w:hint="eastAsia" w:ascii="宋体" w:hAnsi="宋体" w:eastAsia="宋体" w:cs="Arial"/>
          <w:b/>
          <w:color w:val="auto"/>
          <w:sz w:val="21"/>
          <w:szCs w:val="21"/>
          <w:highlight w:val="none"/>
        </w:rPr>
      </w:pPr>
      <w:bookmarkStart w:id="72" w:name="_Toc72407404"/>
      <w:r>
        <w:rPr>
          <w:rFonts w:ascii="宋体" w:hAnsi="宋体" w:cs="Arial"/>
          <w:b/>
          <w:color w:val="auto"/>
          <w:sz w:val="21"/>
          <w:szCs w:val="21"/>
          <w:highlight w:val="none"/>
        </w:rPr>
        <w:t>（1）</w:t>
      </w:r>
      <w:r>
        <w:rPr>
          <w:rFonts w:hint="eastAsia" w:ascii="宋体" w:hAnsi="宋体" w:cs="Arial"/>
          <w:b/>
          <w:color w:val="auto"/>
          <w:sz w:val="21"/>
          <w:szCs w:val="21"/>
          <w:highlight w:val="none"/>
        </w:rPr>
        <w:t>瑶溪街道辖区</w:t>
      </w:r>
      <w:r>
        <w:rPr>
          <w:rFonts w:ascii="宋体" w:hAnsi="宋体" w:cs="Arial"/>
          <w:b/>
          <w:color w:val="auto"/>
          <w:sz w:val="21"/>
          <w:szCs w:val="21"/>
          <w:highlight w:val="none"/>
        </w:rPr>
        <w:t>内的</w:t>
      </w:r>
      <w:r>
        <w:rPr>
          <w:rFonts w:hint="eastAsia" w:ascii="宋体" w:hAnsi="宋体" w:cs="Arial"/>
          <w:b/>
          <w:color w:val="auto"/>
          <w:sz w:val="21"/>
          <w:szCs w:val="21"/>
          <w:highlight w:val="none"/>
        </w:rPr>
        <w:t>广场、天桥、如有地下通道（含其墙壁）、如有隧道（含其墙壁）、桥下空间、公共绿地、公共绿化、公共花坛、废弃地（拆后空地）、房前屋后等包含在本次招标范围中，总价包干，具体数量不一一列出，由投标人</w:t>
      </w:r>
      <w:r>
        <w:rPr>
          <w:rFonts w:hint="eastAsia" w:ascii="宋体" w:hAnsi="宋体" w:eastAsia="宋体" w:cs="Arial"/>
          <w:b/>
          <w:color w:val="auto"/>
          <w:sz w:val="21"/>
          <w:szCs w:val="21"/>
          <w:highlight w:val="none"/>
        </w:rPr>
        <w:t>实地勘察自行测算；</w:t>
      </w:r>
    </w:p>
    <w:p>
      <w:pPr>
        <w:spacing w:line="400" w:lineRule="exact"/>
        <w:ind w:firstLine="422" w:firstLineChars="200"/>
        <w:jc w:val="left"/>
        <w:rPr>
          <w:rFonts w:ascii="宋体" w:hAnsi="宋体" w:cs="Arial"/>
          <w:b/>
          <w:color w:val="auto"/>
          <w:sz w:val="21"/>
          <w:szCs w:val="21"/>
          <w:highlight w:val="none"/>
        </w:rPr>
      </w:pPr>
      <w:r>
        <w:rPr>
          <w:rFonts w:hint="eastAsia" w:ascii="宋体" w:hAnsi="宋体" w:eastAsia="宋体" w:cs="Arial"/>
          <w:b/>
          <w:color w:val="auto"/>
          <w:sz w:val="21"/>
          <w:szCs w:val="21"/>
          <w:highlight w:val="none"/>
        </w:rPr>
        <w:t>（2）</w:t>
      </w:r>
      <w:bookmarkStart w:id="73" w:name="_Hlk497462068"/>
      <w:r>
        <w:rPr>
          <w:rFonts w:hint="eastAsia" w:ascii="宋体" w:hAnsi="宋体" w:eastAsia="宋体" w:cs="Arial"/>
          <w:b/>
          <w:color w:val="auto"/>
          <w:sz w:val="21"/>
          <w:szCs w:val="21"/>
          <w:highlight w:val="none"/>
        </w:rPr>
        <w:t>保洁区域内的城市道路、道路护栏、</w:t>
      </w:r>
      <w:r>
        <w:rPr>
          <w:rFonts w:hint="eastAsia" w:ascii="宋体" w:hAnsi="宋体" w:cs="Arial"/>
          <w:b/>
          <w:color w:val="auto"/>
          <w:sz w:val="21"/>
          <w:szCs w:val="21"/>
          <w:highlight w:val="none"/>
        </w:rPr>
        <w:t>辅道及辅道绿化带、隔离栏、站牌、电杆、监控杆、灯箱、广告牌、弱电设施、固定室外座椅等市政设施包含在本次招标范围中，总价包干，具体数量不一一列出，由投标人实地勘察自行测算</w:t>
      </w:r>
      <w:r>
        <w:rPr>
          <w:rFonts w:ascii="宋体" w:hAnsi="宋体" w:cs="Arial"/>
          <w:b/>
          <w:color w:val="auto"/>
          <w:sz w:val="21"/>
          <w:szCs w:val="21"/>
          <w:highlight w:val="none"/>
        </w:rPr>
        <w:t>。</w:t>
      </w:r>
    </w:p>
    <w:p>
      <w:pPr>
        <w:spacing w:line="400" w:lineRule="exact"/>
        <w:ind w:firstLine="422" w:firstLineChars="200"/>
        <w:jc w:val="left"/>
        <w:rPr>
          <w:rFonts w:ascii="宋体" w:hAnsi="宋体" w:cs="Arial"/>
          <w:b/>
          <w:color w:val="auto"/>
          <w:sz w:val="21"/>
          <w:szCs w:val="21"/>
          <w:highlight w:val="none"/>
        </w:rPr>
      </w:pPr>
      <w:r>
        <w:rPr>
          <w:rFonts w:ascii="宋体" w:hAnsi="宋体" w:cs="Arial"/>
          <w:b/>
          <w:color w:val="auto"/>
          <w:sz w:val="21"/>
          <w:szCs w:val="21"/>
          <w:highlight w:val="none"/>
        </w:rPr>
        <w:t>（3）保洁区域内的</w:t>
      </w:r>
      <w:r>
        <w:rPr>
          <w:rFonts w:hint="eastAsia" w:ascii="宋体" w:hAnsi="宋体" w:cs="Arial"/>
          <w:b/>
          <w:color w:val="auto"/>
          <w:sz w:val="21"/>
          <w:szCs w:val="21"/>
          <w:highlight w:val="none"/>
        </w:rPr>
        <w:t>池塘、溪流、沟、渠、小微水体、河道及河道沿岸、沿河游步道等包含在本次招标范围内，总价包干，具体数量不一一列出，由投标人实地勘察自行测算</w:t>
      </w:r>
      <w:r>
        <w:rPr>
          <w:rFonts w:ascii="宋体" w:hAnsi="宋体" w:cs="Arial"/>
          <w:b/>
          <w:color w:val="auto"/>
          <w:sz w:val="21"/>
          <w:szCs w:val="21"/>
          <w:highlight w:val="none"/>
        </w:rPr>
        <w:t>。</w:t>
      </w:r>
    </w:p>
    <w:p>
      <w:pPr>
        <w:pStyle w:val="3"/>
        <w:rPr>
          <w:rFonts w:hint="eastAsia"/>
          <w:color w:val="auto"/>
          <w:highlight w:val="none"/>
        </w:rPr>
      </w:pPr>
      <w:r>
        <w:rPr>
          <w:rFonts w:hint="eastAsia" w:ascii="宋体" w:hAnsi="宋体" w:cs="Arial"/>
          <w:b/>
          <w:color w:val="auto"/>
          <w:sz w:val="21"/>
          <w:szCs w:val="21"/>
          <w:highlight w:val="none"/>
        </w:rPr>
        <w:t xml:space="preserve">    （4）保洁区域内的公厕保洁及维修包含本次招标范围内，总</w:t>
      </w:r>
      <w:r>
        <w:rPr>
          <w:rFonts w:hint="eastAsia" w:ascii="宋体" w:hAnsi="宋体" w:cs="Arial"/>
          <w:b/>
          <w:color w:val="auto"/>
          <w:sz w:val="21"/>
          <w:szCs w:val="21"/>
          <w:highlight w:val="none"/>
          <w:lang w:eastAsia="zh-CN"/>
        </w:rPr>
        <w:t>价</w:t>
      </w:r>
      <w:r>
        <w:rPr>
          <w:rFonts w:hint="eastAsia" w:ascii="宋体" w:hAnsi="宋体" w:cs="Arial"/>
          <w:b/>
          <w:color w:val="auto"/>
          <w:sz w:val="21"/>
          <w:szCs w:val="21"/>
          <w:highlight w:val="none"/>
        </w:rPr>
        <w:t>包干，由投标人实地勘察自行测算。</w:t>
      </w:r>
    </w:p>
    <w:p>
      <w:pPr>
        <w:pStyle w:val="134"/>
        <w:spacing w:line="400" w:lineRule="exact"/>
        <w:ind w:firstLine="420"/>
        <w:rPr>
          <w:rFonts w:hint="eastAsia" w:cs="Arial"/>
          <w:color w:val="auto"/>
          <w:sz w:val="21"/>
          <w:szCs w:val="21"/>
          <w:highlight w:val="none"/>
        </w:rPr>
      </w:pPr>
      <w:r>
        <w:rPr>
          <w:rFonts w:hint="eastAsia" w:cs="Arial"/>
          <w:color w:val="auto"/>
          <w:sz w:val="21"/>
          <w:szCs w:val="21"/>
          <w:highlight w:val="none"/>
        </w:rPr>
        <w:t>（5）已列入本项目保洁范围的开放式小区今后如实行封闭式管理，自实行封闭管理之日起退出本项目保洁范围并扣除相应保洁费用，中标单位须无条件服从。</w:t>
      </w:r>
    </w:p>
    <w:p>
      <w:pPr>
        <w:pStyle w:val="134"/>
        <w:spacing w:line="400" w:lineRule="exact"/>
        <w:ind w:firstLine="420"/>
        <w:rPr>
          <w:rFonts w:hint="eastAsia" w:cs="Arial"/>
          <w:color w:val="auto"/>
          <w:sz w:val="21"/>
          <w:szCs w:val="21"/>
          <w:highlight w:val="none"/>
        </w:rPr>
      </w:pPr>
      <w:r>
        <w:rPr>
          <w:rFonts w:hint="eastAsia" w:cs="Arial"/>
          <w:color w:val="auto"/>
          <w:sz w:val="21"/>
          <w:szCs w:val="21"/>
          <w:highlight w:val="none"/>
        </w:rPr>
        <w:t>（6）本次招标范围包括区域内无主生活垃圾、无主建筑垃圾、无主大件垃圾的及时收运，加强日常巡查，发现问题及时报告，并及时清运至辖区街道指定地点，其它保洁要求须响应</w:t>
      </w:r>
      <w:r>
        <w:rPr>
          <w:rFonts w:hint="eastAsia" w:cs="Arial"/>
          <w:color w:val="auto"/>
          <w:sz w:val="21"/>
          <w:szCs w:val="21"/>
          <w:highlight w:val="none"/>
          <w:lang w:eastAsia="zh-CN"/>
        </w:rPr>
        <w:t>瑶溪街道</w:t>
      </w:r>
      <w:r>
        <w:rPr>
          <w:rFonts w:hint="eastAsia" w:cs="Arial"/>
          <w:color w:val="auto"/>
          <w:sz w:val="21"/>
          <w:szCs w:val="21"/>
          <w:highlight w:val="none"/>
        </w:rPr>
        <w:t>要求，纳入考核范围，费用包含在投标总价中。</w:t>
      </w:r>
    </w:p>
    <w:p>
      <w:pPr>
        <w:pStyle w:val="134"/>
        <w:spacing w:line="400" w:lineRule="exact"/>
        <w:ind w:firstLine="420"/>
        <w:rPr>
          <w:rFonts w:hint="eastAsia" w:cs="Arial"/>
          <w:color w:val="auto"/>
          <w:sz w:val="21"/>
          <w:szCs w:val="21"/>
          <w:highlight w:val="none"/>
        </w:rPr>
      </w:pPr>
      <w:r>
        <w:rPr>
          <w:rFonts w:hint="eastAsia" w:cs="Arial"/>
          <w:color w:val="auto"/>
          <w:sz w:val="21"/>
          <w:szCs w:val="21"/>
          <w:highlight w:val="none"/>
        </w:rPr>
        <w:t>（7）本次采购的上述范围，以及</w:t>
      </w:r>
      <w:r>
        <w:rPr>
          <w:rFonts w:hint="eastAsia" w:cs="Arial"/>
          <w:b/>
          <w:color w:val="auto"/>
          <w:sz w:val="21"/>
          <w:szCs w:val="21"/>
          <w:highlight w:val="none"/>
          <w:u w:val="single"/>
        </w:rPr>
        <w:t>城市道路两侧小区店铺门口或围墙外的区域</w:t>
      </w:r>
      <w:r>
        <w:rPr>
          <w:rFonts w:hint="eastAsia" w:cs="Arial"/>
          <w:color w:val="auto"/>
          <w:sz w:val="21"/>
          <w:szCs w:val="21"/>
          <w:highlight w:val="none"/>
        </w:rPr>
        <w:t>，无论是否报价单列，以上内容全部包括在投标总价中。</w:t>
      </w:r>
    </w:p>
    <w:p>
      <w:pPr>
        <w:pStyle w:val="134"/>
        <w:spacing w:line="400" w:lineRule="exact"/>
        <w:ind w:firstLine="420"/>
        <w:rPr>
          <w:rFonts w:cs="Arial"/>
          <w:color w:val="auto"/>
          <w:sz w:val="21"/>
          <w:szCs w:val="21"/>
          <w:highlight w:val="none"/>
        </w:rPr>
      </w:pPr>
      <w:r>
        <w:rPr>
          <w:rFonts w:hint="eastAsia" w:cs="Arial"/>
          <w:color w:val="auto"/>
          <w:sz w:val="21"/>
          <w:szCs w:val="21"/>
          <w:highlight w:val="none"/>
        </w:rPr>
        <w:t>（8）本项目各街道保洁区域范围内垃圾房、公厕产生的水电费、</w:t>
      </w:r>
      <w:r>
        <w:rPr>
          <w:rFonts w:hint="eastAsia" w:cs="Arial"/>
          <w:b w:val="0"/>
          <w:bCs w:val="0"/>
          <w:color w:val="auto"/>
          <w:sz w:val="21"/>
          <w:szCs w:val="21"/>
          <w:highlight w:val="none"/>
        </w:rPr>
        <w:t>公厕</w:t>
      </w:r>
      <w:r>
        <w:rPr>
          <w:rFonts w:hint="eastAsia"/>
          <w:b w:val="0"/>
          <w:bCs w:val="0"/>
          <w:color w:val="auto"/>
          <w:sz w:val="22"/>
          <w:szCs w:val="22"/>
          <w:highlight w:val="none"/>
        </w:rPr>
        <w:t>设施维修费、</w:t>
      </w:r>
      <w:r>
        <w:rPr>
          <w:rFonts w:hint="eastAsia" w:cs="Arial"/>
          <w:color w:val="auto"/>
          <w:sz w:val="21"/>
          <w:szCs w:val="21"/>
          <w:highlight w:val="none"/>
        </w:rPr>
        <w:t>由中标单位承担。</w:t>
      </w:r>
    </w:p>
    <w:p>
      <w:pPr>
        <w:autoSpaceDE w:val="0"/>
        <w:autoSpaceDN w:val="0"/>
        <w:adjustRightInd w:val="0"/>
        <w:spacing w:line="400" w:lineRule="exact"/>
        <w:ind w:firstLine="413" w:firstLineChars="196"/>
        <w:jc w:val="left"/>
        <w:textAlignment w:val="bottom"/>
        <w:rPr>
          <w:rFonts w:ascii="宋体" w:hAnsi="宋体" w:cs="Arial"/>
          <w:b/>
          <w:color w:val="auto"/>
          <w:sz w:val="21"/>
          <w:szCs w:val="21"/>
          <w:highlight w:val="none"/>
        </w:rPr>
      </w:pPr>
      <w:r>
        <w:rPr>
          <w:rFonts w:hint="eastAsia" w:ascii="宋体" w:hAnsi="宋体" w:cs="Arial"/>
          <w:b/>
          <w:color w:val="auto"/>
          <w:sz w:val="21"/>
          <w:szCs w:val="21"/>
          <w:highlight w:val="none"/>
        </w:rPr>
        <w:t>3</w:t>
      </w:r>
      <w:r>
        <w:rPr>
          <w:rFonts w:ascii="宋体" w:hAnsi="宋体" w:cs="Arial"/>
          <w:b/>
          <w:color w:val="auto"/>
          <w:sz w:val="21"/>
          <w:szCs w:val="21"/>
          <w:highlight w:val="none"/>
        </w:rPr>
        <w:t>、</w:t>
      </w:r>
      <w:r>
        <w:rPr>
          <w:rFonts w:hint="eastAsia" w:ascii="宋体" w:hAnsi="宋体" w:cs="Arial"/>
          <w:b/>
          <w:color w:val="auto"/>
          <w:sz w:val="21"/>
          <w:szCs w:val="21"/>
          <w:highlight w:val="none"/>
        </w:rPr>
        <w:t>本项目提供的城市道路、河道、水体、公园、公厕、广场等保洁面积为参考数据，合同执行过程保洁面积以实际面积为准，投标人须现场踏勘，以求得准确的报价依据，并自行承担投标报价风险。保洁范围特别说明如下</w:t>
      </w:r>
      <w:r>
        <w:rPr>
          <w:rFonts w:ascii="宋体" w:hAnsi="宋体" w:cs="Arial"/>
          <w:b/>
          <w:color w:val="auto"/>
          <w:sz w:val="21"/>
          <w:szCs w:val="21"/>
          <w:highlight w:val="none"/>
        </w:rPr>
        <w:t>：</w:t>
      </w:r>
    </w:p>
    <w:p>
      <w:pPr>
        <w:spacing w:line="400" w:lineRule="exact"/>
        <w:ind w:firstLine="420" w:firstLineChars="200"/>
        <w:jc w:val="left"/>
        <w:rPr>
          <w:rFonts w:hint="eastAsia" w:ascii="宋体" w:hAnsi="宋体" w:cs="Arial"/>
          <w:color w:val="auto"/>
          <w:sz w:val="21"/>
          <w:szCs w:val="21"/>
          <w:highlight w:val="none"/>
        </w:rPr>
      </w:pPr>
      <w:r>
        <w:rPr>
          <w:rFonts w:hint="eastAsia" w:ascii="宋体" w:hAnsi="宋体" w:cs="Arial"/>
          <w:color w:val="auto"/>
          <w:sz w:val="21"/>
          <w:szCs w:val="21"/>
          <w:highlight w:val="none"/>
        </w:rPr>
        <w:t>（1）面积误差风险：本项目涉及一至四级道路、社区、村内道路、开放式物业小区道路（不包括一层以上的平台和楼栋内面积）等，招标面积与实际面积可能存在一定的误差，该误差风险由投标人自行根据道路明细清单进行核对，误差风险由投标人自担。</w:t>
      </w:r>
    </w:p>
    <w:p>
      <w:pPr>
        <w:spacing w:line="400" w:lineRule="exact"/>
        <w:ind w:firstLine="420" w:firstLineChars="200"/>
        <w:jc w:val="left"/>
        <w:rPr>
          <w:rFonts w:hint="eastAsia" w:ascii="宋体" w:hAnsi="宋体" w:cs="Arial"/>
          <w:color w:val="auto"/>
          <w:sz w:val="21"/>
          <w:szCs w:val="21"/>
          <w:highlight w:val="none"/>
        </w:rPr>
      </w:pPr>
      <w:r>
        <w:rPr>
          <w:rFonts w:hint="eastAsia" w:ascii="宋体" w:hAnsi="宋体" w:cs="Arial"/>
          <w:color w:val="auto"/>
          <w:sz w:val="21"/>
          <w:szCs w:val="21"/>
          <w:highlight w:val="none"/>
        </w:rPr>
        <w:t>（2）在合同期内，因市政建设或河道清淤需要征用、临时占用需要调整中标单位清扫保洁面积时，</w:t>
      </w:r>
      <w:r>
        <w:rPr>
          <w:rFonts w:hint="eastAsia" w:ascii="宋体" w:hAnsi="宋体" w:cs="Arial"/>
          <w:color w:val="auto"/>
          <w:sz w:val="21"/>
          <w:szCs w:val="21"/>
          <w:highlight w:val="none"/>
          <w:lang w:eastAsia="zh-CN"/>
        </w:rPr>
        <w:t>瑶溪街道</w:t>
      </w:r>
      <w:r>
        <w:rPr>
          <w:rFonts w:hint="eastAsia" w:ascii="宋体" w:hAnsi="宋体" w:cs="Arial"/>
          <w:color w:val="auto"/>
          <w:sz w:val="21"/>
          <w:szCs w:val="21"/>
          <w:highlight w:val="none"/>
        </w:rPr>
        <w:t>根据占用的时间和面积数，扣除相应的清扫保洁费，中标单位须无条件服从。</w:t>
      </w:r>
    </w:p>
    <w:p>
      <w:pPr>
        <w:spacing w:line="400" w:lineRule="exact"/>
        <w:ind w:firstLine="420" w:firstLineChars="200"/>
        <w:jc w:val="left"/>
        <w:rPr>
          <w:rFonts w:ascii="宋体" w:hAnsi="宋体" w:cs="Arial"/>
          <w:color w:val="auto"/>
          <w:sz w:val="21"/>
          <w:szCs w:val="21"/>
          <w:highlight w:val="none"/>
        </w:rPr>
      </w:pPr>
      <w:r>
        <w:rPr>
          <w:rFonts w:hint="eastAsia" w:ascii="宋体" w:hAnsi="宋体" w:cs="Arial"/>
          <w:color w:val="auto"/>
          <w:sz w:val="21"/>
          <w:szCs w:val="21"/>
          <w:highlight w:val="none"/>
        </w:rPr>
        <w:t>（3）在合同期内，出现新增道路、河道、绿地、公园、游步道、公厕、社区等所有需要保洁的内容，或因改造、改建、扩建出现新增清扫保洁面积时，</w:t>
      </w:r>
      <w:r>
        <w:rPr>
          <w:rFonts w:hint="eastAsia" w:ascii="宋体" w:hAnsi="宋体" w:cs="Arial"/>
          <w:color w:val="auto"/>
          <w:sz w:val="21"/>
          <w:szCs w:val="21"/>
          <w:highlight w:val="none"/>
          <w:lang w:eastAsia="zh-CN"/>
        </w:rPr>
        <w:t>瑶溪街道</w:t>
      </w:r>
      <w:r>
        <w:rPr>
          <w:rFonts w:hint="eastAsia" w:ascii="宋体" w:hAnsi="宋体" w:cs="Arial"/>
          <w:color w:val="auto"/>
          <w:sz w:val="21"/>
          <w:szCs w:val="21"/>
          <w:highlight w:val="none"/>
        </w:rPr>
        <w:t>将根据实际情况对作业量做出调整，中标单位须无条件服从。增加的费用根据中标单位的中标单价及增加的作业量按实结算（具体类/级别由</w:t>
      </w:r>
      <w:r>
        <w:rPr>
          <w:rFonts w:hint="eastAsia" w:ascii="宋体" w:hAnsi="宋体" w:cs="Arial"/>
          <w:color w:val="auto"/>
          <w:sz w:val="21"/>
          <w:szCs w:val="21"/>
          <w:highlight w:val="none"/>
          <w:lang w:eastAsia="zh-CN"/>
        </w:rPr>
        <w:t>瑶溪街道</w:t>
      </w:r>
      <w:r>
        <w:rPr>
          <w:rFonts w:hint="eastAsia" w:ascii="宋体" w:hAnsi="宋体" w:cs="Arial"/>
          <w:color w:val="auto"/>
          <w:sz w:val="21"/>
          <w:szCs w:val="21"/>
          <w:highlight w:val="none"/>
        </w:rPr>
        <w:t>确定）。</w:t>
      </w:r>
      <w:r>
        <w:rPr>
          <w:rFonts w:hint="eastAsia" w:ascii="宋体" w:hAnsi="宋体" w:cs="Arial"/>
          <w:color w:val="auto"/>
          <w:sz w:val="21"/>
          <w:szCs w:val="21"/>
          <w:highlight w:val="none"/>
          <w:lang w:eastAsia="zh-CN"/>
        </w:rPr>
        <w:t>瑶溪街道</w:t>
      </w:r>
      <w:r>
        <w:rPr>
          <w:rFonts w:hint="eastAsia" w:ascii="宋体" w:hAnsi="宋体" w:cs="Arial"/>
          <w:color w:val="auto"/>
          <w:sz w:val="21"/>
          <w:szCs w:val="21"/>
          <w:highlight w:val="none"/>
        </w:rPr>
        <w:t>将以联系单的形式抄送给中标单位，中标单位须无条件接受，并纳入考核范围</w:t>
      </w:r>
      <w:r>
        <w:rPr>
          <w:rFonts w:ascii="宋体" w:hAnsi="宋体" w:cs="Arial"/>
          <w:color w:val="auto"/>
          <w:sz w:val="21"/>
          <w:szCs w:val="21"/>
          <w:highlight w:val="none"/>
        </w:rPr>
        <w:t>。</w:t>
      </w:r>
    </w:p>
    <w:p>
      <w:pPr>
        <w:spacing w:line="400" w:lineRule="exact"/>
        <w:ind w:firstLine="422" w:firstLineChars="200"/>
        <w:jc w:val="left"/>
        <w:rPr>
          <w:rFonts w:ascii="宋体" w:hAnsi="宋体" w:cs="Arial"/>
          <w:b/>
          <w:color w:val="auto"/>
          <w:sz w:val="21"/>
          <w:szCs w:val="21"/>
          <w:highlight w:val="none"/>
        </w:rPr>
      </w:pPr>
      <w:r>
        <w:rPr>
          <w:rFonts w:ascii="宋体" w:hAnsi="宋体" w:cs="Arial"/>
          <w:b/>
          <w:color w:val="auto"/>
          <w:sz w:val="21"/>
          <w:szCs w:val="21"/>
          <w:highlight w:val="none"/>
        </w:rPr>
        <w:t>（4）</w:t>
      </w:r>
      <w:bookmarkEnd w:id="73"/>
      <w:r>
        <w:rPr>
          <w:rFonts w:hint="eastAsia" w:ascii="宋体" w:hAnsi="宋体" w:cs="Arial"/>
          <w:b/>
          <w:bCs/>
          <w:color w:val="auto"/>
          <w:sz w:val="21"/>
          <w:szCs w:val="21"/>
          <w:highlight w:val="none"/>
        </w:rPr>
        <w:t>保洁经费按实际进场作业开始时间计算，部分保洁区域因原保洁合同未到期或因其他原因未交付暂未移交的面积，暂不计保洁经费，同时</w:t>
      </w:r>
      <w:r>
        <w:rPr>
          <w:rFonts w:hint="eastAsia" w:ascii="宋体" w:hAnsi="宋体" w:cs="Arial"/>
          <w:b/>
          <w:bCs/>
          <w:color w:val="auto"/>
          <w:sz w:val="21"/>
          <w:szCs w:val="21"/>
          <w:highlight w:val="none"/>
          <w:lang w:eastAsia="zh-CN"/>
        </w:rPr>
        <w:t>瑶溪街道</w:t>
      </w:r>
      <w:r>
        <w:rPr>
          <w:rFonts w:hint="eastAsia" w:ascii="宋体" w:hAnsi="宋体" w:cs="Arial"/>
          <w:b/>
          <w:bCs/>
          <w:color w:val="auto"/>
          <w:sz w:val="21"/>
          <w:szCs w:val="21"/>
          <w:highlight w:val="none"/>
        </w:rPr>
        <w:t>有权对保洁范围进行调整并按实调整相应保洁经费</w:t>
      </w:r>
      <w:r>
        <w:rPr>
          <w:rFonts w:ascii="宋体" w:hAnsi="宋体" w:cs="Arial"/>
          <w:b/>
          <w:bCs/>
          <w:color w:val="auto"/>
          <w:sz w:val="21"/>
          <w:szCs w:val="21"/>
          <w:highlight w:val="none"/>
        </w:rPr>
        <w:t>。</w:t>
      </w:r>
    </w:p>
    <w:p>
      <w:pPr>
        <w:autoSpaceDE w:val="0"/>
        <w:autoSpaceDN w:val="0"/>
        <w:adjustRightInd w:val="0"/>
        <w:spacing w:line="400" w:lineRule="exact"/>
        <w:ind w:firstLine="413" w:firstLineChars="196"/>
        <w:jc w:val="left"/>
        <w:textAlignment w:val="bottom"/>
        <w:rPr>
          <w:rFonts w:ascii="宋体" w:hAnsi="宋体" w:cs="Arial"/>
          <w:b/>
          <w:color w:val="auto"/>
          <w:sz w:val="21"/>
          <w:szCs w:val="21"/>
          <w:highlight w:val="none"/>
        </w:rPr>
      </w:pPr>
      <w:r>
        <w:rPr>
          <w:rFonts w:ascii="宋体" w:hAnsi="宋体" w:cs="Arial"/>
          <w:b/>
          <w:color w:val="auto"/>
          <w:sz w:val="21"/>
          <w:szCs w:val="21"/>
          <w:highlight w:val="none"/>
        </w:rPr>
        <w:t>（三）车辆及人员管理要求</w:t>
      </w:r>
    </w:p>
    <w:p>
      <w:pPr>
        <w:spacing w:line="400" w:lineRule="exact"/>
        <w:ind w:firstLine="420" w:firstLineChars="200"/>
        <w:jc w:val="left"/>
        <w:rPr>
          <w:rFonts w:hint="eastAsia" w:ascii="宋体" w:hAnsi="宋体" w:cs="Arial"/>
          <w:color w:val="auto"/>
          <w:sz w:val="21"/>
          <w:szCs w:val="21"/>
          <w:highlight w:val="none"/>
        </w:rPr>
      </w:pPr>
      <w:r>
        <w:rPr>
          <w:rFonts w:hint="eastAsia" w:ascii="宋体" w:hAnsi="宋体" w:cs="Arial"/>
          <w:color w:val="auto"/>
          <w:sz w:val="21"/>
          <w:szCs w:val="21"/>
          <w:highlight w:val="none"/>
          <w:lang w:val="en-US" w:eastAsia="zh-CN"/>
        </w:rPr>
        <w:t>1、</w:t>
      </w:r>
      <w:r>
        <w:rPr>
          <w:rFonts w:hint="eastAsia" w:ascii="宋体" w:hAnsi="宋体" w:cs="Arial"/>
          <w:color w:val="auto"/>
          <w:sz w:val="21"/>
          <w:szCs w:val="21"/>
          <w:highlight w:val="none"/>
        </w:rPr>
        <w:t>中标单位必须向</w:t>
      </w:r>
      <w:r>
        <w:rPr>
          <w:rFonts w:hint="eastAsia" w:ascii="宋体" w:hAnsi="宋体" w:cs="Arial"/>
          <w:color w:val="auto"/>
          <w:sz w:val="21"/>
          <w:szCs w:val="21"/>
          <w:highlight w:val="none"/>
          <w:lang w:eastAsia="zh-CN"/>
        </w:rPr>
        <w:t>瑶溪街道</w:t>
      </w:r>
      <w:r>
        <w:rPr>
          <w:rFonts w:hint="eastAsia" w:ascii="宋体" w:hAnsi="宋体" w:cs="Arial"/>
          <w:color w:val="auto"/>
          <w:sz w:val="21"/>
          <w:szCs w:val="21"/>
          <w:highlight w:val="none"/>
        </w:rPr>
        <w:t>提供作业车辆、人员的GPS定位等查询功能系统，技术应与市、区的环卫监管系统相匹配，并纳入市、区级环卫信息化管理平台，可供</w:t>
      </w:r>
      <w:r>
        <w:rPr>
          <w:rFonts w:hint="eastAsia" w:ascii="宋体" w:hAnsi="宋体" w:cs="Arial"/>
          <w:color w:val="auto"/>
          <w:sz w:val="21"/>
          <w:szCs w:val="21"/>
          <w:highlight w:val="none"/>
          <w:lang w:eastAsia="zh-CN"/>
        </w:rPr>
        <w:t>瑶溪街道</w:t>
      </w:r>
      <w:r>
        <w:rPr>
          <w:rFonts w:hint="eastAsia" w:ascii="宋体" w:hAnsi="宋体" w:cs="Arial"/>
          <w:color w:val="auto"/>
          <w:sz w:val="21"/>
          <w:szCs w:val="21"/>
          <w:highlight w:val="none"/>
        </w:rPr>
        <w:t>随时检查车辆位置及工作情况。</w:t>
      </w:r>
    </w:p>
    <w:p>
      <w:pPr>
        <w:spacing w:line="400" w:lineRule="exact"/>
        <w:ind w:firstLine="420" w:firstLineChars="200"/>
        <w:jc w:val="left"/>
        <w:rPr>
          <w:rFonts w:hint="eastAsia" w:ascii="宋体" w:hAnsi="宋体" w:cs="Arial"/>
          <w:color w:val="auto"/>
          <w:sz w:val="21"/>
          <w:szCs w:val="21"/>
          <w:highlight w:val="none"/>
        </w:rPr>
      </w:pPr>
      <w:r>
        <w:rPr>
          <w:rFonts w:hint="eastAsia" w:ascii="宋体" w:hAnsi="宋体" w:cs="Arial"/>
          <w:color w:val="auto"/>
          <w:sz w:val="21"/>
          <w:szCs w:val="21"/>
          <w:highlight w:val="none"/>
          <w:lang w:val="en-US" w:eastAsia="zh-CN"/>
        </w:rPr>
        <w:t>2、</w:t>
      </w:r>
      <w:r>
        <w:rPr>
          <w:rFonts w:hint="eastAsia" w:ascii="宋体" w:hAnsi="宋体" w:cs="Arial"/>
          <w:color w:val="auto"/>
          <w:sz w:val="21"/>
          <w:szCs w:val="21"/>
          <w:highlight w:val="none"/>
        </w:rPr>
        <w:t>清扫保洁作业车辆必须安装车辆定位、超速预警、跨区域作业预警、作业视频系统。</w:t>
      </w:r>
    </w:p>
    <w:p>
      <w:pPr>
        <w:spacing w:line="400" w:lineRule="exact"/>
        <w:ind w:firstLine="420" w:firstLineChars="200"/>
        <w:jc w:val="left"/>
        <w:rPr>
          <w:rFonts w:hint="eastAsia" w:ascii="宋体" w:hAnsi="宋体" w:cs="Arial"/>
          <w:color w:val="auto"/>
          <w:sz w:val="21"/>
          <w:szCs w:val="21"/>
          <w:highlight w:val="none"/>
        </w:rPr>
      </w:pPr>
      <w:r>
        <w:rPr>
          <w:rFonts w:hint="eastAsia" w:ascii="宋体" w:hAnsi="宋体" w:cs="Arial"/>
          <w:color w:val="auto"/>
          <w:sz w:val="21"/>
          <w:szCs w:val="21"/>
          <w:highlight w:val="none"/>
          <w:lang w:val="en-US" w:eastAsia="zh-CN"/>
        </w:rPr>
        <w:t>3、</w:t>
      </w:r>
      <w:r>
        <w:rPr>
          <w:rFonts w:hint="eastAsia" w:ascii="宋体" w:hAnsi="宋体" w:cs="Arial"/>
          <w:color w:val="auto"/>
          <w:sz w:val="21"/>
          <w:szCs w:val="21"/>
          <w:highlight w:val="none"/>
        </w:rPr>
        <w:t>所有作业车辆外观必须按</w:t>
      </w:r>
      <w:r>
        <w:rPr>
          <w:rFonts w:hint="eastAsia" w:ascii="宋体" w:hAnsi="宋体" w:cs="Arial"/>
          <w:color w:val="auto"/>
          <w:sz w:val="21"/>
          <w:szCs w:val="21"/>
          <w:highlight w:val="none"/>
          <w:lang w:eastAsia="zh-CN"/>
        </w:rPr>
        <w:t>瑶溪街道</w:t>
      </w:r>
      <w:r>
        <w:rPr>
          <w:rFonts w:hint="eastAsia" w:ascii="宋体" w:hAnsi="宋体" w:cs="Arial"/>
          <w:color w:val="auto"/>
          <w:sz w:val="21"/>
          <w:szCs w:val="21"/>
          <w:highlight w:val="none"/>
        </w:rPr>
        <w:t>要求重新喷涂，统一标识。</w:t>
      </w:r>
    </w:p>
    <w:p>
      <w:pPr>
        <w:spacing w:line="400" w:lineRule="exact"/>
        <w:ind w:firstLine="420" w:firstLineChars="200"/>
        <w:jc w:val="left"/>
        <w:rPr>
          <w:rFonts w:ascii="宋体" w:hAnsi="宋体" w:cs="Arial"/>
          <w:color w:val="auto"/>
          <w:sz w:val="21"/>
          <w:szCs w:val="21"/>
          <w:highlight w:val="none"/>
        </w:rPr>
      </w:pPr>
      <w:r>
        <w:rPr>
          <w:rFonts w:hint="eastAsia" w:ascii="宋体" w:hAnsi="宋体" w:cs="Arial"/>
          <w:color w:val="auto"/>
          <w:sz w:val="21"/>
          <w:szCs w:val="21"/>
          <w:highlight w:val="none"/>
          <w:lang w:val="en-US" w:eastAsia="zh-CN"/>
        </w:rPr>
        <w:t>4、</w:t>
      </w:r>
      <w:r>
        <w:rPr>
          <w:rFonts w:hint="eastAsia" w:ascii="宋体" w:hAnsi="宋体" w:cs="Arial"/>
          <w:color w:val="auto"/>
          <w:sz w:val="21"/>
          <w:szCs w:val="21"/>
          <w:highlight w:val="none"/>
        </w:rPr>
        <w:t>以上环卫作业GPS管理平台和视频管理软、硬件建设资金由中标单位出资建设，投标人在标书制作时应考虑其成本与维护费用</w:t>
      </w:r>
      <w:r>
        <w:rPr>
          <w:rFonts w:ascii="宋体" w:hAnsi="宋体" w:cs="Arial"/>
          <w:color w:val="auto"/>
          <w:sz w:val="21"/>
          <w:szCs w:val="21"/>
          <w:highlight w:val="none"/>
        </w:rPr>
        <w:t>。</w:t>
      </w:r>
    </w:p>
    <w:bookmarkEnd w:id="67"/>
    <w:bookmarkEnd w:id="68"/>
    <w:bookmarkEnd w:id="72"/>
    <w:p>
      <w:pPr>
        <w:adjustRightInd w:val="0"/>
        <w:snapToGrid w:val="0"/>
        <w:spacing w:line="400" w:lineRule="exact"/>
        <w:jc w:val="left"/>
        <w:outlineLvl w:val="1"/>
        <w:rPr>
          <w:rFonts w:ascii="宋体" w:hAnsi="宋体"/>
          <w:b/>
          <w:color w:val="auto"/>
          <w:sz w:val="21"/>
          <w:szCs w:val="21"/>
          <w:highlight w:val="none"/>
        </w:rPr>
      </w:pPr>
      <w:bookmarkStart w:id="74" w:name="_Toc105435521"/>
      <w:bookmarkStart w:id="75" w:name="_Toc105438755"/>
      <w:bookmarkStart w:id="76" w:name="_Toc104190732"/>
      <w:bookmarkStart w:id="77" w:name="_Toc1616"/>
      <w:bookmarkStart w:id="78" w:name="_Toc24069"/>
      <w:bookmarkStart w:id="79" w:name="_Toc105438807"/>
      <w:bookmarkStart w:id="80" w:name="_Toc21427"/>
      <w:bookmarkStart w:id="81" w:name="_Toc105435649"/>
      <w:bookmarkStart w:id="82" w:name="_Toc26231"/>
      <w:bookmarkStart w:id="83" w:name="_Toc105435707"/>
      <w:r>
        <w:rPr>
          <w:rFonts w:hint="eastAsia" w:ascii="宋体" w:hAnsi="宋体"/>
          <w:b/>
          <w:color w:val="auto"/>
          <w:sz w:val="21"/>
          <w:szCs w:val="21"/>
          <w:highlight w:val="none"/>
        </w:rPr>
        <w:t>四</w:t>
      </w:r>
      <w:r>
        <w:rPr>
          <w:rFonts w:ascii="宋体" w:hAnsi="宋体"/>
          <w:b/>
          <w:color w:val="auto"/>
          <w:sz w:val="21"/>
          <w:szCs w:val="21"/>
          <w:highlight w:val="none"/>
        </w:rPr>
        <w:t>、环卫作业质量标准</w:t>
      </w:r>
      <w:bookmarkEnd w:id="74"/>
      <w:bookmarkEnd w:id="75"/>
      <w:bookmarkEnd w:id="76"/>
      <w:bookmarkEnd w:id="77"/>
      <w:bookmarkEnd w:id="78"/>
      <w:bookmarkEnd w:id="79"/>
      <w:bookmarkEnd w:id="80"/>
      <w:bookmarkEnd w:id="81"/>
      <w:bookmarkEnd w:id="82"/>
      <w:bookmarkEnd w:id="83"/>
    </w:p>
    <w:p>
      <w:pPr>
        <w:adjustRightInd w:val="0"/>
        <w:snapToGrid w:val="0"/>
        <w:spacing w:line="400" w:lineRule="exact"/>
        <w:jc w:val="left"/>
        <w:outlineLvl w:val="1"/>
        <w:rPr>
          <w:rFonts w:ascii="宋体" w:hAnsi="宋体"/>
          <w:b/>
          <w:color w:val="auto"/>
          <w:sz w:val="21"/>
          <w:szCs w:val="21"/>
          <w:highlight w:val="none"/>
        </w:rPr>
      </w:pPr>
      <w:bookmarkStart w:id="84" w:name="_Toc105435708"/>
      <w:bookmarkStart w:id="85" w:name="_Toc72407405"/>
      <w:bookmarkStart w:id="86" w:name="_Toc105435650"/>
      <w:bookmarkStart w:id="87" w:name="_Toc105438808"/>
      <w:bookmarkStart w:id="88" w:name="_Toc11131"/>
      <w:bookmarkStart w:id="89" w:name="_Toc11849"/>
      <w:bookmarkStart w:id="90" w:name="_Toc105435522"/>
      <w:bookmarkStart w:id="91" w:name="_Toc105438756"/>
      <w:bookmarkStart w:id="92" w:name="_Toc29191"/>
      <w:bookmarkStart w:id="93" w:name="_Toc10782"/>
      <w:bookmarkStart w:id="94" w:name="_Hlk497233314"/>
      <w:r>
        <w:rPr>
          <w:rFonts w:hint="eastAsia" w:ascii="宋体" w:hAnsi="宋体"/>
          <w:b/>
          <w:color w:val="auto"/>
          <w:sz w:val="21"/>
          <w:szCs w:val="21"/>
          <w:highlight w:val="none"/>
        </w:rPr>
        <w:t>4.1</w:t>
      </w:r>
      <w:r>
        <w:rPr>
          <w:rFonts w:ascii="宋体" w:hAnsi="宋体"/>
          <w:b/>
          <w:color w:val="auto"/>
          <w:sz w:val="21"/>
          <w:szCs w:val="21"/>
          <w:highlight w:val="none"/>
        </w:rPr>
        <w:t>道路作业质量标准</w:t>
      </w:r>
      <w:bookmarkEnd w:id="84"/>
      <w:bookmarkEnd w:id="85"/>
      <w:bookmarkEnd w:id="86"/>
      <w:bookmarkEnd w:id="87"/>
      <w:bookmarkEnd w:id="88"/>
      <w:bookmarkEnd w:id="89"/>
      <w:bookmarkEnd w:id="90"/>
      <w:bookmarkEnd w:id="91"/>
    </w:p>
    <w:p>
      <w:pPr>
        <w:pStyle w:val="135"/>
        <w:spacing w:line="400" w:lineRule="exact"/>
        <w:ind w:firstLine="426"/>
        <w:rPr>
          <w:rFonts w:hint="eastAsia" w:ascii="宋体" w:hAnsi="宋体" w:cs="Arial"/>
          <w:color w:val="auto"/>
          <w:sz w:val="21"/>
          <w:szCs w:val="21"/>
          <w:highlight w:val="none"/>
        </w:rPr>
      </w:pPr>
      <w:bookmarkStart w:id="95" w:name="_Toc72407408"/>
      <w:bookmarkStart w:id="96" w:name="_Toc71551495"/>
      <w:r>
        <w:rPr>
          <w:rFonts w:hint="eastAsia" w:ascii="宋体" w:hAnsi="宋体" w:cs="Arial"/>
          <w:color w:val="auto"/>
          <w:sz w:val="21"/>
          <w:szCs w:val="21"/>
          <w:highlight w:val="none"/>
        </w:rPr>
        <w:t>清扫保洁范围包括车行道、人行道、车行隧道、村居道路、背街小巷、中转站、人行过街地下通道（天桥）、立交桥、高架快速路、广场、绿化带和除封闭住宅小区以外的所有街巷里弄及空间等公共区域，以及果皮箱、道路护栏、道路指示牌、交通隔离栏、路灯杆、交通信号灯杆等相关公共设施。</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一、普扫作业</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一）频次和时间要求。各级道路普扫作业每日不少于3次，第一次普扫应在7：00前完成（夏季6-9月应在6：30前完成），第二次普扫在13：00前完成，第三次普扫在21：00前完成。各地应根据重大活动保障、落叶旺季等因素，适时增加每日普扫频次。</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精品保洁示范区（步行商业街、历史文化街区等）道路应当施行每日循环普扫。原则上普扫作业每日不少于5次（第一次在6：00前完成，第二次在10：00前完成，第三次在14：00前完成，第四次在19:00前完成，第五次在23:00前完成）。</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（二）作业要求。普扫过程中应压低扫帚清扫，避免扬尘，横向到边，纵向到底，清扫不留空白点。</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1.沿着侧石边清扫机动车道时，应面向来车方向清扫，注意避让车辆。</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2.刮风天气应顺风清扫,清扫时不得将垃圾扫入雨水井、绿地、绿化带、河道、道路红线外待建地块，并清理雨水井口的积泥、嵌石，保持雨水井口畅通。</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3.清扫后归拢的垃圾应靠边堆放，清扫的街面垃圾、沿街果皮箱中的垃圾应密闭化运至指定地点，运输过程不得抛洒滴漏。</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4.对路面口香糖污渍、路面乱涂写张贴，应使用铲刀或高压清洗机具等予以清除。</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三）保洁质量要求。路面见本色，达到“七无五净”标准，即无瓜果皮、纸屑，无土石杂草，无积泥（沙），无痰迹、烟蒂，无污水，无堆积物，无普扫盲点及死角；路面净，绿地（含街头绿地）树穴净，边角侧石净，窨井盖沟槽净、果壳箱等环卫设施及市政设施净。</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二、动态保洁</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（一）动态保洁时间。一级道路保洁时间每日不少于18小时；二级道路保洁时间每日不少于16小时；三级道路保洁时间每日不少于14小时；四级道路保洁时间每日不少于12小时。</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各地精品保洁示范区（步行商业街、历史文化街区等）），施行每日不少于18小时保洁，部分重点道路、区域可视情实行24小时保洁。</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（二）作业要求。落实责任保洁区域边界管理，保洁时应向保洁边界以外延伸5m，不留保洁盲区和空白点。加强公交（地铁）站、火车站、集贸市场等周围道路路面、绿地巡回保洁。</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1.巡回保洁时，发现路面垃圾、污渍，应使用保洁工具立即清除；沿街果皮箱、路灯杆、交通隔离栏等城市家具即脏即擦洗；果皮箱门、垃圾桶盖敞开应随手关闭，发现果皮箱、垃圾桶破损等问题应及时上报并维修，保持完好整洁；做好各级道路和区域的小广告清除工作。</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2.废物箱（果壳箱、垃圾桶）、垃圾收集车辆（含机动车和非机动车）、垃圾坞等环卫设施定期清洗，保持外观洁净。定时清运沿街果皮箱中的垃圾，每日不应少于3次，确保无积垢、垃圾无外溢、无四害孳生，距垃圾分类收集容器0.5米外无臭味且周围2-3米内应无散落、存留垃圾及污水。</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3.环卫电动专用作业车辆、人力（电动）生活垃圾收集车需在非机动车道顺向行驶，不得超载，且行驶速度不得超过20Km/h。</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4.人工辅助清扫、清洗机动车道、非机动车道或清洗机动车道交通隔离栏时，应在距清扫点来车方向安全距离外设置警示标识，使用荧光锥形筒等警示标识围护清扫保洁区域，面向来车方向清扫，注意车辆动态。</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5.作业工具应在规定地点摆放，不得在道路路面、墙角、绿化带、绿地中存放。</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6.普扫结束后，在“七无五净”基础上，按照规定的责任保洁区域、时间组织巡回保洁。</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（三）保洁质量要求。一、二级道路路面（含附属绿地、绿化带）的果皮果壳、纸屑、痰迹，烟蒂等废弃物指标应控制在每500米保洁区域可视范围少于10处之内，滞留时间≤20分钟。</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三、四级道路路面（含附属绿地、绿化带）的果皮果壳、纸屑、痰迹，烟蒂等废弃物指标应控制在每500米保洁区域可视范围少于15处之内，滞留时间≤25分钟。</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精品保洁示范区（步行商业街、历史文化街区等）等场所的果皮果壳、纸屑、痰迹，烟蒂等废弃物指标应控制在每500米保洁区域可视范围少于5处之内，滞留时间≤10分钟。</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三、洒水（冲洗）作业</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（一）时间和频次。春秋季（3月-5月、9月-11月），每日道路洒水频次作为基准遍次，即一级道路4次/日，二级道路3次/日；三、四级道路根据路段实际合理安排洒水作业（原则上不少于2次/日）。</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夏季（6月-9月），各道路洒水作业在基准频次上每日分别增加1次；冬季（12月-次年2月），各级道路洒水作业在基准频次上每日分别减少1次。</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一、二级道路机动车道冲洗1天/次、人行道冲洗不少于1周/次；三、四级道路根据路段实际合理安排冲洗作业（原则上机动车道冲洗不少于2天/次、人行道冲洗不少于1次/周）。</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精品保洁示范区（步行商业街、历史文化街区等）步行路面（含人行道）包括侧石、花岗岩路面、平石均实行人工冲洗，冲洗不少于1次/日。机动车道路面需按一级城市道路要求落实洒水、冲洗。</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在寒冷季节，气温为3℃及以下时暂停洒水和清洗作业。</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（二）作业要求。普扫作业前，应先对机动车道道路面进行洒水。洒水时，洒水车车速不宜超过25Km/h；清洗时，高压冲洗车车速不宜超过15Km/h，并按照规定的时间和路线作业。</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1.洒水时，应调整好洒水车水压和水幅，保持车行道全路段路面湿润。冲洗时，应适当控制水压，人行道侧喷嘴需采用鸭嘴式喷头。途经地铁站、公交站、交叉路口、人行横道等人流量集中的地点应注意放慢车速，避让行人，调整启闭装置，避免将水洒到行人身上。</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2.早6：00前，晚22：00以后，洒水作业时禁止播放洒水提示音乐。中、高考等重要考试期间，洒水车途经考场周边道路时应及时关闭洒水提示音乐。中午时间（12：00-14：00）适当降低洒水提示音量。</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3.洒水车或冲洗车、扫路车、清扫工人相互配合，消除路面的积泥、沙石、污迹。清洗污染严重的路面时，可使用清洁剂反复清洗，直至路面见本色。</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4.结合防尘、降尘需求，可适当将洒水调整为雾炮作业。</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（三）保洁质量要求。道路机动车道为机械冲洗路段，要求冲洗后无灰尘、无烟蒂、无果壳等杂物散落；冲洗路面时如发现路面有垃圾应及时清理。</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各级道路的人行道以及精品保洁示范区（步行商业街、历史文化街区等）的步行路面包括侧石、花岗岩路面、平石实行人工冲刷，路面无积垢、无灰尘、无烟蒂、无果壳散落、无乱张贴乱涂写。</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四、机械化清扫</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一）时间和频次。一、二级道路（含人行道）机械清扫保洁作业方式为“一日三扫”。作业时间为每日4：00—7：00；9：00—12：00；13：00—16：00。三、四级道路（含人行道）根据路段情况合理安排机械清扫作业（原则上不少于2次/日）。</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精品保洁示范区（步行商业街、历史文化街区等）机动车道、步行路面（含人行道）的机械化清扫保洁均施行“一日四扫”，作业时间为每日4：00—7：00；9：00—12：00；13：00—16：00；19：00—22：00。</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（二）作业要求。扫路车或洗扫车应加足水，喷水压尘，根据路面状况调整好扫路车侧刷和吸口，扫盘应下放到位。喷雾清扫无扬尘，在规定时间和路线进行机械化清扫作业。</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1.机械化清扫作业时，原则上车速不宜超过15Km/h，沿着车行道侧石进行全路段清扫，做到不漏扫，保持路面清洁。</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2.清扫时应注意观察路面清扫质量和路面障碍情况，对机械化清扫不能清除的大件垃圾或硬物，在确保作业安全的前提下，及时下车清除。</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（三）保洁质量要求。机扫到边、到位效果明显，路面无垃圾、无积泥、无沙石；作业期间基本无扬尘、清扫途中无垃圾撒落；垃圾在指定地点倾倒，不得随意倾倒、偷到、乱到垃圾。</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五、车辆和人员管理</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（一）机械化车辆管理。各类环卫保洁机械化车辆必须安装车辆定位、超速预警、跨区域作业预警、作业视频系统，并纳入属地环卫信息化管理平台统一监管。</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1.环卫作业车辆出车前应进行检查，确保车况良好，车容整洁。当日作业结束后，应对车辆进行清洗，保持车辆外观整洁，并做好车辆维护和保养工作。非工作需要不得随意使用环卫专用车辆。</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2.环卫作业车辆车尾应设置荧光示宽标识（或警示灯）。夜间作业时或雨雾天气等能见度较低时，必须启用警示灯光。环卫电动作业车辆、保洁车等小型作业车辆车身设置荧光条，车后部或车顶设置警示灯。</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3.环卫作业车辆禁止停放在消防通道、公交车站、盲道等影响车辆和行人通行的公共通道。</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4.投入项目的机械车辆需实行专车专用，未经许可，不可用于其它项目的道路保洁清扫。</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二）保洁人员管理。环卫作业人员应持证上岗。工作期间应穿工作服（含鞋、帽），佩戴工号牌或工作证,着装整洁。环卫工作服需按季节分为春秋装、夏装、冬装，包含雨衣、雨鞋、夏帽和冬帽。服装颜色醒目，工作服缀有宽度3.5cm以上的荧光条。工作期间，环卫作业人员应保持着装整洁，工作服无破损、不洁、荧光条严重剥落等现象。</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六、应急工作标准：遇法定节假日、重大活动或突发事件，道路保洁单位及时组织力量做好清扫保洁等保障工作并制定应急预案。特殊情况下遇有重大活动或抗台、暴雨等突发事件，中标单位除应及时做好管辖地段清扫保洁保障工作外，还应服从甲方的统一指挥和调动参加抢险救灾工作，人员必须及时到位（需要集中时的具体位置另行通知）并根据应急命令决定早到和离岗。中标单位应无条件接受街道应急指派任务。</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七、无主装潢垃圾清运标准：要严格按照建筑垃圾处置管理规定，及时清理堆放的无主装潢垃圾至属地辖区镇街指定地点。发现后须在24小时内进行清理。</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八、垃圾分类收集清运标准：严格按照垃圾分类工作管理要求，对沿街店铺生活垃圾做到定时定点、上门收集、分类运输。</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九、根据《关于开展温州市精品保洁示范区创建的通知》（温综法发〔2021〕71号）文件精神，由</w:t>
      </w:r>
      <w:r>
        <w:rPr>
          <w:rFonts w:hint="eastAsia" w:ascii="宋体" w:hAnsi="宋体" w:cs="Arial"/>
          <w:color w:val="auto"/>
          <w:sz w:val="21"/>
          <w:szCs w:val="21"/>
          <w:highlight w:val="none"/>
          <w:lang w:eastAsia="zh-CN"/>
        </w:rPr>
        <w:t>瑶溪街道</w:t>
      </w:r>
      <w:r>
        <w:rPr>
          <w:rFonts w:hint="eastAsia" w:ascii="宋体" w:hAnsi="宋体" w:cs="Arial"/>
          <w:color w:val="auto"/>
          <w:sz w:val="21"/>
          <w:szCs w:val="21"/>
          <w:highlight w:val="none"/>
        </w:rPr>
        <w:t>每年度确定一条路段或区域创建精品保洁示范区，相应的作业标准及考核标准按温综法发〔2021〕71号文件及采购文件相关规定执行，相关费用在投标总价中综合考核，保洁费用不增加。</w:t>
      </w:r>
    </w:p>
    <w:p>
      <w:pPr>
        <w:pStyle w:val="135"/>
        <w:spacing w:line="400" w:lineRule="exact"/>
        <w:ind w:firstLine="426"/>
        <w:rPr>
          <w:rFonts w:ascii="宋体" w:hAnsi="宋体" w:cs="Arial"/>
          <w:color w:val="auto"/>
          <w:sz w:val="21"/>
          <w:szCs w:val="21"/>
          <w:highlight w:val="none"/>
        </w:rPr>
      </w:pPr>
      <w:r>
        <w:rPr>
          <w:rFonts w:hint="eastAsia" w:ascii="宋体" w:hAnsi="宋体" w:cs="Arial"/>
          <w:color w:val="auto"/>
          <w:sz w:val="21"/>
          <w:szCs w:val="21"/>
          <w:highlight w:val="none"/>
        </w:rPr>
        <w:t>十、保洁人员工具配备要求：塑料手套、雨鞋、雨衣、反光工作服、安全锥、分类收集车、扫帚、安全帽（快保人员）、火㶰、畚斗等</w:t>
      </w:r>
      <w:r>
        <w:rPr>
          <w:rFonts w:ascii="宋体" w:hAnsi="宋体" w:cs="Arial"/>
          <w:color w:val="auto"/>
          <w:sz w:val="21"/>
          <w:szCs w:val="21"/>
          <w:highlight w:val="none"/>
        </w:rPr>
        <w:t>。</w:t>
      </w:r>
    </w:p>
    <w:bookmarkEnd w:id="95"/>
    <w:bookmarkEnd w:id="96"/>
    <w:p>
      <w:pPr>
        <w:adjustRightInd w:val="0"/>
        <w:snapToGrid w:val="0"/>
        <w:spacing w:line="400" w:lineRule="exact"/>
        <w:jc w:val="left"/>
        <w:outlineLvl w:val="1"/>
        <w:rPr>
          <w:rFonts w:ascii="宋体" w:hAnsi="宋体"/>
          <w:b/>
          <w:color w:val="auto"/>
          <w:sz w:val="21"/>
          <w:szCs w:val="21"/>
          <w:highlight w:val="none"/>
        </w:rPr>
      </w:pPr>
      <w:bookmarkStart w:id="97" w:name="_Toc71551497"/>
      <w:bookmarkStart w:id="98" w:name="_Toc72407410"/>
      <w:bookmarkStart w:id="99" w:name="_Toc105435709"/>
      <w:bookmarkStart w:id="100" w:name="_Toc105438757"/>
      <w:bookmarkStart w:id="101" w:name="_Toc105435523"/>
      <w:bookmarkStart w:id="102" w:name="_Toc105435651"/>
      <w:bookmarkStart w:id="103" w:name="_Toc105438809"/>
      <w:bookmarkStart w:id="104" w:name="_Toc31347"/>
      <w:bookmarkStart w:id="105" w:name="_Toc25116"/>
      <w:r>
        <w:rPr>
          <w:rFonts w:hint="eastAsia" w:ascii="宋体" w:hAnsi="宋体"/>
          <w:b/>
          <w:color w:val="auto"/>
          <w:sz w:val="21"/>
          <w:szCs w:val="21"/>
          <w:highlight w:val="none"/>
        </w:rPr>
        <w:t>4.2</w:t>
      </w:r>
      <w:r>
        <w:rPr>
          <w:rFonts w:ascii="宋体" w:hAnsi="宋体"/>
          <w:b/>
          <w:color w:val="auto"/>
          <w:sz w:val="21"/>
          <w:szCs w:val="21"/>
          <w:highlight w:val="none"/>
        </w:rPr>
        <w:t>城市家具保洁作业标准</w:t>
      </w:r>
      <w:bookmarkEnd w:id="97"/>
      <w:bookmarkEnd w:id="98"/>
      <w:bookmarkEnd w:id="99"/>
      <w:bookmarkEnd w:id="100"/>
      <w:bookmarkEnd w:id="101"/>
      <w:bookmarkEnd w:id="102"/>
      <w:bookmarkEnd w:id="103"/>
      <w:bookmarkEnd w:id="104"/>
      <w:bookmarkEnd w:id="105"/>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一、城市家具保洁范围</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含环卫设施（果壳箱、垃圾桶、垃圾房、垃圾坞）、交通护栏、公交站台、站牌、灯箱、广告牌、报刊（信息）亭、电话亭、邮政信箱、固定室外座椅等一切城市家具保洁，以及果壳箱、垃圾桶维修。</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二、城市家具保洁质量要求</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（1）环卫设施（果壳箱、垃圾桶、垃圾房、垃圾坞）内的垃圾应日产日清，不过夜，不溢满，保持外观整洁。</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（2）果壳箱、垃圾桶按垃圾分类要求放置整齐规范、无敞门、无破损、歪斜、油漆剥落（或严重褪色）现象。收集、清洗后要归位复原，桶盖(箱门)及时盖上（关闭），做到车走地净。</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（3）作业时间内禁止环卫工人在果壳箱、垃圾桶内翻捡废品。</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（4）城市家具表面无积尘，应时刻保持干燥整洁。</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三、城市家具保洁作业要求</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（1）需在垃圾清运后清洗环卫设施箱体不少于1次，环卫设施及周边路面每天清洗不少于1次，周围地面无暴露垃圾、污水。</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（2）公交站台（除已有维养单位外）、站牌、灯箱、广告牌、报刊（信息）亭、电话亭、邮政信箱、固定室外座椅等城市家具，每周按规范清洁不得少于1次，公交站台座椅每天不少于擦洗1次。</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（3）每日巡查时检查垃圾桶、果壳箱、垃圾坞等垃圾分类的标识，如出现模糊、掉落、错误等情况的，中标单位须将标识修复或更换。</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四、特殊要求</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（一）因垃圾分类工作深入推进，需增加投放垃圾收集容器，则由</w:t>
      </w:r>
      <w:r>
        <w:rPr>
          <w:rFonts w:hint="eastAsia" w:ascii="宋体" w:hAnsi="宋体" w:cs="Arial"/>
          <w:color w:val="auto"/>
          <w:sz w:val="21"/>
          <w:szCs w:val="21"/>
          <w:highlight w:val="none"/>
          <w:lang w:eastAsia="zh-CN"/>
        </w:rPr>
        <w:t>瑶溪街道</w:t>
      </w:r>
      <w:r>
        <w:rPr>
          <w:rFonts w:hint="eastAsia" w:ascii="宋体" w:hAnsi="宋体" w:cs="Arial"/>
          <w:color w:val="auto"/>
          <w:sz w:val="21"/>
          <w:szCs w:val="21"/>
          <w:highlight w:val="none"/>
        </w:rPr>
        <w:t>设置后移交中标单位进行运维。</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（二）垃圾桶、果壳箱和垃圾收容器的运维要求</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（1）合同履行期间或将增加垃圾分类等设备设施，其日常运维由中标单位全权负责，造成中标单位工作人员、管理成本增加的应综合考虑。</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（2）合同履行前，</w:t>
      </w:r>
      <w:r>
        <w:rPr>
          <w:rFonts w:hint="eastAsia" w:ascii="宋体" w:hAnsi="宋体" w:cs="Arial"/>
          <w:color w:val="auto"/>
          <w:sz w:val="21"/>
          <w:szCs w:val="21"/>
          <w:highlight w:val="none"/>
          <w:lang w:eastAsia="zh-CN"/>
        </w:rPr>
        <w:t>瑶溪街道</w:t>
      </w:r>
      <w:r>
        <w:rPr>
          <w:rFonts w:hint="eastAsia" w:ascii="宋体" w:hAnsi="宋体" w:cs="Arial"/>
          <w:color w:val="auto"/>
          <w:sz w:val="21"/>
          <w:szCs w:val="21"/>
          <w:highlight w:val="none"/>
        </w:rPr>
        <w:t>将一次性按相关规定配齐标内路段所需所有垃圾桶（以桶换桶除外）。项目进场前及合同在履约期内，果壳箱、垃圾桶有油漆掉落、损坏、破损等，中标单位应及时更换维修，更换后的垃圾桶及果壳箱应符合垃圾分类的标准。</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（3）采用以桶换桶的，所需桶由中标单位提供，数量及款式并经过</w:t>
      </w:r>
      <w:r>
        <w:rPr>
          <w:rFonts w:hint="eastAsia" w:ascii="宋体" w:hAnsi="宋体" w:cs="Arial"/>
          <w:color w:val="auto"/>
          <w:sz w:val="21"/>
          <w:szCs w:val="21"/>
          <w:highlight w:val="none"/>
          <w:lang w:eastAsia="zh-CN"/>
        </w:rPr>
        <w:t>瑶溪街道</w:t>
      </w:r>
      <w:r>
        <w:rPr>
          <w:rFonts w:hint="eastAsia" w:ascii="宋体" w:hAnsi="宋体" w:cs="Arial"/>
          <w:color w:val="auto"/>
          <w:sz w:val="21"/>
          <w:szCs w:val="21"/>
          <w:highlight w:val="none"/>
        </w:rPr>
        <w:t>确认，该项费用由投标人自行考虑在报价中。</w:t>
      </w:r>
    </w:p>
    <w:p>
      <w:pPr>
        <w:pStyle w:val="135"/>
        <w:spacing w:line="400" w:lineRule="exact"/>
        <w:ind w:firstLine="426"/>
        <w:rPr>
          <w:rFonts w:ascii="宋体" w:hAnsi="宋体" w:cs="Arial"/>
          <w:color w:val="auto"/>
          <w:sz w:val="21"/>
          <w:szCs w:val="21"/>
          <w:highlight w:val="none"/>
        </w:rPr>
      </w:pPr>
      <w:r>
        <w:rPr>
          <w:rFonts w:hint="eastAsia" w:ascii="宋体" w:hAnsi="宋体" w:cs="Arial"/>
          <w:color w:val="auto"/>
          <w:sz w:val="21"/>
          <w:szCs w:val="21"/>
          <w:highlight w:val="none"/>
        </w:rPr>
        <w:t>（4）合同履行期间，中标单位负责垃圾桶、果壳箱和垃圾收集容器的日常保管与维护。</w:t>
      </w:r>
      <w:r>
        <w:rPr>
          <w:rFonts w:hint="eastAsia" w:ascii="宋体" w:hAnsi="宋体" w:cs="Arial"/>
          <w:color w:val="auto"/>
          <w:sz w:val="21"/>
          <w:szCs w:val="21"/>
          <w:highlight w:val="none"/>
          <w:lang w:eastAsia="zh-CN"/>
        </w:rPr>
        <w:t>瑶溪街道</w:t>
      </w:r>
      <w:r>
        <w:rPr>
          <w:rFonts w:hint="eastAsia" w:ascii="宋体" w:hAnsi="宋体" w:cs="Arial"/>
          <w:color w:val="auto"/>
          <w:sz w:val="21"/>
          <w:szCs w:val="21"/>
          <w:highlight w:val="none"/>
        </w:rPr>
        <w:t>投放的垃圾桶、果壳箱和垃圾收集容器如有破损（含第三方人为破损）与丢失情况，由中标单位负责按原样式、规格、质量标准、配置要求予以免费维修或更换补齐</w:t>
      </w:r>
      <w:r>
        <w:rPr>
          <w:rFonts w:ascii="宋体" w:hAnsi="宋体" w:cs="Arial"/>
          <w:color w:val="auto"/>
          <w:sz w:val="21"/>
          <w:szCs w:val="21"/>
          <w:highlight w:val="none"/>
        </w:rPr>
        <w:t>。</w:t>
      </w:r>
    </w:p>
    <w:p>
      <w:pPr>
        <w:adjustRightInd w:val="0"/>
        <w:snapToGrid w:val="0"/>
        <w:spacing w:line="400" w:lineRule="exact"/>
        <w:jc w:val="left"/>
        <w:outlineLvl w:val="1"/>
        <w:rPr>
          <w:rFonts w:ascii="宋体" w:hAnsi="宋体"/>
          <w:b/>
          <w:color w:val="auto"/>
          <w:sz w:val="21"/>
          <w:szCs w:val="21"/>
          <w:highlight w:val="none"/>
        </w:rPr>
      </w:pPr>
      <w:bookmarkStart w:id="106" w:name="_Toc105435710"/>
      <w:bookmarkStart w:id="107" w:name="_Toc105435524"/>
      <w:bookmarkStart w:id="108" w:name="_Toc105438810"/>
      <w:bookmarkStart w:id="109" w:name="_Toc20646"/>
      <w:bookmarkStart w:id="110" w:name="_Toc105438758"/>
      <w:bookmarkStart w:id="111" w:name="_Toc72407412"/>
      <w:bookmarkStart w:id="112" w:name="_Toc71551499"/>
      <w:bookmarkStart w:id="113" w:name="_Toc105435652"/>
      <w:bookmarkStart w:id="114" w:name="_Toc5259"/>
      <w:r>
        <w:rPr>
          <w:rFonts w:hint="eastAsia" w:ascii="宋体" w:hAnsi="宋体"/>
          <w:b/>
          <w:color w:val="auto"/>
          <w:sz w:val="21"/>
          <w:szCs w:val="21"/>
          <w:highlight w:val="none"/>
        </w:rPr>
        <w:t>4.3</w:t>
      </w:r>
      <w:r>
        <w:rPr>
          <w:rFonts w:ascii="宋体" w:hAnsi="宋体"/>
          <w:b/>
          <w:color w:val="auto"/>
          <w:sz w:val="21"/>
          <w:szCs w:val="21"/>
          <w:highlight w:val="none"/>
        </w:rPr>
        <w:t>绿化带（绿地）作业质量标准</w:t>
      </w:r>
      <w:bookmarkEnd w:id="106"/>
      <w:bookmarkEnd w:id="107"/>
      <w:bookmarkEnd w:id="108"/>
      <w:bookmarkEnd w:id="109"/>
      <w:bookmarkEnd w:id="110"/>
      <w:bookmarkEnd w:id="111"/>
      <w:bookmarkEnd w:id="112"/>
      <w:bookmarkEnd w:id="113"/>
      <w:bookmarkEnd w:id="114"/>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一、绿化带保洁一般进行人工保洁，作业时间与道路巡扫时间一致。公园、广场内路面保洁要达到“七无”、“五净”标准，每周冲洗不少于1次。</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二、保洁人员进行保洁作业时需穿环卫工作服，进行国道、省道等公路绿化带保洁作业时还需穿反光服，并做好警示标志。</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三、清理过程中需面向来车方向并注意过往车辆，作业时不得践踏绿化带内植被。</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四、仔细清扫草地上的果皮、纸屑、石块等垃圾；仔细清理路旁绿地、绿化隔高带、行道树穴、井内的积存垃圾和人畜粪便等。</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五、对烟头、棉签、小石子、纸屑等无法打扫的小杂物，需用手或小夹子检到垃圾斗内。</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六、清理绿篱下的枯枝落叶时注意不要破坏绿化植物。</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七、注意卫生死角、垃圾散落等问题，部分绿化地段所存在的卫生死角及管理难点应作为严管对象，作业时可适当增派人手，加强巡回保洁，确保责任区卫生状况良好。</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八、在进行清扫作业中，所带的工具必须跟人走，不得将工具遗留在一边无人看管。</w:t>
      </w:r>
    </w:p>
    <w:p>
      <w:pPr>
        <w:pStyle w:val="135"/>
        <w:spacing w:line="400" w:lineRule="exact"/>
        <w:ind w:firstLine="426"/>
        <w:rPr>
          <w:rFonts w:ascii="宋体" w:hAnsi="宋体" w:cs="Arial"/>
          <w:color w:val="auto"/>
          <w:sz w:val="21"/>
          <w:szCs w:val="21"/>
          <w:highlight w:val="none"/>
        </w:rPr>
      </w:pPr>
      <w:r>
        <w:rPr>
          <w:rFonts w:hint="eastAsia" w:ascii="宋体" w:hAnsi="宋体" w:cs="Arial"/>
          <w:color w:val="auto"/>
          <w:sz w:val="21"/>
          <w:szCs w:val="21"/>
          <w:highlight w:val="none"/>
        </w:rPr>
        <w:t>九、治理污染源头，发现市民有乱抛垃圾、随地吐痰等不文明行为时，应予以劝阻；发现市民有乱张贴、乱涂画行为时应及时制止并向上级报告；发现有工程车洒漏淤泥、偷倒淤泥时应首先记下车牌号码并立即向有关部门报告</w:t>
      </w:r>
      <w:r>
        <w:rPr>
          <w:rFonts w:ascii="宋体" w:hAnsi="宋体" w:cs="Arial"/>
          <w:color w:val="auto"/>
          <w:sz w:val="21"/>
          <w:szCs w:val="21"/>
          <w:highlight w:val="none"/>
        </w:rPr>
        <w:t>。</w:t>
      </w:r>
    </w:p>
    <w:p>
      <w:pPr>
        <w:adjustRightInd w:val="0"/>
        <w:snapToGrid w:val="0"/>
        <w:spacing w:line="400" w:lineRule="exact"/>
        <w:jc w:val="left"/>
        <w:outlineLvl w:val="1"/>
        <w:rPr>
          <w:rFonts w:ascii="宋体" w:hAnsi="宋体"/>
          <w:b/>
          <w:color w:val="auto"/>
          <w:sz w:val="21"/>
          <w:szCs w:val="21"/>
          <w:highlight w:val="none"/>
        </w:rPr>
      </w:pPr>
      <w:bookmarkStart w:id="115" w:name="_Toc72407413"/>
      <w:bookmarkStart w:id="116" w:name="_Toc105438759"/>
      <w:bookmarkStart w:id="117" w:name="_Toc7093"/>
      <w:bookmarkStart w:id="118" w:name="_Toc23053"/>
      <w:bookmarkStart w:id="119" w:name="_Toc71551500"/>
      <w:bookmarkStart w:id="120" w:name="_Toc105438811"/>
      <w:bookmarkStart w:id="121" w:name="_Toc105435711"/>
      <w:bookmarkStart w:id="122" w:name="_Toc105435525"/>
      <w:bookmarkStart w:id="123" w:name="_Toc105435653"/>
      <w:r>
        <w:rPr>
          <w:rFonts w:hint="eastAsia" w:ascii="宋体" w:hAnsi="宋体"/>
          <w:b/>
          <w:color w:val="auto"/>
          <w:sz w:val="21"/>
          <w:szCs w:val="21"/>
          <w:highlight w:val="none"/>
        </w:rPr>
        <w:t>4.4</w:t>
      </w:r>
      <w:r>
        <w:rPr>
          <w:rFonts w:ascii="宋体" w:hAnsi="宋体"/>
          <w:b/>
          <w:color w:val="auto"/>
          <w:sz w:val="21"/>
          <w:szCs w:val="21"/>
          <w:highlight w:val="none"/>
        </w:rPr>
        <w:t>河道保洁作业质量标准</w:t>
      </w:r>
      <w:bookmarkEnd w:id="115"/>
      <w:bookmarkEnd w:id="116"/>
      <w:bookmarkEnd w:id="117"/>
      <w:bookmarkEnd w:id="118"/>
      <w:bookmarkEnd w:id="119"/>
      <w:bookmarkEnd w:id="120"/>
      <w:bookmarkEnd w:id="121"/>
      <w:bookmarkEnd w:id="122"/>
      <w:bookmarkEnd w:id="123"/>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一、人员集中居住地段（或景区河道）河道保洁为一天不少于2次。</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二、空阔地段河道保洁为一天不少于1次。</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发现河道内有妨碍行洪的障碍物、生活垃圾、有害或废弃的漂浮物、阻碍行洪的高杆作物等时，要及时打捞和清运河面，及时清运至指定地点倾倒，避免造成二次污染。</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三、水面保洁</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（1）对漂入乡镇（街道）区内河的漂浮物应及时清理；对大面积爆发的浮萍等应及时清理。</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2）发现漂浮垃圾时，作业船只应减速慢行，打捞的垃圾及时送入船舱。对不易打捞入船舱的体积较大的漂浮物，可用绳子将其系挂于船尾拖至码头吊运；若无法系挂于船尾，应上报相关部门，并协助打捞。保洁过程中发现河道里有沉船，应及时报告当地政府部门。</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（3）保洁员发现污水直排、偷排以及重大水污染事件，应立即向所属乡镇（街道）相关部门汇报。</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（4）保洁员禁止酒后作业，作业时不得拾荒、捕鱼、游泳，不得做与工作无关之事。打捞作业时要集中注意力，避免发生撞船或落水意外事故。</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（5）规范作业，保证安全，保洁工作人员每日按时上班，作业必须穿着救生衣，会游泳、习水性。</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四、堤岸保洁</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（1）防汛墙、驳岸、边坡等建（构）筑物的临水侧应定期清洗，清除垃圾。</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（2）对河道的堤岸、绿地、慢行系统等设施进行保洁，应做到干净整洁、无杂物堆积、无痰迹烟蒂、无青苔、无积水积泥等。</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（3）作业时应保护好堤岸上的其他设施。</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五、垃圾处置</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（1）河道水体打捞垃圾不得堆放在堤岸、路边，上岸即清，清理出来的垃圾及其他漂浮物等均由中标单位负责清运到</w:t>
      </w:r>
      <w:r>
        <w:rPr>
          <w:rFonts w:hint="eastAsia" w:ascii="宋体" w:hAnsi="宋体" w:cs="Arial"/>
          <w:color w:val="auto"/>
          <w:sz w:val="21"/>
          <w:szCs w:val="21"/>
          <w:highlight w:val="none"/>
          <w:lang w:eastAsia="zh-CN"/>
        </w:rPr>
        <w:t>瑶溪街道</w:t>
      </w:r>
      <w:r>
        <w:rPr>
          <w:rFonts w:hint="eastAsia" w:ascii="宋体" w:hAnsi="宋体" w:cs="Arial"/>
          <w:color w:val="auto"/>
          <w:sz w:val="21"/>
          <w:szCs w:val="21"/>
          <w:highlight w:val="none"/>
        </w:rPr>
        <w:t>指定地点。</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（2）生活垃圾、工业垃圾及漂浮物须进行分类，清运至指定地点。</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（3）清运途中应采取密闭措施，防止抛洒、泄漏出现二次污染。</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（4）沿河两侧坎边垃圾必须日产日清，清理完毕。</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六、船只配备要求</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1）河道保洁船舶符合航管部门要求，宜选用清洁能源或无油污染、噪声低的环保型船舶，并应安全可靠。作业船只船容应整洁、无明显污渍和破损。废弃物储存设施应整洁、完好，无残余物品吊挂，及时消杀船舱内垃圾，减少蝇蛆滋生。</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（2）作业器具标识明显，作业行船安全，防止超载、颠覆、进水。</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（3）安全救生用具配戴齐全，定期实施设施安全检查。</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七、特殊要求</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（1）发现河道内病死动物及病死动物产品，发现河道内的病死动物及病死动物产品时，河道保洁责任单位及时向</w:t>
      </w:r>
      <w:r>
        <w:rPr>
          <w:rFonts w:hint="eastAsia" w:ascii="宋体" w:hAnsi="宋体" w:cs="Arial"/>
          <w:color w:val="auto"/>
          <w:sz w:val="21"/>
          <w:szCs w:val="21"/>
          <w:highlight w:val="none"/>
          <w:lang w:eastAsia="zh-CN"/>
        </w:rPr>
        <w:t>瑶溪街道</w:t>
      </w:r>
      <w:r>
        <w:rPr>
          <w:rFonts w:hint="eastAsia" w:ascii="宋体" w:hAnsi="宋体" w:cs="Arial"/>
          <w:color w:val="auto"/>
          <w:sz w:val="21"/>
          <w:szCs w:val="21"/>
          <w:highlight w:val="none"/>
        </w:rPr>
        <w:t>、卫生、畜牧兽医等相关部门报告。</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2）台风、暴雨过后，河道内会产生因暴风雨带来的垃圾，所以发生台风、暴雨后3日内，河道保洁责任单位应相应加强保洁力度，增加保洁次数，及时清理河道中的垃圾、废弃漂浮物、杂草、障碍物等，确保河道的畅通和河面、河岸干净整洁。</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3）发生突发水污染事件可分为4大类：1、剧毒农药和有毒有害化学物质泄漏事故，如DDT、乐果、氰化钾等；2、溢油事故，如油罐车泄漏、油船触礁等；3、非正常大量排放废水事故，如化工厂废水、矿业废水等；4、放射性污染事故，如放射性废料渗出。</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发生突发水污染事件时，保洁单位或保洁人员应立即向采购人、当地人民政府、街道办事处以及环保局报告，并积极配合有关部门采取相应措施。</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（4）发生其它影响河道保洁的情况时，保洁单位或保洁人员应及时向采购人、当地政府报告，各乡镇（街道）应及时通知水利局和环保分局等相关部门，尽快研究对策，并迅速采取处理措施。</w:t>
      </w:r>
    </w:p>
    <w:p>
      <w:pPr>
        <w:pStyle w:val="135"/>
        <w:spacing w:line="400" w:lineRule="exact"/>
        <w:ind w:firstLine="426"/>
        <w:rPr>
          <w:rFonts w:ascii="宋体" w:hAnsi="宋体" w:cs="Arial"/>
          <w:color w:val="auto"/>
          <w:sz w:val="21"/>
          <w:szCs w:val="21"/>
          <w:highlight w:val="none"/>
        </w:rPr>
      </w:pPr>
      <w:r>
        <w:rPr>
          <w:rFonts w:hint="eastAsia" w:ascii="宋体" w:hAnsi="宋体" w:cs="Arial"/>
          <w:color w:val="auto"/>
          <w:sz w:val="21"/>
          <w:szCs w:val="21"/>
          <w:highlight w:val="none"/>
        </w:rPr>
        <w:t>（5）河道保洁其它要求以水利部门要求为准</w:t>
      </w:r>
      <w:r>
        <w:rPr>
          <w:rFonts w:ascii="宋体" w:hAnsi="宋体" w:cs="Arial"/>
          <w:color w:val="auto"/>
          <w:sz w:val="21"/>
          <w:szCs w:val="21"/>
          <w:highlight w:val="none"/>
        </w:rPr>
        <w:t>。</w:t>
      </w:r>
    </w:p>
    <w:p>
      <w:pPr>
        <w:adjustRightInd w:val="0"/>
        <w:snapToGrid w:val="0"/>
        <w:spacing w:line="400" w:lineRule="exact"/>
        <w:jc w:val="left"/>
        <w:outlineLvl w:val="1"/>
        <w:rPr>
          <w:rFonts w:ascii="宋体" w:hAnsi="宋体"/>
          <w:b/>
          <w:color w:val="auto"/>
          <w:sz w:val="21"/>
          <w:szCs w:val="21"/>
          <w:highlight w:val="none"/>
        </w:rPr>
      </w:pPr>
      <w:bookmarkStart w:id="124" w:name="_Toc72407414"/>
      <w:bookmarkStart w:id="125" w:name="_Toc105435526"/>
      <w:bookmarkStart w:id="126" w:name="_Toc105438812"/>
      <w:bookmarkStart w:id="127" w:name="_Toc105435654"/>
      <w:bookmarkStart w:id="128" w:name="_Toc105435712"/>
      <w:bookmarkStart w:id="129" w:name="_Toc105438760"/>
      <w:bookmarkStart w:id="130" w:name="_Toc71551501"/>
      <w:bookmarkStart w:id="131" w:name="_Toc320"/>
      <w:bookmarkStart w:id="132" w:name="_Toc14407"/>
      <w:r>
        <w:rPr>
          <w:rFonts w:hint="eastAsia" w:ascii="宋体" w:hAnsi="宋体"/>
          <w:b/>
          <w:color w:val="auto"/>
          <w:sz w:val="21"/>
          <w:szCs w:val="21"/>
          <w:highlight w:val="none"/>
        </w:rPr>
        <w:t>4.5</w:t>
      </w:r>
      <w:r>
        <w:rPr>
          <w:rFonts w:ascii="宋体" w:hAnsi="宋体"/>
          <w:b/>
          <w:color w:val="auto"/>
          <w:sz w:val="21"/>
          <w:szCs w:val="21"/>
          <w:highlight w:val="none"/>
        </w:rPr>
        <w:t>公厕保洁作业质量标准</w:t>
      </w:r>
      <w:bookmarkEnd w:id="124"/>
      <w:bookmarkEnd w:id="125"/>
      <w:bookmarkEnd w:id="126"/>
      <w:bookmarkEnd w:id="127"/>
      <w:bookmarkEnd w:id="128"/>
      <w:bookmarkEnd w:id="129"/>
      <w:bookmarkEnd w:id="130"/>
      <w:bookmarkEnd w:id="131"/>
      <w:bookmarkEnd w:id="132"/>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一、公厕保洁要达到“十净、六无、一整洁”标准：</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（1）十净：地面净、墙壁净、蹲台净、门窗净、隔板净、便池净、洁具净、灯具净、天花板净、周围环境净；</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（2）六无：蹲坑便槽无杂物，厕内外无乱涂写、乱张贴、乱堆乱放，定期消毒无蝇蛆，厕内无明显臭味，上水通畅、下水无堵塞（包括坑位到化粪池的管道），厕内无灰网；</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（3）一整洁：管理间、工具间干净整洁无杂物。</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二、保证室内设施设备(门、窗、供水、供电、照明等)完好和正常使用，无漏雨、透风及管道堵塞现象；</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三、地面、蹲位、便池、墙壁、挡板等保持完好和整洁；无地面积水、纸屑、烟头、痰迹，无积存尿液、尿垢，无蚊蝇；</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四、换气、除臭等设施必须使用。保持厕内通风良好，无异味，厕内燃点盘香，男小便器内投放专用樟脑球，废纸篓内套放标准垃圾袋（均由中标单位提供，计入投标报价成本中）；</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五、保持公共厕所外周边5米范围环境整洁，无乱堆杂物、杂草、垃圾、粪便、污水等；</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六、蝇蚊孳生季节，定时喷洒药物，有效控制蝇蛆孳生；</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七、治理清除公厕内外非法小广告；</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八、保洁工具应放置整齐，照明灯具、洗手器具、镜子、挂衣钩、烘手器、冲水等设备完好，无积灰、污物。</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九、发现公厕水龙头未拧紧导致漏水的情况，须及时拧紧水龙头。</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十、中标单位保洁服务期间，如</w:t>
      </w:r>
      <w:r>
        <w:rPr>
          <w:rFonts w:hint="eastAsia" w:ascii="宋体" w:hAnsi="宋体" w:cs="Arial"/>
          <w:color w:val="auto"/>
          <w:sz w:val="21"/>
          <w:szCs w:val="21"/>
          <w:highlight w:val="none"/>
          <w:lang w:eastAsia="zh-CN"/>
        </w:rPr>
        <w:t>瑶溪街道</w:t>
      </w:r>
      <w:r>
        <w:rPr>
          <w:rFonts w:hint="eastAsia" w:ascii="宋体" w:hAnsi="宋体" w:cs="Arial"/>
          <w:color w:val="auto"/>
          <w:sz w:val="21"/>
          <w:szCs w:val="21"/>
          <w:highlight w:val="none"/>
        </w:rPr>
        <w:t>对公厕类别进行提升的，保洁服务等级要求须做相应的提升，相关费用双方协商解决。</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十一、坑位内冲洗、坑位周边保持干净、及时清理垃圾篓（垃圾篓内垃圾不超过三分之二），做到公厕内部地面（坑位）干净整洁、无污迹水迹。</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十二、严格区分保洁工具：男厕与女厕、地面、与踏步的保洁扫帚、拖把分开使用，分别使用不同的擦洗工具清理门窗、洗手器具、分隔板、墙面。保洁工具使用后，必须立即清洗，确保无异味。</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十三、供洗手用的水龙头不得用于保洁作业。</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十四、公厕管理要求</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（1）按规定要求公厕实行全天候免费开放使用，不得擅自停业、歇业，影响公众使用；如需停止开放的，要征得业主同意后，公示停业原由和期限。</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2）各项制度（内容包括但不限于公厕名称、类别、公厕编号、管理单位、服务公约、联系电话、监管电话、开放时间等信息）、责任内容按规定要求上墙，文明规范用语按要求配置，设置规范且醒目，便于市民监督；设置节约用水、禁止吸烟、文明如厕、爱护公物等提示性、劝导性标识。</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（3）严禁公厕内经营活动和私自收费现象，责任范围内不得有乱搭建、乱堆放。</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（4）公厕管理间卫生整洁、秩序井然，无闲杂人员，无乱堆杂物，无人员留宿，不得有人员生活居住。</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（5）公厕须实行专人专职保洁，保洁人员统一服装、统一佩证上岗、礼貌待人、服务周到。</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（6）公厕保洁人员不得在公厕内私设厨房及就餐，不得占用妨碍残疾人公共厕所、第三卫生间的正常使用。</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（7）积极配合完成管理部门的各项工作或临时突击性和检查任务。</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（8）本项目公厕全部要求专人保洁，中标单位公厕保洁人员未专人到位的，则按500元/人/次的标准从当期保洁款中直接扣除。</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十五、作业设备要求</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1）一类公厕服务人员须配置专用公厕保洁布草车。公厕保洁服务人员、布草车均适时纳入《智慧环卫监管平台》监管，要求布草车中专用擦洗毛巾抹布不少于4条；扫把、拖布不少于3把；均按保洁部位做分类使用、收纳，不得混用。</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十六、公厕的电费、水费、人工费、劳保和保洁用品、制度牌、水电设施维养及基建维修（包括化粪池、管道、洁具更换等改建及局部修缮）、人员制服、消杀经费、公厕外立面维护，标识标志正常工作，生态公厕的所有维养以及创卫、创文等迎检时期的突击性任务由中标单位负责。</w:t>
      </w:r>
    </w:p>
    <w:p>
      <w:pPr>
        <w:pStyle w:val="135"/>
        <w:spacing w:line="400" w:lineRule="exact"/>
        <w:ind w:firstLine="426"/>
        <w:rPr>
          <w:rFonts w:ascii="宋体" w:hAnsi="宋体" w:cs="Arial"/>
          <w:color w:val="auto"/>
          <w:sz w:val="21"/>
          <w:szCs w:val="21"/>
          <w:highlight w:val="none"/>
        </w:rPr>
      </w:pPr>
      <w:r>
        <w:rPr>
          <w:rFonts w:hint="eastAsia" w:ascii="宋体" w:hAnsi="宋体" w:cs="Arial"/>
          <w:color w:val="auto"/>
          <w:sz w:val="21"/>
          <w:szCs w:val="21"/>
          <w:highlight w:val="none"/>
        </w:rPr>
        <w:t>十七、清洁工具配置要求：塑料桶、拖把、扫把、簸箕、尿斗刷、马桶刷、毛巾（红，黄，白）网络海绵、百洁布、万向握把、清洁指示牌、一米梯等由承包单位配置齐全</w:t>
      </w:r>
      <w:r>
        <w:rPr>
          <w:rFonts w:ascii="宋体" w:hAnsi="宋体" w:cs="Arial"/>
          <w:color w:val="auto"/>
          <w:sz w:val="21"/>
          <w:szCs w:val="21"/>
          <w:highlight w:val="none"/>
        </w:rPr>
        <w:t>。</w:t>
      </w:r>
    </w:p>
    <w:p>
      <w:pPr>
        <w:adjustRightInd w:val="0"/>
        <w:snapToGrid w:val="0"/>
        <w:spacing w:line="400" w:lineRule="exact"/>
        <w:jc w:val="left"/>
        <w:outlineLvl w:val="1"/>
        <w:rPr>
          <w:rFonts w:ascii="宋体" w:hAnsi="宋体"/>
          <w:b/>
          <w:color w:val="auto"/>
          <w:sz w:val="21"/>
          <w:szCs w:val="21"/>
          <w:highlight w:val="none"/>
        </w:rPr>
      </w:pPr>
      <w:bookmarkStart w:id="133" w:name="_Toc105435655"/>
      <w:bookmarkStart w:id="134" w:name="_Toc105438813"/>
      <w:bookmarkStart w:id="135" w:name="_Toc71551502"/>
      <w:bookmarkStart w:id="136" w:name="_Toc105435527"/>
      <w:bookmarkStart w:id="137" w:name="_Toc11625"/>
      <w:bookmarkStart w:id="138" w:name="_Toc105435713"/>
      <w:bookmarkStart w:id="139" w:name="_Toc105438761"/>
      <w:bookmarkStart w:id="140" w:name="_Toc72407415"/>
      <w:bookmarkStart w:id="141" w:name="_Toc455"/>
      <w:r>
        <w:rPr>
          <w:rFonts w:hint="eastAsia" w:ascii="宋体" w:hAnsi="宋体"/>
          <w:b/>
          <w:color w:val="auto"/>
          <w:sz w:val="21"/>
          <w:szCs w:val="21"/>
          <w:highlight w:val="none"/>
        </w:rPr>
        <w:t>4.6</w:t>
      </w:r>
      <w:r>
        <w:rPr>
          <w:rFonts w:ascii="宋体" w:hAnsi="宋体"/>
          <w:b/>
          <w:color w:val="auto"/>
          <w:sz w:val="21"/>
          <w:szCs w:val="21"/>
          <w:highlight w:val="none"/>
        </w:rPr>
        <w:t>小广告治理作业质量标准</w:t>
      </w:r>
      <w:bookmarkEnd w:id="133"/>
      <w:bookmarkEnd w:id="134"/>
      <w:bookmarkEnd w:id="135"/>
      <w:bookmarkEnd w:id="136"/>
      <w:bookmarkEnd w:id="137"/>
      <w:bookmarkEnd w:id="138"/>
      <w:bookmarkEnd w:id="139"/>
      <w:bookmarkEnd w:id="140"/>
      <w:bookmarkEnd w:id="141"/>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一、小广告治理范围</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道路、公园、广场、公厕、道路两侧构筑物、建筑物、道路辅助设施、市政（家具）设施上可见的小广告、非法喷涂广告。区域内利用废弃木板、纸片等涂写广告，并在公交站台、沿街外立面、绿化带等处放置的，视作乱涂乱贴进行清理。</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二、小广告治理质量要求</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（1）标准适用道路、社区和村内地面、墙壁、卷帘门、楼道和公配设施，按照各类道路和各类区域作业时间要求做好小广告清除覆盖工作。</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（2）随时发现，随时清理干净。并配合执法部门取证打击非法张贴小广告行为。</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3）永久层光面类基底例样有：光面类大理石面（立墙面、台阶、立柱）；釉面（光、亚光）瓷砖（立墙面、台阶）；玻璃立面（落地玻璃门窗）；无漆面铁板面、不锈钢板面（卷闸门、车站台）；塑料板面（广告灯箱、候车厅、商厅）；光面水泥墙面（围墙等）。清除后的基底表面及勾缝处均无任何附着油漆、色彩痕迹及残留物，表面无划痕，不失原有光泽，与周边基底一致，不能出现“白癜风”的涂写、覆盖方式。选用环保材料、涂料、油漆、清除乱张贴、乱涂写的涂料要用与墙体、地面、栏杆相同或相接近的颜色进行有规则（正方形、长方形等）的覆盖，对花岗岩、大理石等墙面、地面应通过清洗方式进行保洁。</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4）油漆表面类基底例样有：塑铝板面（门面、外墙装饰面、广告招牌）；油漆面（城市家具、油漆面卷闸门、围挡）。清除后的基底表面及勾缝处均无任何附着油漆、色彩痕迹及残留物，表面无划痕，漆面无脱落，不失原有光泽，与周边基底完全一致。</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5）粗糙（毛）面类基底例样有：毛面大理石（墙面）；毛面花岗岩（路基面）；不规则文化石、青石面（墙面）；易渗入光面大理石面及抛光瓷砖面（墙面）；毛面外墙砖面（墙面）；红（黄）毛砖面（墙面、地面）。清除后的基底表面及勾缝处均无任何附着油漆、色彩痕迹及残留物，表面无划痕，不失原有光泽，新旧程度与周边基底顺应。</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（6）涂料面类基底例样主要以各种颜色外墙乳胶为主的墙面。清除后基底表面无任何附着油漆、色彩痕迹及残留物，如采用覆盖物，其膜层厚不得大于0.3mm，且色彩及新旧程度与周边基底一致，色彩偏差为±2°。</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（7）水刷石面类基底例样有：水刷石墙面；真实漆喷涂墙面。清除后的基底表面及勾缝处均无任何附着油漆、色彩痕迹及残留物，原覆盖物应清除彻底，突出体现保持原色，新旧程度与周边基底一致。</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（8）广告布类基底上小广告清除后的基底无附着油漆及色彩基底画面不被破坏，应保持原状，露白处理时花型应与整体配套、和谐。</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三、配置要求</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清理小广告配备相应的操作工具、材料及专职工作人员。</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四、小广告治理作业要求</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（1）实施12小时动态巡回保洁，同一地方的乱张贴或乱涂写存续时间一、二、三、四级道（桥梁）不能超过2小时，特殊情况不得超过1小时；其它地方不能超过3小时，特殊情况不能超过2小时。</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（2）实行定街、定段、定人、定时、定保洁标准责任到人管理。原则上应在每日上午7点以前清除完毕。</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（3）接到承包范围内反映“小广告”问题的投诉或新闻舆论曝光后，须在 1 小时内及时处理完毕并反馈信息。</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（4）在对外墙等保洁之前，应向有关建筑物的产权单位先行告知，避免产生不必要的纠纷。</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六、应急要求</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出现大规模低俗、反社会等小广告时，须组织人员在最短时间内进行清除。</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七、工具配备</w:t>
      </w:r>
    </w:p>
    <w:p>
      <w:pPr>
        <w:pStyle w:val="135"/>
        <w:spacing w:line="400" w:lineRule="exact"/>
        <w:ind w:firstLine="426"/>
        <w:rPr>
          <w:rFonts w:ascii="宋体" w:hAnsi="宋体" w:cs="Arial"/>
          <w:color w:val="auto"/>
          <w:sz w:val="21"/>
          <w:szCs w:val="21"/>
          <w:highlight w:val="none"/>
        </w:rPr>
      </w:pPr>
      <w:r>
        <w:rPr>
          <w:rFonts w:hint="eastAsia" w:ascii="宋体" w:hAnsi="宋体" w:cs="Arial"/>
          <w:color w:val="auto"/>
          <w:sz w:val="21"/>
          <w:szCs w:val="21"/>
          <w:highlight w:val="none"/>
        </w:rPr>
        <w:t>要求配备：云式铲刀、清洁剂、抹布、清洁剂、涂料、墙体刷、石灰水等</w:t>
      </w:r>
      <w:r>
        <w:rPr>
          <w:rFonts w:ascii="宋体" w:hAnsi="宋体" w:cs="Arial"/>
          <w:color w:val="auto"/>
          <w:sz w:val="21"/>
          <w:szCs w:val="21"/>
          <w:highlight w:val="none"/>
        </w:rPr>
        <w:t>。</w:t>
      </w:r>
    </w:p>
    <w:p>
      <w:pPr>
        <w:adjustRightInd w:val="0"/>
        <w:snapToGrid w:val="0"/>
        <w:spacing w:line="400" w:lineRule="exact"/>
        <w:jc w:val="left"/>
        <w:outlineLvl w:val="1"/>
        <w:rPr>
          <w:rFonts w:ascii="宋体" w:hAnsi="宋体"/>
          <w:b/>
          <w:color w:val="auto"/>
          <w:sz w:val="21"/>
          <w:szCs w:val="21"/>
          <w:highlight w:val="none"/>
        </w:rPr>
      </w:pPr>
      <w:bookmarkStart w:id="142" w:name="_Toc16320"/>
      <w:bookmarkStart w:id="143" w:name="_Toc105435656"/>
      <w:bookmarkStart w:id="144" w:name="_Toc105435714"/>
      <w:bookmarkStart w:id="145" w:name="_Toc72407416"/>
      <w:bookmarkStart w:id="146" w:name="_Toc105435528"/>
      <w:bookmarkStart w:id="147" w:name="_Toc71551503"/>
      <w:bookmarkStart w:id="148" w:name="_Toc26483"/>
      <w:bookmarkStart w:id="149" w:name="_Toc105438762"/>
      <w:bookmarkStart w:id="150" w:name="_Toc105438814"/>
      <w:r>
        <w:rPr>
          <w:rFonts w:hint="eastAsia" w:ascii="宋体" w:hAnsi="宋体"/>
          <w:b/>
          <w:color w:val="auto"/>
          <w:sz w:val="21"/>
          <w:szCs w:val="21"/>
          <w:highlight w:val="none"/>
        </w:rPr>
        <w:t>4.7</w:t>
      </w:r>
      <w:r>
        <w:rPr>
          <w:rFonts w:ascii="宋体" w:hAnsi="宋体"/>
          <w:b/>
          <w:color w:val="auto"/>
          <w:sz w:val="21"/>
          <w:szCs w:val="21"/>
          <w:highlight w:val="none"/>
        </w:rPr>
        <w:t>垃圾收集与清运作业质量标准</w:t>
      </w:r>
      <w:bookmarkEnd w:id="142"/>
      <w:bookmarkEnd w:id="143"/>
      <w:bookmarkEnd w:id="144"/>
      <w:bookmarkEnd w:id="145"/>
      <w:bookmarkEnd w:id="146"/>
      <w:bookmarkEnd w:id="147"/>
      <w:bookmarkEnd w:id="148"/>
      <w:bookmarkEnd w:id="149"/>
      <w:bookmarkEnd w:id="150"/>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一、要求中标单位对所有沿街道路店铺产生的生活垃圾（除伟明</w:t>
      </w:r>
      <w:r>
        <w:rPr>
          <w:rFonts w:hint="eastAsia" w:ascii="宋体" w:hAnsi="宋体" w:cs="Arial"/>
          <w:color w:val="auto"/>
          <w:sz w:val="21"/>
          <w:szCs w:val="21"/>
          <w:highlight w:val="none"/>
          <w:lang w:eastAsia="zh-CN"/>
        </w:rPr>
        <w:t>等</w:t>
      </w:r>
      <w:r>
        <w:rPr>
          <w:rFonts w:hint="eastAsia" w:ascii="宋体" w:hAnsi="宋体" w:cs="Arial"/>
          <w:color w:val="auto"/>
          <w:sz w:val="21"/>
          <w:szCs w:val="21"/>
          <w:highlight w:val="none"/>
        </w:rPr>
        <w:t>公司收集厨余垃圾的店铺外），定时上门分类收集，收集时应广播或音乐提醒，定时上门分类收集，每日不少于3次，时间为上午9:00~10:30，中午13:00~14:00，晚上19:00~20:00（根据实际情况，时间及频次可作适当调整），如属地街道有需求，保洁公司应无条件将</w:t>
      </w:r>
      <w:r>
        <w:rPr>
          <w:rFonts w:hint="eastAsia" w:ascii="宋体" w:hAnsi="宋体" w:cs="Arial"/>
          <w:b/>
          <w:color w:val="auto"/>
          <w:sz w:val="21"/>
          <w:szCs w:val="21"/>
          <w:highlight w:val="none"/>
          <w:u w:val="single"/>
        </w:rPr>
        <w:t>餐厨垃圾桶集中收运到集置点</w:t>
      </w:r>
      <w:r>
        <w:rPr>
          <w:rFonts w:hint="eastAsia" w:ascii="宋体" w:hAnsi="宋体" w:cs="Arial"/>
          <w:color w:val="auto"/>
          <w:sz w:val="21"/>
          <w:szCs w:val="21"/>
          <w:highlight w:val="none"/>
        </w:rPr>
        <w:t>。</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二、每日生活垃圾必须日产日清，及时收集清运，并运往街道指定的生活垃圾分类转运站；废物箱（果壳箱、垃圾桶）、垃圾屋无四害孳生,无积压、溢满，周围无垃圾散落；废物箱（果壳箱、垃圾桶）垃圾量不超过70%。</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三、垃圾分类投入点（垃圾房、分类亭等）不得焚烧垃圾，无污水横流周边保持干净整洁。</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四、本区域内，敞开式小区村居按照要求配套装备收集清运车辆设备（以桶换桶），生活垃圾统一清运到就近垃圾中转站，清理、收集的其它类垃圾必须按指定地点倾倒；垃圾运输密闭，无抛洒、吊挂和污水滴漏，清运路线要合理规划设置，并报</w:t>
      </w:r>
      <w:r>
        <w:rPr>
          <w:rFonts w:hint="eastAsia" w:ascii="宋体" w:hAnsi="宋体" w:cs="Arial"/>
          <w:color w:val="auto"/>
          <w:sz w:val="21"/>
          <w:szCs w:val="21"/>
          <w:highlight w:val="none"/>
          <w:lang w:eastAsia="zh-CN"/>
        </w:rPr>
        <w:t>瑶溪街道</w:t>
      </w:r>
      <w:r>
        <w:rPr>
          <w:rFonts w:hint="eastAsia" w:ascii="宋体" w:hAnsi="宋体" w:cs="Arial"/>
          <w:color w:val="auto"/>
          <w:sz w:val="21"/>
          <w:szCs w:val="21"/>
          <w:highlight w:val="none"/>
        </w:rPr>
        <w:t>备案认可，敞开式小区的名单</w:t>
      </w:r>
      <w:r>
        <w:rPr>
          <w:rFonts w:hint="eastAsia" w:ascii="宋体" w:hAnsi="宋体" w:cs="Arial"/>
          <w:b/>
          <w:color w:val="auto"/>
          <w:sz w:val="21"/>
          <w:szCs w:val="21"/>
          <w:highlight w:val="none"/>
        </w:rPr>
        <w:t>（由</w:t>
      </w:r>
      <w:r>
        <w:rPr>
          <w:rFonts w:hint="eastAsia" w:ascii="宋体" w:hAnsi="宋体" w:cs="Arial"/>
          <w:b/>
          <w:color w:val="auto"/>
          <w:sz w:val="21"/>
          <w:szCs w:val="21"/>
          <w:highlight w:val="none"/>
          <w:lang w:eastAsia="zh-CN"/>
        </w:rPr>
        <w:t>瑶溪街道</w:t>
      </w:r>
      <w:r>
        <w:rPr>
          <w:rFonts w:hint="eastAsia" w:ascii="宋体" w:hAnsi="宋体" w:cs="Arial"/>
          <w:b/>
          <w:color w:val="auto"/>
          <w:sz w:val="21"/>
          <w:szCs w:val="21"/>
          <w:highlight w:val="none"/>
        </w:rPr>
        <w:t>指定）</w:t>
      </w:r>
      <w:r>
        <w:rPr>
          <w:rFonts w:hint="eastAsia" w:ascii="宋体" w:hAnsi="宋体" w:cs="Arial"/>
          <w:color w:val="auto"/>
          <w:sz w:val="21"/>
          <w:szCs w:val="21"/>
          <w:highlight w:val="none"/>
        </w:rPr>
        <w:t>。</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五、垃圾的分类要求</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1）根据《浙江省生活垃圾分类标准》要求，生活垃圾中不同的类别应当进行分类收集、分类运输。采用分类直运和分类转运（以桶换桶），要准确分类易腐垃圾、其他垃圾、有害垃圾、可回收物后才能进行垃圾分类转运。</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（2）按照CJJ205《生活垃圾收集运输技术规程》的规定分类配置生活垃圾收集、运输车辆（含备用车辆），并按照规定进行涂装，在明显位置标明装载垃圾的对应分类标志和颜色。</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（3）区域内具有生活垃圾分类处理设备的，中标单位收集、清运垃圾须按规定执行分类。小区垃圾按照分类运输要求，分类运输至指定的转运点进行转运。</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（4）涉及生活垃圾分类的村，生活垃圾分类处理设备由中标单位按规范管理、使用。生活垃圾分类处理设备日常维护由中标单位负责，故障维修由</w:t>
      </w:r>
      <w:r>
        <w:rPr>
          <w:rFonts w:hint="eastAsia" w:ascii="宋体" w:hAnsi="宋体" w:cs="Arial"/>
          <w:color w:val="auto"/>
          <w:sz w:val="21"/>
          <w:szCs w:val="21"/>
          <w:highlight w:val="none"/>
          <w:lang w:eastAsia="zh-CN"/>
        </w:rPr>
        <w:t>瑶溪街道</w:t>
      </w:r>
      <w:r>
        <w:rPr>
          <w:rFonts w:hint="eastAsia" w:ascii="宋体" w:hAnsi="宋体" w:cs="Arial"/>
          <w:color w:val="auto"/>
          <w:sz w:val="21"/>
          <w:szCs w:val="21"/>
          <w:highlight w:val="none"/>
        </w:rPr>
        <w:t>（权属人）负责。</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（5）后续增加生活垃圾分类处理设备，造成中标单位管理成本增加的，由投标人在投标报价内综合考虑，今后该费用不予增加。</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（6）垃圾分类政策如全面推广，造成中标单位人员管理成本增加的，由投标人在投标报价内综合考虑，今后该费用不予增加。</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（7）配置有害垃圾运输车辆，及时将有害垃圾分类收集运输到街道指定的有害垃圾收集点，并对每个收集点的有害垃圾种类、重量等做好登记。</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（8）保洁服务范围内的分类容器、分类收集车、分类收集点、多功能垃圾屋要实行一日一洗。</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六、垃圾运输车辆要求</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（1）垃圾清洁运输车辆应配备有效防滴漏设施，运输密闭性能良好（按照</w:t>
      </w:r>
      <w:r>
        <w:rPr>
          <w:rFonts w:hint="eastAsia" w:ascii="宋体" w:hAnsi="宋体" w:cs="Arial"/>
          <w:color w:val="auto"/>
          <w:sz w:val="21"/>
          <w:szCs w:val="21"/>
          <w:highlight w:val="none"/>
          <w:lang w:eastAsia="zh-CN"/>
        </w:rPr>
        <w:t>瑶溪街道</w:t>
      </w:r>
      <w:r>
        <w:rPr>
          <w:rFonts w:hint="eastAsia" w:ascii="宋体" w:hAnsi="宋体" w:cs="Arial"/>
          <w:color w:val="auto"/>
          <w:sz w:val="21"/>
          <w:szCs w:val="21"/>
          <w:highlight w:val="none"/>
        </w:rPr>
        <w:t>要求配置）。</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（2）垃圾运输车辆干净整洁（不准安装外挂袋），一日一洗，保持安全正常运转，定期维护。</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（3）垃圾运输车车身应根据</w:t>
      </w:r>
      <w:r>
        <w:rPr>
          <w:rFonts w:hint="eastAsia" w:ascii="宋体" w:hAnsi="宋体" w:cs="Arial"/>
          <w:color w:val="auto"/>
          <w:sz w:val="21"/>
          <w:szCs w:val="21"/>
          <w:highlight w:val="none"/>
          <w:lang w:eastAsia="zh-CN"/>
        </w:rPr>
        <w:t>瑶溪街道</w:t>
      </w:r>
      <w:r>
        <w:rPr>
          <w:rFonts w:hint="eastAsia" w:ascii="宋体" w:hAnsi="宋体" w:cs="Arial"/>
          <w:color w:val="auto"/>
          <w:sz w:val="21"/>
          <w:szCs w:val="21"/>
          <w:highlight w:val="none"/>
        </w:rPr>
        <w:t>要求统一涂装、标识。</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（4）作业时车辆应靠边停放，不能太靠近车行线。</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（5）车辆上的作业工具应摆放整齐，不能对交通安全产生影响。</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（6）后续中转站进行市场化经营、改造提升的，中标单位须服从</w:t>
      </w:r>
      <w:r>
        <w:rPr>
          <w:rFonts w:hint="eastAsia" w:ascii="宋体" w:hAnsi="宋体" w:cs="Arial"/>
          <w:color w:val="auto"/>
          <w:sz w:val="21"/>
          <w:szCs w:val="21"/>
          <w:highlight w:val="none"/>
          <w:lang w:eastAsia="zh-CN"/>
        </w:rPr>
        <w:t>瑶溪街道</w:t>
      </w:r>
      <w:r>
        <w:rPr>
          <w:rFonts w:hint="eastAsia" w:ascii="宋体" w:hAnsi="宋体" w:cs="Arial"/>
          <w:color w:val="auto"/>
          <w:sz w:val="21"/>
          <w:szCs w:val="21"/>
          <w:highlight w:val="none"/>
        </w:rPr>
        <w:t>、中转站运营方的相关管理规定。</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（7）按照CJJ205《生活垃圾收集运输技术规程》的规定分类配置生活垃圾收集、运输车辆（含备用车辆），并按照规定进行涂装，在明显位置标明装载垃圾的对应分类标志和颜色。</w:t>
      </w:r>
    </w:p>
    <w:p>
      <w:pPr>
        <w:pStyle w:val="135"/>
        <w:spacing w:line="400" w:lineRule="exact"/>
        <w:ind w:firstLine="426"/>
        <w:rPr>
          <w:rFonts w:ascii="宋体" w:hAnsi="宋体" w:cs="Arial"/>
          <w:color w:val="auto"/>
          <w:sz w:val="21"/>
          <w:szCs w:val="21"/>
          <w:highlight w:val="none"/>
        </w:rPr>
      </w:pPr>
      <w:r>
        <w:rPr>
          <w:rFonts w:hint="eastAsia" w:ascii="宋体" w:hAnsi="宋体" w:cs="Arial"/>
          <w:color w:val="auto"/>
          <w:sz w:val="21"/>
          <w:szCs w:val="21"/>
          <w:highlight w:val="none"/>
        </w:rPr>
        <w:t>七、在垃圾分类的过程中，由于工作原因需要调整收集、运输模式的，必须无条件接受配合。</w:t>
      </w:r>
    </w:p>
    <w:p>
      <w:pPr>
        <w:adjustRightInd w:val="0"/>
        <w:snapToGrid w:val="0"/>
        <w:spacing w:line="400" w:lineRule="exact"/>
        <w:jc w:val="left"/>
        <w:outlineLvl w:val="1"/>
        <w:rPr>
          <w:rFonts w:ascii="宋体" w:hAnsi="宋体"/>
          <w:b/>
          <w:color w:val="auto"/>
          <w:sz w:val="21"/>
          <w:szCs w:val="21"/>
          <w:highlight w:val="none"/>
        </w:rPr>
      </w:pPr>
      <w:bookmarkStart w:id="151" w:name="_Toc105435529"/>
      <w:bookmarkStart w:id="152" w:name="_Toc72407417"/>
      <w:bookmarkStart w:id="153" w:name="_Toc71551504"/>
      <w:bookmarkStart w:id="154" w:name="_Toc105438815"/>
      <w:bookmarkStart w:id="155" w:name="_Toc105435657"/>
      <w:bookmarkStart w:id="156" w:name="_Toc105435715"/>
      <w:bookmarkStart w:id="157" w:name="_Toc25560"/>
      <w:bookmarkStart w:id="158" w:name="_Toc31922"/>
      <w:bookmarkStart w:id="159" w:name="_Toc105438763"/>
      <w:r>
        <w:rPr>
          <w:rFonts w:hint="eastAsia" w:ascii="宋体" w:hAnsi="宋体"/>
          <w:b/>
          <w:color w:val="auto"/>
          <w:sz w:val="21"/>
          <w:szCs w:val="21"/>
          <w:highlight w:val="none"/>
        </w:rPr>
        <w:t>4.8</w:t>
      </w:r>
      <w:r>
        <w:rPr>
          <w:rFonts w:ascii="宋体" w:hAnsi="宋体"/>
          <w:b/>
          <w:color w:val="auto"/>
          <w:sz w:val="21"/>
          <w:szCs w:val="21"/>
          <w:highlight w:val="none"/>
        </w:rPr>
        <w:t>无主的建筑垃圾清理作业质量标准</w:t>
      </w:r>
      <w:bookmarkEnd w:id="151"/>
      <w:bookmarkEnd w:id="152"/>
      <w:bookmarkEnd w:id="153"/>
      <w:bookmarkEnd w:id="154"/>
      <w:bookmarkEnd w:id="155"/>
      <w:bookmarkEnd w:id="156"/>
      <w:bookmarkEnd w:id="157"/>
      <w:bookmarkEnd w:id="158"/>
      <w:bookmarkEnd w:id="159"/>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一、本次招标范围包括区域内无主生活垃圾、无主建筑垃圾、无主大件垃圾的及时收运，加强日常巡查，发现问题及时报告，并及时清运至辖区街道指定地点，其它保洁要求须响应</w:t>
      </w:r>
      <w:r>
        <w:rPr>
          <w:rFonts w:hint="eastAsia" w:ascii="宋体" w:hAnsi="宋体" w:cs="Arial"/>
          <w:color w:val="auto"/>
          <w:sz w:val="21"/>
          <w:szCs w:val="21"/>
          <w:highlight w:val="none"/>
          <w:lang w:eastAsia="zh-CN"/>
        </w:rPr>
        <w:t>瑶溪街道</w:t>
      </w:r>
      <w:r>
        <w:rPr>
          <w:rFonts w:hint="eastAsia" w:ascii="宋体" w:hAnsi="宋体" w:cs="Arial"/>
          <w:color w:val="auto"/>
          <w:sz w:val="21"/>
          <w:szCs w:val="21"/>
          <w:highlight w:val="none"/>
        </w:rPr>
        <w:t>要求，纳入考核范围，费用包含在投标总价中（大体积偷倒垃圾，费用由双方协商解决）。</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二、中标单位负责区域内无主建筑垃圾（含生活垃圾、装修垃圾、废弃家具、大件垃圾等）的清理。并按</w:t>
      </w:r>
      <w:r>
        <w:rPr>
          <w:rFonts w:hint="eastAsia" w:ascii="宋体" w:hAnsi="宋体" w:cs="Arial"/>
          <w:color w:val="auto"/>
          <w:sz w:val="21"/>
          <w:szCs w:val="21"/>
          <w:highlight w:val="none"/>
          <w:lang w:eastAsia="zh-CN"/>
        </w:rPr>
        <w:t>瑶溪街道</w:t>
      </w:r>
      <w:r>
        <w:rPr>
          <w:rFonts w:hint="eastAsia" w:ascii="宋体" w:hAnsi="宋体" w:cs="Arial"/>
          <w:color w:val="auto"/>
          <w:sz w:val="21"/>
          <w:szCs w:val="21"/>
          <w:highlight w:val="none"/>
        </w:rPr>
        <w:t>要求将建筑垃圾运至辖区属地镇街指定建筑垃圾、装修垃圾、废弃家具、大件垃圾消纳场进行消纳、分解，不得与生活垃圾混收、混运、混放。</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三、中标单位有义务对负责区域内的建筑垃圾乱倾倒，乱堆放负有监督义务，如发现有人乱倾倒建筑垃圾（含装修垃圾、废弃家具、大件垃圾等）须及时上报</w:t>
      </w:r>
      <w:r>
        <w:rPr>
          <w:rFonts w:hint="eastAsia" w:ascii="宋体" w:hAnsi="宋体" w:cs="Arial"/>
          <w:color w:val="auto"/>
          <w:sz w:val="21"/>
          <w:szCs w:val="21"/>
          <w:highlight w:val="none"/>
          <w:lang w:eastAsia="zh-CN"/>
        </w:rPr>
        <w:t>瑶溪街道</w:t>
      </w:r>
      <w:r>
        <w:rPr>
          <w:rFonts w:hint="eastAsia" w:ascii="宋体" w:hAnsi="宋体" w:cs="Arial"/>
          <w:color w:val="auto"/>
          <w:sz w:val="21"/>
          <w:szCs w:val="21"/>
          <w:highlight w:val="none"/>
        </w:rPr>
        <w:t>处理。</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四、运输要求</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（1）做业期间应无扬尘，运输途中无抛洒；垃圾在指定地点倾倒，不得随意倾倒、偷到、乱倒垃圾；</w:t>
      </w:r>
    </w:p>
    <w:p>
      <w:pPr>
        <w:pStyle w:val="135"/>
        <w:spacing w:line="400" w:lineRule="exact"/>
        <w:ind w:firstLine="426"/>
        <w:rPr>
          <w:rFonts w:ascii="宋体" w:hAnsi="宋体" w:cs="Arial"/>
          <w:color w:val="auto"/>
          <w:sz w:val="21"/>
          <w:szCs w:val="21"/>
          <w:highlight w:val="none"/>
        </w:rPr>
      </w:pPr>
      <w:r>
        <w:rPr>
          <w:rFonts w:hint="eastAsia" w:ascii="宋体" w:hAnsi="宋体" w:cs="Arial"/>
          <w:color w:val="auto"/>
          <w:sz w:val="21"/>
          <w:szCs w:val="21"/>
          <w:highlight w:val="none"/>
        </w:rPr>
        <w:t>（2）保洁责任区域内应当发现的（保洁过程中应该发现）渣土、装修垃圾，要在24小时内清运完毕；</w:t>
      </w:r>
      <w:r>
        <w:rPr>
          <w:rFonts w:hint="eastAsia" w:ascii="宋体" w:hAnsi="宋体" w:cs="Arial"/>
          <w:color w:val="auto"/>
          <w:sz w:val="21"/>
          <w:szCs w:val="21"/>
          <w:highlight w:val="none"/>
          <w:lang w:eastAsia="zh-CN"/>
        </w:rPr>
        <w:t>瑶溪街道</w:t>
      </w:r>
      <w:r>
        <w:rPr>
          <w:rFonts w:hint="eastAsia" w:ascii="宋体" w:hAnsi="宋体" w:cs="Arial"/>
          <w:color w:val="auto"/>
          <w:sz w:val="21"/>
          <w:szCs w:val="21"/>
          <w:highlight w:val="none"/>
        </w:rPr>
        <w:t>要求清运的渣土、装修垃圾，中标单位接到通知要在12小时内清运完毕</w:t>
      </w:r>
      <w:r>
        <w:rPr>
          <w:rFonts w:ascii="宋体" w:hAnsi="宋体" w:cs="Arial"/>
          <w:color w:val="auto"/>
          <w:sz w:val="21"/>
          <w:szCs w:val="21"/>
          <w:highlight w:val="none"/>
        </w:rPr>
        <w:t>。</w:t>
      </w:r>
    </w:p>
    <w:p>
      <w:pPr>
        <w:adjustRightInd w:val="0"/>
        <w:snapToGrid w:val="0"/>
        <w:spacing w:line="400" w:lineRule="exact"/>
        <w:jc w:val="left"/>
        <w:outlineLvl w:val="1"/>
        <w:rPr>
          <w:rFonts w:ascii="宋体" w:hAnsi="宋体"/>
          <w:b/>
          <w:color w:val="auto"/>
          <w:sz w:val="21"/>
          <w:szCs w:val="21"/>
          <w:highlight w:val="none"/>
        </w:rPr>
      </w:pPr>
      <w:bookmarkStart w:id="160" w:name="_Toc105435530"/>
      <w:bookmarkStart w:id="161" w:name="_Toc71551505"/>
      <w:bookmarkStart w:id="162" w:name="_Toc105438816"/>
      <w:bookmarkStart w:id="163" w:name="_Toc171"/>
      <w:bookmarkStart w:id="164" w:name="_Toc105435716"/>
      <w:bookmarkStart w:id="165" w:name="_Toc72407418"/>
      <w:bookmarkStart w:id="166" w:name="_Toc105438764"/>
      <w:bookmarkStart w:id="167" w:name="_Toc19096"/>
      <w:bookmarkStart w:id="168" w:name="_Toc105435658"/>
      <w:r>
        <w:rPr>
          <w:rFonts w:hint="eastAsia" w:ascii="宋体" w:hAnsi="宋体"/>
          <w:b/>
          <w:color w:val="auto"/>
          <w:sz w:val="21"/>
          <w:szCs w:val="21"/>
          <w:highlight w:val="none"/>
        </w:rPr>
        <w:t>4.9</w:t>
      </w:r>
      <w:r>
        <w:rPr>
          <w:rFonts w:ascii="宋体" w:hAnsi="宋体"/>
          <w:b/>
          <w:color w:val="auto"/>
          <w:sz w:val="21"/>
          <w:szCs w:val="21"/>
          <w:highlight w:val="none"/>
        </w:rPr>
        <w:t>应急作业质量标准</w:t>
      </w:r>
      <w:bookmarkEnd w:id="160"/>
      <w:bookmarkEnd w:id="161"/>
      <w:bookmarkEnd w:id="162"/>
      <w:bookmarkEnd w:id="163"/>
      <w:bookmarkEnd w:id="164"/>
      <w:bookmarkEnd w:id="165"/>
      <w:bookmarkEnd w:id="166"/>
      <w:bookmarkEnd w:id="167"/>
      <w:bookmarkEnd w:id="168"/>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中标单位须根据</w:t>
      </w:r>
      <w:r>
        <w:rPr>
          <w:rFonts w:hint="eastAsia" w:ascii="宋体" w:hAnsi="宋体" w:cs="Arial"/>
          <w:color w:val="auto"/>
          <w:sz w:val="21"/>
          <w:szCs w:val="21"/>
          <w:highlight w:val="none"/>
          <w:lang w:eastAsia="zh-CN"/>
        </w:rPr>
        <w:t>瑶溪街道</w:t>
      </w:r>
      <w:r>
        <w:rPr>
          <w:rFonts w:hint="eastAsia" w:ascii="宋体" w:hAnsi="宋体" w:cs="Arial"/>
          <w:color w:val="auto"/>
          <w:sz w:val="21"/>
          <w:szCs w:val="21"/>
          <w:highlight w:val="none"/>
        </w:rPr>
        <w:t>要求及道路突发情况24小时待命,应急作业包括（但不限于）如下内容：</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（1）保洁范围内出现大面积遗撒物、交通安全事故，自接到通知后，应在2小时内清理干净。</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（2）路面液态油质，如机油、柴油、汽油、润滑油等污染物应在4小时内清理干净。</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（3）保洁范围内出现易燃易爆、有毒有害物质遗撒泄露，服务提供组织应及时报告行政主管部门。</w:t>
      </w:r>
    </w:p>
    <w:p>
      <w:pPr>
        <w:pStyle w:val="135"/>
        <w:spacing w:line="400" w:lineRule="exact"/>
        <w:ind w:firstLine="426"/>
        <w:rPr>
          <w:rFonts w:ascii="宋体" w:hAnsi="宋体" w:cs="Arial"/>
          <w:color w:val="auto"/>
          <w:sz w:val="21"/>
          <w:szCs w:val="21"/>
          <w:highlight w:val="none"/>
        </w:rPr>
      </w:pPr>
      <w:r>
        <w:rPr>
          <w:rFonts w:hint="eastAsia" w:ascii="宋体" w:hAnsi="宋体" w:cs="Arial"/>
          <w:color w:val="auto"/>
          <w:sz w:val="21"/>
          <w:szCs w:val="21"/>
          <w:highlight w:val="none"/>
        </w:rPr>
        <w:t>（4）出现灾害性（台风、暴雪、暴雨、寒潮等）天气时，提供服务组织应及时进行融雪除冰和路面清理。应保证4小时至10小时内完成融雪，在2至3天内完成路面清理</w:t>
      </w:r>
      <w:r>
        <w:rPr>
          <w:rFonts w:ascii="宋体" w:hAnsi="宋体" w:cs="Arial"/>
          <w:color w:val="auto"/>
          <w:sz w:val="21"/>
          <w:szCs w:val="21"/>
          <w:highlight w:val="none"/>
        </w:rPr>
        <w:t>。</w:t>
      </w:r>
    </w:p>
    <w:p>
      <w:pPr>
        <w:adjustRightInd w:val="0"/>
        <w:snapToGrid w:val="0"/>
        <w:spacing w:line="400" w:lineRule="exact"/>
        <w:jc w:val="left"/>
        <w:outlineLvl w:val="1"/>
        <w:rPr>
          <w:rFonts w:ascii="宋体" w:hAnsi="宋体"/>
          <w:b/>
          <w:color w:val="auto"/>
          <w:sz w:val="21"/>
          <w:szCs w:val="21"/>
          <w:highlight w:val="none"/>
        </w:rPr>
      </w:pPr>
      <w:bookmarkStart w:id="169" w:name="_Toc71551506"/>
      <w:bookmarkStart w:id="170" w:name="_Toc105438765"/>
      <w:bookmarkStart w:id="171" w:name="_Toc5629"/>
      <w:bookmarkStart w:id="172" w:name="_Toc105435717"/>
      <w:bookmarkStart w:id="173" w:name="_Toc105438817"/>
      <w:bookmarkStart w:id="174" w:name="_Toc105435531"/>
      <w:bookmarkStart w:id="175" w:name="_Toc72407419"/>
      <w:bookmarkStart w:id="176" w:name="_Toc16452"/>
      <w:bookmarkStart w:id="177" w:name="_Toc105435659"/>
      <w:r>
        <w:rPr>
          <w:rFonts w:hint="eastAsia" w:ascii="宋体" w:hAnsi="宋体"/>
          <w:b/>
          <w:color w:val="auto"/>
          <w:sz w:val="21"/>
          <w:szCs w:val="21"/>
          <w:highlight w:val="none"/>
        </w:rPr>
        <w:t>4.10</w:t>
      </w:r>
      <w:r>
        <w:rPr>
          <w:rFonts w:ascii="宋体" w:hAnsi="宋体"/>
          <w:b/>
          <w:color w:val="auto"/>
          <w:sz w:val="21"/>
          <w:szCs w:val="21"/>
          <w:highlight w:val="none"/>
        </w:rPr>
        <w:t>其他要求</w:t>
      </w:r>
      <w:bookmarkEnd w:id="169"/>
      <w:bookmarkEnd w:id="170"/>
      <w:bookmarkEnd w:id="171"/>
      <w:bookmarkEnd w:id="172"/>
      <w:bookmarkEnd w:id="173"/>
      <w:bookmarkEnd w:id="174"/>
      <w:bookmarkEnd w:id="175"/>
      <w:bookmarkEnd w:id="176"/>
      <w:bookmarkEnd w:id="177"/>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（一）遇法定节假日、重大活动或突发事件，及时组织力量做好清扫保洁等保障工作并制定应急预案。</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特殊情况下遇有重大活动或抗台、暴雨等突发事件，乙方除应及时做好管辖地段清扫保洁保障工作外，还应服从甲方的统一指挥和调动参加抢险救灾工作，人员必须及时到位（需要集中时的具体位置另行通知）并根据应急命令决定早到和离岗。</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（二）环卫工人配置、工人工资、福利待遇等保障和机具配置工作。</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中标单位要严格按照有关招投标文件、合同与相关承诺履行合同，保证环卫工人的工资、福利待遇不降低，确保环卫工人的各类合法权益不受侵害。同时要确保规定或承诺的机具配置方案，足额到位。</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（三）首次进场“大扫除”要求</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中标单位在进场作业后30日历天内，须根据采购文件规定“质量要求”、“作业要求”内容规定，对保洁区域进行一次全方位的垃圾死角、无主垃圾、大件垃圾、绿化带垃圾、小广告及乱张贴等大清理，道路、环卫设施、城市家具等大清洗。</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（四）环卫驿站</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为体现对环卫工人的关爱，各街道辖区内的所有环卫驿站根据需要可以由保洁实施单位使用管理并定期维护。</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（五）中标单位需具备台风、大风、洪水、大雪、干旱等极端恶劣天气应急能力，组织成立应急抢险队伍，并配备必要的应急物资；对突发性的应急预案做到定期和不定期演练，以便应对突发性事件。</w:t>
      </w:r>
    </w:p>
    <w:p>
      <w:pPr>
        <w:pStyle w:val="135"/>
        <w:spacing w:line="400" w:lineRule="exact"/>
        <w:ind w:firstLine="426"/>
        <w:rPr>
          <w:rFonts w:ascii="宋体" w:hAnsi="宋体" w:cs="Arial"/>
          <w:color w:val="auto"/>
          <w:sz w:val="21"/>
          <w:szCs w:val="21"/>
          <w:highlight w:val="none"/>
          <w:lang w:val="en-GB"/>
        </w:rPr>
      </w:pPr>
      <w:r>
        <w:rPr>
          <w:rFonts w:hint="eastAsia" w:ascii="宋体" w:hAnsi="宋体" w:cs="Arial"/>
          <w:color w:val="auto"/>
          <w:sz w:val="21"/>
          <w:szCs w:val="21"/>
          <w:highlight w:val="none"/>
        </w:rPr>
        <w:t>（六）遇节假日、五水共治、全国文明城市创建、国家卫生城市复审等重大活动时，中标单位应无条件配合，</w:t>
      </w:r>
      <w:r>
        <w:rPr>
          <w:rFonts w:hint="eastAsia" w:ascii="宋体" w:hAnsi="宋体" w:cs="Arial"/>
          <w:color w:val="auto"/>
          <w:sz w:val="21"/>
          <w:szCs w:val="21"/>
          <w:highlight w:val="none"/>
          <w:lang w:eastAsia="zh-CN"/>
        </w:rPr>
        <w:t>瑶溪街道</w:t>
      </w:r>
      <w:r>
        <w:rPr>
          <w:rFonts w:hint="eastAsia" w:ascii="宋体" w:hAnsi="宋体" w:cs="Arial"/>
          <w:color w:val="auto"/>
          <w:sz w:val="21"/>
          <w:szCs w:val="21"/>
          <w:highlight w:val="none"/>
        </w:rPr>
        <w:t>有权要求中标单位临时增加人员和延长工作时间</w:t>
      </w:r>
      <w:r>
        <w:rPr>
          <w:rFonts w:ascii="宋体" w:hAnsi="宋体" w:cs="Arial"/>
          <w:color w:val="auto"/>
          <w:sz w:val="21"/>
          <w:szCs w:val="21"/>
          <w:highlight w:val="none"/>
          <w:lang w:val="en-GB"/>
        </w:rPr>
        <w:t>。</w:t>
      </w:r>
    </w:p>
    <w:bookmarkEnd w:id="92"/>
    <w:bookmarkEnd w:id="93"/>
    <w:bookmarkEnd w:id="94"/>
    <w:p>
      <w:pPr>
        <w:adjustRightInd w:val="0"/>
        <w:snapToGrid w:val="0"/>
        <w:spacing w:line="400" w:lineRule="exact"/>
        <w:jc w:val="left"/>
        <w:outlineLvl w:val="1"/>
        <w:rPr>
          <w:rFonts w:ascii="宋体" w:hAnsi="宋体"/>
          <w:b/>
          <w:color w:val="auto"/>
          <w:sz w:val="21"/>
          <w:szCs w:val="21"/>
          <w:highlight w:val="none"/>
        </w:rPr>
      </w:pPr>
      <w:bookmarkStart w:id="178" w:name="_Toc29236"/>
      <w:bookmarkStart w:id="179" w:name="_Toc72407420"/>
      <w:bookmarkStart w:id="180" w:name="_Toc27419"/>
      <w:bookmarkStart w:id="181" w:name="_Toc28870"/>
      <w:bookmarkStart w:id="182" w:name="_Toc105435532"/>
      <w:bookmarkStart w:id="183" w:name="_Toc105438818"/>
      <w:bookmarkStart w:id="184" w:name="_Toc105435660"/>
      <w:bookmarkStart w:id="185" w:name="_Toc105438766"/>
      <w:bookmarkStart w:id="186" w:name="_Toc105435718"/>
      <w:bookmarkStart w:id="187" w:name="_Toc104190733"/>
      <w:bookmarkStart w:id="188" w:name="_Toc14991"/>
      <w:r>
        <w:rPr>
          <w:rFonts w:hint="eastAsia" w:ascii="宋体" w:hAnsi="宋体"/>
          <w:b/>
          <w:color w:val="auto"/>
          <w:sz w:val="21"/>
          <w:szCs w:val="21"/>
          <w:highlight w:val="none"/>
        </w:rPr>
        <w:t>五</w:t>
      </w:r>
      <w:r>
        <w:rPr>
          <w:rFonts w:ascii="宋体" w:hAnsi="宋体"/>
          <w:b/>
          <w:color w:val="auto"/>
          <w:sz w:val="21"/>
          <w:szCs w:val="21"/>
          <w:highlight w:val="none"/>
        </w:rPr>
        <w:t>、各街道人员投入配置</w:t>
      </w:r>
      <w:bookmarkEnd w:id="178"/>
      <w:bookmarkEnd w:id="179"/>
      <w:bookmarkEnd w:id="180"/>
      <w:bookmarkEnd w:id="181"/>
      <w:r>
        <w:rPr>
          <w:rFonts w:hint="eastAsia" w:ascii="宋体" w:hAnsi="宋体"/>
          <w:b/>
          <w:color w:val="auto"/>
          <w:sz w:val="21"/>
          <w:szCs w:val="21"/>
          <w:highlight w:val="none"/>
        </w:rPr>
        <w:t>要求</w:t>
      </w:r>
      <w:bookmarkEnd w:id="182"/>
      <w:bookmarkEnd w:id="183"/>
      <w:bookmarkEnd w:id="184"/>
      <w:bookmarkEnd w:id="185"/>
      <w:bookmarkEnd w:id="186"/>
      <w:bookmarkEnd w:id="187"/>
      <w:bookmarkEnd w:id="188"/>
    </w:p>
    <w:tbl>
      <w:tblPr>
        <w:tblStyle w:val="42"/>
        <w:tblW w:w="4953"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944"/>
        <w:gridCol w:w="4444"/>
        <w:gridCol w:w="2582"/>
        <w:gridCol w:w="15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4" w:hRule="atLeast"/>
          <w:jc w:val="center"/>
        </w:trPr>
        <w:tc>
          <w:tcPr>
            <w:tcW w:w="495" w:type="pct"/>
            <w:noWrap w:val="0"/>
            <w:vAlign w:val="center"/>
          </w:tcPr>
          <w:p>
            <w:pPr>
              <w:autoSpaceDE w:val="0"/>
              <w:autoSpaceDN w:val="0"/>
              <w:adjustRightInd w:val="0"/>
              <w:spacing w:line="400" w:lineRule="exact"/>
              <w:jc w:val="left"/>
              <w:textAlignment w:val="bottom"/>
              <w:rPr>
                <w:rFonts w:ascii="宋体" w:hAnsi="宋体" w:cs="Arial"/>
                <w:b/>
                <w:bCs/>
                <w:color w:val="auto"/>
                <w:sz w:val="21"/>
                <w:szCs w:val="21"/>
                <w:highlight w:val="none"/>
              </w:rPr>
            </w:pPr>
            <w:r>
              <w:rPr>
                <w:rFonts w:ascii="宋体" w:hAnsi="宋体" w:cs="Arial"/>
                <w:b/>
                <w:bCs/>
                <w:color w:val="auto"/>
                <w:sz w:val="21"/>
                <w:szCs w:val="21"/>
                <w:highlight w:val="none"/>
              </w:rPr>
              <w:t>序号</w:t>
            </w:r>
          </w:p>
        </w:tc>
        <w:tc>
          <w:tcPr>
            <w:tcW w:w="2329" w:type="pct"/>
            <w:noWrap w:val="0"/>
            <w:vAlign w:val="center"/>
          </w:tcPr>
          <w:p>
            <w:pPr>
              <w:autoSpaceDE w:val="0"/>
              <w:autoSpaceDN w:val="0"/>
              <w:adjustRightInd w:val="0"/>
              <w:spacing w:line="400" w:lineRule="exact"/>
              <w:jc w:val="left"/>
              <w:textAlignment w:val="bottom"/>
              <w:rPr>
                <w:rFonts w:ascii="宋体" w:hAnsi="宋体" w:cs="Arial"/>
                <w:b/>
                <w:bCs/>
                <w:color w:val="auto"/>
                <w:sz w:val="21"/>
                <w:szCs w:val="21"/>
                <w:highlight w:val="none"/>
              </w:rPr>
            </w:pPr>
            <w:r>
              <w:rPr>
                <w:rFonts w:ascii="宋体" w:hAnsi="宋体" w:cs="Arial"/>
                <w:b/>
                <w:bCs/>
                <w:color w:val="auto"/>
                <w:sz w:val="21"/>
                <w:szCs w:val="21"/>
                <w:highlight w:val="none"/>
              </w:rPr>
              <w:t>岗位</w:t>
            </w:r>
          </w:p>
        </w:tc>
        <w:tc>
          <w:tcPr>
            <w:tcW w:w="1353" w:type="pct"/>
            <w:noWrap w:val="0"/>
            <w:vAlign w:val="center"/>
          </w:tcPr>
          <w:p>
            <w:pPr>
              <w:autoSpaceDE w:val="0"/>
              <w:autoSpaceDN w:val="0"/>
              <w:adjustRightInd w:val="0"/>
              <w:spacing w:line="400" w:lineRule="exact"/>
              <w:jc w:val="left"/>
              <w:textAlignment w:val="bottom"/>
              <w:rPr>
                <w:rFonts w:ascii="宋体" w:hAnsi="宋体" w:cs="Arial"/>
                <w:b/>
                <w:bCs/>
                <w:color w:val="auto"/>
                <w:sz w:val="21"/>
                <w:szCs w:val="21"/>
                <w:highlight w:val="none"/>
              </w:rPr>
            </w:pPr>
            <w:r>
              <w:rPr>
                <w:rFonts w:hint="eastAsia" w:ascii="宋体" w:hAnsi="宋体" w:cs="Arial"/>
                <w:b/>
                <w:bCs/>
                <w:color w:val="auto"/>
                <w:sz w:val="21"/>
                <w:szCs w:val="21"/>
                <w:highlight w:val="none"/>
              </w:rPr>
              <w:t>瑶溪街道</w:t>
            </w:r>
            <w:r>
              <w:rPr>
                <w:rFonts w:ascii="宋体" w:hAnsi="宋体" w:cs="Arial"/>
                <w:b/>
                <w:bCs/>
                <w:color w:val="auto"/>
                <w:sz w:val="21"/>
                <w:szCs w:val="21"/>
                <w:highlight w:val="none"/>
              </w:rPr>
              <w:t>人数配置</w:t>
            </w:r>
          </w:p>
        </w:tc>
        <w:tc>
          <w:tcPr>
            <w:tcW w:w="821" w:type="pct"/>
            <w:noWrap w:val="0"/>
            <w:vAlign w:val="center"/>
          </w:tcPr>
          <w:p>
            <w:pPr>
              <w:autoSpaceDE w:val="0"/>
              <w:autoSpaceDN w:val="0"/>
              <w:adjustRightInd w:val="0"/>
              <w:spacing w:line="400" w:lineRule="exact"/>
              <w:jc w:val="left"/>
              <w:textAlignment w:val="bottom"/>
              <w:rPr>
                <w:rFonts w:ascii="宋体" w:hAnsi="宋体" w:cs="Arial"/>
                <w:b/>
                <w:bCs/>
                <w:color w:val="auto"/>
                <w:sz w:val="21"/>
                <w:szCs w:val="21"/>
                <w:highlight w:val="none"/>
              </w:rPr>
            </w:pPr>
            <w:r>
              <w:rPr>
                <w:rFonts w:ascii="宋体" w:hAnsi="宋体" w:cs="Arial"/>
                <w:b/>
                <w:bCs/>
                <w:color w:val="auto"/>
                <w:sz w:val="21"/>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09" w:hRule="atLeast"/>
          <w:jc w:val="center"/>
        </w:trPr>
        <w:tc>
          <w:tcPr>
            <w:tcW w:w="495" w:type="pct"/>
            <w:noWrap w:val="0"/>
            <w:vAlign w:val="center"/>
          </w:tcPr>
          <w:p>
            <w:pPr>
              <w:autoSpaceDE w:val="0"/>
              <w:autoSpaceDN w:val="0"/>
              <w:adjustRightInd w:val="0"/>
              <w:spacing w:line="400" w:lineRule="exact"/>
              <w:jc w:val="left"/>
              <w:textAlignment w:val="bottom"/>
              <w:rPr>
                <w:rFonts w:ascii="宋体" w:hAnsi="宋体" w:cs="Arial"/>
                <w:b/>
                <w:bCs/>
                <w:color w:val="auto"/>
                <w:sz w:val="21"/>
                <w:szCs w:val="21"/>
                <w:highlight w:val="none"/>
              </w:rPr>
            </w:pPr>
            <w:r>
              <w:rPr>
                <w:rFonts w:ascii="宋体" w:hAnsi="宋体" w:cs="Arial"/>
                <w:b/>
                <w:bCs/>
                <w:color w:val="auto"/>
                <w:sz w:val="21"/>
                <w:szCs w:val="21"/>
                <w:highlight w:val="none"/>
                <w:u w:val="single"/>
              </w:rPr>
              <w:t>▲</w:t>
            </w:r>
            <w:r>
              <w:rPr>
                <w:rFonts w:ascii="宋体" w:hAnsi="宋体" w:cs="Arial"/>
                <w:b/>
                <w:bCs/>
                <w:color w:val="auto"/>
                <w:sz w:val="21"/>
                <w:szCs w:val="21"/>
                <w:highlight w:val="none"/>
              </w:rPr>
              <w:t>1</w:t>
            </w:r>
          </w:p>
        </w:tc>
        <w:tc>
          <w:tcPr>
            <w:tcW w:w="2329" w:type="pct"/>
            <w:noWrap w:val="0"/>
            <w:vAlign w:val="center"/>
          </w:tcPr>
          <w:p>
            <w:pPr>
              <w:autoSpaceDE w:val="0"/>
              <w:autoSpaceDN w:val="0"/>
              <w:adjustRightInd w:val="0"/>
              <w:spacing w:line="400" w:lineRule="exact"/>
              <w:jc w:val="left"/>
              <w:textAlignment w:val="bottom"/>
              <w:rPr>
                <w:rFonts w:ascii="宋体" w:hAnsi="宋体" w:cs="Arial"/>
                <w:b/>
                <w:bCs/>
                <w:color w:val="auto"/>
                <w:sz w:val="21"/>
                <w:szCs w:val="21"/>
                <w:highlight w:val="none"/>
                <w:u w:val="single"/>
              </w:rPr>
            </w:pPr>
            <w:r>
              <w:rPr>
                <w:rFonts w:ascii="宋体" w:hAnsi="宋体" w:cs="Arial"/>
                <w:b/>
                <w:bCs/>
                <w:color w:val="auto"/>
                <w:sz w:val="21"/>
                <w:szCs w:val="21"/>
                <w:highlight w:val="none"/>
                <w:u w:val="single"/>
              </w:rPr>
              <w:t>一线现场作业人员（含小型冲洗车、小型多功能清扫车、可卸式桶装垃圾运输车、二分类垃圾收集车作业操作人员等）</w:t>
            </w:r>
          </w:p>
        </w:tc>
        <w:tc>
          <w:tcPr>
            <w:tcW w:w="1353" w:type="pct"/>
            <w:noWrap w:val="0"/>
            <w:vAlign w:val="center"/>
          </w:tcPr>
          <w:p>
            <w:pPr>
              <w:autoSpaceDE w:val="0"/>
              <w:autoSpaceDN w:val="0"/>
              <w:adjustRightInd w:val="0"/>
              <w:spacing w:line="400" w:lineRule="exact"/>
              <w:jc w:val="left"/>
              <w:textAlignment w:val="bottom"/>
              <w:rPr>
                <w:rFonts w:hint="eastAsia" w:ascii="宋体" w:hAnsi="宋体" w:cs="Arial"/>
                <w:b/>
                <w:bCs/>
                <w:color w:val="auto"/>
                <w:sz w:val="21"/>
                <w:szCs w:val="21"/>
                <w:highlight w:val="none"/>
                <w:u w:val="single"/>
              </w:rPr>
            </w:pPr>
            <w:r>
              <w:rPr>
                <w:rFonts w:hint="eastAsia" w:ascii="宋体" w:hAnsi="宋体" w:cs="Arial"/>
                <w:b/>
                <w:bCs/>
                <w:color w:val="auto"/>
                <w:sz w:val="21"/>
                <w:szCs w:val="21"/>
                <w:highlight w:val="none"/>
                <w:u w:val="single"/>
              </w:rPr>
              <w:t>根据各街道保洁内容合理安排</w:t>
            </w:r>
          </w:p>
        </w:tc>
        <w:tc>
          <w:tcPr>
            <w:tcW w:w="821" w:type="pct"/>
            <w:noWrap w:val="0"/>
            <w:vAlign w:val="center"/>
          </w:tcPr>
          <w:p>
            <w:pPr>
              <w:autoSpaceDE w:val="0"/>
              <w:autoSpaceDN w:val="0"/>
              <w:adjustRightInd w:val="0"/>
              <w:spacing w:line="400" w:lineRule="exact"/>
              <w:jc w:val="left"/>
              <w:textAlignment w:val="bottom"/>
              <w:rPr>
                <w:rFonts w:ascii="宋体" w:hAnsi="宋体" w:cs="Arial"/>
                <w:b/>
                <w:bCs/>
                <w:color w:val="auto"/>
                <w:sz w:val="21"/>
                <w:szCs w:val="21"/>
                <w:highlight w:val="none"/>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8" w:hRule="atLeast"/>
          <w:jc w:val="center"/>
        </w:trPr>
        <w:tc>
          <w:tcPr>
            <w:tcW w:w="495" w:type="pct"/>
            <w:noWrap w:val="0"/>
            <w:vAlign w:val="center"/>
          </w:tcPr>
          <w:p>
            <w:pPr>
              <w:autoSpaceDE w:val="0"/>
              <w:autoSpaceDN w:val="0"/>
              <w:adjustRightInd w:val="0"/>
              <w:spacing w:line="400" w:lineRule="exact"/>
              <w:jc w:val="left"/>
              <w:textAlignment w:val="bottom"/>
              <w:rPr>
                <w:rFonts w:ascii="宋体" w:hAnsi="宋体" w:cs="Arial"/>
                <w:b/>
                <w:bCs/>
                <w:color w:val="auto"/>
                <w:sz w:val="21"/>
                <w:szCs w:val="21"/>
                <w:highlight w:val="none"/>
              </w:rPr>
            </w:pPr>
            <w:r>
              <w:rPr>
                <w:rFonts w:ascii="宋体" w:hAnsi="宋体" w:cs="Arial"/>
                <w:b/>
                <w:bCs/>
                <w:color w:val="auto"/>
                <w:sz w:val="21"/>
                <w:szCs w:val="21"/>
                <w:highlight w:val="none"/>
              </w:rPr>
              <w:t>2</w:t>
            </w:r>
          </w:p>
        </w:tc>
        <w:tc>
          <w:tcPr>
            <w:tcW w:w="2329" w:type="pct"/>
            <w:noWrap w:val="0"/>
            <w:vAlign w:val="center"/>
          </w:tcPr>
          <w:p>
            <w:pPr>
              <w:autoSpaceDE w:val="0"/>
              <w:autoSpaceDN w:val="0"/>
              <w:adjustRightInd w:val="0"/>
              <w:spacing w:line="400" w:lineRule="exact"/>
              <w:jc w:val="left"/>
              <w:textAlignment w:val="bottom"/>
              <w:rPr>
                <w:rFonts w:ascii="宋体" w:hAnsi="宋体" w:cs="Arial"/>
                <w:b/>
                <w:bCs/>
                <w:color w:val="auto"/>
                <w:sz w:val="21"/>
                <w:szCs w:val="21"/>
                <w:highlight w:val="none"/>
              </w:rPr>
            </w:pPr>
            <w:r>
              <w:rPr>
                <w:rFonts w:ascii="宋体" w:hAnsi="宋体" w:cs="Arial"/>
                <w:b/>
                <w:bCs/>
                <w:color w:val="auto"/>
                <w:sz w:val="21"/>
                <w:szCs w:val="21"/>
                <w:highlight w:val="none"/>
              </w:rPr>
              <w:t>机动车驾驶员</w:t>
            </w:r>
          </w:p>
        </w:tc>
        <w:tc>
          <w:tcPr>
            <w:tcW w:w="1353" w:type="pct"/>
            <w:noWrap w:val="0"/>
            <w:vAlign w:val="center"/>
          </w:tcPr>
          <w:p>
            <w:pPr>
              <w:autoSpaceDE w:val="0"/>
              <w:autoSpaceDN w:val="0"/>
              <w:adjustRightInd w:val="0"/>
              <w:spacing w:line="400" w:lineRule="exact"/>
              <w:jc w:val="left"/>
              <w:textAlignment w:val="bottom"/>
              <w:rPr>
                <w:rFonts w:ascii="宋体" w:hAnsi="宋体" w:cs="Arial"/>
                <w:b/>
                <w:bCs/>
                <w:color w:val="auto"/>
                <w:sz w:val="21"/>
                <w:szCs w:val="21"/>
                <w:highlight w:val="none"/>
              </w:rPr>
            </w:pPr>
            <w:r>
              <w:rPr>
                <w:rFonts w:ascii="宋体" w:hAnsi="宋体" w:cs="Arial"/>
                <w:b/>
                <w:bCs/>
                <w:color w:val="auto"/>
                <w:sz w:val="21"/>
                <w:szCs w:val="21"/>
                <w:highlight w:val="none"/>
              </w:rPr>
              <w:t>由中标单位根据车辆按需配置</w:t>
            </w:r>
          </w:p>
        </w:tc>
        <w:tc>
          <w:tcPr>
            <w:tcW w:w="821" w:type="pct"/>
            <w:noWrap w:val="0"/>
            <w:vAlign w:val="center"/>
          </w:tcPr>
          <w:p>
            <w:pPr>
              <w:autoSpaceDE w:val="0"/>
              <w:autoSpaceDN w:val="0"/>
              <w:adjustRightInd w:val="0"/>
              <w:spacing w:line="400" w:lineRule="exact"/>
              <w:jc w:val="left"/>
              <w:textAlignment w:val="bottom"/>
              <w:rPr>
                <w:rFonts w:ascii="宋体" w:hAnsi="宋体" w:cs="Arial"/>
                <w:b/>
                <w:bCs/>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5" w:hRule="atLeast"/>
          <w:jc w:val="center"/>
        </w:trPr>
        <w:tc>
          <w:tcPr>
            <w:tcW w:w="495" w:type="pct"/>
            <w:noWrap w:val="0"/>
            <w:vAlign w:val="center"/>
          </w:tcPr>
          <w:p>
            <w:pPr>
              <w:autoSpaceDE w:val="0"/>
              <w:autoSpaceDN w:val="0"/>
              <w:adjustRightInd w:val="0"/>
              <w:spacing w:line="400" w:lineRule="exact"/>
              <w:jc w:val="left"/>
              <w:textAlignment w:val="bottom"/>
              <w:rPr>
                <w:rFonts w:ascii="宋体" w:hAnsi="宋体" w:cs="Arial"/>
                <w:b/>
                <w:bCs/>
                <w:color w:val="auto"/>
                <w:sz w:val="21"/>
                <w:szCs w:val="21"/>
                <w:highlight w:val="none"/>
              </w:rPr>
            </w:pPr>
            <w:r>
              <w:rPr>
                <w:rFonts w:ascii="宋体" w:hAnsi="宋体" w:cs="Arial"/>
                <w:b/>
                <w:bCs/>
                <w:color w:val="auto"/>
                <w:sz w:val="21"/>
                <w:szCs w:val="21"/>
                <w:highlight w:val="none"/>
              </w:rPr>
              <w:t>3</w:t>
            </w:r>
          </w:p>
        </w:tc>
        <w:tc>
          <w:tcPr>
            <w:tcW w:w="2329" w:type="pct"/>
            <w:noWrap w:val="0"/>
            <w:vAlign w:val="center"/>
          </w:tcPr>
          <w:p>
            <w:pPr>
              <w:autoSpaceDE w:val="0"/>
              <w:autoSpaceDN w:val="0"/>
              <w:adjustRightInd w:val="0"/>
              <w:spacing w:line="400" w:lineRule="exact"/>
              <w:jc w:val="left"/>
              <w:textAlignment w:val="bottom"/>
              <w:rPr>
                <w:rFonts w:ascii="宋体" w:hAnsi="宋体" w:cs="Arial"/>
                <w:b/>
                <w:bCs/>
                <w:color w:val="auto"/>
                <w:sz w:val="21"/>
                <w:szCs w:val="21"/>
                <w:highlight w:val="none"/>
              </w:rPr>
            </w:pPr>
            <w:r>
              <w:rPr>
                <w:rFonts w:ascii="宋体" w:hAnsi="宋体" w:cs="Arial"/>
                <w:b/>
                <w:bCs/>
                <w:color w:val="auto"/>
                <w:sz w:val="21"/>
                <w:szCs w:val="21"/>
                <w:highlight w:val="none"/>
              </w:rPr>
              <w:t>项目管理人员</w:t>
            </w:r>
          </w:p>
        </w:tc>
        <w:tc>
          <w:tcPr>
            <w:tcW w:w="1353" w:type="pct"/>
            <w:noWrap w:val="0"/>
            <w:vAlign w:val="center"/>
          </w:tcPr>
          <w:p>
            <w:pPr>
              <w:autoSpaceDE w:val="0"/>
              <w:autoSpaceDN w:val="0"/>
              <w:adjustRightInd w:val="0"/>
              <w:spacing w:line="400" w:lineRule="exact"/>
              <w:jc w:val="left"/>
              <w:textAlignment w:val="bottom"/>
              <w:rPr>
                <w:rFonts w:ascii="宋体" w:hAnsi="宋体" w:cs="Arial"/>
                <w:b/>
                <w:bCs/>
                <w:color w:val="auto"/>
                <w:sz w:val="21"/>
                <w:szCs w:val="21"/>
                <w:highlight w:val="none"/>
              </w:rPr>
            </w:pPr>
            <w:r>
              <w:rPr>
                <w:rFonts w:ascii="宋体" w:hAnsi="宋体" w:cs="Arial"/>
                <w:b/>
                <w:bCs/>
                <w:color w:val="auto"/>
                <w:sz w:val="21"/>
                <w:szCs w:val="21"/>
                <w:highlight w:val="none"/>
              </w:rPr>
              <w:t>由中标单位按需配置</w:t>
            </w:r>
          </w:p>
        </w:tc>
        <w:tc>
          <w:tcPr>
            <w:tcW w:w="821" w:type="pct"/>
            <w:noWrap w:val="0"/>
            <w:vAlign w:val="center"/>
          </w:tcPr>
          <w:p>
            <w:pPr>
              <w:autoSpaceDE w:val="0"/>
              <w:autoSpaceDN w:val="0"/>
              <w:adjustRightInd w:val="0"/>
              <w:spacing w:line="400" w:lineRule="exact"/>
              <w:jc w:val="left"/>
              <w:textAlignment w:val="bottom"/>
              <w:rPr>
                <w:rFonts w:ascii="宋体" w:hAnsi="宋体" w:cs="Arial"/>
                <w:b/>
                <w:bCs/>
                <w:color w:val="auto"/>
                <w:sz w:val="21"/>
                <w:szCs w:val="21"/>
                <w:highlight w:val="none"/>
              </w:rPr>
            </w:pPr>
          </w:p>
        </w:tc>
      </w:tr>
    </w:tbl>
    <w:p>
      <w:pPr>
        <w:adjustRightInd w:val="0"/>
        <w:snapToGrid w:val="0"/>
        <w:spacing w:line="400" w:lineRule="exact"/>
        <w:jc w:val="left"/>
        <w:outlineLvl w:val="1"/>
        <w:rPr>
          <w:rFonts w:ascii="宋体" w:hAnsi="宋体"/>
          <w:b/>
          <w:color w:val="auto"/>
          <w:sz w:val="21"/>
          <w:szCs w:val="21"/>
          <w:highlight w:val="none"/>
        </w:rPr>
      </w:pPr>
      <w:bookmarkStart w:id="189" w:name="_Toc2341"/>
      <w:bookmarkStart w:id="190" w:name="_Toc105438767"/>
      <w:bookmarkStart w:id="191" w:name="_Toc105435719"/>
      <w:bookmarkStart w:id="192" w:name="_Toc105435661"/>
      <w:bookmarkStart w:id="193" w:name="_Toc3073"/>
      <w:bookmarkStart w:id="194" w:name="_Toc105435533"/>
      <w:bookmarkStart w:id="195" w:name="_Toc26508"/>
      <w:bookmarkStart w:id="196" w:name="_Toc72407421"/>
      <w:bookmarkStart w:id="197" w:name="_Toc32284"/>
      <w:bookmarkStart w:id="198" w:name="_Toc104190734"/>
      <w:bookmarkStart w:id="199" w:name="_Toc105438819"/>
      <w:r>
        <w:rPr>
          <w:rFonts w:hint="eastAsia" w:ascii="宋体" w:hAnsi="宋体"/>
          <w:b/>
          <w:color w:val="auto"/>
          <w:sz w:val="21"/>
          <w:szCs w:val="21"/>
          <w:highlight w:val="none"/>
        </w:rPr>
        <w:t>六</w:t>
      </w:r>
      <w:r>
        <w:rPr>
          <w:rFonts w:ascii="宋体" w:hAnsi="宋体"/>
          <w:b/>
          <w:color w:val="auto"/>
          <w:sz w:val="21"/>
          <w:szCs w:val="21"/>
          <w:highlight w:val="none"/>
        </w:rPr>
        <w:t>、机械车辆、船只要求</w:t>
      </w:r>
      <w:bookmarkEnd w:id="189"/>
      <w:bookmarkEnd w:id="190"/>
      <w:bookmarkEnd w:id="191"/>
      <w:bookmarkEnd w:id="192"/>
      <w:bookmarkEnd w:id="193"/>
      <w:bookmarkEnd w:id="194"/>
      <w:bookmarkEnd w:id="195"/>
      <w:bookmarkEnd w:id="196"/>
      <w:bookmarkEnd w:id="197"/>
      <w:bookmarkEnd w:id="198"/>
      <w:bookmarkEnd w:id="199"/>
    </w:p>
    <w:p>
      <w:pPr>
        <w:autoSpaceDE w:val="0"/>
        <w:autoSpaceDN w:val="0"/>
        <w:adjustRightInd w:val="0"/>
        <w:spacing w:line="400" w:lineRule="exact"/>
        <w:ind w:firstLine="417" w:firstLineChars="198"/>
        <w:jc w:val="left"/>
        <w:textAlignment w:val="bottom"/>
        <w:rPr>
          <w:rFonts w:ascii="宋体" w:hAnsi="宋体" w:cs="Arial"/>
          <w:b/>
          <w:color w:val="auto"/>
          <w:sz w:val="21"/>
          <w:szCs w:val="21"/>
          <w:highlight w:val="none"/>
        </w:rPr>
      </w:pPr>
      <w:r>
        <w:rPr>
          <w:rFonts w:ascii="宋体" w:hAnsi="宋体" w:cs="Arial"/>
          <w:b/>
          <w:color w:val="auto"/>
          <w:sz w:val="21"/>
          <w:szCs w:val="21"/>
          <w:highlight w:val="none"/>
        </w:rPr>
        <w:t>（一）本项目</w:t>
      </w:r>
      <w:r>
        <w:rPr>
          <w:rFonts w:hint="eastAsia" w:ascii="宋体" w:hAnsi="宋体" w:cs="Arial"/>
          <w:b/>
          <w:color w:val="auto"/>
          <w:sz w:val="21"/>
          <w:szCs w:val="21"/>
          <w:highlight w:val="none"/>
        </w:rPr>
        <w:t>推荐</w:t>
      </w:r>
      <w:r>
        <w:rPr>
          <w:rFonts w:ascii="宋体" w:hAnsi="宋体" w:cs="Arial"/>
          <w:b/>
          <w:color w:val="auto"/>
          <w:sz w:val="21"/>
          <w:szCs w:val="21"/>
          <w:highlight w:val="none"/>
        </w:rPr>
        <w:t>机械车辆、船只投入的</w:t>
      </w:r>
      <w:r>
        <w:rPr>
          <w:rFonts w:hint="eastAsia" w:ascii="宋体" w:hAnsi="宋体" w:cs="Arial"/>
          <w:b/>
          <w:color w:val="auto"/>
          <w:sz w:val="21"/>
          <w:szCs w:val="21"/>
          <w:highlight w:val="none"/>
        </w:rPr>
        <w:t>配置</w:t>
      </w:r>
      <w:r>
        <w:rPr>
          <w:rFonts w:ascii="宋体" w:hAnsi="宋体" w:cs="Arial"/>
          <w:b/>
          <w:color w:val="auto"/>
          <w:sz w:val="21"/>
          <w:szCs w:val="21"/>
          <w:highlight w:val="none"/>
        </w:rPr>
        <w:t>，车辆持有形式可以自有已上牌(指中标单位或其分公司自行购置)或承诺中标后购买，车辆、船只</w:t>
      </w:r>
      <w:r>
        <w:rPr>
          <w:rFonts w:hint="eastAsia" w:ascii="宋体" w:hAnsi="宋体" w:cs="Arial"/>
          <w:b/>
          <w:color w:val="auto"/>
          <w:sz w:val="21"/>
          <w:szCs w:val="21"/>
          <w:highlight w:val="none"/>
        </w:rPr>
        <w:t>推荐</w:t>
      </w:r>
      <w:r>
        <w:rPr>
          <w:rFonts w:ascii="宋体" w:hAnsi="宋体" w:cs="Arial"/>
          <w:b/>
          <w:color w:val="auto"/>
          <w:sz w:val="21"/>
          <w:szCs w:val="21"/>
          <w:highlight w:val="none"/>
        </w:rPr>
        <w:t>配置要求见下表：</w:t>
      </w:r>
    </w:p>
    <w:tbl>
      <w:tblPr>
        <w:tblStyle w:val="42"/>
        <w:tblW w:w="4751"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054"/>
        <w:gridCol w:w="809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76" w:type="pct"/>
            <w:noWrap w:val="0"/>
            <w:vAlign w:val="center"/>
          </w:tcPr>
          <w:p>
            <w:pPr>
              <w:autoSpaceDE w:val="0"/>
              <w:autoSpaceDN w:val="0"/>
              <w:adjustRightInd w:val="0"/>
              <w:spacing w:line="276" w:lineRule="auto"/>
              <w:jc w:val="center"/>
              <w:textAlignment w:val="bottom"/>
              <w:rPr>
                <w:rFonts w:ascii="宋体" w:hAnsi="宋体" w:cs="Arial"/>
                <w:b/>
                <w:color w:val="auto"/>
                <w:sz w:val="21"/>
                <w:szCs w:val="21"/>
                <w:highlight w:val="none"/>
              </w:rPr>
            </w:pPr>
            <w:r>
              <w:rPr>
                <w:rFonts w:ascii="宋体" w:hAnsi="宋体" w:cs="Arial"/>
                <w:b/>
                <w:color w:val="auto"/>
                <w:sz w:val="21"/>
                <w:szCs w:val="21"/>
                <w:highlight w:val="none"/>
              </w:rPr>
              <w:t>序号</w:t>
            </w:r>
          </w:p>
        </w:tc>
        <w:tc>
          <w:tcPr>
            <w:tcW w:w="4423" w:type="pct"/>
            <w:noWrap w:val="0"/>
            <w:vAlign w:val="center"/>
          </w:tcPr>
          <w:p>
            <w:pPr>
              <w:autoSpaceDE w:val="0"/>
              <w:autoSpaceDN w:val="0"/>
              <w:adjustRightInd w:val="0"/>
              <w:spacing w:line="276" w:lineRule="auto"/>
              <w:jc w:val="center"/>
              <w:textAlignment w:val="bottom"/>
              <w:rPr>
                <w:rFonts w:hint="eastAsia" w:ascii="宋体" w:hAnsi="宋体" w:cs="Arial"/>
                <w:b/>
                <w:color w:val="auto"/>
                <w:sz w:val="21"/>
                <w:szCs w:val="21"/>
                <w:highlight w:val="none"/>
              </w:rPr>
            </w:pPr>
            <w:r>
              <w:rPr>
                <w:rFonts w:ascii="宋体" w:hAnsi="宋体" w:cs="Arial"/>
                <w:b/>
                <w:color w:val="auto"/>
                <w:sz w:val="21"/>
                <w:szCs w:val="21"/>
                <w:highlight w:val="none"/>
              </w:rPr>
              <w:t>品种</w:t>
            </w:r>
            <w:r>
              <w:rPr>
                <w:rFonts w:hint="eastAsia" w:ascii="宋体" w:hAnsi="宋体" w:cs="Arial"/>
                <w:b/>
                <w:color w:val="auto"/>
                <w:sz w:val="21"/>
                <w:szCs w:val="21"/>
                <w:highlight w:val="none"/>
              </w:rPr>
              <w:t>（推荐</w:t>
            </w:r>
            <w:r>
              <w:rPr>
                <w:rFonts w:ascii="宋体" w:hAnsi="宋体" w:cs="Arial"/>
                <w:b/>
                <w:color w:val="auto"/>
                <w:sz w:val="21"/>
                <w:szCs w:val="21"/>
                <w:highlight w:val="none"/>
              </w:rPr>
              <w:t>配置</w:t>
            </w:r>
            <w:r>
              <w:rPr>
                <w:rFonts w:hint="eastAsia" w:ascii="宋体" w:hAnsi="宋体" w:cs="Arial"/>
                <w:b/>
                <w:color w:val="auto"/>
                <w:sz w:val="21"/>
                <w:szCs w:val="21"/>
                <w:highlight w:val="none"/>
              </w:rPr>
              <w:t>，仅供参考）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576" w:type="pct"/>
            <w:noWrap w:val="0"/>
            <w:vAlign w:val="center"/>
          </w:tcPr>
          <w:p>
            <w:pPr>
              <w:autoSpaceDE w:val="0"/>
              <w:autoSpaceDN w:val="0"/>
              <w:adjustRightInd w:val="0"/>
              <w:spacing w:line="276" w:lineRule="auto"/>
              <w:jc w:val="center"/>
              <w:textAlignment w:val="bottom"/>
              <w:rPr>
                <w:rFonts w:hint="eastAsia" w:ascii="宋体" w:hAnsi="宋体" w:cs="Arial"/>
                <w:bCs/>
                <w:color w:val="auto"/>
                <w:sz w:val="21"/>
                <w:szCs w:val="21"/>
                <w:highlight w:val="none"/>
              </w:rPr>
            </w:pPr>
            <w:r>
              <w:rPr>
                <w:rFonts w:hint="eastAsia" w:ascii="宋体" w:hAnsi="宋体" w:cs="Arial"/>
                <w:bCs/>
                <w:color w:val="auto"/>
                <w:sz w:val="21"/>
                <w:szCs w:val="21"/>
                <w:highlight w:val="none"/>
              </w:rPr>
              <w:t>1</w:t>
            </w:r>
          </w:p>
        </w:tc>
        <w:tc>
          <w:tcPr>
            <w:tcW w:w="4423" w:type="pct"/>
            <w:noWrap w:val="0"/>
            <w:vAlign w:val="center"/>
          </w:tcPr>
          <w:p>
            <w:pPr>
              <w:jc w:val="left"/>
              <w:textAlignment w:val="center"/>
              <w:rPr>
                <w:rFonts w:ascii="宋体" w:hAnsi="宋体" w:cs="宋体"/>
                <w:color w:val="auto"/>
                <w:sz w:val="21"/>
                <w:szCs w:val="21"/>
                <w:highlight w:val="none"/>
              </w:rPr>
            </w:pPr>
            <w:r>
              <w:rPr>
                <w:rFonts w:hint="eastAsia" w:ascii="宋体" w:hAnsi="宋体" w:cs="宋体"/>
                <w:color w:val="auto"/>
                <w:sz w:val="21"/>
                <w:szCs w:val="21"/>
                <w:highlight w:val="none"/>
              </w:rPr>
              <w:t>重型洗扫一体车（总质量</w:t>
            </w:r>
            <w:r>
              <w:rPr>
                <w:rFonts w:ascii="宋体" w:hAnsi="宋体" w:cs="宋体"/>
                <w:color w:val="auto"/>
                <w:sz w:val="21"/>
                <w:szCs w:val="21"/>
                <w:highlight w:val="none"/>
              </w:rPr>
              <w:t>≥18000kg</w:t>
            </w:r>
            <w:r>
              <w:rPr>
                <w:rFonts w:hint="eastAsia" w:ascii="宋体" w:hAnsi="宋体" w:cs="宋体"/>
                <w:color w:val="auto"/>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576" w:type="pct"/>
            <w:noWrap w:val="0"/>
            <w:vAlign w:val="center"/>
          </w:tcPr>
          <w:p>
            <w:pPr>
              <w:autoSpaceDE w:val="0"/>
              <w:autoSpaceDN w:val="0"/>
              <w:adjustRightInd w:val="0"/>
              <w:spacing w:line="276" w:lineRule="auto"/>
              <w:jc w:val="center"/>
              <w:textAlignment w:val="bottom"/>
              <w:rPr>
                <w:rFonts w:hint="eastAsia" w:ascii="宋体" w:hAnsi="宋体" w:cs="Arial"/>
                <w:bCs/>
                <w:color w:val="auto"/>
                <w:sz w:val="21"/>
                <w:szCs w:val="21"/>
                <w:highlight w:val="none"/>
              </w:rPr>
            </w:pPr>
            <w:r>
              <w:rPr>
                <w:rFonts w:hint="eastAsia" w:ascii="宋体" w:hAnsi="宋体" w:cs="Arial"/>
                <w:bCs/>
                <w:color w:val="auto"/>
                <w:sz w:val="21"/>
                <w:szCs w:val="21"/>
                <w:highlight w:val="none"/>
              </w:rPr>
              <w:t>2</w:t>
            </w:r>
          </w:p>
        </w:tc>
        <w:tc>
          <w:tcPr>
            <w:tcW w:w="4423" w:type="pct"/>
            <w:noWrap w:val="0"/>
            <w:vAlign w:val="center"/>
          </w:tcPr>
          <w:p>
            <w:pPr>
              <w:jc w:val="left"/>
              <w:textAlignment w:val="center"/>
              <w:rPr>
                <w:rFonts w:ascii="宋体" w:hAnsi="宋体" w:cs="宋体"/>
                <w:color w:val="auto"/>
                <w:sz w:val="21"/>
                <w:szCs w:val="21"/>
                <w:highlight w:val="none"/>
              </w:rPr>
            </w:pPr>
            <w:r>
              <w:rPr>
                <w:rFonts w:hint="eastAsia" w:ascii="宋体" w:hAnsi="宋体" w:cs="宋体"/>
                <w:color w:val="auto"/>
                <w:sz w:val="21"/>
                <w:szCs w:val="21"/>
                <w:highlight w:val="none"/>
              </w:rPr>
              <w:t>中型洗扫一体车（总质量</w:t>
            </w:r>
            <w:r>
              <w:rPr>
                <w:rFonts w:ascii="宋体" w:hAnsi="宋体" w:cs="宋体"/>
                <w:color w:val="auto"/>
                <w:sz w:val="21"/>
                <w:szCs w:val="21"/>
                <w:highlight w:val="none"/>
              </w:rPr>
              <w:t>≥1</w:t>
            </w:r>
            <w:r>
              <w:rPr>
                <w:rFonts w:hint="eastAsia" w:ascii="宋体" w:hAnsi="宋体" w:cs="宋体"/>
                <w:color w:val="auto"/>
                <w:sz w:val="21"/>
                <w:szCs w:val="21"/>
                <w:highlight w:val="none"/>
              </w:rPr>
              <w:t>0</w:t>
            </w:r>
            <w:r>
              <w:rPr>
                <w:rFonts w:ascii="宋体" w:hAnsi="宋体" w:cs="宋体"/>
                <w:color w:val="auto"/>
                <w:sz w:val="21"/>
                <w:szCs w:val="21"/>
                <w:highlight w:val="none"/>
              </w:rPr>
              <w:t>000kg</w:t>
            </w:r>
            <w:r>
              <w:rPr>
                <w:rFonts w:hint="eastAsia" w:ascii="宋体" w:hAnsi="宋体" w:cs="宋体"/>
                <w:color w:val="auto"/>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576" w:type="pct"/>
            <w:noWrap w:val="0"/>
            <w:vAlign w:val="center"/>
          </w:tcPr>
          <w:p>
            <w:pPr>
              <w:autoSpaceDE w:val="0"/>
              <w:autoSpaceDN w:val="0"/>
              <w:adjustRightInd w:val="0"/>
              <w:spacing w:line="276" w:lineRule="auto"/>
              <w:jc w:val="center"/>
              <w:textAlignment w:val="bottom"/>
              <w:rPr>
                <w:rFonts w:hint="eastAsia" w:ascii="宋体" w:hAnsi="宋体" w:cs="Arial"/>
                <w:bCs/>
                <w:color w:val="auto"/>
                <w:sz w:val="21"/>
                <w:szCs w:val="21"/>
                <w:highlight w:val="none"/>
              </w:rPr>
            </w:pPr>
            <w:r>
              <w:rPr>
                <w:rFonts w:hint="eastAsia" w:ascii="宋体" w:hAnsi="宋体" w:cs="Arial"/>
                <w:bCs/>
                <w:color w:val="auto"/>
                <w:sz w:val="21"/>
                <w:szCs w:val="21"/>
                <w:highlight w:val="none"/>
              </w:rPr>
              <w:t>3</w:t>
            </w:r>
          </w:p>
        </w:tc>
        <w:tc>
          <w:tcPr>
            <w:tcW w:w="4423" w:type="pct"/>
            <w:noWrap w:val="0"/>
            <w:vAlign w:val="center"/>
          </w:tcPr>
          <w:p>
            <w:pPr>
              <w:jc w:val="left"/>
              <w:textAlignment w:val="center"/>
              <w:rPr>
                <w:rFonts w:hint="eastAsia" w:ascii="宋体" w:hAnsi="宋体" w:cs="宋体"/>
                <w:color w:val="auto"/>
                <w:sz w:val="21"/>
                <w:szCs w:val="21"/>
                <w:highlight w:val="none"/>
              </w:rPr>
            </w:pPr>
            <w:r>
              <w:rPr>
                <w:rFonts w:hint="eastAsia" w:ascii="宋体" w:hAnsi="宋体" w:cs="宋体"/>
                <w:color w:val="auto"/>
                <w:sz w:val="21"/>
                <w:szCs w:val="21"/>
                <w:highlight w:val="none"/>
              </w:rPr>
              <w:t>重型洒水车（总质量</w:t>
            </w:r>
            <w:r>
              <w:rPr>
                <w:rFonts w:ascii="宋体" w:hAnsi="宋体" w:cs="宋体"/>
                <w:color w:val="auto"/>
                <w:sz w:val="21"/>
                <w:szCs w:val="21"/>
                <w:highlight w:val="none"/>
              </w:rPr>
              <w:t>≥18000kg</w:t>
            </w:r>
            <w:r>
              <w:rPr>
                <w:rFonts w:hint="eastAsia" w:ascii="宋体" w:hAnsi="宋体" w:cs="宋体"/>
                <w:color w:val="auto"/>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576" w:type="pct"/>
            <w:noWrap w:val="0"/>
            <w:vAlign w:val="center"/>
          </w:tcPr>
          <w:p>
            <w:pPr>
              <w:autoSpaceDE w:val="0"/>
              <w:autoSpaceDN w:val="0"/>
              <w:adjustRightInd w:val="0"/>
              <w:spacing w:line="276" w:lineRule="auto"/>
              <w:jc w:val="center"/>
              <w:textAlignment w:val="bottom"/>
              <w:rPr>
                <w:rFonts w:hint="eastAsia" w:ascii="宋体" w:hAnsi="宋体" w:cs="Arial"/>
                <w:bCs/>
                <w:color w:val="auto"/>
                <w:sz w:val="21"/>
                <w:szCs w:val="21"/>
                <w:highlight w:val="none"/>
              </w:rPr>
            </w:pPr>
            <w:r>
              <w:rPr>
                <w:rFonts w:hint="eastAsia" w:ascii="宋体" w:hAnsi="宋体" w:cs="Arial"/>
                <w:bCs/>
                <w:color w:val="auto"/>
                <w:sz w:val="21"/>
                <w:szCs w:val="21"/>
                <w:highlight w:val="none"/>
              </w:rPr>
              <w:t>4</w:t>
            </w:r>
          </w:p>
        </w:tc>
        <w:tc>
          <w:tcPr>
            <w:tcW w:w="4423" w:type="pct"/>
            <w:noWrap w:val="0"/>
            <w:vAlign w:val="center"/>
          </w:tcPr>
          <w:p>
            <w:pPr>
              <w:jc w:val="left"/>
              <w:textAlignment w:val="center"/>
              <w:rPr>
                <w:rFonts w:ascii="宋体" w:hAnsi="宋体" w:cs="宋体"/>
                <w:color w:val="auto"/>
                <w:sz w:val="21"/>
                <w:szCs w:val="21"/>
                <w:highlight w:val="none"/>
              </w:rPr>
            </w:pPr>
            <w:r>
              <w:rPr>
                <w:rFonts w:hint="eastAsia" w:ascii="宋体" w:hAnsi="宋体" w:cs="宋体"/>
                <w:color w:val="auto"/>
                <w:sz w:val="21"/>
                <w:szCs w:val="21"/>
                <w:highlight w:val="none"/>
              </w:rPr>
              <w:t>多功能高压路面养护车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576" w:type="pct"/>
            <w:noWrap w:val="0"/>
            <w:vAlign w:val="center"/>
          </w:tcPr>
          <w:p>
            <w:pPr>
              <w:autoSpaceDE w:val="0"/>
              <w:autoSpaceDN w:val="0"/>
              <w:adjustRightInd w:val="0"/>
              <w:spacing w:line="276" w:lineRule="auto"/>
              <w:jc w:val="center"/>
              <w:textAlignment w:val="bottom"/>
              <w:rPr>
                <w:rFonts w:hint="eastAsia" w:ascii="宋体" w:hAnsi="宋体" w:cs="Arial"/>
                <w:bCs/>
                <w:color w:val="auto"/>
                <w:sz w:val="21"/>
                <w:szCs w:val="21"/>
                <w:highlight w:val="none"/>
              </w:rPr>
            </w:pPr>
            <w:r>
              <w:rPr>
                <w:rFonts w:hint="eastAsia" w:ascii="宋体" w:hAnsi="宋体" w:cs="Arial"/>
                <w:bCs/>
                <w:color w:val="auto"/>
                <w:sz w:val="21"/>
                <w:szCs w:val="21"/>
                <w:highlight w:val="none"/>
              </w:rPr>
              <w:t>5</w:t>
            </w:r>
          </w:p>
        </w:tc>
        <w:tc>
          <w:tcPr>
            <w:tcW w:w="4423" w:type="pct"/>
            <w:noWrap w:val="0"/>
            <w:vAlign w:val="center"/>
          </w:tcPr>
          <w:p>
            <w:pPr>
              <w:jc w:val="left"/>
              <w:textAlignment w:val="center"/>
              <w:rPr>
                <w:rFonts w:ascii="宋体" w:hAnsi="宋体" w:cs="Arial"/>
                <w:bCs/>
                <w:color w:val="auto"/>
                <w:sz w:val="21"/>
                <w:szCs w:val="21"/>
                <w:highlight w:val="none"/>
              </w:rPr>
            </w:pPr>
            <w:r>
              <w:rPr>
                <w:rFonts w:ascii="宋体" w:hAnsi="宋体" w:cs="Arial"/>
                <w:bCs/>
                <w:color w:val="auto"/>
                <w:sz w:val="21"/>
                <w:szCs w:val="21"/>
                <w:highlight w:val="none"/>
              </w:rPr>
              <w:t>垃圾分类</w:t>
            </w:r>
            <w:r>
              <w:rPr>
                <w:rFonts w:hint="eastAsia" w:ascii="宋体" w:hAnsi="宋体" w:cs="宋体"/>
                <w:color w:val="auto"/>
                <w:sz w:val="21"/>
                <w:szCs w:val="21"/>
                <w:highlight w:val="none"/>
              </w:rPr>
              <w:t>可卸式桶装收集车、运输车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576" w:type="pct"/>
            <w:noWrap w:val="0"/>
            <w:vAlign w:val="center"/>
          </w:tcPr>
          <w:p>
            <w:pPr>
              <w:autoSpaceDE w:val="0"/>
              <w:autoSpaceDN w:val="0"/>
              <w:adjustRightInd w:val="0"/>
              <w:spacing w:line="276" w:lineRule="auto"/>
              <w:jc w:val="center"/>
              <w:textAlignment w:val="bottom"/>
              <w:rPr>
                <w:rFonts w:hint="eastAsia" w:ascii="宋体" w:hAnsi="宋体" w:cs="Arial"/>
                <w:bCs/>
                <w:color w:val="auto"/>
                <w:sz w:val="21"/>
                <w:szCs w:val="21"/>
                <w:highlight w:val="none"/>
              </w:rPr>
            </w:pPr>
            <w:r>
              <w:rPr>
                <w:rFonts w:hint="eastAsia" w:ascii="宋体" w:hAnsi="宋体" w:cs="Arial"/>
                <w:bCs/>
                <w:color w:val="auto"/>
                <w:sz w:val="21"/>
                <w:szCs w:val="21"/>
                <w:highlight w:val="none"/>
              </w:rPr>
              <w:t>6</w:t>
            </w:r>
          </w:p>
        </w:tc>
        <w:tc>
          <w:tcPr>
            <w:tcW w:w="4423" w:type="pct"/>
            <w:noWrap w:val="0"/>
            <w:vAlign w:val="center"/>
          </w:tcPr>
          <w:p>
            <w:pPr>
              <w:jc w:val="left"/>
              <w:textAlignment w:val="center"/>
              <w:rPr>
                <w:rFonts w:ascii="宋体" w:hAnsi="宋体" w:cs="宋体"/>
                <w:color w:val="auto"/>
                <w:sz w:val="21"/>
                <w:szCs w:val="21"/>
                <w:highlight w:val="none"/>
              </w:rPr>
            </w:pPr>
            <w:r>
              <w:rPr>
                <w:rFonts w:hint="eastAsia" w:ascii="宋体" w:hAnsi="宋体" w:cs="Arial"/>
                <w:bCs/>
                <w:color w:val="auto"/>
                <w:sz w:val="21"/>
                <w:szCs w:val="21"/>
                <w:highlight w:val="none"/>
              </w:rPr>
              <w:t>多功能电动</w:t>
            </w:r>
            <w:r>
              <w:rPr>
                <w:rFonts w:ascii="宋体" w:hAnsi="宋体" w:cs="Arial"/>
                <w:bCs/>
                <w:color w:val="auto"/>
                <w:sz w:val="21"/>
                <w:szCs w:val="21"/>
                <w:highlight w:val="none"/>
              </w:rPr>
              <w:t>清扫车（外型尺寸≥</w:t>
            </w:r>
            <w:r>
              <w:rPr>
                <w:rFonts w:hint="eastAsia" w:ascii="宋体" w:hAnsi="宋体" w:cs="Arial"/>
                <w:bCs/>
                <w:color w:val="auto"/>
                <w:sz w:val="21"/>
                <w:szCs w:val="21"/>
                <w:highlight w:val="none"/>
              </w:rPr>
              <w:t>3900*1200*2300，偏差±200mm），具有高压冲洗功能，快慢充模式，转弯半径2米以内；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576" w:type="pct"/>
            <w:noWrap w:val="0"/>
            <w:vAlign w:val="center"/>
          </w:tcPr>
          <w:p>
            <w:pPr>
              <w:autoSpaceDE w:val="0"/>
              <w:autoSpaceDN w:val="0"/>
              <w:adjustRightInd w:val="0"/>
              <w:spacing w:line="276" w:lineRule="auto"/>
              <w:jc w:val="center"/>
              <w:textAlignment w:val="bottom"/>
              <w:rPr>
                <w:rFonts w:hint="eastAsia" w:ascii="宋体" w:hAnsi="宋体" w:cs="Arial"/>
                <w:bCs/>
                <w:color w:val="auto"/>
                <w:sz w:val="21"/>
                <w:szCs w:val="21"/>
                <w:highlight w:val="none"/>
              </w:rPr>
            </w:pPr>
            <w:r>
              <w:rPr>
                <w:rFonts w:hint="eastAsia" w:ascii="宋体" w:hAnsi="宋体" w:cs="Arial"/>
                <w:bCs/>
                <w:color w:val="auto"/>
                <w:sz w:val="21"/>
                <w:szCs w:val="21"/>
                <w:highlight w:val="none"/>
              </w:rPr>
              <w:t>7</w:t>
            </w:r>
          </w:p>
        </w:tc>
        <w:tc>
          <w:tcPr>
            <w:tcW w:w="4423" w:type="pct"/>
            <w:noWrap w:val="0"/>
            <w:vAlign w:val="center"/>
          </w:tcPr>
          <w:p>
            <w:pPr>
              <w:jc w:val="left"/>
              <w:textAlignment w:val="center"/>
              <w:rPr>
                <w:rFonts w:ascii="宋体" w:hAnsi="宋体" w:cs="宋体"/>
                <w:color w:val="auto"/>
                <w:sz w:val="21"/>
                <w:szCs w:val="21"/>
                <w:highlight w:val="none"/>
              </w:rPr>
            </w:pPr>
            <w:r>
              <w:rPr>
                <w:rFonts w:hint="eastAsia" w:ascii="宋体" w:hAnsi="宋体" w:cs="宋体"/>
                <w:color w:val="auto"/>
                <w:sz w:val="21"/>
                <w:szCs w:val="21"/>
                <w:highlight w:val="none"/>
              </w:rPr>
              <w:t>多功能电动清扫车（总质量</w:t>
            </w:r>
            <w:r>
              <w:rPr>
                <w:rFonts w:ascii="宋体" w:hAnsi="宋体" w:cs="Arial"/>
                <w:color w:val="auto"/>
                <w:sz w:val="21"/>
                <w:szCs w:val="21"/>
                <w:highlight w:val="none"/>
              </w:rPr>
              <w:t>≥2000kg</w:t>
            </w:r>
            <w:r>
              <w:rPr>
                <w:rFonts w:hint="eastAsia" w:ascii="宋体" w:hAnsi="宋体" w:cs="宋体"/>
                <w:color w:val="auto"/>
                <w:sz w:val="21"/>
                <w:szCs w:val="21"/>
                <w:highlight w:val="none"/>
              </w:rPr>
              <w:t>）后置部分带吸盘外型尺寸</w:t>
            </w:r>
            <w:r>
              <w:rPr>
                <w:rFonts w:ascii="宋体" w:hAnsi="宋体" w:cs="Arial"/>
                <w:color w:val="auto"/>
                <w:sz w:val="21"/>
                <w:szCs w:val="21"/>
                <w:highlight w:val="none"/>
              </w:rPr>
              <w:t>≥2500X1050X2100</w:t>
            </w:r>
            <w:r>
              <w:rPr>
                <w:rFonts w:hint="eastAsia" w:ascii="宋体" w:hAnsi="宋体" w:cs="宋体"/>
                <w:color w:val="auto"/>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576" w:type="pct"/>
            <w:noWrap w:val="0"/>
            <w:vAlign w:val="center"/>
          </w:tcPr>
          <w:p>
            <w:pPr>
              <w:autoSpaceDE w:val="0"/>
              <w:autoSpaceDN w:val="0"/>
              <w:adjustRightInd w:val="0"/>
              <w:spacing w:line="276" w:lineRule="auto"/>
              <w:jc w:val="center"/>
              <w:textAlignment w:val="bottom"/>
              <w:rPr>
                <w:rFonts w:ascii="宋体" w:hAnsi="宋体" w:cs="Arial"/>
                <w:bCs/>
                <w:color w:val="auto"/>
                <w:sz w:val="21"/>
                <w:szCs w:val="21"/>
                <w:highlight w:val="none"/>
              </w:rPr>
            </w:pPr>
            <w:r>
              <w:rPr>
                <w:rFonts w:hint="eastAsia" w:ascii="宋体" w:hAnsi="宋体" w:cs="Arial"/>
                <w:bCs/>
                <w:color w:val="auto"/>
                <w:sz w:val="21"/>
                <w:szCs w:val="21"/>
                <w:highlight w:val="none"/>
              </w:rPr>
              <w:t>8</w:t>
            </w:r>
          </w:p>
        </w:tc>
        <w:tc>
          <w:tcPr>
            <w:tcW w:w="4423" w:type="pct"/>
            <w:noWrap w:val="0"/>
            <w:vAlign w:val="center"/>
          </w:tcPr>
          <w:p>
            <w:pPr>
              <w:jc w:val="left"/>
              <w:textAlignment w:val="center"/>
              <w:rPr>
                <w:rFonts w:ascii="宋体" w:hAnsi="宋体" w:cs="Arial"/>
                <w:bCs/>
                <w:color w:val="auto"/>
                <w:sz w:val="21"/>
                <w:szCs w:val="21"/>
                <w:highlight w:val="none"/>
              </w:rPr>
            </w:pPr>
            <w:r>
              <w:rPr>
                <w:rFonts w:ascii="宋体" w:hAnsi="宋体" w:cs="Arial"/>
                <w:color w:val="auto"/>
                <w:sz w:val="21"/>
                <w:szCs w:val="21"/>
                <w:highlight w:val="none"/>
              </w:rPr>
              <w:t>3</w:t>
            </w:r>
            <w:r>
              <w:rPr>
                <w:rFonts w:hint="eastAsia" w:ascii="宋体" w:hAnsi="宋体" w:cs="宋体"/>
                <w:color w:val="auto"/>
                <w:sz w:val="21"/>
                <w:szCs w:val="21"/>
                <w:highlight w:val="none"/>
              </w:rPr>
              <w:t>吨铁板机动船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576" w:type="pct"/>
            <w:noWrap w:val="0"/>
            <w:vAlign w:val="center"/>
          </w:tcPr>
          <w:p>
            <w:pPr>
              <w:autoSpaceDE w:val="0"/>
              <w:autoSpaceDN w:val="0"/>
              <w:adjustRightInd w:val="0"/>
              <w:spacing w:line="276" w:lineRule="auto"/>
              <w:jc w:val="center"/>
              <w:textAlignment w:val="bottom"/>
              <w:rPr>
                <w:rFonts w:ascii="宋体" w:hAnsi="宋体" w:cs="Arial"/>
                <w:bCs/>
                <w:color w:val="auto"/>
                <w:sz w:val="21"/>
                <w:szCs w:val="21"/>
                <w:highlight w:val="none"/>
              </w:rPr>
            </w:pPr>
            <w:r>
              <w:rPr>
                <w:rFonts w:hint="eastAsia" w:ascii="宋体" w:hAnsi="宋体" w:cs="Arial"/>
                <w:bCs/>
                <w:color w:val="auto"/>
                <w:sz w:val="21"/>
                <w:szCs w:val="21"/>
                <w:highlight w:val="none"/>
              </w:rPr>
              <w:t>9</w:t>
            </w:r>
          </w:p>
        </w:tc>
        <w:tc>
          <w:tcPr>
            <w:tcW w:w="4423" w:type="pct"/>
            <w:noWrap w:val="0"/>
            <w:vAlign w:val="center"/>
          </w:tcPr>
          <w:p>
            <w:pPr>
              <w:jc w:val="left"/>
              <w:textAlignment w:val="center"/>
              <w:rPr>
                <w:rFonts w:ascii="宋体" w:hAnsi="宋体" w:cs="Arial"/>
                <w:bCs/>
                <w:color w:val="auto"/>
                <w:sz w:val="21"/>
                <w:szCs w:val="21"/>
                <w:highlight w:val="none"/>
              </w:rPr>
            </w:pPr>
            <w:r>
              <w:rPr>
                <w:rFonts w:hint="eastAsia" w:ascii="宋体" w:hAnsi="宋体" w:cs="宋体"/>
                <w:color w:val="auto"/>
                <w:sz w:val="21"/>
                <w:szCs w:val="21"/>
                <w:highlight w:val="none"/>
              </w:rPr>
              <w:t>玻璃钢小船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576" w:type="pct"/>
            <w:noWrap w:val="0"/>
            <w:vAlign w:val="center"/>
          </w:tcPr>
          <w:p>
            <w:pPr>
              <w:autoSpaceDE w:val="0"/>
              <w:autoSpaceDN w:val="0"/>
              <w:adjustRightInd w:val="0"/>
              <w:spacing w:line="276" w:lineRule="auto"/>
              <w:jc w:val="center"/>
              <w:textAlignment w:val="bottom"/>
              <w:rPr>
                <w:rFonts w:ascii="宋体" w:hAnsi="宋体" w:cs="Arial"/>
                <w:bCs/>
                <w:color w:val="auto"/>
                <w:sz w:val="21"/>
                <w:szCs w:val="21"/>
                <w:highlight w:val="none"/>
              </w:rPr>
            </w:pPr>
            <w:r>
              <w:rPr>
                <w:rFonts w:hint="eastAsia" w:ascii="宋体" w:hAnsi="宋体" w:cs="Arial"/>
                <w:bCs/>
                <w:color w:val="auto"/>
                <w:sz w:val="21"/>
                <w:szCs w:val="21"/>
                <w:highlight w:val="none"/>
              </w:rPr>
              <w:t>10</w:t>
            </w:r>
          </w:p>
        </w:tc>
        <w:tc>
          <w:tcPr>
            <w:tcW w:w="4423" w:type="pct"/>
            <w:noWrap w:val="0"/>
            <w:vAlign w:val="center"/>
          </w:tcPr>
          <w:p>
            <w:pPr>
              <w:autoSpaceDE w:val="0"/>
              <w:autoSpaceDN w:val="0"/>
              <w:adjustRightInd w:val="0"/>
              <w:spacing w:line="276" w:lineRule="auto"/>
              <w:jc w:val="left"/>
              <w:textAlignment w:val="bottom"/>
              <w:rPr>
                <w:rFonts w:ascii="宋体" w:hAnsi="宋体" w:cs="Arial"/>
                <w:bCs/>
                <w:color w:val="auto"/>
                <w:sz w:val="21"/>
                <w:szCs w:val="21"/>
                <w:highlight w:val="none"/>
              </w:rPr>
            </w:pPr>
            <w:r>
              <w:rPr>
                <w:rFonts w:ascii="宋体" w:hAnsi="宋体" w:cs="Arial"/>
                <w:color w:val="auto"/>
                <w:sz w:val="21"/>
                <w:szCs w:val="21"/>
                <w:highlight w:val="none"/>
              </w:rPr>
              <w:t>建筑垃圾清运车（</w:t>
            </w:r>
            <w:r>
              <w:rPr>
                <w:rFonts w:ascii="宋体" w:hAnsi="宋体" w:cs="Arial"/>
                <w:bCs/>
                <w:color w:val="auto"/>
                <w:sz w:val="21"/>
                <w:szCs w:val="21"/>
                <w:highlight w:val="none"/>
              </w:rPr>
              <w:t>轻型，</w:t>
            </w:r>
            <w:r>
              <w:rPr>
                <w:rFonts w:hint="eastAsia" w:ascii="宋体" w:hAnsi="宋体" w:cs="Arial"/>
                <w:bCs/>
                <w:color w:val="auto"/>
                <w:sz w:val="21"/>
                <w:szCs w:val="21"/>
                <w:highlight w:val="none"/>
              </w:rPr>
              <w:t>整备质量&gt;2</w:t>
            </w:r>
            <w:r>
              <w:rPr>
                <w:rFonts w:ascii="宋体" w:hAnsi="宋体" w:cs="Arial"/>
                <w:bCs/>
                <w:color w:val="auto"/>
                <w:sz w:val="21"/>
                <w:szCs w:val="21"/>
                <w:highlight w:val="none"/>
              </w:rPr>
              <w:t>吨）</w:t>
            </w:r>
            <w:r>
              <w:rPr>
                <w:rFonts w:ascii="宋体" w:hAnsi="宋体" w:cs="Arial"/>
                <w:color w:val="auto"/>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576" w:type="pct"/>
            <w:noWrap w:val="0"/>
            <w:vAlign w:val="center"/>
          </w:tcPr>
          <w:p>
            <w:pPr>
              <w:autoSpaceDE w:val="0"/>
              <w:autoSpaceDN w:val="0"/>
              <w:adjustRightInd w:val="0"/>
              <w:spacing w:line="276" w:lineRule="auto"/>
              <w:jc w:val="center"/>
              <w:textAlignment w:val="bottom"/>
              <w:rPr>
                <w:rFonts w:ascii="宋体" w:hAnsi="宋体" w:cs="Arial"/>
                <w:bCs/>
                <w:color w:val="auto"/>
                <w:sz w:val="21"/>
                <w:szCs w:val="21"/>
                <w:highlight w:val="none"/>
              </w:rPr>
            </w:pPr>
            <w:r>
              <w:rPr>
                <w:rFonts w:hint="eastAsia" w:ascii="宋体" w:hAnsi="宋体" w:cs="Arial"/>
                <w:bCs/>
                <w:color w:val="auto"/>
                <w:sz w:val="21"/>
                <w:szCs w:val="21"/>
                <w:highlight w:val="none"/>
              </w:rPr>
              <w:t>11</w:t>
            </w:r>
          </w:p>
        </w:tc>
        <w:tc>
          <w:tcPr>
            <w:tcW w:w="4423" w:type="pct"/>
            <w:noWrap w:val="0"/>
            <w:vAlign w:val="center"/>
          </w:tcPr>
          <w:p>
            <w:pPr>
              <w:autoSpaceDE w:val="0"/>
              <w:autoSpaceDN w:val="0"/>
              <w:adjustRightInd w:val="0"/>
              <w:spacing w:line="276" w:lineRule="auto"/>
              <w:jc w:val="left"/>
              <w:textAlignment w:val="bottom"/>
              <w:rPr>
                <w:rFonts w:ascii="宋体" w:hAnsi="宋体" w:cs="Arial"/>
                <w:bCs/>
                <w:color w:val="auto"/>
                <w:sz w:val="21"/>
                <w:szCs w:val="21"/>
                <w:highlight w:val="none"/>
              </w:rPr>
            </w:pPr>
            <w:r>
              <w:rPr>
                <w:rFonts w:hint="eastAsia" w:ascii="宋体" w:hAnsi="宋体" w:cs="Arial"/>
                <w:bCs/>
                <w:color w:val="auto"/>
                <w:sz w:val="21"/>
                <w:szCs w:val="21"/>
                <w:highlight w:val="none"/>
              </w:rPr>
              <w:t>多功能洒水抑尘车</w:t>
            </w:r>
            <w:r>
              <w:rPr>
                <w:rFonts w:ascii="宋体" w:hAnsi="宋体" w:cs="Arial"/>
                <w:bCs/>
                <w:color w:val="auto"/>
                <w:sz w:val="21"/>
                <w:szCs w:val="21"/>
                <w:highlight w:val="none"/>
              </w:rPr>
              <w:t>（</w:t>
            </w:r>
            <w:r>
              <w:rPr>
                <w:rFonts w:hint="eastAsia" w:ascii="宋体" w:hAnsi="宋体" w:cs="Arial"/>
                <w:bCs/>
                <w:color w:val="auto"/>
                <w:sz w:val="21"/>
                <w:szCs w:val="21"/>
                <w:highlight w:val="none"/>
              </w:rPr>
              <w:t>洒水带雾炮抑尘，</w:t>
            </w:r>
            <w:r>
              <w:rPr>
                <w:rFonts w:ascii="宋体" w:hAnsi="宋体" w:cs="Arial"/>
                <w:bCs/>
                <w:color w:val="auto"/>
                <w:sz w:val="21"/>
                <w:szCs w:val="21"/>
                <w:highlight w:val="none"/>
              </w:rPr>
              <w:t>总质量≥18000kg）</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576" w:type="pct"/>
            <w:noWrap w:val="0"/>
            <w:vAlign w:val="center"/>
          </w:tcPr>
          <w:p>
            <w:pPr>
              <w:autoSpaceDE w:val="0"/>
              <w:autoSpaceDN w:val="0"/>
              <w:adjustRightInd w:val="0"/>
              <w:spacing w:line="276" w:lineRule="auto"/>
              <w:ind w:left="210"/>
              <w:textAlignment w:val="bottom"/>
              <w:rPr>
                <w:rFonts w:ascii="宋体" w:hAnsi="宋体" w:cs="Arial"/>
                <w:bCs/>
                <w:color w:val="auto"/>
                <w:sz w:val="21"/>
                <w:szCs w:val="21"/>
                <w:highlight w:val="none"/>
              </w:rPr>
            </w:pPr>
            <w:r>
              <w:rPr>
                <w:rFonts w:hint="eastAsia" w:ascii="宋体" w:hAnsi="宋体" w:cs="Arial"/>
                <w:bCs/>
                <w:color w:val="auto"/>
                <w:sz w:val="21"/>
                <w:szCs w:val="21"/>
                <w:highlight w:val="none"/>
              </w:rPr>
              <w:t>12</w:t>
            </w:r>
          </w:p>
        </w:tc>
        <w:tc>
          <w:tcPr>
            <w:tcW w:w="4423" w:type="pct"/>
            <w:noWrap w:val="0"/>
            <w:vAlign w:val="center"/>
          </w:tcPr>
          <w:p>
            <w:pPr>
              <w:autoSpaceDE w:val="0"/>
              <w:autoSpaceDN w:val="0"/>
              <w:adjustRightInd w:val="0"/>
              <w:spacing w:line="276" w:lineRule="auto"/>
              <w:jc w:val="left"/>
              <w:textAlignment w:val="bottom"/>
              <w:rPr>
                <w:rFonts w:ascii="宋体" w:hAnsi="宋体" w:cs="Arial"/>
                <w:bCs/>
                <w:color w:val="auto"/>
                <w:sz w:val="21"/>
                <w:szCs w:val="21"/>
                <w:highlight w:val="none"/>
              </w:rPr>
            </w:pPr>
            <w:r>
              <w:rPr>
                <w:rFonts w:ascii="宋体" w:hAnsi="宋体" w:cs="Arial"/>
                <w:bCs/>
                <w:color w:val="auto"/>
                <w:sz w:val="21"/>
                <w:szCs w:val="21"/>
                <w:highlight w:val="none"/>
              </w:rPr>
              <w:t>油污清洗车（满载最大总质量≥3吨，配置前高压喷杆和后置高压水枪、辅助清洗推车，配备高温加热及喷砂功能）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576" w:type="pct"/>
            <w:noWrap w:val="0"/>
            <w:vAlign w:val="center"/>
          </w:tcPr>
          <w:p>
            <w:pPr>
              <w:autoSpaceDE w:val="0"/>
              <w:autoSpaceDN w:val="0"/>
              <w:adjustRightInd w:val="0"/>
              <w:spacing w:line="276" w:lineRule="auto"/>
              <w:ind w:left="210"/>
              <w:textAlignment w:val="bottom"/>
              <w:rPr>
                <w:rFonts w:ascii="宋体" w:hAnsi="宋体" w:cs="Arial"/>
                <w:bCs/>
                <w:color w:val="auto"/>
                <w:sz w:val="21"/>
                <w:szCs w:val="21"/>
                <w:highlight w:val="none"/>
              </w:rPr>
            </w:pPr>
            <w:r>
              <w:rPr>
                <w:rFonts w:hint="eastAsia" w:ascii="宋体" w:hAnsi="宋体" w:cs="Arial"/>
                <w:bCs/>
                <w:color w:val="auto"/>
                <w:sz w:val="21"/>
                <w:szCs w:val="21"/>
                <w:highlight w:val="none"/>
              </w:rPr>
              <w:t>13</w:t>
            </w:r>
          </w:p>
        </w:tc>
        <w:tc>
          <w:tcPr>
            <w:tcW w:w="4423" w:type="pct"/>
            <w:noWrap w:val="0"/>
            <w:vAlign w:val="center"/>
          </w:tcPr>
          <w:p>
            <w:pPr>
              <w:autoSpaceDE w:val="0"/>
              <w:autoSpaceDN w:val="0"/>
              <w:adjustRightInd w:val="0"/>
              <w:spacing w:line="276" w:lineRule="auto"/>
              <w:jc w:val="left"/>
              <w:textAlignment w:val="bottom"/>
              <w:rPr>
                <w:rFonts w:ascii="宋体" w:hAnsi="宋体" w:cs="Arial"/>
                <w:bCs/>
                <w:color w:val="auto"/>
                <w:sz w:val="21"/>
                <w:szCs w:val="21"/>
                <w:highlight w:val="none"/>
              </w:rPr>
            </w:pPr>
            <w:r>
              <w:rPr>
                <w:rFonts w:ascii="宋体" w:hAnsi="宋体" w:cs="Arial"/>
                <w:bCs/>
                <w:color w:val="auto"/>
                <w:sz w:val="21"/>
                <w:szCs w:val="21"/>
                <w:highlight w:val="none"/>
              </w:rPr>
              <w:t>清吸机器人外型尺寸（长X宽X高）2150X980X1900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576" w:type="pct"/>
            <w:noWrap w:val="0"/>
            <w:vAlign w:val="center"/>
          </w:tcPr>
          <w:p>
            <w:pPr>
              <w:autoSpaceDE w:val="0"/>
              <w:autoSpaceDN w:val="0"/>
              <w:adjustRightInd w:val="0"/>
              <w:spacing w:line="276" w:lineRule="auto"/>
              <w:ind w:left="210"/>
              <w:textAlignment w:val="bottom"/>
              <w:rPr>
                <w:rFonts w:ascii="宋体" w:hAnsi="宋体" w:cs="Arial"/>
                <w:bCs/>
                <w:color w:val="auto"/>
                <w:sz w:val="21"/>
                <w:szCs w:val="21"/>
                <w:highlight w:val="none"/>
              </w:rPr>
            </w:pPr>
            <w:r>
              <w:rPr>
                <w:rFonts w:hint="eastAsia" w:ascii="宋体" w:hAnsi="宋体" w:cs="Arial"/>
                <w:bCs/>
                <w:color w:val="auto"/>
                <w:sz w:val="21"/>
                <w:szCs w:val="21"/>
                <w:highlight w:val="none"/>
              </w:rPr>
              <w:t>14</w:t>
            </w:r>
          </w:p>
        </w:tc>
        <w:tc>
          <w:tcPr>
            <w:tcW w:w="4423" w:type="pct"/>
            <w:noWrap w:val="0"/>
            <w:vAlign w:val="center"/>
          </w:tcPr>
          <w:p>
            <w:pPr>
              <w:autoSpaceDE w:val="0"/>
              <w:autoSpaceDN w:val="0"/>
              <w:adjustRightInd w:val="0"/>
              <w:spacing w:line="276" w:lineRule="auto"/>
              <w:jc w:val="left"/>
              <w:textAlignment w:val="bottom"/>
              <w:rPr>
                <w:rFonts w:ascii="宋体" w:hAnsi="宋体" w:cs="Arial"/>
                <w:bCs/>
                <w:color w:val="auto"/>
                <w:sz w:val="21"/>
                <w:szCs w:val="21"/>
                <w:highlight w:val="none"/>
              </w:rPr>
            </w:pPr>
            <w:r>
              <w:rPr>
                <w:rFonts w:ascii="宋体" w:hAnsi="宋体" w:cs="Arial"/>
                <w:bCs/>
                <w:color w:val="auto"/>
                <w:sz w:val="21"/>
                <w:szCs w:val="21"/>
                <w:highlight w:val="none"/>
              </w:rPr>
              <w:t>护栏清洗车（满载最大总质量≥7吨，作业水压力≥15MPa，罐体容积≥4立方米）</w:t>
            </w:r>
          </w:p>
        </w:tc>
      </w:tr>
    </w:tbl>
    <w:p>
      <w:pPr>
        <w:autoSpaceDE w:val="0"/>
        <w:autoSpaceDN w:val="0"/>
        <w:adjustRightInd w:val="0"/>
        <w:spacing w:line="400" w:lineRule="exact"/>
        <w:ind w:firstLine="420" w:firstLineChars="200"/>
        <w:jc w:val="left"/>
        <w:textAlignment w:val="bottom"/>
        <w:rPr>
          <w:rFonts w:ascii="宋体" w:hAnsi="宋体" w:cs="Arial"/>
          <w:b/>
          <w:color w:val="auto"/>
          <w:sz w:val="21"/>
          <w:szCs w:val="21"/>
          <w:highlight w:val="none"/>
        </w:rPr>
      </w:pPr>
      <w:r>
        <w:rPr>
          <w:rFonts w:ascii="宋体" w:hAnsi="宋体" w:cs="Arial"/>
          <w:color w:val="auto"/>
          <w:sz w:val="21"/>
          <w:szCs w:val="21"/>
          <w:highlight w:val="none"/>
        </w:rPr>
        <w:t>注：</w:t>
      </w:r>
    </w:p>
    <w:p>
      <w:pPr>
        <w:widowControl/>
        <w:numPr>
          <w:ilvl w:val="0"/>
          <w:numId w:val="5"/>
        </w:numPr>
        <w:autoSpaceDE w:val="0"/>
        <w:autoSpaceDN w:val="0"/>
        <w:adjustRightInd w:val="0"/>
        <w:spacing w:line="400" w:lineRule="exact"/>
        <w:ind w:firstLine="424" w:firstLineChars="202"/>
        <w:jc w:val="left"/>
        <w:textAlignment w:val="bottom"/>
        <w:rPr>
          <w:rFonts w:hint="eastAsia" w:ascii="宋体" w:hAnsi="宋体" w:cs="Arial"/>
          <w:color w:val="auto"/>
          <w:sz w:val="21"/>
          <w:szCs w:val="21"/>
          <w:highlight w:val="none"/>
        </w:rPr>
      </w:pPr>
      <w:r>
        <w:rPr>
          <w:rFonts w:hint="eastAsia" w:ascii="宋体" w:hAnsi="宋体" w:cs="Arial"/>
          <w:color w:val="auto"/>
          <w:sz w:val="21"/>
          <w:szCs w:val="21"/>
          <w:highlight w:val="none"/>
        </w:rPr>
        <w:t>河道保洁因河道不通等相关因素，需要增加船只配置的，中标单位自行增配，费用包含在投标总价中。</w:t>
      </w:r>
    </w:p>
    <w:p>
      <w:pPr>
        <w:widowControl/>
        <w:numPr>
          <w:ilvl w:val="0"/>
          <w:numId w:val="5"/>
        </w:numPr>
        <w:autoSpaceDE w:val="0"/>
        <w:autoSpaceDN w:val="0"/>
        <w:adjustRightInd w:val="0"/>
        <w:spacing w:line="400" w:lineRule="exact"/>
        <w:ind w:firstLine="424" w:firstLineChars="202"/>
        <w:jc w:val="left"/>
        <w:textAlignment w:val="bottom"/>
        <w:rPr>
          <w:rFonts w:hint="eastAsia" w:ascii="宋体" w:hAnsi="宋体" w:cs="Arial"/>
          <w:color w:val="auto"/>
          <w:sz w:val="21"/>
          <w:szCs w:val="21"/>
          <w:highlight w:val="none"/>
        </w:rPr>
      </w:pPr>
      <w:r>
        <w:rPr>
          <w:rFonts w:hint="eastAsia" w:ascii="宋体" w:hAnsi="宋体" w:cs="Arial"/>
          <w:color w:val="auto"/>
          <w:sz w:val="21"/>
          <w:szCs w:val="21"/>
          <w:highlight w:val="none"/>
        </w:rPr>
        <w:t>三轮、四轮垃圾桶垃圾运输车（自装卸）如不能满足垃圾清运要求的，</w:t>
      </w:r>
      <w:r>
        <w:rPr>
          <w:rFonts w:hint="eastAsia" w:ascii="宋体" w:hAnsi="宋体" w:cs="Arial"/>
          <w:color w:val="auto"/>
          <w:sz w:val="21"/>
          <w:szCs w:val="21"/>
          <w:highlight w:val="none"/>
          <w:lang w:eastAsia="zh-CN"/>
        </w:rPr>
        <w:t>瑶溪街道</w:t>
      </w:r>
      <w:r>
        <w:rPr>
          <w:rFonts w:hint="eastAsia" w:ascii="宋体" w:hAnsi="宋体" w:cs="Arial"/>
          <w:color w:val="auto"/>
          <w:sz w:val="21"/>
          <w:szCs w:val="21"/>
          <w:highlight w:val="none"/>
        </w:rPr>
        <w:t>可以要求中标单位增加三轮、四轮垃圾桶垃圾运输车（自装卸）数量，中标单位不得以任何理由拖延或拒绝，但不增加保洁费用。</w:t>
      </w:r>
    </w:p>
    <w:p>
      <w:pPr>
        <w:widowControl/>
        <w:numPr>
          <w:ilvl w:val="0"/>
          <w:numId w:val="5"/>
        </w:numPr>
        <w:autoSpaceDE w:val="0"/>
        <w:autoSpaceDN w:val="0"/>
        <w:adjustRightInd w:val="0"/>
        <w:spacing w:line="400" w:lineRule="exact"/>
        <w:ind w:firstLine="424" w:firstLineChars="202"/>
        <w:jc w:val="left"/>
        <w:textAlignment w:val="bottom"/>
        <w:rPr>
          <w:rFonts w:ascii="宋体" w:hAnsi="宋体"/>
          <w:color w:val="auto"/>
          <w:sz w:val="21"/>
          <w:szCs w:val="21"/>
          <w:highlight w:val="none"/>
        </w:rPr>
      </w:pPr>
      <w:r>
        <w:rPr>
          <w:rFonts w:hint="eastAsia" w:ascii="宋体" w:hAnsi="宋体" w:cs="Arial"/>
          <w:color w:val="auto"/>
          <w:sz w:val="21"/>
          <w:szCs w:val="21"/>
          <w:highlight w:val="none"/>
        </w:rPr>
        <w:t>合同履行过程中，如需用到挖机、铲车、升降车等机械设备的，中标单位应配合提供相应车辆并清理作业，费用不再另行支付。</w:t>
      </w:r>
    </w:p>
    <w:p>
      <w:pPr>
        <w:autoSpaceDE w:val="0"/>
        <w:autoSpaceDN w:val="0"/>
        <w:adjustRightInd w:val="0"/>
        <w:spacing w:line="400" w:lineRule="exact"/>
        <w:ind w:firstLine="422" w:firstLineChars="200"/>
        <w:jc w:val="left"/>
        <w:textAlignment w:val="bottom"/>
        <w:rPr>
          <w:rFonts w:hint="eastAsia" w:ascii="宋体" w:hAnsi="宋体" w:cs="Arial"/>
          <w:b/>
          <w:color w:val="auto"/>
          <w:sz w:val="21"/>
          <w:szCs w:val="21"/>
          <w:highlight w:val="none"/>
        </w:rPr>
      </w:pPr>
      <w:r>
        <w:rPr>
          <w:rFonts w:hint="eastAsia" w:ascii="宋体" w:hAnsi="宋体" w:cs="Arial"/>
          <w:b/>
          <w:color w:val="auto"/>
          <w:sz w:val="21"/>
          <w:szCs w:val="21"/>
          <w:highlight w:val="none"/>
        </w:rPr>
        <w:t>（二）中标后如经</w:t>
      </w:r>
      <w:r>
        <w:rPr>
          <w:rFonts w:hint="eastAsia" w:ascii="宋体" w:hAnsi="宋体" w:cs="Arial"/>
          <w:b/>
          <w:color w:val="auto"/>
          <w:sz w:val="21"/>
          <w:szCs w:val="21"/>
          <w:highlight w:val="none"/>
          <w:lang w:eastAsia="zh-CN"/>
        </w:rPr>
        <w:t>瑶溪街道</w:t>
      </w:r>
      <w:r>
        <w:rPr>
          <w:rFonts w:hint="eastAsia" w:ascii="宋体" w:hAnsi="宋体" w:cs="Arial"/>
          <w:b/>
          <w:color w:val="auto"/>
          <w:sz w:val="21"/>
          <w:szCs w:val="21"/>
          <w:highlight w:val="none"/>
        </w:rPr>
        <w:t>同意，中标单位可以用优于投标车辆品牌、参数的车辆以新换旧、以优换次来替代投标承诺投入本项目的车辆，但最终投入进场的配置车辆必须专车专用，只用于本项目，未经</w:t>
      </w:r>
      <w:r>
        <w:rPr>
          <w:rFonts w:hint="eastAsia" w:ascii="宋体" w:hAnsi="宋体" w:cs="Arial"/>
          <w:b/>
          <w:color w:val="auto"/>
          <w:sz w:val="21"/>
          <w:szCs w:val="21"/>
          <w:highlight w:val="none"/>
          <w:lang w:eastAsia="zh-CN"/>
        </w:rPr>
        <w:t>瑶溪街道</w:t>
      </w:r>
      <w:r>
        <w:rPr>
          <w:rFonts w:hint="eastAsia" w:ascii="宋体" w:hAnsi="宋体" w:cs="Arial"/>
          <w:b/>
          <w:color w:val="auto"/>
          <w:sz w:val="21"/>
          <w:szCs w:val="21"/>
          <w:highlight w:val="none"/>
        </w:rPr>
        <w:t>同意不得自行变更车辆或或将车辆另用他处。合同履行期间，中标单位可以采用“新技术、新设备”，以提高机械化程度的“机械换人”等措施在保证保洁质量的前提下，合理降低成本，中标单位需制定具体作业方案报</w:t>
      </w:r>
      <w:r>
        <w:rPr>
          <w:rFonts w:hint="eastAsia" w:ascii="宋体" w:hAnsi="宋体" w:cs="Arial"/>
          <w:b/>
          <w:color w:val="auto"/>
          <w:sz w:val="21"/>
          <w:szCs w:val="21"/>
          <w:highlight w:val="none"/>
          <w:lang w:eastAsia="zh-CN"/>
        </w:rPr>
        <w:t>瑶溪街道</w:t>
      </w:r>
      <w:r>
        <w:rPr>
          <w:rFonts w:hint="eastAsia" w:ascii="宋体" w:hAnsi="宋体" w:cs="Arial"/>
          <w:b/>
          <w:color w:val="auto"/>
          <w:sz w:val="21"/>
          <w:szCs w:val="21"/>
          <w:highlight w:val="none"/>
        </w:rPr>
        <w:t>同意。</w:t>
      </w:r>
    </w:p>
    <w:p>
      <w:pPr>
        <w:autoSpaceDE w:val="0"/>
        <w:autoSpaceDN w:val="0"/>
        <w:adjustRightInd w:val="0"/>
        <w:spacing w:line="400" w:lineRule="exact"/>
        <w:ind w:firstLine="422" w:firstLineChars="200"/>
        <w:jc w:val="left"/>
        <w:textAlignment w:val="bottom"/>
        <w:rPr>
          <w:rFonts w:hint="eastAsia" w:ascii="宋体" w:hAnsi="宋体" w:cs="Arial"/>
          <w:b/>
          <w:color w:val="auto"/>
          <w:sz w:val="21"/>
          <w:szCs w:val="21"/>
          <w:highlight w:val="none"/>
        </w:rPr>
      </w:pPr>
      <w:r>
        <w:rPr>
          <w:rFonts w:hint="eastAsia" w:ascii="宋体" w:hAnsi="宋体" w:cs="Arial"/>
          <w:b/>
          <w:color w:val="auto"/>
          <w:sz w:val="21"/>
          <w:szCs w:val="21"/>
          <w:highlight w:val="none"/>
        </w:rPr>
        <w:t>（三）本项目投入的环卫作业车辆符合国家相关规定允许的上路要求，非法改装车不得参与本项目投标及中标使用。</w:t>
      </w:r>
    </w:p>
    <w:p>
      <w:pPr>
        <w:autoSpaceDE w:val="0"/>
        <w:autoSpaceDN w:val="0"/>
        <w:adjustRightInd w:val="0"/>
        <w:spacing w:line="400" w:lineRule="exact"/>
        <w:ind w:firstLine="422" w:firstLineChars="200"/>
        <w:jc w:val="left"/>
        <w:textAlignment w:val="bottom"/>
        <w:rPr>
          <w:rFonts w:hint="eastAsia" w:ascii="宋体" w:hAnsi="宋体" w:cs="Arial"/>
          <w:b/>
          <w:color w:val="auto"/>
          <w:sz w:val="21"/>
          <w:szCs w:val="21"/>
          <w:highlight w:val="none"/>
        </w:rPr>
      </w:pPr>
      <w:r>
        <w:rPr>
          <w:rFonts w:hint="eastAsia" w:ascii="宋体" w:hAnsi="宋体" w:cs="Arial"/>
          <w:b/>
          <w:color w:val="auto"/>
          <w:sz w:val="21"/>
          <w:szCs w:val="21"/>
          <w:highlight w:val="none"/>
        </w:rPr>
        <w:t>（四）本项目要求中标单位须具有规范的停车场地，作业车辆统一停放。场地内具有洗车洗轮装备，作业完毕后车辆及时清洗干净入库。</w:t>
      </w:r>
    </w:p>
    <w:p>
      <w:pPr>
        <w:autoSpaceDE w:val="0"/>
        <w:autoSpaceDN w:val="0"/>
        <w:adjustRightInd w:val="0"/>
        <w:spacing w:line="400" w:lineRule="exact"/>
        <w:ind w:firstLine="422" w:firstLineChars="200"/>
        <w:jc w:val="left"/>
        <w:textAlignment w:val="bottom"/>
        <w:rPr>
          <w:rFonts w:hint="eastAsia" w:ascii="宋体" w:hAnsi="宋体" w:cs="Arial"/>
          <w:b/>
          <w:color w:val="auto"/>
          <w:sz w:val="21"/>
          <w:szCs w:val="21"/>
          <w:highlight w:val="none"/>
        </w:rPr>
      </w:pPr>
      <w:r>
        <w:rPr>
          <w:rFonts w:hint="eastAsia" w:ascii="宋体" w:hAnsi="宋体" w:cs="Arial"/>
          <w:b/>
          <w:color w:val="auto"/>
          <w:sz w:val="21"/>
          <w:szCs w:val="21"/>
          <w:highlight w:val="none"/>
        </w:rPr>
        <w:t>（五）机动车（含小型冲洗车、清扫保洁电动车）、船只须整洁干净，同一种类车辆颜色标识统一，车身明显处具有中标单位名称标识及设备编号。机动车、小型冲洗电动车、清扫保洁电动车、船只不得出现吊挂杂物或垃圾袋等影响市容市貌、城市形象的情形。车辆、船只必须重新涂装，必须按照</w:t>
      </w:r>
      <w:r>
        <w:rPr>
          <w:rFonts w:hint="eastAsia" w:ascii="宋体" w:hAnsi="宋体" w:cs="Arial"/>
          <w:b/>
          <w:color w:val="auto"/>
          <w:sz w:val="21"/>
          <w:szCs w:val="21"/>
          <w:highlight w:val="none"/>
          <w:lang w:eastAsia="zh-CN"/>
        </w:rPr>
        <w:t>瑶溪街道</w:t>
      </w:r>
      <w:r>
        <w:rPr>
          <w:rFonts w:hint="eastAsia" w:ascii="宋体" w:hAnsi="宋体" w:cs="Arial"/>
          <w:b/>
          <w:color w:val="auto"/>
          <w:sz w:val="21"/>
          <w:szCs w:val="21"/>
          <w:highlight w:val="none"/>
        </w:rPr>
        <w:t>指定的设计方案涂装，涂装的费用由中标单位自行承担。</w:t>
      </w:r>
    </w:p>
    <w:p>
      <w:pPr>
        <w:autoSpaceDE w:val="0"/>
        <w:autoSpaceDN w:val="0"/>
        <w:adjustRightInd w:val="0"/>
        <w:spacing w:line="400" w:lineRule="exact"/>
        <w:ind w:firstLine="422" w:firstLineChars="200"/>
        <w:jc w:val="left"/>
        <w:textAlignment w:val="bottom"/>
        <w:rPr>
          <w:rFonts w:ascii="宋体" w:hAnsi="宋体" w:cs="Arial"/>
          <w:b/>
          <w:color w:val="auto"/>
          <w:sz w:val="21"/>
          <w:szCs w:val="21"/>
          <w:highlight w:val="none"/>
        </w:rPr>
      </w:pPr>
      <w:r>
        <w:rPr>
          <w:rFonts w:hint="eastAsia" w:ascii="宋体" w:hAnsi="宋体" w:cs="Arial"/>
          <w:b/>
          <w:color w:val="auto"/>
          <w:sz w:val="21"/>
          <w:szCs w:val="21"/>
          <w:highlight w:val="none"/>
        </w:rPr>
        <w:t>（六）本项目车辆配置，中标单位须根据项目实际需要，自行配置相关机械车辆、船只，以达到环境卫生质量要求，配置机械、车辆、船只所有费用须包含在投标价格中</w:t>
      </w:r>
      <w:r>
        <w:rPr>
          <w:rFonts w:ascii="宋体" w:hAnsi="宋体" w:cs="Arial"/>
          <w:b/>
          <w:color w:val="auto"/>
          <w:sz w:val="21"/>
          <w:szCs w:val="21"/>
          <w:highlight w:val="none"/>
        </w:rPr>
        <w:t>。</w:t>
      </w:r>
    </w:p>
    <w:p>
      <w:pPr>
        <w:autoSpaceDE w:val="0"/>
        <w:autoSpaceDN w:val="0"/>
        <w:adjustRightInd w:val="0"/>
        <w:spacing w:line="400" w:lineRule="exact"/>
        <w:ind w:firstLine="422" w:firstLineChars="200"/>
        <w:jc w:val="left"/>
        <w:textAlignment w:val="bottom"/>
        <w:rPr>
          <w:rFonts w:ascii="宋体" w:hAnsi="宋体" w:cs="Arial"/>
          <w:b/>
          <w:color w:val="auto"/>
          <w:sz w:val="21"/>
          <w:szCs w:val="21"/>
          <w:highlight w:val="none"/>
        </w:rPr>
      </w:pPr>
      <w:bookmarkStart w:id="200" w:name="_Toc12764"/>
      <w:bookmarkStart w:id="201" w:name="_Toc25512"/>
      <w:bookmarkStart w:id="202" w:name="_Toc3050"/>
      <w:bookmarkStart w:id="203" w:name="_Toc17118"/>
      <w:bookmarkStart w:id="204" w:name="_Toc1576"/>
      <w:r>
        <w:rPr>
          <w:rFonts w:ascii="宋体" w:hAnsi="宋体" w:cs="Arial"/>
          <w:b/>
          <w:color w:val="auto"/>
          <w:sz w:val="21"/>
          <w:szCs w:val="21"/>
          <w:highlight w:val="none"/>
        </w:rPr>
        <w:t>（</w:t>
      </w:r>
      <w:r>
        <w:rPr>
          <w:rFonts w:hint="eastAsia" w:ascii="宋体" w:hAnsi="宋体" w:cs="Arial"/>
          <w:b/>
          <w:color w:val="auto"/>
          <w:sz w:val="21"/>
          <w:szCs w:val="21"/>
          <w:highlight w:val="none"/>
        </w:rPr>
        <w:t>七</w:t>
      </w:r>
      <w:r>
        <w:rPr>
          <w:rFonts w:ascii="宋体" w:hAnsi="宋体" w:cs="Arial"/>
          <w:b/>
          <w:color w:val="auto"/>
          <w:sz w:val="21"/>
          <w:szCs w:val="21"/>
          <w:highlight w:val="none"/>
        </w:rPr>
        <w:t>）机械作业规范要求</w:t>
      </w:r>
      <w:bookmarkEnd w:id="200"/>
      <w:bookmarkEnd w:id="201"/>
      <w:bookmarkEnd w:id="202"/>
      <w:bookmarkEnd w:id="203"/>
      <w:bookmarkEnd w:id="204"/>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1、机械化清扫车和洒水车等机械作业车辆出车前必须进行车辆检查，发现故障及时排除，禁止带故障运行。</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2、驾驶员在工作过程中，要遵守道路交通安全法，礼让行车，注意行人的安全。</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3、垃圾收集车辆（含机动车和非机动车）一定装有密封盖子，在运输时必须采用全封闭避免滴洒漏情况发生。</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4、机械作业车辆停车场地由中标单位自行解决。中标单位须配置洗车设备，车辆外观整洁，及时清洗。</w:t>
      </w:r>
    </w:p>
    <w:p>
      <w:pPr>
        <w:pStyle w:val="135"/>
        <w:spacing w:line="400" w:lineRule="exact"/>
        <w:ind w:firstLine="426"/>
        <w:rPr>
          <w:rFonts w:hint="eastAsia" w:ascii="宋体" w:hAnsi="宋体" w:cs="Arial"/>
          <w:color w:val="auto"/>
          <w:sz w:val="21"/>
          <w:szCs w:val="21"/>
          <w:highlight w:val="none"/>
        </w:rPr>
      </w:pPr>
      <w:r>
        <w:rPr>
          <w:rFonts w:hint="eastAsia" w:ascii="宋体" w:hAnsi="宋体" w:cs="Arial"/>
          <w:color w:val="auto"/>
          <w:sz w:val="21"/>
          <w:szCs w:val="21"/>
          <w:highlight w:val="none"/>
        </w:rPr>
        <w:t>5、河道保洁船舶符合航管部门要求，作业器具标识明显，作业行船安全，防止超载、颠覆、进水。安全救生用具配戴齐全，定期实施设施安全检查。河道保洁时,若遇大风、暴雨、下雪停止作业，冰冻天气可适当缩短保洁时间。</w:t>
      </w:r>
    </w:p>
    <w:p>
      <w:pPr>
        <w:pStyle w:val="135"/>
        <w:spacing w:line="400" w:lineRule="exact"/>
        <w:ind w:firstLine="426"/>
        <w:rPr>
          <w:rFonts w:ascii="宋体" w:hAnsi="宋体" w:cs="Arial"/>
          <w:color w:val="auto"/>
          <w:sz w:val="21"/>
          <w:szCs w:val="21"/>
          <w:highlight w:val="none"/>
        </w:rPr>
      </w:pPr>
      <w:r>
        <w:rPr>
          <w:rFonts w:hint="eastAsia" w:ascii="宋体" w:hAnsi="宋体" w:cs="Arial"/>
          <w:color w:val="auto"/>
          <w:sz w:val="21"/>
          <w:szCs w:val="21"/>
          <w:highlight w:val="none"/>
        </w:rPr>
        <w:t>6、机械作业应避开早中晚交通拥堵高峰期</w:t>
      </w:r>
      <w:r>
        <w:rPr>
          <w:rFonts w:ascii="宋体" w:hAnsi="宋体" w:cs="Arial"/>
          <w:color w:val="auto"/>
          <w:sz w:val="21"/>
          <w:szCs w:val="21"/>
          <w:highlight w:val="none"/>
        </w:rPr>
        <w:t>。</w:t>
      </w:r>
    </w:p>
    <w:p>
      <w:pPr>
        <w:autoSpaceDE w:val="0"/>
        <w:autoSpaceDN w:val="0"/>
        <w:adjustRightInd w:val="0"/>
        <w:spacing w:line="400" w:lineRule="exact"/>
        <w:ind w:firstLine="316" w:firstLineChars="150"/>
        <w:jc w:val="left"/>
        <w:textAlignment w:val="bottom"/>
        <w:rPr>
          <w:rFonts w:ascii="宋体" w:hAnsi="宋体" w:cs="Arial"/>
          <w:b/>
          <w:color w:val="auto"/>
          <w:sz w:val="21"/>
          <w:szCs w:val="21"/>
          <w:highlight w:val="none"/>
        </w:rPr>
      </w:pPr>
      <w:bookmarkStart w:id="205" w:name="_Toc16932"/>
      <w:bookmarkStart w:id="206" w:name="_Toc291"/>
      <w:bookmarkStart w:id="207" w:name="_Toc99"/>
      <w:bookmarkStart w:id="208" w:name="_Toc2537"/>
      <w:bookmarkStart w:id="209" w:name="_Toc8929"/>
      <w:r>
        <w:rPr>
          <w:rFonts w:ascii="宋体" w:hAnsi="宋体" w:cs="Arial"/>
          <w:b/>
          <w:color w:val="auto"/>
          <w:sz w:val="21"/>
          <w:szCs w:val="21"/>
          <w:highlight w:val="none"/>
        </w:rPr>
        <w:t>（</w:t>
      </w:r>
      <w:r>
        <w:rPr>
          <w:rFonts w:hint="eastAsia" w:ascii="宋体" w:hAnsi="宋体" w:cs="Arial"/>
          <w:b/>
          <w:color w:val="auto"/>
          <w:sz w:val="21"/>
          <w:szCs w:val="21"/>
          <w:highlight w:val="none"/>
        </w:rPr>
        <w:t>八</w:t>
      </w:r>
      <w:r>
        <w:rPr>
          <w:rFonts w:ascii="宋体" w:hAnsi="宋体" w:cs="Arial"/>
          <w:b/>
          <w:color w:val="auto"/>
          <w:sz w:val="21"/>
          <w:szCs w:val="21"/>
          <w:highlight w:val="none"/>
        </w:rPr>
        <w:t>）《智慧环卫监管平台》系统接入配置基本要求</w:t>
      </w:r>
      <w:bookmarkEnd w:id="205"/>
      <w:bookmarkEnd w:id="206"/>
      <w:bookmarkEnd w:id="207"/>
      <w:bookmarkEnd w:id="208"/>
      <w:bookmarkEnd w:id="209"/>
    </w:p>
    <w:p>
      <w:pPr>
        <w:pStyle w:val="19"/>
        <w:snapToGrid w:val="0"/>
        <w:spacing w:line="400" w:lineRule="exact"/>
        <w:ind w:firstLine="408" w:firstLineChars="201"/>
        <w:jc w:val="left"/>
        <w:rPr>
          <w:rFonts w:hint="eastAsia" w:hAnsi="宋体" w:cs="Arial"/>
          <w:b/>
          <w:color w:val="auto"/>
          <w:sz w:val="21"/>
          <w:szCs w:val="21"/>
          <w:highlight w:val="none"/>
        </w:rPr>
      </w:pPr>
      <w:r>
        <w:rPr>
          <w:rFonts w:hint="eastAsia" w:hAnsi="宋体" w:cs="Arial"/>
          <w:b/>
          <w:color w:val="auto"/>
          <w:sz w:val="21"/>
          <w:szCs w:val="21"/>
          <w:highlight w:val="none"/>
        </w:rPr>
        <w:t>1、本项目中标单位所有一线服务人员、车辆机械和有条件的公厕等均纳入《温州市智慧环卫监管平台》进行监管，后续龙湾区智慧环卫平台上线的，还需接入《龙湾区智慧环卫监管平台》进行监管。中标单位服务人员、车辆机械监控、视频监控软硬件、流量费由中标单位自行采购、自行承担成本，确保能够接入</w:t>
      </w:r>
      <w:r>
        <w:rPr>
          <w:rFonts w:hint="eastAsia" w:hAnsi="宋体" w:cs="Arial"/>
          <w:b/>
          <w:color w:val="auto"/>
          <w:sz w:val="21"/>
          <w:szCs w:val="21"/>
          <w:highlight w:val="none"/>
          <w:lang w:eastAsia="zh-CN"/>
        </w:rPr>
        <w:t>瑶溪街道</w:t>
      </w:r>
      <w:r>
        <w:rPr>
          <w:rFonts w:hint="eastAsia" w:hAnsi="宋体" w:cs="Arial"/>
          <w:b/>
          <w:color w:val="auto"/>
          <w:sz w:val="21"/>
          <w:szCs w:val="21"/>
          <w:highlight w:val="none"/>
        </w:rPr>
        <w:t>《温州市智慧环卫监管平台》及后续《龙湾区智慧环卫监管平台》的监管。</w:t>
      </w:r>
    </w:p>
    <w:p>
      <w:pPr>
        <w:pStyle w:val="19"/>
        <w:snapToGrid w:val="0"/>
        <w:spacing w:line="400" w:lineRule="exact"/>
        <w:ind w:firstLine="408" w:firstLineChars="201"/>
        <w:jc w:val="left"/>
        <w:rPr>
          <w:rFonts w:hint="eastAsia" w:hAnsi="宋体" w:cs="Arial"/>
          <w:b/>
          <w:color w:val="auto"/>
          <w:sz w:val="21"/>
          <w:szCs w:val="21"/>
          <w:highlight w:val="none"/>
        </w:rPr>
      </w:pPr>
      <w:r>
        <w:rPr>
          <w:rFonts w:hint="eastAsia" w:hAnsi="宋体" w:cs="Arial"/>
          <w:b/>
          <w:color w:val="auto"/>
          <w:sz w:val="21"/>
          <w:szCs w:val="21"/>
          <w:highlight w:val="none"/>
        </w:rPr>
        <w:t>2、《智慧环卫监管平台》系统接入参数要求</w:t>
      </w:r>
    </w:p>
    <w:p>
      <w:pPr>
        <w:pStyle w:val="19"/>
        <w:snapToGrid w:val="0"/>
        <w:spacing w:line="400" w:lineRule="exact"/>
        <w:ind w:firstLine="408" w:firstLineChars="201"/>
        <w:jc w:val="left"/>
        <w:rPr>
          <w:rFonts w:hint="eastAsia" w:hAnsi="宋体" w:cs="Arial"/>
          <w:b/>
          <w:color w:val="auto"/>
          <w:sz w:val="21"/>
          <w:szCs w:val="21"/>
          <w:highlight w:val="none"/>
        </w:rPr>
      </w:pPr>
      <w:r>
        <w:rPr>
          <w:rFonts w:hint="eastAsia" w:hAnsi="宋体" w:cs="Arial"/>
          <w:b/>
          <w:color w:val="auto"/>
          <w:sz w:val="21"/>
          <w:szCs w:val="21"/>
          <w:highlight w:val="none"/>
        </w:rPr>
        <w:t>①车辆接入要求：车辆定位终端设备必须符合《中华人民共和国交通运输行业标准》JT/T808通讯协议；车载视频监控终端设备必须符合《道路运输车辆卫星定位系统车载视频通信协议》JT/T1078-2016标准。具体接入方式投标人中标后跟</w:t>
      </w:r>
      <w:r>
        <w:rPr>
          <w:rFonts w:hint="eastAsia" w:hAnsi="宋体" w:cs="Arial"/>
          <w:b/>
          <w:color w:val="auto"/>
          <w:sz w:val="21"/>
          <w:szCs w:val="21"/>
          <w:highlight w:val="none"/>
          <w:lang w:eastAsia="zh-CN"/>
        </w:rPr>
        <w:t>瑶溪街道</w:t>
      </w:r>
      <w:r>
        <w:rPr>
          <w:rFonts w:hint="eastAsia" w:hAnsi="宋体" w:cs="Arial"/>
          <w:b/>
          <w:color w:val="auto"/>
          <w:sz w:val="21"/>
          <w:szCs w:val="21"/>
          <w:highlight w:val="none"/>
        </w:rPr>
        <w:t>智慧环卫监管平台技术对接。</w:t>
      </w:r>
    </w:p>
    <w:p>
      <w:pPr>
        <w:pStyle w:val="19"/>
        <w:snapToGrid w:val="0"/>
        <w:spacing w:line="400" w:lineRule="exact"/>
        <w:ind w:firstLine="408" w:firstLineChars="201"/>
        <w:jc w:val="left"/>
        <w:rPr>
          <w:rFonts w:hAnsi="宋体" w:cs="Arial"/>
          <w:b/>
          <w:color w:val="auto"/>
          <w:sz w:val="21"/>
          <w:szCs w:val="21"/>
          <w:highlight w:val="none"/>
        </w:rPr>
      </w:pPr>
      <w:r>
        <w:rPr>
          <w:rFonts w:hint="eastAsia" w:hAnsi="宋体" w:cs="Arial"/>
          <w:b/>
          <w:color w:val="auto"/>
          <w:sz w:val="21"/>
          <w:szCs w:val="21"/>
          <w:highlight w:val="none"/>
        </w:rPr>
        <w:t>②人员接入要求：投标人中标后跟</w:t>
      </w:r>
      <w:r>
        <w:rPr>
          <w:rFonts w:hint="eastAsia" w:hAnsi="宋体" w:cs="Arial"/>
          <w:b/>
          <w:color w:val="auto"/>
          <w:sz w:val="21"/>
          <w:szCs w:val="21"/>
          <w:highlight w:val="none"/>
          <w:lang w:eastAsia="zh-CN"/>
        </w:rPr>
        <w:t>瑶溪街道</w:t>
      </w:r>
      <w:r>
        <w:rPr>
          <w:rFonts w:hint="eastAsia" w:hAnsi="宋体" w:cs="Arial"/>
          <w:b/>
          <w:color w:val="auto"/>
          <w:sz w:val="21"/>
          <w:szCs w:val="21"/>
          <w:highlight w:val="none"/>
        </w:rPr>
        <w:t>智慧环卫监管平台技术对接，自行采购终端设备，但该终端设备必须与</w:t>
      </w:r>
      <w:r>
        <w:rPr>
          <w:rFonts w:hint="eastAsia" w:hAnsi="宋体" w:cs="Arial"/>
          <w:b/>
          <w:color w:val="auto"/>
          <w:sz w:val="21"/>
          <w:szCs w:val="21"/>
          <w:highlight w:val="none"/>
          <w:lang w:eastAsia="zh-CN"/>
        </w:rPr>
        <w:t>瑶溪街道</w:t>
      </w:r>
      <w:r>
        <w:rPr>
          <w:rFonts w:hint="eastAsia" w:hAnsi="宋体" w:cs="Arial"/>
          <w:b/>
          <w:color w:val="auto"/>
          <w:sz w:val="21"/>
          <w:szCs w:val="21"/>
          <w:highlight w:val="none"/>
        </w:rPr>
        <w:t>智慧环卫监管平台接入协议一致，根据接入协议确定服务人员、车辆机械等终端设备</w:t>
      </w:r>
      <w:r>
        <w:rPr>
          <w:rFonts w:hAnsi="宋体" w:cs="Arial"/>
          <w:b/>
          <w:color w:val="auto"/>
          <w:sz w:val="21"/>
          <w:szCs w:val="21"/>
          <w:highlight w:val="none"/>
        </w:rPr>
        <w:t>。</w:t>
      </w:r>
    </w:p>
    <w:p>
      <w:pPr>
        <w:adjustRightInd w:val="0"/>
        <w:snapToGrid w:val="0"/>
        <w:spacing w:line="400" w:lineRule="exact"/>
        <w:jc w:val="left"/>
        <w:outlineLvl w:val="1"/>
        <w:rPr>
          <w:rFonts w:ascii="宋体" w:hAnsi="宋体"/>
          <w:b/>
          <w:color w:val="auto"/>
          <w:sz w:val="21"/>
          <w:szCs w:val="21"/>
          <w:highlight w:val="none"/>
        </w:rPr>
      </w:pPr>
      <w:bookmarkStart w:id="210" w:name="_Toc105438768"/>
      <w:bookmarkStart w:id="211" w:name="_Toc105435720"/>
      <w:bookmarkStart w:id="212" w:name="_Toc263"/>
      <w:bookmarkStart w:id="213" w:name="_Toc17324"/>
      <w:bookmarkStart w:id="214" w:name="_Toc72407422"/>
      <w:bookmarkStart w:id="215" w:name="_Toc1083"/>
      <w:bookmarkStart w:id="216" w:name="_Toc16028"/>
      <w:bookmarkStart w:id="217" w:name="_Toc104190735"/>
      <w:bookmarkStart w:id="218" w:name="_Toc105435662"/>
      <w:bookmarkStart w:id="219" w:name="_Toc105435534"/>
      <w:bookmarkStart w:id="220" w:name="_Toc105438820"/>
      <w:r>
        <w:rPr>
          <w:rFonts w:hint="eastAsia" w:ascii="宋体" w:hAnsi="宋体"/>
          <w:b/>
          <w:color w:val="auto"/>
          <w:sz w:val="21"/>
          <w:szCs w:val="21"/>
          <w:highlight w:val="none"/>
        </w:rPr>
        <w:t>七</w:t>
      </w:r>
      <w:r>
        <w:rPr>
          <w:rFonts w:ascii="宋体" w:hAnsi="宋体"/>
          <w:b/>
          <w:color w:val="auto"/>
          <w:sz w:val="21"/>
          <w:szCs w:val="21"/>
          <w:highlight w:val="none"/>
        </w:rPr>
        <w:t>、项目管理要求</w:t>
      </w:r>
      <w:bookmarkEnd w:id="210"/>
      <w:bookmarkEnd w:id="211"/>
      <w:bookmarkEnd w:id="212"/>
      <w:bookmarkEnd w:id="213"/>
      <w:bookmarkEnd w:id="214"/>
      <w:bookmarkEnd w:id="215"/>
      <w:bookmarkEnd w:id="216"/>
      <w:bookmarkEnd w:id="217"/>
      <w:bookmarkEnd w:id="218"/>
      <w:bookmarkEnd w:id="219"/>
      <w:bookmarkEnd w:id="220"/>
    </w:p>
    <w:p>
      <w:pPr>
        <w:spacing w:line="400" w:lineRule="exact"/>
        <w:ind w:firstLine="424" w:firstLineChars="202"/>
        <w:jc w:val="left"/>
        <w:rPr>
          <w:rFonts w:hint="eastAsia" w:ascii="宋体" w:hAnsi="宋体" w:cs="Arial"/>
          <w:color w:val="auto"/>
          <w:sz w:val="21"/>
          <w:szCs w:val="21"/>
          <w:highlight w:val="none"/>
        </w:rPr>
      </w:pPr>
      <w:r>
        <w:rPr>
          <w:rFonts w:hint="eastAsia" w:ascii="宋体" w:hAnsi="宋体" w:cs="Arial"/>
          <w:color w:val="auto"/>
          <w:sz w:val="21"/>
          <w:szCs w:val="21"/>
          <w:highlight w:val="none"/>
        </w:rPr>
        <w:t>（一）本项目中标单位及其相关服务人员必须服从各级政府职能部门管理要求。</w:t>
      </w:r>
    </w:p>
    <w:p>
      <w:pPr>
        <w:spacing w:line="400" w:lineRule="exact"/>
        <w:ind w:firstLine="424" w:firstLineChars="202"/>
        <w:jc w:val="left"/>
        <w:rPr>
          <w:rFonts w:hint="eastAsia" w:ascii="宋体" w:hAnsi="宋体" w:cs="Arial"/>
          <w:color w:val="auto"/>
          <w:sz w:val="21"/>
          <w:szCs w:val="21"/>
          <w:highlight w:val="none"/>
        </w:rPr>
      </w:pPr>
      <w:r>
        <w:rPr>
          <w:rFonts w:hint="eastAsia" w:ascii="宋体" w:hAnsi="宋体" w:cs="Arial"/>
          <w:color w:val="auto"/>
          <w:sz w:val="21"/>
          <w:szCs w:val="21"/>
          <w:highlight w:val="none"/>
        </w:rPr>
        <w:t>（二）遇有重大活动或突发事件，中标单位必须服从</w:t>
      </w:r>
      <w:r>
        <w:rPr>
          <w:rFonts w:hint="eastAsia" w:ascii="宋体" w:hAnsi="宋体" w:cs="Arial"/>
          <w:color w:val="auto"/>
          <w:sz w:val="21"/>
          <w:szCs w:val="21"/>
          <w:highlight w:val="none"/>
          <w:lang w:eastAsia="zh-CN"/>
        </w:rPr>
        <w:t>瑶溪街道</w:t>
      </w:r>
      <w:r>
        <w:rPr>
          <w:rFonts w:hint="eastAsia" w:ascii="宋体" w:hAnsi="宋体" w:cs="Arial"/>
          <w:color w:val="auto"/>
          <w:sz w:val="21"/>
          <w:szCs w:val="21"/>
          <w:highlight w:val="none"/>
        </w:rPr>
        <w:t>统一指挥，必要时增加调度确保做好环卫保洁保障工作。</w:t>
      </w:r>
    </w:p>
    <w:p>
      <w:pPr>
        <w:spacing w:line="400" w:lineRule="exact"/>
        <w:ind w:firstLine="424" w:firstLineChars="202"/>
        <w:jc w:val="left"/>
        <w:rPr>
          <w:rFonts w:hint="eastAsia" w:ascii="宋体" w:hAnsi="宋体" w:cs="Arial"/>
          <w:color w:val="auto"/>
          <w:sz w:val="21"/>
          <w:szCs w:val="21"/>
          <w:highlight w:val="none"/>
        </w:rPr>
      </w:pPr>
      <w:r>
        <w:rPr>
          <w:rFonts w:hint="eastAsia" w:ascii="宋体" w:hAnsi="宋体" w:cs="Arial"/>
          <w:color w:val="auto"/>
          <w:sz w:val="21"/>
          <w:szCs w:val="21"/>
          <w:highlight w:val="none"/>
        </w:rPr>
        <w:t>（三）遇有不可抗力因素，中标单位应无条件配合业主做好保洁工作。</w:t>
      </w:r>
    </w:p>
    <w:p>
      <w:pPr>
        <w:spacing w:line="400" w:lineRule="exact"/>
        <w:ind w:firstLine="424" w:firstLineChars="202"/>
        <w:jc w:val="left"/>
        <w:rPr>
          <w:rFonts w:hint="eastAsia" w:ascii="宋体" w:hAnsi="宋体" w:cs="Arial"/>
          <w:color w:val="auto"/>
          <w:sz w:val="21"/>
          <w:szCs w:val="21"/>
          <w:highlight w:val="none"/>
        </w:rPr>
      </w:pPr>
      <w:r>
        <w:rPr>
          <w:rFonts w:hint="eastAsia" w:ascii="宋体" w:hAnsi="宋体" w:cs="Arial"/>
          <w:color w:val="auto"/>
          <w:sz w:val="21"/>
          <w:szCs w:val="21"/>
          <w:highlight w:val="none"/>
        </w:rPr>
        <w:t>（四）中标单位要让环卫工人遵守中转站倒垃圾秩序，当垃圾中转站、焚烧厂出现故障等突发事件导致排队倒垃圾现象时，中标单位要及时做好环卫工人的情绪疏导，严禁出现乱倒垃圾的情形。</w:t>
      </w:r>
    </w:p>
    <w:p>
      <w:pPr>
        <w:spacing w:line="400" w:lineRule="exact"/>
        <w:ind w:firstLine="424" w:firstLineChars="202"/>
        <w:jc w:val="left"/>
        <w:rPr>
          <w:rFonts w:hint="eastAsia" w:ascii="宋体" w:hAnsi="宋体" w:cs="Arial"/>
          <w:color w:val="auto"/>
          <w:sz w:val="21"/>
          <w:szCs w:val="21"/>
          <w:highlight w:val="none"/>
        </w:rPr>
      </w:pPr>
      <w:r>
        <w:rPr>
          <w:rFonts w:hint="eastAsia" w:ascii="宋体" w:hAnsi="宋体" w:cs="Arial"/>
          <w:color w:val="auto"/>
          <w:sz w:val="21"/>
          <w:szCs w:val="21"/>
          <w:highlight w:val="none"/>
        </w:rPr>
        <w:t>（五）中标单位要确保本项目相关服务人员居住地点安全、整洁、不堆放垃圾，每月进行不少于1次自检并做好台账记录备查。</w:t>
      </w:r>
    </w:p>
    <w:p>
      <w:pPr>
        <w:spacing w:line="400" w:lineRule="exact"/>
        <w:ind w:firstLine="424" w:firstLineChars="202"/>
        <w:jc w:val="left"/>
        <w:rPr>
          <w:rFonts w:hint="eastAsia" w:ascii="宋体" w:hAnsi="宋体" w:cs="Arial"/>
          <w:color w:val="auto"/>
          <w:sz w:val="21"/>
          <w:szCs w:val="21"/>
          <w:highlight w:val="none"/>
        </w:rPr>
      </w:pPr>
      <w:r>
        <w:rPr>
          <w:rFonts w:hint="eastAsia" w:ascii="宋体" w:hAnsi="宋体" w:cs="Arial"/>
          <w:color w:val="auto"/>
          <w:sz w:val="21"/>
          <w:szCs w:val="21"/>
          <w:highlight w:val="none"/>
        </w:rPr>
        <w:t>（六）本项目所涉及区域的清扫保洁标准，中标单位必须无条件按</w:t>
      </w:r>
      <w:r>
        <w:rPr>
          <w:rFonts w:hint="eastAsia" w:ascii="宋体" w:hAnsi="宋体" w:cs="Arial"/>
          <w:color w:val="auto"/>
          <w:sz w:val="21"/>
          <w:szCs w:val="21"/>
          <w:highlight w:val="none"/>
          <w:lang w:eastAsia="zh-CN"/>
        </w:rPr>
        <w:t>瑶溪街道</w:t>
      </w:r>
      <w:r>
        <w:rPr>
          <w:rFonts w:hint="eastAsia" w:ascii="宋体" w:hAnsi="宋体" w:cs="Arial"/>
          <w:color w:val="auto"/>
          <w:sz w:val="21"/>
          <w:szCs w:val="21"/>
          <w:highlight w:val="none"/>
        </w:rPr>
        <w:t>具体要求执行。</w:t>
      </w:r>
    </w:p>
    <w:p>
      <w:pPr>
        <w:spacing w:line="400" w:lineRule="exact"/>
        <w:ind w:firstLine="424" w:firstLineChars="202"/>
        <w:jc w:val="left"/>
        <w:rPr>
          <w:rFonts w:hint="eastAsia" w:ascii="宋体" w:hAnsi="宋体" w:cs="Arial"/>
          <w:color w:val="auto"/>
          <w:sz w:val="21"/>
          <w:szCs w:val="21"/>
          <w:highlight w:val="none"/>
        </w:rPr>
      </w:pPr>
      <w:r>
        <w:rPr>
          <w:rFonts w:hint="eastAsia" w:ascii="宋体" w:hAnsi="宋体" w:cs="Arial"/>
          <w:color w:val="auto"/>
          <w:sz w:val="21"/>
          <w:szCs w:val="21"/>
          <w:highlight w:val="none"/>
        </w:rPr>
        <w:t>（七）本现场条件说明</w:t>
      </w:r>
    </w:p>
    <w:p>
      <w:pPr>
        <w:spacing w:line="400" w:lineRule="exact"/>
        <w:ind w:firstLine="424" w:firstLineChars="202"/>
        <w:jc w:val="left"/>
        <w:rPr>
          <w:rFonts w:ascii="宋体" w:hAnsi="宋体" w:cs="Arial"/>
          <w:color w:val="auto"/>
          <w:sz w:val="21"/>
          <w:szCs w:val="21"/>
          <w:highlight w:val="none"/>
        </w:rPr>
      </w:pPr>
      <w:r>
        <w:rPr>
          <w:rFonts w:hint="eastAsia" w:ascii="宋体" w:hAnsi="宋体" w:cs="Arial"/>
          <w:color w:val="auto"/>
          <w:sz w:val="21"/>
          <w:szCs w:val="21"/>
          <w:highlight w:val="none"/>
        </w:rPr>
        <w:t>1、本次招标所涉及的人员住房和作业机械设备、工具均由中标单位自行负责解决</w:t>
      </w:r>
      <w:r>
        <w:rPr>
          <w:rFonts w:ascii="宋体" w:hAnsi="宋体" w:cs="Arial"/>
          <w:color w:val="auto"/>
          <w:sz w:val="21"/>
          <w:szCs w:val="21"/>
          <w:highlight w:val="none"/>
        </w:rPr>
        <w:t>。</w:t>
      </w:r>
    </w:p>
    <w:p>
      <w:pPr>
        <w:spacing w:line="400" w:lineRule="exact"/>
        <w:ind w:firstLine="424" w:firstLineChars="201"/>
        <w:jc w:val="left"/>
        <w:rPr>
          <w:rFonts w:hint="eastAsia" w:ascii="宋体" w:hAnsi="宋体" w:cs="Arial"/>
          <w:b/>
          <w:color w:val="auto"/>
          <w:sz w:val="21"/>
          <w:szCs w:val="21"/>
          <w:highlight w:val="none"/>
          <w:u w:val="single"/>
        </w:rPr>
      </w:pPr>
      <w:r>
        <w:rPr>
          <w:rFonts w:hint="eastAsia" w:ascii="宋体" w:hAnsi="宋体" w:cs="Arial"/>
          <w:b/>
          <w:color w:val="auto"/>
          <w:sz w:val="21"/>
          <w:szCs w:val="21"/>
          <w:highlight w:val="none"/>
          <w:u w:val="single"/>
        </w:rPr>
        <w:t>2、作业车辆、工具的停放场地由中标单位自行负责解决，要求规范、统一停放，中标单位须在中标通知书发出之日起30日内在本次招标保洁区域内建立专门的停车场。</w:t>
      </w:r>
    </w:p>
    <w:p>
      <w:pPr>
        <w:spacing w:line="400" w:lineRule="exact"/>
        <w:ind w:firstLine="424" w:firstLineChars="201"/>
        <w:jc w:val="left"/>
        <w:rPr>
          <w:rFonts w:ascii="宋体" w:hAnsi="宋体" w:cs="Arial"/>
          <w:b/>
          <w:color w:val="auto"/>
          <w:sz w:val="21"/>
          <w:szCs w:val="21"/>
          <w:highlight w:val="none"/>
          <w:u w:val="single"/>
        </w:rPr>
      </w:pPr>
      <w:r>
        <w:rPr>
          <w:rFonts w:hint="eastAsia" w:ascii="宋体" w:hAnsi="宋体" w:cs="Arial"/>
          <w:b/>
          <w:color w:val="auto"/>
          <w:sz w:val="21"/>
          <w:szCs w:val="21"/>
          <w:highlight w:val="none"/>
          <w:u w:val="single"/>
        </w:rPr>
        <w:t>3、专用停车场须具有清洗设备、排污装置</w:t>
      </w:r>
      <w:r>
        <w:rPr>
          <w:rFonts w:ascii="宋体" w:hAnsi="宋体" w:cs="Arial"/>
          <w:b/>
          <w:color w:val="auto"/>
          <w:sz w:val="21"/>
          <w:szCs w:val="21"/>
          <w:highlight w:val="none"/>
          <w:u w:val="single"/>
        </w:rPr>
        <w:t>。</w:t>
      </w:r>
    </w:p>
    <w:p>
      <w:pPr>
        <w:spacing w:line="400" w:lineRule="exact"/>
        <w:ind w:firstLine="424" w:firstLineChars="202"/>
        <w:jc w:val="left"/>
        <w:rPr>
          <w:rFonts w:hint="eastAsia" w:ascii="宋体" w:hAnsi="宋体" w:cs="Arial"/>
          <w:color w:val="auto"/>
          <w:sz w:val="21"/>
          <w:szCs w:val="21"/>
          <w:highlight w:val="none"/>
        </w:rPr>
      </w:pPr>
      <w:r>
        <w:rPr>
          <w:rFonts w:hint="eastAsia" w:ascii="宋体" w:hAnsi="宋体" w:cs="Arial"/>
          <w:color w:val="auto"/>
          <w:sz w:val="21"/>
          <w:szCs w:val="21"/>
          <w:highlight w:val="none"/>
        </w:rPr>
        <w:t>4、全年的扫帚等清扫机具材料、垃圾袋、清洁剂等作业耗材由中标单位自行负责落实。</w:t>
      </w:r>
    </w:p>
    <w:p>
      <w:pPr>
        <w:spacing w:line="400" w:lineRule="exact"/>
        <w:ind w:firstLine="424" w:firstLineChars="202"/>
        <w:jc w:val="left"/>
        <w:rPr>
          <w:rFonts w:hint="eastAsia" w:ascii="宋体" w:hAnsi="宋体" w:cs="Arial"/>
          <w:color w:val="auto"/>
          <w:sz w:val="21"/>
          <w:szCs w:val="21"/>
          <w:highlight w:val="none"/>
        </w:rPr>
      </w:pPr>
      <w:r>
        <w:rPr>
          <w:rFonts w:hint="eastAsia" w:ascii="宋体" w:hAnsi="宋体" w:cs="Arial"/>
          <w:color w:val="auto"/>
          <w:sz w:val="21"/>
          <w:szCs w:val="21"/>
          <w:highlight w:val="none"/>
        </w:rPr>
        <w:t>（八）台账内部管理</w:t>
      </w:r>
    </w:p>
    <w:p>
      <w:pPr>
        <w:spacing w:line="400" w:lineRule="exact"/>
        <w:ind w:firstLine="424" w:firstLineChars="202"/>
        <w:jc w:val="left"/>
        <w:rPr>
          <w:rFonts w:hint="eastAsia" w:ascii="宋体" w:hAnsi="宋体" w:cs="Arial"/>
          <w:color w:val="auto"/>
          <w:sz w:val="21"/>
          <w:szCs w:val="21"/>
          <w:highlight w:val="none"/>
        </w:rPr>
      </w:pPr>
      <w:r>
        <w:rPr>
          <w:rFonts w:hint="eastAsia" w:ascii="宋体" w:hAnsi="宋体" w:cs="Arial"/>
          <w:color w:val="auto"/>
          <w:sz w:val="21"/>
          <w:szCs w:val="21"/>
          <w:highlight w:val="none"/>
        </w:rPr>
        <w:t xml:space="preserve">1、机械操作人员要实时做好出车（船）台账，要做到准确无误，真实有效；  </w:t>
      </w:r>
    </w:p>
    <w:p>
      <w:pPr>
        <w:spacing w:line="400" w:lineRule="exact"/>
        <w:ind w:firstLine="424" w:firstLineChars="202"/>
        <w:jc w:val="left"/>
        <w:rPr>
          <w:rFonts w:hint="eastAsia" w:ascii="宋体" w:hAnsi="宋体" w:cs="Arial"/>
          <w:color w:val="auto"/>
          <w:sz w:val="21"/>
          <w:szCs w:val="21"/>
          <w:highlight w:val="none"/>
        </w:rPr>
      </w:pPr>
      <w:r>
        <w:rPr>
          <w:rFonts w:hint="eastAsia" w:ascii="宋体" w:hAnsi="宋体" w:cs="Arial"/>
          <w:color w:val="auto"/>
          <w:sz w:val="21"/>
          <w:szCs w:val="21"/>
          <w:highlight w:val="none"/>
        </w:rPr>
        <w:t>2、中标单位要建立各项规章制度、内部岗位责任制度、内部考核机制，完善的管理制度。</w:t>
      </w:r>
    </w:p>
    <w:p>
      <w:pPr>
        <w:spacing w:line="400" w:lineRule="exact"/>
        <w:ind w:firstLine="424" w:firstLineChars="202"/>
        <w:jc w:val="left"/>
        <w:rPr>
          <w:rFonts w:ascii="宋体" w:hAnsi="宋体" w:cs="Arial"/>
          <w:color w:val="auto"/>
          <w:sz w:val="21"/>
          <w:szCs w:val="21"/>
          <w:highlight w:val="none"/>
        </w:rPr>
      </w:pPr>
      <w:r>
        <w:rPr>
          <w:rFonts w:hint="eastAsia" w:ascii="宋体" w:hAnsi="宋体" w:cs="Arial"/>
          <w:color w:val="auto"/>
          <w:sz w:val="21"/>
          <w:szCs w:val="21"/>
          <w:highlight w:val="none"/>
        </w:rPr>
        <w:t>3、中标单位要完备的相关台账资料的登记、管理制度，制作的各类台账要规范、真实、清晰、准确</w:t>
      </w:r>
      <w:r>
        <w:rPr>
          <w:rFonts w:ascii="宋体" w:hAnsi="宋体" w:cs="Arial"/>
          <w:color w:val="auto"/>
          <w:sz w:val="21"/>
          <w:szCs w:val="21"/>
          <w:highlight w:val="none"/>
        </w:rPr>
        <w:t>。</w:t>
      </w:r>
    </w:p>
    <w:p>
      <w:pPr>
        <w:adjustRightInd w:val="0"/>
        <w:snapToGrid w:val="0"/>
        <w:spacing w:line="400" w:lineRule="exact"/>
        <w:jc w:val="left"/>
        <w:outlineLvl w:val="1"/>
        <w:rPr>
          <w:rFonts w:ascii="宋体" w:hAnsi="宋体"/>
          <w:b/>
          <w:color w:val="auto"/>
          <w:sz w:val="21"/>
          <w:szCs w:val="21"/>
          <w:highlight w:val="none"/>
        </w:rPr>
      </w:pPr>
      <w:bookmarkStart w:id="221" w:name="_Toc105438769"/>
      <w:bookmarkStart w:id="222" w:name="_Toc105438821"/>
      <w:bookmarkStart w:id="223" w:name="_Toc23117"/>
      <w:bookmarkStart w:id="224" w:name="_Toc11382"/>
      <w:bookmarkStart w:id="225" w:name="_Toc105435663"/>
      <w:bookmarkStart w:id="226" w:name="_Toc104190736"/>
      <w:bookmarkStart w:id="227" w:name="_Toc16650"/>
      <w:bookmarkStart w:id="228" w:name="_Toc72407423"/>
      <w:bookmarkStart w:id="229" w:name="_Toc12444"/>
      <w:bookmarkStart w:id="230" w:name="_Toc105435721"/>
      <w:bookmarkStart w:id="231" w:name="_Toc105435535"/>
      <w:r>
        <w:rPr>
          <w:rFonts w:hint="eastAsia" w:ascii="宋体" w:hAnsi="宋体"/>
          <w:b/>
          <w:color w:val="auto"/>
          <w:sz w:val="21"/>
          <w:szCs w:val="21"/>
          <w:highlight w:val="none"/>
        </w:rPr>
        <w:t>八</w:t>
      </w:r>
      <w:r>
        <w:rPr>
          <w:rFonts w:ascii="宋体" w:hAnsi="宋体"/>
          <w:b/>
          <w:color w:val="auto"/>
          <w:sz w:val="21"/>
          <w:szCs w:val="21"/>
          <w:highlight w:val="none"/>
        </w:rPr>
        <w:t>、保洁安全作业要求</w:t>
      </w:r>
      <w:bookmarkEnd w:id="221"/>
      <w:bookmarkEnd w:id="222"/>
      <w:bookmarkEnd w:id="223"/>
      <w:bookmarkEnd w:id="224"/>
      <w:bookmarkEnd w:id="225"/>
      <w:bookmarkEnd w:id="226"/>
      <w:bookmarkEnd w:id="227"/>
      <w:bookmarkEnd w:id="228"/>
      <w:bookmarkEnd w:id="229"/>
      <w:bookmarkEnd w:id="230"/>
      <w:bookmarkEnd w:id="231"/>
      <w:r>
        <w:rPr>
          <w:rFonts w:ascii="宋体" w:hAnsi="宋体"/>
          <w:b/>
          <w:color w:val="auto"/>
          <w:sz w:val="21"/>
          <w:szCs w:val="21"/>
          <w:highlight w:val="none"/>
        </w:rPr>
        <w:tab/>
      </w:r>
    </w:p>
    <w:p>
      <w:pPr>
        <w:autoSpaceDE w:val="0"/>
        <w:autoSpaceDN w:val="0"/>
        <w:adjustRightInd w:val="0"/>
        <w:spacing w:line="400" w:lineRule="exact"/>
        <w:ind w:firstLine="422" w:firstLineChars="200"/>
        <w:jc w:val="left"/>
        <w:textAlignment w:val="bottom"/>
        <w:rPr>
          <w:rFonts w:ascii="宋体" w:hAnsi="宋体" w:cs="Arial"/>
          <w:b/>
          <w:color w:val="auto"/>
          <w:sz w:val="21"/>
          <w:szCs w:val="21"/>
          <w:highlight w:val="none"/>
        </w:rPr>
      </w:pPr>
      <w:bookmarkStart w:id="232" w:name="_Toc2590"/>
      <w:r>
        <w:rPr>
          <w:rFonts w:ascii="宋体" w:hAnsi="宋体" w:cs="Arial"/>
          <w:b/>
          <w:color w:val="auto"/>
          <w:sz w:val="21"/>
          <w:szCs w:val="21"/>
          <w:highlight w:val="none"/>
        </w:rPr>
        <w:t>（一）总体要求</w:t>
      </w:r>
      <w:bookmarkEnd w:id="232"/>
    </w:p>
    <w:p>
      <w:pPr>
        <w:autoSpaceDE w:val="0"/>
        <w:autoSpaceDN w:val="0"/>
        <w:adjustRightInd w:val="0"/>
        <w:spacing w:line="400" w:lineRule="exact"/>
        <w:ind w:firstLine="420" w:firstLineChars="200"/>
        <w:jc w:val="left"/>
        <w:textAlignment w:val="bottom"/>
        <w:rPr>
          <w:rFonts w:hint="eastAsia" w:ascii="宋体" w:hAnsi="宋体" w:cs="Arial"/>
          <w:color w:val="auto"/>
          <w:sz w:val="21"/>
          <w:szCs w:val="21"/>
          <w:highlight w:val="none"/>
        </w:rPr>
      </w:pPr>
      <w:r>
        <w:rPr>
          <w:rFonts w:hint="eastAsia" w:ascii="宋体" w:hAnsi="宋体" w:cs="Arial"/>
          <w:color w:val="auto"/>
          <w:sz w:val="21"/>
          <w:szCs w:val="21"/>
          <w:highlight w:val="none"/>
        </w:rPr>
        <w:t>1、在台风、雷暴雨、洪水、大雾、寒潮、高温等灾害性气候条件下，应按照气象部门发布的预警时间，暂停日常保洁相关作业，启动应急预案，保证安全前提下进行应急作业。雾霾天（水平能见度在一公里以下）保洁人员应暂停上路作业，雾散后及时上路作业。</w:t>
      </w:r>
    </w:p>
    <w:p>
      <w:pPr>
        <w:autoSpaceDE w:val="0"/>
        <w:autoSpaceDN w:val="0"/>
        <w:adjustRightInd w:val="0"/>
        <w:spacing w:line="400" w:lineRule="exact"/>
        <w:ind w:firstLine="420" w:firstLineChars="200"/>
        <w:jc w:val="left"/>
        <w:textAlignment w:val="bottom"/>
        <w:rPr>
          <w:rFonts w:hint="eastAsia" w:ascii="宋体" w:hAnsi="宋体" w:cs="Arial"/>
          <w:color w:val="auto"/>
          <w:sz w:val="21"/>
          <w:szCs w:val="21"/>
          <w:highlight w:val="none"/>
        </w:rPr>
      </w:pPr>
      <w:r>
        <w:rPr>
          <w:rFonts w:hint="eastAsia" w:ascii="宋体" w:hAnsi="宋体" w:cs="Arial"/>
          <w:color w:val="auto"/>
          <w:sz w:val="21"/>
          <w:szCs w:val="21"/>
          <w:highlight w:val="none"/>
        </w:rPr>
        <w:t>2、作业过程中出现突发情况或发现疑似危险物品，应及时向有关部门报告，待相关人员到现场后，配合清场、协助处理。</w:t>
      </w:r>
    </w:p>
    <w:p>
      <w:pPr>
        <w:autoSpaceDE w:val="0"/>
        <w:autoSpaceDN w:val="0"/>
        <w:adjustRightInd w:val="0"/>
        <w:spacing w:line="400" w:lineRule="exact"/>
        <w:ind w:firstLine="420" w:firstLineChars="200"/>
        <w:jc w:val="left"/>
        <w:textAlignment w:val="bottom"/>
        <w:rPr>
          <w:rFonts w:ascii="宋体" w:hAnsi="宋体" w:cs="Arial"/>
          <w:color w:val="auto"/>
          <w:sz w:val="21"/>
          <w:szCs w:val="21"/>
          <w:highlight w:val="none"/>
        </w:rPr>
      </w:pPr>
      <w:r>
        <w:rPr>
          <w:rFonts w:hint="eastAsia" w:ascii="宋体" w:hAnsi="宋体" w:cs="Arial"/>
          <w:color w:val="auto"/>
          <w:sz w:val="21"/>
          <w:szCs w:val="21"/>
          <w:highlight w:val="none"/>
        </w:rPr>
        <w:t>3、中标单位每月不少于1次组织相关主管部门专业人员对本项目所有员工进行安全生产和作业技能规范培训，并做好台账记录备查</w:t>
      </w:r>
      <w:r>
        <w:rPr>
          <w:rFonts w:ascii="宋体" w:hAnsi="宋体" w:cs="Arial"/>
          <w:color w:val="auto"/>
          <w:sz w:val="21"/>
          <w:szCs w:val="21"/>
          <w:highlight w:val="none"/>
        </w:rPr>
        <w:t>。</w:t>
      </w:r>
    </w:p>
    <w:p>
      <w:pPr>
        <w:autoSpaceDE w:val="0"/>
        <w:autoSpaceDN w:val="0"/>
        <w:adjustRightInd w:val="0"/>
        <w:spacing w:line="400" w:lineRule="exact"/>
        <w:ind w:firstLine="422" w:firstLineChars="200"/>
        <w:jc w:val="left"/>
        <w:textAlignment w:val="bottom"/>
        <w:rPr>
          <w:rFonts w:ascii="宋体" w:hAnsi="宋体" w:cs="Arial"/>
          <w:b/>
          <w:color w:val="auto"/>
          <w:sz w:val="21"/>
          <w:szCs w:val="21"/>
          <w:highlight w:val="none"/>
        </w:rPr>
      </w:pPr>
      <w:bookmarkStart w:id="233" w:name="_Toc8314"/>
      <w:r>
        <w:rPr>
          <w:rFonts w:ascii="宋体" w:hAnsi="宋体" w:cs="Arial"/>
          <w:b/>
          <w:color w:val="auto"/>
          <w:sz w:val="21"/>
          <w:szCs w:val="21"/>
          <w:highlight w:val="none"/>
        </w:rPr>
        <w:t>（二）人员服装要求</w:t>
      </w:r>
      <w:bookmarkEnd w:id="233"/>
    </w:p>
    <w:p>
      <w:pPr>
        <w:autoSpaceDE w:val="0"/>
        <w:autoSpaceDN w:val="0"/>
        <w:adjustRightInd w:val="0"/>
        <w:spacing w:line="400" w:lineRule="exact"/>
        <w:ind w:firstLine="420" w:firstLineChars="200"/>
        <w:jc w:val="left"/>
        <w:textAlignment w:val="bottom"/>
        <w:rPr>
          <w:rFonts w:ascii="宋体" w:hAnsi="宋体" w:cs="Arial"/>
          <w:color w:val="auto"/>
          <w:sz w:val="21"/>
          <w:szCs w:val="21"/>
          <w:highlight w:val="none"/>
        </w:rPr>
      </w:pPr>
      <w:r>
        <w:rPr>
          <w:rFonts w:ascii="宋体" w:hAnsi="宋体" w:cs="Arial"/>
          <w:color w:val="auto"/>
          <w:sz w:val="21"/>
          <w:szCs w:val="21"/>
          <w:highlight w:val="none"/>
        </w:rPr>
        <w:t>1、作业人员在道路上进行流动作业时，应当穿着安全服。安全服当具备反光或部分反光性能，安全服反光部分最小宽度不应小于5cm。</w:t>
      </w:r>
    </w:p>
    <w:p>
      <w:pPr>
        <w:autoSpaceDE w:val="0"/>
        <w:autoSpaceDN w:val="0"/>
        <w:adjustRightInd w:val="0"/>
        <w:spacing w:line="400" w:lineRule="exact"/>
        <w:ind w:firstLine="420" w:firstLineChars="200"/>
        <w:jc w:val="left"/>
        <w:textAlignment w:val="bottom"/>
        <w:rPr>
          <w:rFonts w:ascii="宋体" w:hAnsi="宋体" w:cs="Arial"/>
          <w:color w:val="auto"/>
          <w:sz w:val="21"/>
          <w:szCs w:val="21"/>
          <w:highlight w:val="none"/>
        </w:rPr>
      </w:pPr>
      <w:r>
        <w:rPr>
          <w:rFonts w:ascii="宋体" w:hAnsi="宋体" w:cs="Arial"/>
          <w:color w:val="auto"/>
          <w:sz w:val="21"/>
          <w:szCs w:val="21"/>
          <w:highlight w:val="none"/>
        </w:rPr>
        <w:t>2、水域保洁人员应穿救生衣等防护用品。</w:t>
      </w:r>
    </w:p>
    <w:p>
      <w:pPr>
        <w:autoSpaceDE w:val="0"/>
        <w:autoSpaceDN w:val="0"/>
        <w:adjustRightInd w:val="0"/>
        <w:spacing w:line="400" w:lineRule="exact"/>
        <w:ind w:firstLine="422" w:firstLineChars="200"/>
        <w:jc w:val="left"/>
        <w:textAlignment w:val="bottom"/>
        <w:rPr>
          <w:rFonts w:ascii="宋体" w:hAnsi="宋体" w:cs="Arial"/>
          <w:b/>
          <w:color w:val="auto"/>
          <w:sz w:val="21"/>
          <w:szCs w:val="21"/>
          <w:highlight w:val="none"/>
        </w:rPr>
      </w:pPr>
      <w:bookmarkStart w:id="234" w:name="_Toc3290"/>
      <w:r>
        <w:rPr>
          <w:rFonts w:ascii="宋体" w:hAnsi="宋体" w:cs="Arial"/>
          <w:b/>
          <w:color w:val="auto"/>
          <w:sz w:val="21"/>
          <w:szCs w:val="21"/>
          <w:highlight w:val="none"/>
        </w:rPr>
        <w:t>（三）机械安全操作要求</w:t>
      </w:r>
      <w:bookmarkEnd w:id="234"/>
    </w:p>
    <w:p>
      <w:pPr>
        <w:autoSpaceDE w:val="0"/>
        <w:autoSpaceDN w:val="0"/>
        <w:adjustRightInd w:val="0"/>
        <w:spacing w:line="400" w:lineRule="exact"/>
        <w:ind w:firstLine="420" w:firstLineChars="200"/>
        <w:jc w:val="left"/>
        <w:textAlignment w:val="bottom"/>
        <w:rPr>
          <w:rFonts w:hint="eastAsia" w:ascii="宋体" w:hAnsi="宋体" w:cs="Arial"/>
          <w:color w:val="auto"/>
          <w:sz w:val="21"/>
          <w:szCs w:val="21"/>
          <w:highlight w:val="none"/>
        </w:rPr>
      </w:pPr>
      <w:r>
        <w:rPr>
          <w:rFonts w:hint="eastAsia" w:ascii="宋体" w:hAnsi="宋体" w:cs="Arial"/>
          <w:color w:val="auto"/>
          <w:sz w:val="21"/>
          <w:szCs w:val="21"/>
          <w:highlight w:val="none"/>
        </w:rPr>
        <w:t>1、机械作业人员应了解各机具的性能、功效、使用方法、注意事项，熟悉操作方法；正确、安全操作。</w:t>
      </w:r>
    </w:p>
    <w:p>
      <w:pPr>
        <w:autoSpaceDE w:val="0"/>
        <w:autoSpaceDN w:val="0"/>
        <w:adjustRightInd w:val="0"/>
        <w:spacing w:line="400" w:lineRule="exact"/>
        <w:ind w:firstLine="420" w:firstLineChars="200"/>
        <w:jc w:val="left"/>
        <w:textAlignment w:val="bottom"/>
        <w:rPr>
          <w:rFonts w:hint="eastAsia" w:ascii="宋体" w:hAnsi="宋体" w:cs="Arial"/>
          <w:color w:val="auto"/>
          <w:sz w:val="21"/>
          <w:szCs w:val="21"/>
          <w:highlight w:val="none"/>
        </w:rPr>
      </w:pPr>
      <w:r>
        <w:rPr>
          <w:rFonts w:hint="eastAsia" w:ascii="宋体" w:hAnsi="宋体" w:cs="Arial"/>
          <w:color w:val="auto"/>
          <w:sz w:val="21"/>
          <w:szCs w:val="21"/>
          <w:highlight w:val="none"/>
        </w:rPr>
        <w:t>2、作业设备应专人使用，并定期检修、保养。作业设备的运转部件应设有安全防护罩和安全警示标志。</w:t>
      </w:r>
    </w:p>
    <w:p>
      <w:pPr>
        <w:autoSpaceDE w:val="0"/>
        <w:autoSpaceDN w:val="0"/>
        <w:adjustRightInd w:val="0"/>
        <w:spacing w:line="400" w:lineRule="exact"/>
        <w:ind w:firstLine="420" w:firstLineChars="200"/>
        <w:jc w:val="left"/>
        <w:textAlignment w:val="bottom"/>
        <w:rPr>
          <w:rFonts w:ascii="宋体" w:hAnsi="宋体" w:cs="Arial"/>
          <w:color w:val="auto"/>
          <w:sz w:val="21"/>
          <w:szCs w:val="21"/>
          <w:highlight w:val="none"/>
        </w:rPr>
      </w:pPr>
      <w:r>
        <w:rPr>
          <w:rFonts w:hint="eastAsia" w:ascii="宋体" w:hAnsi="宋体" w:cs="Arial"/>
          <w:color w:val="auto"/>
          <w:sz w:val="21"/>
          <w:szCs w:val="21"/>
          <w:highlight w:val="none"/>
        </w:rPr>
        <w:t>3、在机械保洁作业过程中应控制速度，观察作业面情况无异常方可作业</w:t>
      </w:r>
      <w:r>
        <w:rPr>
          <w:rFonts w:ascii="宋体" w:hAnsi="宋体" w:cs="Arial"/>
          <w:color w:val="auto"/>
          <w:sz w:val="21"/>
          <w:szCs w:val="21"/>
          <w:highlight w:val="none"/>
        </w:rPr>
        <w:t>。</w:t>
      </w:r>
    </w:p>
    <w:p>
      <w:pPr>
        <w:autoSpaceDE w:val="0"/>
        <w:autoSpaceDN w:val="0"/>
        <w:adjustRightInd w:val="0"/>
        <w:spacing w:line="400" w:lineRule="exact"/>
        <w:ind w:firstLine="422" w:firstLineChars="200"/>
        <w:jc w:val="left"/>
        <w:textAlignment w:val="bottom"/>
        <w:rPr>
          <w:rFonts w:ascii="宋体" w:hAnsi="宋体" w:cs="Arial"/>
          <w:b/>
          <w:color w:val="auto"/>
          <w:sz w:val="21"/>
          <w:szCs w:val="21"/>
          <w:highlight w:val="none"/>
        </w:rPr>
      </w:pPr>
      <w:bookmarkStart w:id="235" w:name="_Toc29835"/>
      <w:r>
        <w:rPr>
          <w:rFonts w:ascii="宋体" w:hAnsi="宋体" w:cs="Arial"/>
          <w:b/>
          <w:color w:val="auto"/>
          <w:sz w:val="21"/>
          <w:szCs w:val="21"/>
          <w:highlight w:val="none"/>
        </w:rPr>
        <w:t>（四）道路、公路作业安全要求</w:t>
      </w:r>
      <w:bookmarkEnd w:id="235"/>
    </w:p>
    <w:p>
      <w:pPr>
        <w:autoSpaceDE w:val="0"/>
        <w:autoSpaceDN w:val="0"/>
        <w:adjustRightInd w:val="0"/>
        <w:spacing w:line="400" w:lineRule="exact"/>
        <w:ind w:firstLine="420" w:firstLineChars="200"/>
        <w:jc w:val="left"/>
        <w:textAlignment w:val="bottom"/>
        <w:rPr>
          <w:rFonts w:hint="eastAsia" w:ascii="宋体" w:hAnsi="宋体" w:cs="Arial"/>
          <w:color w:val="auto"/>
          <w:sz w:val="21"/>
          <w:szCs w:val="21"/>
          <w:highlight w:val="none"/>
        </w:rPr>
      </w:pPr>
      <w:r>
        <w:rPr>
          <w:rFonts w:hint="eastAsia" w:ascii="宋体" w:hAnsi="宋体" w:cs="Arial"/>
          <w:color w:val="auto"/>
          <w:sz w:val="21"/>
          <w:szCs w:val="21"/>
          <w:highlight w:val="none"/>
        </w:rPr>
        <w:t>1、把安全桩放置在过往车辆行驶方向前方20米以外，作为防护提示设施，随走随设。</w:t>
      </w:r>
    </w:p>
    <w:p>
      <w:pPr>
        <w:autoSpaceDE w:val="0"/>
        <w:autoSpaceDN w:val="0"/>
        <w:adjustRightInd w:val="0"/>
        <w:spacing w:line="400" w:lineRule="exact"/>
        <w:ind w:firstLine="420" w:firstLineChars="200"/>
        <w:jc w:val="left"/>
        <w:textAlignment w:val="bottom"/>
        <w:rPr>
          <w:rFonts w:hint="eastAsia" w:ascii="宋体" w:hAnsi="宋体" w:cs="Arial"/>
          <w:color w:val="auto"/>
          <w:sz w:val="21"/>
          <w:szCs w:val="21"/>
          <w:highlight w:val="none"/>
        </w:rPr>
      </w:pPr>
      <w:r>
        <w:rPr>
          <w:rFonts w:hint="eastAsia" w:ascii="宋体" w:hAnsi="宋体" w:cs="Arial"/>
          <w:color w:val="auto"/>
          <w:sz w:val="21"/>
          <w:szCs w:val="21"/>
          <w:highlight w:val="none"/>
        </w:rPr>
        <w:t>2、用于道路作业的工具、材料应放置在作业区内或其他不影响正常交通的场所。</w:t>
      </w:r>
    </w:p>
    <w:p>
      <w:pPr>
        <w:autoSpaceDE w:val="0"/>
        <w:autoSpaceDN w:val="0"/>
        <w:adjustRightInd w:val="0"/>
        <w:spacing w:line="400" w:lineRule="exact"/>
        <w:ind w:firstLine="420" w:firstLineChars="200"/>
        <w:jc w:val="left"/>
        <w:textAlignment w:val="bottom"/>
        <w:rPr>
          <w:rFonts w:hint="eastAsia" w:ascii="宋体" w:hAnsi="宋体" w:cs="Arial"/>
          <w:color w:val="auto"/>
          <w:sz w:val="21"/>
          <w:szCs w:val="21"/>
          <w:highlight w:val="none"/>
        </w:rPr>
      </w:pPr>
      <w:r>
        <w:rPr>
          <w:rFonts w:hint="eastAsia" w:ascii="宋体" w:hAnsi="宋体" w:cs="Arial"/>
          <w:color w:val="auto"/>
          <w:sz w:val="21"/>
          <w:szCs w:val="21"/>
          <w:highlight w:val="none"/>
        </w:rPr>
        <w:t>3、在道路上进行定点作业，白天应设置锥形交通路标或路栏，夜间设置锥形交通路标或路栏及道路作业警示灯。</w:t>
      </w:r>
    </w:p>
    <w:p>
      <w:pPr>
        <w:autoSpaceDE w:val="0"/>
        <w:autoSpaceDN w:val="0"/>
        <w:adjustRightInd w:val="0"/>
        <w:spacing w:line="400" w:lineRule="exact"/>
        <w:ind w:firstLine="420" w:firstLineChars="200"/>
        <w:jc w:val="left"/>
        <w:textAlignment w:val="bottom"/>
        <w:rPr>
          <w:rFonts w:hint="eastAsia" w:ascii="宋体" w:hAnsi="宋体" w:cs="Arial"/>
          <w:color w:val="auto"/>
          <w:sz w:val="21"/>
          <w:szCs w:val="21"/>
          <w:highlight w:val="none"/>
        </w:rPr>
      </w:pPr>
      <w:r>
        <w:rPr>
          <w:rFonts w:hint="eastAsia" w:ascii="宋体" w:hAnsi="宋体" w:cs="Arial"/>
          <w:color w:val="auto"/>
          <w:sz w:val="21"/>
          <w:szCs w:val="21"/>
          <w:highlight w:val="none"/>
        </w:rPr>
        <w:t>4、恶劣天气下作业时，应穿好带安全反光的雨衣（裤），遇雷雨不可站于树下或金属导体附近躲雨。</w:t>
      </w:r>
    </w:p>
    <w:p>
      <w:pPr>
        <w:autoSpaceDE w:val="0"/>
        <w:autoSpaceDN w:val="0"/>
        <w:adjustRightInd w:val="0"/>
        <w:spacing w:line="400" w:lineRule="exact"/>
        <w:ind w:firstLine="420" w:firstLineChars="200"/>
        <w:jc w:val="left"/>
        <w:textAlignment w:val="bottom"/>
        <w:rPr>
          <w:rFonts w:ascii="宋体" w:hAnsi="宋体" w:cs="Arial"/>
          <w:color w:val="auto"/>
          <w:sz w:val="21"/>
          <w:szCs w:val="21"/>
          <w:highlight w:val="none"/>
        </w:rPr>
      </w:pPr>
      <w:r>
        <w:rPr>
          <w:rFonts w:hint="eastAsia" w:ascii="宋体" w:hAnsi="宋体" w:cs="Arial"/>
          <w:color w:val="auto"/>
          <w:sz w:val="21"/>
          <w:szCs w:val="21"/>
          <w:highlight w:val="none"/>
        </w:rPr>
        <w:t>5、夏季中午前后高温时段应增加道路机械清扫和冲洗频次，减少或暂时停止人员户外作业</w:t>
      </w:r>
      <w:r>
        <w:rPr>
          <w:rFonts w:ascii="宋体" w:hAnsi="宋体" w:cs="Arial"/>
          <w:color w:val="auto"/>
          <w:sz w:val="21"/>
          <w:szCs w:val="21"/>
          <w:highlight w:val="none"/>
        </w:rPr>
        <w:t>。</w:t>
      </w:r>
    </w:p>
    <w:p>
      <w:pPr>
        <w:autoSpaceDE w:val="0"/>
        <w:autoSpaceDN w:val="0"/>
        <w:adjustRightInd w:val="0"/>
        <w:spacing w:line="400" w:lineRule="exact"/>
        <w:ind w:firstLine="422" w:firstLineChars="200"/>
        <w:jc w:val="left"/>
        <w:textAlignment w:val="bottom"/>
        <w:rPr>
          <w:rFonts w:ascii="宋体" w:hAnsi="宋体" w:cs="Arial"/>
          <w:b/>
          <w:color w:val="auto"/>
          <w:sz w:val="21"/>
          <w:szCs w:val="21"/>
          <w:highlight w:val="none"/>
        </w:rPr>
      </w:pPr>
      <w:bookmarkStart w:id="236" w:name="_Toc17781"/>
      <w:r>
        <w:rPr>
          <w:rFonts w:ascii="宋体" w:hAnsi="宋体" w:cs="Arial"/>
          <w:b/>
          <w:color w:val="auto"/>
          <w:sz w:val="21"/>
          <w:szCs w:val="21"/>
          <w:highlight w:val="none"/>
        </w:rPr>
        <w:t>（五）水域保洁安全要求</w:t>
      </w:r>
      <w:bookmarkEnd w:id="236"/>
    </w:p>
    <w:p>
      <w:pPr>
        <w:autoSpaceDE w:val="0"/>
        <w:autoSpaceDN w:val="0"/>
        <w:adjustRightInd w:val="0"/>
        <w:spacing w:line="400" w:lineRule="exact"/>
        <w:ind w:firstLine="420" w:firstLineChars="200"/>
        <w:jc w:val="left"/>
        <w:textAlignment w:val="bottom"/>
        <w:rPr>
          <w:rFonts w:hint="eastAsia" w:ascii="宋体" w:hAnsi="宋体" w:cs="Arial"/>
          <w:color w:val="auto"/>
          <w:sz w:val="21"/>
          <w:szCs w:val="21"/>
          <w:highlight w:val="none"/>
        </w:rPr>
      </w:pPr>
      <w:r>
        <w:rPr>
          <w:rFonts w:hint="eastAsia" w:ascii="宋体" w:hAnsi="宋体" w:cs="Arial"/>
          <w:color w:val="auto"/>
          <w:sz w:val="21"/>
          <w:szCs w:val="21"/>
          <w:highlight w:val="none"/>
        </w:rPr>
        <w:t>1、保洁船上应备有救生圈、救生绳、长竹竿、警示照明灯、电喇叭等应急用品。</w:t>
      </w:r>
    </w:p>
    <w:p>
      <w:pPr>
        <w:autoSpaceDE w:val="0"/>
        <w:autoSpaceDN w:val="0"/>
        <w:adjustRightInd w:val="0"/>
        <w:spacing w:line="400" w:lineRule="exact"/>
        <w:ind w:firstLine="420" w:firstLineChars="200"/>
        <w:jc w:val="left"/>
        <w:textAlignment w:val="bottom"/>
        <w:rPr>
          <w:rFonts w:hint="eastAsia" w:ascii="宋体" w:hAnsi="宋体" w:cs="Arial"/>
          <w:color w:val="auto"/>
          <w:sz w:val="21"/>
          <w:szCs w:val="21"/>
          <w:highlight w:val="none"/>
        </w:rPr>
      </w:pPr>
      <w:r>
        <w:rPr>
          <w:rFonts w:hint="eastAsia" w:ascii="宋体" w:hAnsi="宋体" w:cs="Arial"/>
          <w:color w:val="auto"/>
          <w:sz w:val="21"/>
          <w:szCs w:val="21"/>
          <w:highlight w:val="none"/>
        </w:rPr>
        <w:t>2、保洁船在行驶过程中，遇到有人在河埠头等设施进行亲水活动时应减速慢行。</w:t>
      </w:r>
    </w:p>
    <w:p>
      <w:pPr>
        <w:autoSpaceDE w:val="0"/>
        <w:autoSpaceDN w:val="0"/>
        <w:adjustRightInd w:val="0"/>
        <w:spacing w:line="400" w:lineRule="exact"/>
        <w:ind w:firstLine="420" w:firstLineChars="200"/>
        <w:jc w:val="left"/>
        <w:textAlignment w:val="bottom"/>
        <w:rPr>
          <w:rFonts w:hint="eastAsia" w:ascii="宋体" w:hAnsi="宋体" w:cs="Arial"/>
          <w:color w:val="auto"/>
          <w:sz w:val="21"/>
          <w:szCs w:val="21"/>
          <w:highlight w:val="none"/>
        </w:rPr>
      </w:pPr>
      <w:r>
        <w:rPr>
          <w:rFonts w:hint="eastAsia" w:ascii="宋体" w:hAnsi="宋体" w:cs="Arial"/>
          <w:color w:val="auto"/>
          <w:sz w:val="21"/>
          <w:szCs w:val="21"/>
          <w:highlight w:val="none"/>
        </w:rPr>
        <w:t>3、应随时注意附近的其他船舶，主动避让，防止发生意外。</w:t>
      </w:r>
    </w:p>
    <w:p>
      <w:pPr>
        <w:autoSpaceDE w:val="0"/>
        <w:autoSpaceDN w:val="0"/>
        <w:adjustRightInd w:val="0"/>
        <w:spacing w:line="400" w:lineRule="exact"/>
        <w:ind w:firstLine="420" w:firstLineChars="200"/>
        <w:jc w:val="left"/>
        <w:textAlignment w:val="bottom"/>
        <w:rPr>
          <w:rFonts w:hint="eastAsia" w:ascii="宋体" w:hAnsi="宋体" w:cs="Arial"/>
          <w:color w:val="auto"/>
          <w:sz w:val="21"/>
          <w:szCs w:val="21"/>
          <w:highlight w:val="none"/>
        </w:rPr>
      </w:pPr>
      <w:r>
        <w:rPr>
          <w:rFonts w:hint="eastAsia" w:ascii="宋体" w:hAnsi="宋体" w:cs="Arial"/>
          <w:color w:val="auto"/>
          <w:sz w:val="21"/>
          <w:szCs w:val="21"/>
          <w:highlight w:val="none"/>
        </w:rPr>
        <w:t>4、船舶通过桥梁、管线等跨河建（构）筑物时应观察上空情况，在流水中作业时不应熄火，定点作业时应系好缆绳。</w:t>
      </w:r>
    </w:p>
    <w:p>
      <w:pPr>
        <w:autoSpaceDE w:val="0"/>
        <w:autoSpaceDN w:val="0"/>
        <w:adjustRightInd w:val="0"/>
        <w:spacing w:line="400" w:lineRule="exact"/>
        <w:ind w:firstLine="420" w:firstLineChars="200"/>
        <w:jc w:val="left"/>
        <w:textAlignment w:val="bottom"/>
        <w:rPr>
          <w:rFonts w:hint="eastAsia" w:ascii="宋体" w:hAnsi="宋体" w:cs="Arial"/>
          <w:color w:val="auto"/>
          <w:sz w:val="21"/>
          <w:szCs w:val="21"/>
          <w:highlight w:val="none"/>
        </w:rPr>
      </w:pPr>
      <w:r>
        <w:rPr>
          <w:rFonts w:hint="eastAsia" w:ascii="宋体" w:hAnsi="宋体" w:cs="Arial"/>
          <w:color w:val="auto"/>
          <w:sz w:val="21"/>
          <w:szCs w:val="21"/>
          <w:highlight w:val="none"/>
        </w:rPr>
        <w:t>5、船舶装载垃圾不应超重。</w:t>
      </w:r>
    </w:p>
    <w:p>
      <w:pPr>
        <w:autoSpaceDE w:val="0"/>
        <w:autoSpaceDN w:val="0"/>
        <w:adjustRightInd w:val="0"/>
        <w:spacing w:line="400" w:lineRule="exact"/>
        <w:ind w:firstLine="420" w:firstLineChars="200"/>
        <w:jc w:val="left"/>
        <w:textAlignment w:val="bottom"/>
        <w:rPr>
          <w:rFonts w:hint="eastAsia" w:ascii="宋体" w:hAnsi="宋体" w:cs="Arial"/>
          <w:color w:val="auto"/>
          <w:sz w:val="21"/>
          <w:szCs w:val="21"/>
          <w:highlight w:val="none"/>
        </w:rPr>
      </w:pPr>
      <w:r>
        <w:rPr>
          <w:rFonts w:hint="eastAsia" w:ascii="宋体" w:hAnsi="宋体" w:cs="Arial"/>
          <w:color w:val="auto"/>
          <w:sz w:val="21"/>
          <w:szCs w:val="21"/>
          <w:highlight w:val="none"/>
        </w:rPr>
        <w:t>6、遇台风和雷暴雨等恶劣天气应停止水上作业及堤岸保洁作业，并将船只停靠安全地点。</w:t>
      </w:r>
    </w:p>
    <w:p>
      <w:pPr>
        <w:autoSpaceDE w:val="0"/>
        <w:autoSpaceDN w:val="0"/>
        <w:adjustRightInd w:val="0"/>
        <w:spacing w:line="400" w:lineRule="exact"/>
        <w:ind w:firstLine="420" w:firstLineChars="200"/>
        <w:jc w:val="left"/>
        <w:textAlignment w:val="bottom"/>
        <w:rPr>
          <w:rFonts w:hint="eastAsia" w:ascii="宋体" w:hAnsi="宋体" w:cs="Arial"/>
          <w:color w:val="auto"/>
          <w:sz w:val="21"/>
          <w:szCs w:val="21"/>
          <w:highlight w:val="none"/>
        </w:rPr>
      </w:pPr>
      <w:r>
        <w:rPr>
          <w:rFonts w:hint="eastAsia" w:ascii="宋体" w:hAnsi="宋体" w:cs="Arial"/>
          <w:color w:val="auto"/>
          <w:sz w:val="21"/>
          <w:szCs w:val="21"/>
          <w:highlight w:val="none"/>
        </w:rPr>
        <w:t>7、违章小广告清理的安全要求</w:t>
      </w:r>
    </w:p>
    <w:p>
      <w:pPr>
        <w:autoSpaceDE w:val="0"/>
        <w:autoSpaceDN w:val="0"/>
        <w:adjustRightInd w:val="0"/>
        <w:spacing w:line="400" w:lineRule="exact"/>
        <w:ind w:firstLine="420" w:firstLineChars="200"/>
        <w:jc w:val="left"/>
        <w:textAlignment w:val="bottom"/>
        <w:rPr>
          <w:rFonts w:hint="eastAsia" w:ascii="宋体" w:hAnsi="宋体" w:cs="Arial"/>
          <w:color w:val="auto"/>
          <w:sz w:val="21"/>
          <w:szCs w:val="21"/>
          <w:highlight w:val="none"/>
        </w:rPr>
      </w:pPr>
      <w:r>
        <w:rPr>
          <w:rFonts w:hint="eastAsia" w:ascii="宋体" w:hAnsi="宋体" w:cs="Arial"/>
          <w:color w:val="auto"/>
          <w:sz w:val="21"/>
          <w:szCs w:val="21"/>
          <w:highlight w:val="none"/>
        </w:rPr>
        <w:t>8、清理高处的小广告前，应检查所用的机械或折梯的各个部件。</w:t>
      </w:r>
    </w:p>
    <w:p>
      <w:pPr>
        <w:autoSpaceDE w:val="0"/>
        <w:autoSpaceDN w:val="0"/>
        <w:adjustRightInd w:val="0"/>
        <w:spacing w:line="400" w:lineRule="exact"/>
        <w:ind w:firstLine="420" w:firstLineChars="200"/>
        <w:jc w:val="left"/>
        <w:textAlignment w:val="bottom"/>
        <w:rPr>
          <w:rFonts w:ascii="宋体" w:hAnsi="宋体" w:cs="Arial"/>
          <w:color w:val="auto"/>
          <w:sz w:val="21"/>
          <w:szCs w:val="21"/>
          <w:highlight w:val="none"/>
        </w:rPr>
      </w:pPr>
      <w:r>
        <w:rPr>
          <w:rFonts w:hint="eastAsia" w:ascii="宋体" w:hAnsi="宋体" w:cs="Arial"/>
          <w:color w:val="auto"/>
          <w:sz w:val="21"/>
          <w:szCs w:val="21"/>
          <w:highlight w:val="none"/>
        </w:rPr>
        <w:t>9、上梯操作应系好安全带、安全绳，穿胶底鞋，不穿带“钉”鞋；铲刀应栓绳套，套在手腕上，防止掉下砸伤人</w:t>
      </w:r>
      <w:r>
        <w:rPr>
          <w:rFonts w:ascii="宋体" w:hAnsi="宋体" w:cs="Arial"/>
          <w:color w:val="auto"/>
          <w:sz w:val="21"/>
          <w:szCs w:val="21"/>
          <w:highlight w:val="none"/>
        </w:rPr>
        <w:t>。</w:t>
      </w:r>
    </w:p>
    <w:p>
      <w:pPr>
        <w:autoSpaceDE w:val="0"/>
        <w:autoSpaceDN w:val="0"/>
        <w:adjustRightInd w:val="0"/>
        <w:spacing w:line="400" w:lineRule="exact"/>
        <w:ind w:firstLine="422" w:firstLineChars="200"/>
        <w:jc w:val="left"/>
        <w:textAlignment w:val="bottom"/>
        <w:rPr>
          <w:rFonts w:ascii="宋体" w:hAnsi="宋体" w:cs="Arial"/>
          <w:b/>
          <w:color w:val="auto"/>
          <w:sz w:val="21"/>
          <w:szCs w:val="21"/>
          <w:highlight w:val="none"/>
        </w:rPr>
      </w:pPr>
      <w:bookmarkStart w:id="237" w:name="_Toc20335"/>
      <w:r>
        <w:rPr>
          <w:rFonts w:ascii="宋体" w:hAnsi="宋体" w:cs="Arial"/>
          <w:b/>
          <w:color w:val="auto"/>
          <w:sz w:val="21"/>
          <w:szCs w:val="21"/>
          <w:highlight w:val="none"/>
        </w:rPr>
        <w:t>（六）突发公共卫生事件安全防治要求</w:t>
      </w:r>
      <w:bookmarkEnd w:id="237"/>
    </w:p>
    <w:p>
      <w:pPr>
        <w:autoSpaceDE w:val="0"/>
        <w:autoSpaceDN w:val="0"/>
        <w:adjustRightInd w:val="0"/>
        <w:spacing w:line="400" w:lineRule="exact"/>
        <w:ind w:firstLine="420" w:firstLineChars="200"/>
        <w:jc w:val="left"/>
        <w:textAlignment w:val="bottom"/>
        <w:rPr>
          <w:rFonts w:hint="eastAsia" w:ascii="宋体" w:hAnsi="宋体" w:cs="Arial"/>
          <w:color w:val="auto"/>
          <w:sz w:val="21"/>
          <w:szCs w:val="21"/>
          <w:highlight w:val="none"/>
        </w:rPr>
      </w:pPr>
      <w:r>
        <w:rPr>
          <w:rFonts w:hint="eastAsia" w:ascii="宋体" w:hAnsi="宋体" w:cs="Arial"/>
          <w:color w:val="auto"/>
          <w:sz w:val="21"/>
          <w:szCs w:val="21"/>
          <w:highlight w:val="none"/>
        </w:rPr>
        <w:t>1、发生突发公共卫生事件期间，中标单位应配合市容环境卫生行政主管部门，按照应急预案的要求做好垃圾、粪便的清运、处置。</w:t>
      </w:r>
    </w:p>
    <w:p>
      <w:pPr>
        <w:autoSpaceDE w:val="0"/>
        <w:autoSpaceDN w:val="0"/>
        <w:adjustRightInd w:val="0"/>
        <w:spacing w:line="400" w:lineRule="exact"/>
        <w:ind w:firstLine="420" w:firstLineChars="200"/>
        <w:jc w:val="left"/>
        <w:textAlignment w:val="bottom"/>
        <w:rPr>
          <w:rFonts w:hint="eastAsia" w:ascii="宋体" w:hAnsi="宋体" w:cs="Arial"/>
          <w:color w:val="auto"/>
          <w:sz w:val="21"/>
          <w:szCs w:val="21"/>
          <w:highlight w:val="none"/>
        </w:rPr>
      </w:pPr>
      <w:r>
        <w:rPr>
          <w:rFonts w:hint="eastAsia" w:ascii="宋体" w:hAnsi="宋体" w:cs="Arial"/>
          <w:color w:val="auto"/>
          <w:sz w:val="21"/>
          <w:szCs w:val="21"/>
          <w:highlight w:val="none"/>
        </w:rPr>
        <w:t>2、中标单位准备足量的</w:t>
      </w:r>
      <w:r>
        <w:rPr>
          <w:rFonts w:hint="eastAsia" w:ascii="宋体" w:hAnsi="宋体" w:cs="Arial"/>
          <w:b/>
          <w:color w:val="auto"/>
          <w:sz w:val="21"/>
          <w:szCs w:val="21"/>
          <w:highlight w:val="none"/>
        </w:rPr>
        <w:t>突发公共卫生事件所需</w:t>
      </w:r>
      <w:r>
        <w:rPr>
          <w:rFonts w:hint="eastAsia" w:ascii="宋体" w:hAnsi="宋体" w:cs="Arial"/>
          <w:color w:val="auto"/>
          <w:sz w:val="21"/>
          <w:szCs w:val="21"/>
          <w:highlight w:val="none"/>
        </w:rPr>
        <w:t>防护物品，向一线环卫工人提供口罩、手套、防护服等防护用品，监督每位工人穿戴好防护装备方可上岗。</w:t>
      </w:r>
    </w:p>
    <w:p>
      <w:pPr>
        <w:autoSpaceDE w:val="0"/>
        <w:autoSpaceDN w:val="0"/>
        <w:adjustRightInd w:val="0"/>
        <w:spacing w:line="400" w:lineRule="exact"/>
        <w:ind w:firstLine="420" w:firstLineChars="200"/>
        <w:jc w:val="left"/>
        <w:textAlignment w:val="bottom"/>
        <w:rPr>
          <w:rFonts w:hint="eastAsia" w:ascii="宋体" w:hAnsi="宋体" w:cs="Arial"/>
          <w:color w:val="auto"/>
          <w:sz w:val="21"/>
          <w:szCs w:val="21"/>
          <w:highlight w:val="none"/>
        </w:rPr>
      </w:pPr>
      <w:r>
        <w:rPr>
          <w:rFonts w:hint="eastAsia" w:ascii="宋体" w:hAnsi="宋体" w:cs="Arial"/>
          <w:color w:val="auto"/>
          <w:sz w:val="21"/>
          <w:szCs w:val="21"/>
          <w:highlight w:val="none"/>
        </w:rPr>
        <w:t>3、购买检测设备，如电子体温计、检测试纸等，每日分时段监测一线环卫工人的健康状况，在中转站或环卫宿舍设置检测点，并记录每位工人的健康状况，如发现工人身体不适应马上就近就医治疗。</w:t>
      </w:r>
    </w:p>
    <w:p>
      <w:pPr>
        <w:autoSpaceDE w:val="0"/>
        <w:autoSpaceDN w:val="0"/>
        <w:adjustRightInd w:val="0"/>
        <w:spacing w:line="400" w:lineRule="exact"/>
        <w:ind w:firstLine="420" w:firstLineChars="200"/>
        <w:jc w:val="left"/>
        <w:textAlignment w:val="bottom"/>
        <w:rPr>
          <w:rFonts w:ascii="宋体" w:hAnsi="宋体" w:cs="Arial"/>
          <w:color w:val="auto"/>
          <w:sz w:val="21"/>
          <w:szCs w:val="21"/>
          <w:highlight w:val="none"/>
        </w:rPr>
      </w:pPr>
      <w:r>
        <w:rPr>
          <w:rFonts w:hint="eastAsia" w:ascii="宋体" w:hAnsi="宋体" w:cs="Arial"/>
          <w:color w:val="auto"/>
          <w:sz w:val="21"/>
          <w:szCs w:val="21"/>
          <w:highlight w:val="none"/>
        </w:rPr>
        <w:t>4、每日安排对保洁车辆、清运车辆、垃圾收集容器进行冲洗和消毒。对环卫工人宿舍、公厕、中转站等场所进行消毒</w:t>
      </w:r>
      <w:r>
        <w:rPr>
          <w:rFonts w:ascii="宋体" w:hAnsi="宋体" w:cs="Arial"/>
          <w:color w:val="auto"/>
          <w:sz w:val="21"/>
          <w:szCs w:val="21"/>
          <w:highlight w:val="none"/>
        </w:rPr>
        <w:t>。</w:t>
      </w:r>
    </w:p>
    <w:p>
      <w:pPr>
        <w:adjustRightInd w:val="0"/>
        <w:snapToGrid w:val="0"/>
        <w:spacing w:line="400" w:lineRule="exact"/>
        <w:jc w:val="left"/>
        <w:outlineLvl w:val="1"/>
        <w:rPr>
          <w:rFonts w:ascii="宋体" w:hAnsi="宋体"/>
          <w:b/>
          <w:color w:val="auto"/>
          <w:sz w:val="21"/>
          <w:szCs w:val="21"/>
          <w:highlight w:val="none"/>
        </w:rPr>
      </w:pPr>
      <w:bookmarkStart w:id="238" w:name="_Toc105435664"/>
      <w:bookmarkStart w:id="239" w:name="_Toc9956"/>
      <w:bookmarkStart w:id="240" w:name="_Toc104190737"/>
      <w:bookmarkStart w:id="241" w:name="_Toc72407424"/>
      <w:bookmarkStart w:id="242" w:name="_Toc105435722"/>
      <w:bookmarkStart w:id="243" w:name="_Toc105435536"/>
      <w:bookmarkStart w:id="244" w:name="_Toc105438770"/>
      <w:bookmarkStart w:id="245" w:name="_Toc105438822"/>
      <w:bookmarkStart w:id="246" w:name="_Toc18247"/>
      <w:bookmarkStart w:id="247" w:name="_Toc13732"/>
      <w:bookmarkStart w:id="248" w:name="_Toc31358"/>
      <w:r>
        <w:rPr>
          <w:rFonts w:hint="eastAsia" w:ascii="宋体" w:hAnsi="宋体"/>
          <w:b/>
          <w:color w:val="auto"/>
          <w:sz w:val="21"/>
          <w:szCs w:val="21"/>
          <w:highlight w:val="none"/>
        </w:rPr>
        <w:t>九</w:t>
      </w:r>
      <w:r>
        <w:rPr>
          <w:rFonts w:ascii="宋体" w:hAnsi="宋体"/>
          <w:b/>
          <w:color w:val="auto"/>
          <w:sz w:val="21"/>
          <w:szCs w:val="21"/>
          <w:highlight w:val="none"/>
        </w:rPr>
        <w:t>、服务期限</w:t>
      </w:r>
      <w:bookmarkEnd w:id="238"/>
      <w:bookmarkEnd w:id="239"/>
      <w:bookmarkEnd w:id="240"/>
      <w:bookmarkEnd w:id="241"/>
      <w:bookmarkEnd w:id="242"/>
      <w:bookmarkEnd w:id="243"/>
      <w:bookmarkEnd w:id="244"/>
      <w:bookmarkEnd w:id="245"/>
      <w:bookmarkEnd w:id="246"/>
      <w:bookmarkEnd w:id="247"/>
      <w:bookmarkEnd w:id="248"/>
    </w:p>
    <w:p>
      <w:pPr>
        <w:snapToGrid w:val="0"/>
        <w:spacing w:line="400" w:lineRule="exact"/>
        <w:ind w:firstLine="422" w:firstLineChars="200"/>
        <w:jc w:val="left"/>
        <w:rPr>
          <w:rFonts w:ascii="宋体" w:hAnsi="宋体" w:cs="Arial"/>
          <w:b/>
          <w:color w:val="auto"/>
          <w:sz w:val="21"/>
          <w:szCs w:val="21"/>
          <w:highlight w:val="none"/>
        </w:rPr>
      </w:pPr>
      <w:bookmarkStart w:id="249" w:name="_Hlk498084903"/>
      <w:r>
        <w:rPr>
          <w:rFonts w:ascii="宋体" w:hAnsi="宋体" w:cs="Arial"/>
          <w:b/>
          <w:color w:val="auto"/>
          <w:sz w:val="21"/>
          <w:szCs w:val="21"/>
          <w:highlight w:val="none"/>
        </w:rPr>
        <w:t>（一）本项目服务期限</w:t>
      </w:r>
      <w:r>
        <w:rPr>
          <w:rFonts w:hint="eastAsia" w:ascii="宋体" w:hAnsi="宋体" w:cs="Arial"/>
          <w:b/>
          <w:color w:val="auto"/>
          <w:sz w:val="21"/>
          <w:szCs w:val="21"/>
          <w:highlight w:val="none"/>
        </w:rPr>
        <w:t>两年</w:t>
      </w:r>
      <w:r>
        <w:rPr>
          <w:rFonts w:ascii="宋体" w:hAnsi="宋体" w:cs="Arial"/>
          <w:b/>
          <w:color w:val="auto"/>
          <w:sz w:val="21"/>
          <w:szCs w:val="21"/>
          <w:highlight w:val="none"/>
        </w:rPr>
        <w:t>，</w:t>
      </w:r>
      <w:r>
        <w:rPr>
          <w:rFonts w:hint="eastAsia" w:ascii="宋体" w:hAnsi="宋体" w:cs="Arial"/>
          <w:b/>
          <w:color w:val="auto"/>
          <w:sz w:val="21"/>
          <w:szCs w:val="21"/>
          <w:highlight w:val="none"/>
        </w:rPr>
        <w:t>合同一年一签</w:t>
      </w:r>
      <w:r>
        <w:rPr>
          <w:rFonts w:ascii="宋体" w:hAnsi="宋体" w:cs="Arial"/>
          <w:b/>
          <w:color w:val="auto"/>
          <w:sz w:val="21"/>
          <w:szCs w:val="21"/>
          <w:highlight w:val="none"/>
        </w:rPr>
        <w:t>。</w:t>
      </w:r>
      <w:r>
        <w:rPr>
          <w:rFonts w:hint="eastAsia" w:ascii="宋体" w:hAnsi="宋体" w:cs="Arial"/>
          <w:b/>
          <w:color w:val="auto"/>
          <w:sz w:val="21"/>
          <w:szCs w:val="21"/>
          <w:highlight w:val="none"/>
        </w:rPr>
        <w:t>即</w:t>
      </w:r>
      <w:r>
        <w:rPr>
          <w:rFonts w:ascii="宋体" w:hAnsi="宋体" w:cs="Arial"/>
          <w:b/>
          <w:color w:val="auto"/>
          <w:sz w:val="21"/>
          <w:szCs w:val="21"/>
          <w:highlight w:val="none"/>
        </w:rPr>
        <w:t>1年期满后，若</w:t>
      </w:r>
      <w:r>
        <w:rPr>
          <w:rFonts w:hint="eastAsia" w:ascii="宋体" w:hAnsi="宋体" w:cs="Arial"/>
          <w:b/>
          <w:color w:val="auto"/>
          <w:sz w:val="21"/>
          <w:szCs w:val="21"/>
          <w:highlight w:val="none"/>
          <w:lang w:eastAsia="zh-CN"/>
        </w:rPr>
        <w:t>瑶溪街道</w:t>
      </w:r>
      <w:r>
        <w:rPr>
          <w:rFonts w:ascii="宋体" w:hAnsi="宋体" w:cs="Arial"/>
          <w:b/>
          <w:color w:val="auto"/>
          <w:sz w:val="21"/>
          <w:szCs w:val="21"/>
          <w:highlight w:val="none"/>
        </w:rPr>
        <w:t>对中标单位的考核结果为合格且未触发下列第（</w:t>
      </w:r>
      <w:r>
        <w:rPr>
          <w:rFonts w:hint="eastAsia" w:ascii="宋体" w:hAnsi="宋体" w:cs="Arial"/>
          <w:b/>
          <w:color w:val="auto"/>
          <w:sz w:val="21"/>
          <w:szCs w:val="21"/>
          <w:highlight w:val="none"/>
        </w:rPr>
        <w:t>二</w:t>
      </w:r>
      <w:r>
        <w:rPr>
          <w:rFonts w:ascii="宋体" w:hAnsi="宋体" w:cs="Arial"/>
          <w:b/>
          <w:color w:val="auto"/>
          <w:sz w:val="21"/>
          <w:szCs w:val="21"/>
          <w:highlight w:val="none"/>
        </w:rPr>
        <w:t>）款不续签或终止合同条件的，可以续签下年合同；若中标方有违约行为或经考核不合格并触发退出条件的，</w:t>
      </w:r>
      <w:r>
        <w:rPr>
          <w:rFonts w:hint="eastAsia" w:ascii="宋体" w:hAnsi="宋体" w:cs="Arial"/>
          <w:b/>
          <w:color w:val="auto"/>
          <w:sz w:val="21"/>
          <w:szCs w:val="21"/>
          <w:highlight w:val="none"/>
          <w:lang w:eastAsia="zh-CN"/>
        </w:rPr>
        <w:t>采购人</w:t>
      </w:r>
      <w:r>
        <w:rPr>
          <w:rFonts w:ascii="宋体" w:hAnsi="宋体" w:cs="Arial"/>
          <w:b/>
          <w:color w:val="auto"/>
          <w:sz w:val="21"/>
          <w:szCs w:val="21"/>
          <w:highlight w:val="none"/>
        </w:rPr>
        <w:t>有权按招标文件、合同约定，或按考核办法单方面解除合同或不续签下一年合同。</w:t>
      </w:r>
    </w:p>
    <w:p>
      <w:pPr>
        <w:snapToGrid w:val="0"/>
        <w:spacing w:line="400" w:lineRule="exact"/>
        <w:ind w:firstLine="422" w:firstLineChars="200"/>
        <w:jc w:val="left"/>
        <w:rPr>
          <w:rFonts w:ascii="宋体" w:hAnsi="宋体" w:cs="Arial"/>
          <w:b/>
          <w:color w:val="auto"/>
          <w:sz w:val="21"/>
          <w:szCs w:val="21"/>
          <w:highlight w:val="none"/>
        </w:rPr>
      </w:pPr>
      <w:r>
        <w:rPr>
          <w:rFonts w:ascii="宋体" w:hAnsi="宋体" w:cs="Arial"/>
          <w:b/>
          <w:color w:val="auto"/>
          <w:sz w:val="21"/>
          <w:szCs w:val="21"/>
          <w:highlight w:val="none"/>
        </w:rPr>
        <w:t>（</w:t>
      </w:r>
      <w:r>
        <w:rPr>
          <w:rFonts w:hint="eastAsia" w:ascii="宋体" w:hAnsi="宋体" w:cs="Arial"/>
          <w:b/>
          <w:color w:val="auto"/>
          <w:sz w:val="21"/>
          <w:szCs w:val="21"/>
          <w:highlight w:val="none"/>
        </w:rPr>
        <w:t>二</w:t>
      </w:r>
      <w:r>
        <w:rPr>
          <w:rFonts w:ascii="宋体" w:hAnsi="宋体" w:cs="Arial"/>
          <w:b/>
          <w:color w:val="auto"/>
          <w:sz w:val="21"/>
          <w:szCs w:val="21"/>
          <w:highlight w:val="none"/>
        </w:rPr>
        <w:t>）本项目有下列情形的，采购人有权不续签或终止合同：</w:t>
      </w:r>
    </w:p>
    <w:p>
      <w:pPr>
        <w:snapToGrid w:val="0"/>
        <w:spacing w:line="400" w:lineRule="exact"/>
        <w:ind w:firstLine="422" w:firstLineChars="200"/>
        <w:jc w:val="left"/>
        <w:rPr>
          <w:rFonts w:hint="eastAsia" w:ascii="宋体" w:hAnsi="宋体" w:cs="Arial"/>
          <w:b/>
          <w:color w:val="auto"/>
          <w:sz w:val="21"/>
          <w:szCs w:val="21"/>
          <w:highlight w:val="none"/>
        </w:rPr>
      </w:pPr>
      <w:r>
        <w:rPr>
          <w:rFonts w:hint="eastAsia" w:ascii="宋体" w:hAnsi="宋体" w:cs="Arial"/>
          <w:b/>
          <w:color w:val="auto"/>
          <w:sz w:val="21"/>
          <w:szCs w:val="21"/>
          <w:highlight w:val="none"/>
        </w:rPr>
        <w:t xml:space="preserve">1、本项目遇不可抗力影响或法律、法规、国家政策重大调整影响合同无法执行的； </w:t>
      </w:r>
    </w:p>
    <w:p>
      <w:pPr>
        <w:snapToGrid w:val="0"/>
        <w:spacing w:line="400" w:lineRule="exact"/>
        <w:ind w:firstLine="422" w:firstLineChars="200"/>
        <w:jc w:val="left"/>
        <w:rPr>
          <w:rFonts w:hint="eastAsia" w:ascii="宋体" w:hAnsi="宋体" w:cs="Arial"/>
          <w:b/>
          <w:color w:val="auto"/>
          <w:sz w:val="21"/>
          <w:szCs w:val="21"/>
          <w:highlight w:val="none"/>
        </w:rPr>
      </w:pPr>
      <w:r>
        <w:rPr>
          <w:rFonts w:hint="eastAsia" w:ascii="宋体" w:hAnsi="宋体" w:cs="Arial"/>
          <w:b/>
          <w:color w:val="auto"/>
          <w:sz w:val="21"/>
          <w:szCs w:val="21"/>
          <w:highlight w:val="none"/>
        </w:rPr>
        <w:t>2、实际投入人员、机械车辆、船只与投标文件承诺不符合，拒不履行投标承诺的中标单位（未按采购文件规定时间人员、机械车辆、船只到位，达到解除合同条件的），采购人有权无责任终止采购合同。</w:t>
      </w:r>
    </w:p>
    <w:p>
      <w:pPr>
        <w:snapToGrid w:val="0"/>
        <w:spacing w:line="400" w:lineRule="exact"/>
        <w:ind w:firstLine="422" w:firstLineChars="200"/>
        <w:jc w:val="left"/>
        <w:rPr>
          <w:rFonts w:hint="eastAsia" w:ascii="宋体" w:hAnsi="宋体" w:cs="Arial"/>
          <w:b/>
          <w:color w:val="auto"/>
          <w:sz w:val="21"/>
          <w:szCs w:val="21"/>
          <w:highlight w:val="none"/>
        </w:rPr>
      </w:pPr>
      <w:r>
        <w:rPr>
          <w:rFonts w:hint="eastAsia" w:ascii="宋体" w:hAnsi="宋体" w:cs="Arial"/>
          <w:b/>
          <w:color w:val="auto"/>
          <w:sz w:val="21"/>
          <w:szCs w:val="21"/>
          <w:highlight w:val="none"/>
        </w:rPr>
        <w:t>3、按相关法律、法规、采购文件规定及考核办法，有下列情形之一的，采购人有权不续签或终止合同：</w:t>
      </w:r>
    </w:p>
    <w:p>
      <w:pPr>
        <w:snapToGrid w:val="0"/>
        <w:spacing w:line="400" w:lineRule="exact"/>
        <w:ind w:firstLine="422" w:firstLineChars="200"/>
        <w:jc w:val="left"/>
        <w:rPr>
          <w:rFonts w:hint="eastAsia" w:ascii="宋体" w:hAnsi="宋体" w:cs="Arial"/>
          <w:b/>
          <w:color w:val="auto"/>
          <w:sz w:val="21"/>
          <w:szCs w:val="21"/>
          <w:highlight w:val="none"/>
        </w:rPr>
      </w:pPr>
      <w:r>
        <w:rPr>
          <w:rFonts w:hint="eastAsia" w:ascii="宋体" w:hAnsi="宋体" w:cs="Arial"/>
          <w:b/>
          <w:color w:val="auto"/>
          <w:sz w:val="21"/>
          <w:szCs w:val="21"/>
          <w:highlight w:val="none"/>
        </w:rPr>
        <w:t>（1）本项目12个月内中标单位在龙湾区环卫保洁考核排名前3名少于7个月的，或考核排名倒数后2名累计3次的，采购人有权不续签合同。</w:t>
      </w:r>
    </w:p>
    <w:p>
      <w:pPr>
        <w:snapToGrid w:val="0"/>
        <w:spacing w:line="400" w:lineRule="exact"/>
        <w:ind w:firstLine="422" w:firstLineChars="200"/>
        <w:jc w:val="left"/>
        <w:rPr>
          <w:rFonts w:hint="eastAsia" w:ascii="宋体" w:hAnsi="宋体" w:cs="Arial"/>
          <w:b/>
          <w:color w:val="auto"/>
          <w:sz w:val="21"/>
          <w:szCs w:val="21"/>
          <w:highlight w:val="none"/>
        </w:rPr>
      </w:pPr>
      <w:r>
        <w:rPr>
          <w:rFonts w:hint="eastAsia" w:ascii="宋体" w:hAnsi="宋体" w:cs="Arial"/>
          <w:b/>
          <w:color w:val="auto"/>
          <w:sz w:val="21"/>
          <w:szCs w:val="21"/>
          <w:highlight w:val="none"/>
        </w:rPr>
        <w:t>（2）连续2个月（或全年累计3个月）考核不合格的，采购人有权无责任终止采购合同。</w:t>
      </w:r>
    </w:p>
    <w:p>
      <w:pPr>
        <w:snapToGrid w:val="0"/>
        <w:spacing w:line="400" w:lineRule="exact"/>
        <w:ind w:firstLine="422" w:firstLineChars="200"/>
        <w:jc w:val="left"/>
        <w:rPr>
          <w:rFonts w:hint="eastAsia" w:ascii="宋体" w:hAnsi="宋体" w:cs="Arial"/>
          <w:b/>
          <w:color w:val="auto"/>
          <w:sz w:val="21"/>
          <w:szCs w:val="21"/>
          <w:highlight w:val="none"/>
        </w:rPr>
      </w:pPr>
      <w:r>
        <w:rPr>
          <w:rFonts w:hint="eastAsia" w:ascii="宋体" w:hAnsi="宋体" w:cs="Arial"/>
          <w:b/>
          <w:color w:val="auto"/>
          <w:sz w:val="21"/>
          <w:szCs w:val="21"/>
          <w:highlight w:val="none"/>
        </w:rPr>
        <w:t>（3）违反安全管理、规范作业规定，造成重大伤亡或重大损失。</w:t>
      </w:r>
    </w:p>
    <w:p>
      <w:pPr>
        <w:snapToGrid w:val="0"/>
        <w:spacing w:line="400" w:lineRule="exact"/>
        <w:ind w:firstLine="422" w:firstLineChars="200"/>
        <w:jc w:val="left"/>
        <w:rPr>
          <w:rFonts w:hint="eastAsia" w:ascii="宋体" w:hAnsi="宋体" w:cs="Arial"/>
          <w:b/>
          <w:color w:val="auto"/>
          <w:sz w:val="21"/>
          <w:szCs w:val="21"/>
          <w:highlight w:val="none"/>
        </w:rPr>
      </w:pPr>
      <w:r>
        <w:rPr>
          <w:rFonts w:hint="eastAsia" w:ascii="宋体" w:hAnsi="宋体" w:cs="Arial"/>
          <w:b/>
          <w:color w:val="auto"/>
          <w:sz w:val="21"/>
          <w:szCs w:val="21"/>
          <w:highlight w:val="none"/>
        </w:rPr>
        <w:t>（4）经省、市级新闻媒体曝光，中标单位为责任方，造成恶劣影响的。</w:t>
      </w:r>
    </w:p>
    <w:p>
      <w:pPr>
        <w:snapToGrid w:val="0"/>
        <w:spacing w:line="400" w:lineRule="exact"/>
        <w:ind w:firstLine="422" w:firstLineChars="200"/>
        <w:jc w:val="left"/>
        <w:rPr>
          <w:rFonts w:ascii="宋体" w:hAnsi="宋体" w:cs="Arial"/>
          <w:b/>
          <w:color w:val="auto"/>
          <w:sz w:val="21"/>
          <w:szCs w:val="21"/>
          <w:highlight w:val="none"/>
        </w:rPr>
      </w:pPr>
      <w:r>
        <w:rPr>
          <w:rFonts w:hint="eastAsia" w:ascii="宋体" w:hAnsi="宋体" w:cs="Arial"/>
          <w:b/>
          <w:color w:val="auto"/>
          <w:sz w:val="21"/>
          <w:szCs w:val="21"/>
          <w:highlight w:val="none"/>
        </w:rPr>
        <w:t>（5）经有关部门认定严重违反劳动法，造成恶劣影响的；或其它因违法经营受到刑事处罚或者责令停产停业、吊销许可证或者执照</w:t>
      </w:r>
      <w:r>
        <w:rPr>
          <w:rFonts w:ascii="宋体" w:hAnsi="宋体" w:cs="Arial"/>
          <w:b/>
          <w:color w:val="auto"/>
          <w:sz w:val="21"/>
          <w:szCs w:val="21"/>
          <w:highlight w:val="none"/>
        </w:rPr>
        <w:t>。</w:t>
      </w:r>
    </w:p>
    <w:p>
      <w:pPr>
        <w:snapToGrid w:val="0"/>
        <w:spacing w:line="400" w:lineRule="exact"/>
        <w:ind w:firstLine="420" w:firstLineChars="200"/>
        <w:jc w:val="left"/>
        <w:rPr>
          <w:rFonts w:ascii="宋体" w:hAnsi="宋体" w:cs="Arial"/>
          <w:color w:val="auto"/>
          <w:sz w:val="21"/>
          <w:szCs w:val="21"/>
          <w:highlight w:val="none"/>
        </w:rPr>
      </w:pPr>
      <w:r>
        <w:rPr>
          <w:rFonts w:ascii="宋体" w:hAnsi="宋体" w:cs="Arial"/>
          <w:bCs/>
          <w:color w:val="auto"/>
          <w:sz w:val="21"/>
          <w:szCs w:val="21"/>
          <w:highlight w:val="none"/>
        </w:rPr>
        <w:t>（</w:t>
      </w:r>
      <w:r>
        <w:rPr>
          <w:rFonts w:hint="eastAsia" w:ascii="宋体" w:hAnsi="宋体" w:cs="Arial"/>
          <w:bCs/>
          <w:color w:val="auto"/>
          <w:sz w:val="21"/>
          <w:szCs w:val="21"/>
          <w:highlight w:val="none"/>
        </w:rPr>
        <w:t>6</w:t>
      </w:r>
      <w:r>
        <w:rPr>
          <w:rFonts w:ascii="宋体" w:hAnsi="宋体" w:cs="Arial"/>
          <w:bCs/>
          <w:color w:val="auto"/>
          <w:sz w:val="21"/>
          <w:szCs w:val="21"/>
          <w:highlight w:val="none"/>
        </w:rPr>
        <w:t>）</w:t>
      </w:r>
      <w:r>
        <w:rPr>
          <w:rFonts w:hint="eastAsia" w:ascii="宋体" w:hAnsi="宋体" w:cs="Arial"/>
          <w:bCs/>
          <w:color w:val="auto"/>
          <w:sz w:val="21"/>
          <w:szCs w:val="21"/>
          <w:highlight w:val="none"/>
        </w:rPr>
        <w:t>本项目禁止分包转包，</w:t>
      </w:r>
      <w:r>
        <w:rPr>
          <w:rFonts w:ascii="宋体" w:hAnsi="宋体" w:cs="Arial"/>
          <w:color w:val="auto"/>
          <w:sz w:val="21"/>
          <w:szCs w:val="21"/>
          <w:highlight w:val="none"/>
        </w:rPr>
        <w:t>将本项目分包与转包，有以下情形的，将认定为分包或转包：</w:t>
      </w:r>
    </w:p>
    <w:p>
      <w:pPr>
        <w:widowControl/>
        <w:numPr>
          <w:ilvl w:val="0"/>
          <w:numId w:val="6"/>
        </w:numPr>
        <w:overflowPunct w:val="0"/>
        <w:snapToGrid w:val="0"/>
        <w:spacing w:line="400" w:lineRule="exact"/>
        <w:jc w:val="left"/>
        <w:rPr>
          <w:rFonts w:ascii="宋体" w:hAnsi="宋体" w:cs="Arial"/>
          <w:color w:val="auto"/>
          <w:sz w:val="21"/>
          <w:szCs w:val="21"/>
          <w:highlight w:val="none"/>
        </w:rPr>
      </w:pPr>
      <w:r>
        <w:rPr>
          <w:rFonts w:ascii="宋体" w:hAnsi="宋体" w:cs="Arial"/>
          <w:color w:val="auto"/>
          <w:sz w:val="21"/>
          <w:szCs w:val="21"/>
          <w:highlight w:val="none"/>
        </w:rPr>
        <w:t>故意阻止采购人调阅和查询与本项有关的财务情形，且拒不整改的；</w:t>
      </w:r>
    </w:p>
    <w:p>
      <w:pPr>
        <w:snapToGrid w:val="0"/>
        <w:spacing w:line="400" w:lineRule="exact"/>
        <w:ind w:firstLine="422" w:firstLineChars="200"/>
        <w:jc w:val="left"/>
        <w:rPr>
          <w:rFonts w:ascii="宋体" w:hAnsi="宋体" w:cs="Arial"/>
          <w:b/>
          <w:color w:val="auto"/>
          <w:sz w:val="21"/>
          <w:szCs w:val="21"/>
          <w:highlight w:val="none"/>
        </w:rPr>
      </w:pPr>
      <w:r>
        <w:rPr>
          <w:rFonts w:ascii="宋体" w:hAnsi="宋体" w:cs="Arial"/>
          <w:b/>
          <w:color w:val="auto"/>
          <w:sz w:val="21"/>
          <w:szCs w:val="21"/>
          <w:highlight w:val="none"/>
        </w:rPr>
        <w:t>（</w:t>
      </w:r>
      <w:r>
        <w:rPr>
          <w:rFonts w:hint="eastAsia" w:ascii="宋体" w:hAnsi="宋体" w:cs="Arial"/>
          <w:b/>
          <w:color w:val="auto"/>
          <w:sz w:val="21"/>
          <w:szCs w:val="21"/>
          <w:highlight w:val="none"/>
        </w:rPr>
        <w:t>7</w:t>
      </w:r>
      <w:r>
        <w:rPr>
          <w:rFonts w:ascii="宋体" w:hAnsi="宋体" w:cs="Arial"/>
          <w:b/>
          <w:color w:val="auto"/>
          <w:sz w:val="21"/>
          <w:szCs w:val="21"/>
          <w:highlight w:val="none"/>
        </w:rPr>
        <w:t>）其它弄虚作假及其他不正当行为。</w:t>
      </w:r>
    </w:p>
    <w:p>
      <w:pPr>
        <w:snapToGrid w:val="0"/>
        <w:spacing w:line="400" w:lineRule="exact"/>
        <w:ind w:firstLine="422" w:firstLineChars="200"/>
        <w:jc w:val="left"/>
        <w:rPr>
          <w:rFonts w:ascii="宋体" w:hAnsi="宋体" w:cs="Arial"/>
          <w:b/>
          <w:color w:val="auto"/>
          <w:sz w:val="21"/>
          <w:szCs w:val="21"/>
          <w:highlight w:val="none"/>
        </w:rPr>
      </w:pPr>
      <w:r>
        <w:rPr>
          <w:rFonts w:ascii="宋体" w:hAnsi="宋体" w:cs="Arial"/>
          <w:b/>
          <w:color w:val="auto"/>
          <w:sz w:val="21"/>
          <w:szCs w:val="21"/>
          <w:highlight w:val="none"/>
        </w:rPr>
        <w:t>（</w:t>
      </w:r>
      <w:r>
        <w:rPr>
          <w:rFonts w:hint="eastAsia" w:ascii="宋体" w:hAnsi="宋体" w:cs="Arial"/>
          <w:b/>
          <w:color w:val="auto"/>
          <w:sz w:val="21"/>
          <w:szCs w:val="21"/>
          <w:highlight w:val="none"/>
        </w:rPr>
        <w:t>8</w:t>
      </w:r>
      <w:r>
        <w:rPr>
          <w:rFonts w:ascii="宋体" w:hAnsi="宋体" w:cs="Arial"/>
          <w:b/>
          <w:color w:val="auto"/>
          <w:sz w:val="21"/>
          <w:szCs w:val="21"/>
          <w:highlight w:val="none"/>
        </w:rPr>
        <w:t>）合同履约期间，中标单位法人组织破产的；</w:t>
      </w:r>
    </w:p>
    <w:p>
      <w:pPr>
        <w:snapToGrid w:val="0"/>
        <w:spacing w:line="400" w:lineRule="exact"/>
        <w:ind w:firstLine="422" w:firstLineChars="200"/>
        <w:jc w:val="left"/>
        <w:rPr>
          <w:rFonts w:ascii="宋体" w:hAnsi="宋体" w:cs="Arial"/>
          <w:b/>
          <w:color w:val="auto"/>
          <w:sz w:val="21"/>
          <w:szCs w:val="21"/>
          <w:highlight w:val="none"/>
        </w:rPr>
      </w:pPr>
      <w:r>
        <w:rPr>
          <w:rFonts w:ascii="宋体" w:hAnsi="宋体" w:cs="Arial"/>
          <w:b/>
          <w:color w:val="auto"/>
          <w:sz w:val="21"/>
          <w:szCs w:val="21"/>
          <w:highlight w:val="none"/>
        </w:rPr>
        <w:t>（</w:t>
      </w:r>
      <w:r>
        <w:rPr>
          <w:rFonts w:hint="eastAsia" w:ascii="宋体" w:hAnsi="宋体" w:cs="Arial"/>
          <w:b/>
          <w:color w:val="auto"/>
          <w:sz w:val="21"/>
          <w:szCs w:val="21"/>
          <w:highlight w:val="none"/>
        </w:rPr>
        <w:t>9</w:t>
      </w:r>
      <w:r>
        <w:rPr>
          <w:rFonts w:ascii="宋体" w:hAnsi="宋体" w:cs="Arial"/>
          <w:b/>
          <w:color w:val="auto"/>
          <w:sz w:val="21"/>
          <w:szCs w:val="21"/>
          <w:highlight w:val="none"/>
        </w:rPr>
        <w:t>）根据招标文件及合同约定，其它不续签或终止合同的规定，其它法律规定的终止情形。</w:t>
      </w:r>
    </w:p>
    <w:p>
      <w:pPr>
        <w:snapToGrid w:val="0"/>
        <w:spacing w:line="400" w:lineRule="exact"/>
        <w:ind w:left="563" w:leftChars="201" w:firstLine="103" w:firstLineChars="49"/>
        <w:jc w:val="left"/>
        <w:rPr>
          <w:rFonts w:ascii="宋体" w:hAnsi="宋体" w:cs="Arial"/>
          <w:b/>
          <w:color w:val="auto"/>
          <w:sz w:val="21"/>
          <w:szCs w:val="21"/>
          <w:highlight w:val="none"/>
        </w:rPr>
      </w:pPr>
      <w:r>
        <w:rPr>
          <w:rFonts w:ascii="宋体" w:hAnsi="宋体" w:cs="Arial"/>
          <w:b/>
          <w:color w:val="auto"/>
          <w:sz w:val="21"/>
          <w:szCs w:val="21"/>
          <w:highlight w:val="none"/>
        </w:rPr>
        <w:t>4、合同期限届满时自行终止。</w:t>
      </w:r>
    </w:p>
    <w:bookmarkEnd w:id="249"/>
    <w:p>
      <w:pPr>
        <w:adjustRightInd w:val="0"/>
        <w:snapToGrid w:val="0"/>
        <w:spacing w:line="400" w:lineRule="exact"/>
        <w:jc w:val="left"/>
        <w:outlineLvl w:val="1"/>
        <w:rPr>
          <w:rFonts w:ascii="宋体" w:hAnsi="宋体"/>
          <w:b/>
          <w:color w:val="auto"/>
          <w:sz w:val="21"/>
          <w:szCs w:val="21"/>
          <w:highlight w:val="none"/>
        </w:rPr>
      </w:pPr>
      <w:bookmarkStart w:id="250" w:name="_Toc20795"/>
      <w:bookmarkStart w:id="251" w:name="_Toc9813"/>
      <w:bookmarkStart w:id="252" w:name="_Toc72407425"/>
      <w:bookmarkStart w:id="253" w:name="_Toc104190738"/>
      <w:bookmarkStart w:id="254" w:name="_Toc105435537"/>
      <w:bookmarkStart w:id="255" w:name="_Toc19733"/>
      <w:bookmarkStart w:id="256" w:name="_Toc105435723"/>
      <w:bookmarkStart w:id="257" w:name="_Toc105438771"/>
      <w:bookmarkStart w:id="258" w:name="_Toc105438823"/>
      <w:bookmarkStart w:id="259" w:name="_Toc105435665"/>
      <w:bookmarkStart w:id="260" w:name="_Toc17716"/>
      <w:r>
        <w:rPr>
          <w:rFonts w:hint="eastAsia" w:ascii="宋体" w:hAnsi="宋体"/>
          <w:b/>
          <w:color w:val="auto"/>
          <w:sz w:val="21"/>
          <w:szCs w:val="21"/>
          <w:highlight w:val="none"/>
        </w:rPr>
        <w:t>十</w:t>
      </w:r>
      <w:r>
        <w:rPr>
          <w:rFonts w:ascii="宋体" w:hAnsi="宋体"/>
          <w:b/>
          <w:color w:val="auto"/>
          <w:sz w:val="21"/>
          <w:szCs w:val="21"/>
          <w:highlight w:val="none"/>
        </w:rPr>
        <w:t>、履约保证金</w:t>
      </w:r>
      <w:bookmarkEnd w:id="250"/>
      <w:bookmarkEnd w:id="251"/>
      <w:bookmarkEnd w:id="252"/>
      <w:bookmarkEnd w:id="253"/>
      <w:bookmarkEnd w:id="254"/>
      <w:bookmarkEnd w:id="255"/>
      <w:bookmarkEnd w:id="256"/>
      <w:bookmarkEnd w:id="257"/>
      <w:bookmarkEnd w:id="258"/>
      <w:bookmarkEnd w:id="259"/>
      <w:bookmarkEnd w:id="260"/>
    </w:p>
    <w:p>
      <w:pPr>
        <w:snapToGrid w:val="0"/>
        <w:spacing w:line="400" w:lineRule="exact"/>
        <w:ind w:firstLine="420" w:firstLineChars="200"/>
        <w:jc w:val="left"/>
        <w:rPr>
          <w:rFonts w:ascii="宋体" w:hAnsi="宋体" w:cs="Arial"/>
          <w:color w:val="auto"/>
          <w:sz w:val="21"/>
          <w:szCs w:val="21"/>
          <w:highlight w:val="none"/>
        </w:rPr>
      </w:pPr>
      <w:r>
        <w:rPr>
          <w:rFonts w:ascii="宋体" w:hAnsi="宋体" w:cs="Arial"/>
          <w:color w:val="auto"/>
          <w:sz w:val="21"/>
          <w:szCs w:val="21"/>
          <w:highlight w:val="none"/>
        </w:rPr>
        <w:t>中标单位履约保证金采用银行</w:t>
      </w:r>
      <w:r>
        <w:rPr>
          <w:rFonts w:hint="eastAsia" w:ascii="宋体" w:hAnsi="宋体" w:cs="Arial"/>
          <w:color w:val="auto"/>
          <w:sz w:val="21"/>
          <w:szCs w:val="21"/>
          <w:highlight w:val="none"/>
          <w:lang w:eastAsia="zh-CN"/>
        </w:rPr>
        <w:t>转账，</w:t>
      </w:r>
      <w:r>
        <w:rPr>
          <w:rFonts w:hint="eastAsia" w:ascii="宋体" w:hAnsi="宋体" w:cs="Arial"/>
          <w:color w:val="auto"/>
          <w:sz w:val="21"/>
          <w:szCs w:val="21"/>
          <w:highlight w:val="none"/>
          <w:lang w:val="en-US" w:eastAsia="zh-CN"/>
        </w:rPr>
        <w:t xml:space="preserve">中标后需向采购人提供合同价的1%的履约保证金，待服务期限结束后，无息退还。 </w:t>
      </w:r>
    </w:p>
    <w:p>
      <w:pPr>
        <w:adjustRightInd w:val="0"/>
        <w:snapToGrid w:val="0"/>
        <w:spacing w:line="400" w:lineRule="exact"/>
        <w:jc w:val="left"/>
        <w:outlineLvl w:val="1"/>
        <w:rPr>
          <w:rFonts w:ascii="宋体" w:hAnsi="宋体"/>
          <w:b/>
          <w:color w:val="auto"/>
          <w:sz w:val="21"/>
          <w:szCs w:val="21"/>
          <w:highlight w:val="none"/>
        </w:rPr>
      </w:pPr>
      <w:bookmarkStart w:id="261" w:name="_Toc72407426"/>
      <w:bookmarkStart w:id="262" w:name="_Toc22106"/>
      <w:bookmarkStart w:id="263" w:name="_Toc27567"/>
      <w:bookmarkStart w:id="264" w:name="_Toc11316"/>
      <w:bookmarkStart w:id="265" w:name="_Toc27924"/>
      <w:bookmarkStart w:id="266" w:name="_Toc105435724"/>
      <w:bookmarkStart w:id="267" w:name="_Toc105438772"/>
      <w:bookmarkStart w:id="268" w:name="_Toc105438824"/>
      <w:bookmarkStart w:id="269" w:name="_Toc105435538"/>
      <w:bookmarkStart w:id="270" w:name="_Toc105435666"/>
      <w:bookmarkStart w:id="271" w:name="_Toc104190739"/>
      <w:r>
        <w:rPr>
          <w:rFonts w:ascii="宋体" w:hAnsi="宋体"/>
          <w:b/>
          <w:color w:val="auto"/>
          <w:sz w:val="21"/>
          <w:szCs w:val="21"/>
          <w:highlight w:val="none"/>
        </w:rPr>
        <w:t>十</w:t>
      </w:r>
      <w:r>
        <w:rPr>
          <w:rFonts w:hint="eastAsia" w:ascii="宋体" w:hAnsi="宋体"/>
          <w:b/>
          <w:color w:val="auto"/>
          <w:sz w:val="21"/>
          <w:szCs w:val="21"/>
          <w:highlight w:val="none"/>
        </w:rPr>
        <w:t>一</w:t>
      </w:r>
      <w:r>
        <w:rPr>
          <w:rFonts w:ascii="宋体" w:hAnsi="宋体"/>
          <w:b/>
          <w:color w:val="auto"/>
          <w:sz w:val="21"/>
          <w:szCs w:val="21"/>
          <w:highlight w:val="none"/>
        </w:rPr>
        <w:t>、其他说明</w:t>
      </w:r>
      <w:bookmarkEnd w:id="261"/>
      <w:bookmarkEnd w:id="262"/>
      <w:bookmarkEnd w:id="263"/>
      <w:bookmarkEnd w:id="264"/>
      <w:bookmarkEnd w:id="265"/>
      <w:bookmarkEnd w:id="266"/>
      <w:bookmarkEnd w:id="267"/>
      <w:bookmarkEnd w:id="268"/>
      <w:bookmarkEnd w:id="269"/>
      <w:bookmarkEnd w:id="270"/>
      <w:bookmarkEnd w:id="271"/>
    </w:p>
    <w:p>
      <w:pPr>
        <w:snapToGrid w:val="0"/>
        <w:spacing w:line="400" w:lineRule="exact"/>
        <w:ind w:firstLine="420" w:firstLineChars="200"/>
        <w:jc w:val="left"/>
        <w:rPr>
          <w:rFonts w:ascii="宋体" w:hAnsi="宋体" w:cs="Arial"/>
          <w:color w:val="auto"/>
          <w:sz w:val="21"/>
          <w:szCs w:val="21"/>
          <w:highlight w:val="none"/>
        </w:rPr>
      </w:pPr>
      <w:bookmarkStart w:id="272" w:name="_Toc15760"/>
      <w:bookmarkStart w:id="273" w:name="_Toc20157"/>
      <w:bookmarkStart w:id="274" w:name="_Toc25900"/>
      <w:bookmarkStart w:id="275" w:name="_Toc14260"/>
      <w:r>
        <w:rPr>
          <w:rFonts w:ascii="宋体" w:hAnsi="宋体" w:cs="Arial"/>
          <w:color w:val="auto"/>
          <w:sz w:val="21"/>
          <w:szCs w:val="21"/>
          <w:highlight w:val="none"/>
        </w:rPr>
        <w:t>（一）项目负责人要求</w:t>
      </w:r>
      <w:bookmarkEnd w:id="272"/>
      <w:bookmarkEnd w:id="273"/>
      <w:bookmarkEnd w:id="274"/>
      <w:bookmarkEnd w:id="275"/>
    </w:p>
    <w:p>
      <w:pPr>
        <w:autoSpaceDE w:val="0"/>
        <w:autoSpaceDN w:val="0"/>
        <w:adjustRightInd w:val="0"/>
        <w:spacing w:line="400" w:lineRule="exact"/>
        <w:ind w:firstLine="422" w:firstLineChars="200"/>
        <w:jc w:val="left"/>
        <w:textAlignment w:val="bottom"/>
        <w:rPr>
          <w:rFonts w:ascii="宋体" w:hAnsi="宋体" w:cs="Arial"/>
          <w:b/>
          <w:color w:val="auto"/>
          <w:sz w:val="21"/>
          <w:szCs w:val="21"/>
          <w:highlight w:val="none"/>
        </w:rPr>
      </w:pPr>
      <w:r>
        <w:rPr>
          <w:rFonts w:ascii="宋体" w:hAnsi="宋体" w:cs="Arial"/>
          <w:b/>
          <w:color w:val="auto"/>
          <w:sz w:val="21"/>
          <w:szCs w:val="21"/>
          <w:highlight w:val="none"/>
        </w:rPr>
        <w:t>1、</w:t>
      </w:r>
      <w:r>
        <w:rPr>
          <w:rFonts w:ascii="宋体" w:hAnsi="宋体" w:cs="Arial"/>
          <w:b/>
          <w:bCs/>
          <w:color w:val="auto"/>
          <w:sz w:val="21"/>
          <w:szCs w:val="21"/>
          <w:highlight w:val="none"/>
        </w:rPr>
        <w:t>中标单位的项目负责人应具有道路保洁实际工作一年以上经验，</w:t>
      </w:r>
      <w:r>
        <w:rPr>
          <w:rFonts w:ascii="宋体" w:hAnsi="宋体" w:cs="Arial"/>
          <w:b/>
          <w:color w:val="auto"/>
          <w:sz w:val="21"/>
          <w:szCs w:val="21"/>
          <w:highlight w:val="none"/>
          <w:u w:val="single"/>
        </w:rPr>
        <w:t>在本项目中担任项目负责人的，须专职，不得在其它项目中担任项目负责人，本项目中标单位项目负责人</w:t>
      </w:r>
      <w:r>
        <w:rPr>
          <w:rFonts w:hint="eastAsia" w:ascii="宋体" w:hAnsi="宋体" w:cs="Arial"/>
          <w:b/>
          <w:color w:val="auto"/>
          <w:sz w:val="21"/>
          <w:szCs w:val="21"/>
          <w:highlight w:val="none"/>
          <w:u w:val="single"/>
        </w:rPr>
        <w:t>未经</w:t>
      </w:r>
      <w:r>
        <w:rPr>
          <w:rFonts w:hint="eastAsia" w:ascii="宋体" w:hAnsi="宋体" w:cs="Arial"/>
          <w:b/>
          <w:color w:val="auto"/>
          <w:sz w:val="21"/>
          <w:szCs w:val="21"/>
          <w:highlight w:val="none"/>
          <w:u w:val="single"/>
          <w:lang w:eastAsia="zh-CN"/>
        </w:rPr>
        <w:t>瑶溪街道</w:t>
      </w:r>
      <w:r>
        <w:rPr>
          <w:rFonts w:hint="eastAsia" w:ascii="宋体" w:hAnsi="宋体" w:cs="Arial"/>
          <w:b/>
          <w:color w:val="auto"/>
          <w:sz w:val="21"/>
          <w:szCs w:val="21"/>
          <w:highlight w:val="none"/>
          <w:u w:val="single"/>
        </w:rPr>
        <w:t>同意</w:t>
      </w:r>
      <w:r>
        <w:rPr>
          <w:rFonts w:ascii="宋体" w:hAnsi="宋体" w:cs="Arial"/>
          <w:b/>
          <w:color w:val="auto"/>
          <w:sz w:val="21"/>
          <w:szCs w:val="21"/>
          <w:highlight w:val="none"/>
          <w:u w:val="single"/>
        </w:rPr>
        <w:t>不得擅自变更</w:t>
      </w:r>
      <w:r>
        <w:rPr>
          <w:rFonts w:hint="eastAsia" w:ascii="宋体" w:hAnsi="宋体" w:cs="Arial"/>
          <w:b/>
          <w:color w:val="auto"/>
          <w:sz w:val="21"/>
          <w:szCs w:val="21"/>
          <w:highlight w:val="none"/>
          <w:u w:val="single"/>
        </w:rPr>
        <w:t>；</w:t>
      </w:r>
      <w:r>
        <w:rPr>
          <w:rFonts w:ascii="宋体" w:hAnsi="宋体" w:cs="Arial"/>
          <w:b/>
          <w:color w:val="auto"/>
          <w:sz w:val="21"/>
          <w:szCs w:val="21"/>
          <w:highlight w:val="none"/>
          <w:u w:val="single"/>
        </w:rPr>
        <w:t>经</w:t>
      </w:r>
      <w:r>
        <w:rPr>
          <w:rFonts w:hint="eastAsia" w:ascii="宋体" w:hAnsi="宋体" w:cs="Arial"/>
          <w:b/>
          <w:color w:val="auto"/>
          <w:sz w:val="21"/>
          <w:szCs w:val="21"/>
          <w:highlight w:val="none"/>
          <w:u w:val="single"/>
          <w:lang w:eastAsia="zh-CN"/>
        </w:rPr>
        <w:t>瑶溪街道</w:t>
      </w:r>
      <w:r>
        <w:rPr>
          <w:rFonts w:ascii="宋体" w:hAnsi="宋体" w:cs="Arial"/>
          <w:b/>
          <w:color w:val="auto"/>
          <w:sz w:val="21"/>
          <w:szCs w:val="21"/>
          <w:highlight w:val="none"/>
          <w:u w:val="single"/>
        </w:rPr>
        <w:t>同意，变更项目负责人的，</w:t>
      </w:r>
      <w:r>
        <w:rPr>
          <w:rFonts w:hint="eastAsia" w:ascii="宋体" w:hAnsi="宋体" w:cs="Arial"/>
          <w:b/>
          <w:color w:val="auto"/>
          <w:sz w:val="21"/>
          <w:szCs w:val="21"/>
          <w:highlight w:val="none"/>
          <w:u w:val="single"/>
        </w:rPr>
        <w:t>需与投标时同等条件，每换一次处</w:t>
      </w:r>
      <w:r>
        <w:rPr>
          <w:rFonts w:ascii="宋体" w:hAnsi="宋体" w:cs="Arial"/>
          <w:b/>
          <w:color w:val="auto"/>
          <w:sz w:val="21"/>
          <w:szCs w:val="21"/>
          <w:highlight w:val="none"/>
          <w:u w:val="single"/>
        </w:rPr>
        <w:t>以10万元违约金；情节严重的，采购人可以无责任取消其中标资格并解除中标合同</w:t>
      </w:r>
      <w:r>
        <w:rPr>
          <w:rFonts w:ascii="宋体" w:hAnsi="宋体" w:cs="Arial"/>
          <w:b/>
          <w:color w:val="auto"/>
          <w:sz w:val="21"/>
          <w:szCs w:val="21"/>
          <w:highlight w:val="none"/>
        </w:rPr>
        <w:t>。</w:t>
      </w:r>
    </w:p>
    <w:p>
      <w:pPr>
        <w:snapToGrid w:val="0"/>
        <w:spacing w:line="400" w:lineRule="exact"/>
        <w:ind w:firstLine="420" w:firstLineChars="200"/>
        <w:jc w:val="left"/>
        <w:rPr>
          <w:rFonts w:ascii="宋体" w:hAnsi="宋体" w:cs="Arial"/>
          <w:color w:val="auto"/>
          <w:sz w:val="21"/>
          <w:szCs w:val="21"/>
          <w:highlight w:val="none"/>
        </w:rPr>
      </w:pPr>
      <w:r>
        <w:rPr>
          <w:rFonts w:ascii="宋体" w:hAnsi="宋体" w:cs="Arial"/>
          <w:color w:val="auto"/>
          <w:sz w:val="21"/>
          <w:szCs w:val="21"/>
          <w:highlight w:val="none"/>
        </w:rPr>
        <w:t>2、项目负责人须在项目所在地服务天数达到每年</w:t>
      </w:r>
      <w:r>
        <w:rPr>
          <w:rFonts w:hint="eastAsia" w:ascii="宋体" w:hAnsi="宋体" w:cs="Arial"/>
          <w:color w:val="auto"/>
          <w:sz w:val="21"/>
          <w:szCs w:val="21"/>
          <w:highlight w:val="none"/>
        </w:rPr>
        <w:t>265</w:t>
      </w:r>
      <w:r>
        <w:rPr>
          <w:rFonts w:ascii="宋体" w:hAnsi="宋体" w:cs="Arial"/>
          <w:color w:val="auto"/>
          <w:sz w:val="21"/>
          <w:szCs w:val="21"/>
          <w:highlight w:val="none"/>
        </w:rPr>
        <w:t>天及以上</w:t>
      </w:r>
      <w:r>
        <w:rPr>
          <w:rFonts w:hint="eastAsia" w:ascii="宋体" w:hAnsi="宋体" w:cs="Arial"/>
          <w:color w:val="auto"/>
          <w:sz w:val="21"/>
          <w:szCs w:val="21"/>
          <w:highlight w:val="none"/>
        </w:rPr>
        <w:t>；</w:t>
      </w:r>
      <w:r>
        <w:rPr>
          <w:rFonts w:ascii="宋体" w:hAnsi="宋体" w:cs="Arial"/>
          <w:color w:val="auto"/>
          <w:sz w:val="21"/>
          <w:szCs w:val="21"/>
          <w:highlight w:val="none"/>
        </w:rPr>
        <w:t>遇有重大活动或突发事件时，项目负责人须到场指挥，并服从</w:t>
      </w:r>
      <w:r>
        <w:rPr>
          <w:rFonts w:hint="eastAsia" w:ascii="宋体" w:hAnsi="宋体" w:cs="Arial"/>
          <w:color w:val="auto"/>
          <w:sz w:val="21"/>
          <w:szCs w:val="21"/>
          <w:highlight w:val="none"/>
          <w:lang w:eastAsia="zh-CN"/>
        </w:rPr>
        <w:t>瑶溪街道</w:t>
      </w:r>
      <w:r>
        <w:rPr>
          <w:rFonts w:ascii="宋体" w:hAnsi="宋体" w:cs="Arial"/>
          <w:color w:val="auto"/>
          <w:sz w:val="21"/>
          <w:szCs w:val="21"/>
          <w:highlight w:val="none"/>
        </w:rPr>
        <w:t>的统一工作安排</w:t>
      </w:r>
      <w:r>
        <w:rPr>
          <w:rFonts w:hint="eastAsia" w:ascii="宋体" w:hAnsi="宋体" w:cs="Arial"/>
          <w:color w:val="auto"/>
          <w:sz w:val="21"/>
          <w:szCs w:val="21"/>
          <w:highlight w:val="none"/>
        </w:rPr>
        <w:t>，发现项目负责人未到现场的1次扣违约金10000元。</w:t>
      </w:r>
    </w:p>
    <w:p>
      <w:pPr>
        <w:snapToGrid w:val="0"/>
        <w:spacing w:line="400" w:lineRule="exact"/>
        <w:ind w:firstLine="420" w:firstLineChars="200"/>
        <w:jc w:val="left"/>
        <w:rPr>
          <w:rFonts w:ascii="宋体" w:hAnsi="宋体" w:cs="Arial"/>
          <w:color w:val="auto"/>
          <w:sz w:val="21"/>
          <w:szCs w:val="21"/>
          <w:highlight w:val="none"/>
        </w:rPr>
      </w:pPr>
      <w:bookmarkStart w:id="276" w:name="_Toc13060"/>
      <w:bookmarkStart w:id="277" w:name="_Toc18192"/>
      <w:bookmarkStart w:id="278" w:name="_Toc7322"/>
      <w:bookmarkStart w:id="279" w:name="_Toc15976"/>
      <w:r>
        <w:rPr>
          <w:rFonts w:ascii="宋体" w:hAnsi="宋体" w:cs="Arial"/>
          <w:color w:val="auto"/>
          <w:sz w:val="21"/>
          <w:szCs w:val="21"/>
          <w:highlight w:val="none"/>
        </w:rPr>
        <w:t>（二）员工劳动保障要求</w:t>
      </w:r>
      <w:bookmarkEnd w:id="276"/>
      <w:bookmarkEnd w:id="277"/>
      <w:bookmarkEnd w:id="278"/>
      <w:bookmarkEnd w:id="279"/>
    </w:p>
    <w:p>
      <w:pPr>
        <w:snapToGrid w:val="0"/>
        <w:spacing w:line="400" w:lineRule="exact"/>
        <w:ind w:firstLine="420" w:firstLineChars="200"/>
        <w:jc w:val="left"/>
        <w:rPr>
          <w:rFonts w:ascii="宋体" w:hAnsi="宋体" w:cs="Arial"/>
          <w:color w:val="auto"/>
          <w:sz w:val="21"/>
          <w:szCs w:val="21"/>
          <w:highlight w:val="none"/>
        </w:rPr>
      </w:pPr>
      <w:bookmarkStart w:id="280" w:name="_Hlk69253021"/>
      <w:r>
        <w:rPr>
          <w:rFonts w:ascii="宋体" w:hAnsi="宋体" w:cs="Arial"/>
          <w:color w:val="auto"/>
          <w:sz w:val="21"/>
          <w:szCs w:val="21"/>
          <w:highlight w:val="none"/>
        </w:rPr>
        <w:t>中标单位必须</w:t>
      </w:r>
      <w:bookmarkEnd w:id="280"/>
      <w:r>
        <w:rPr>
          <w:rFonts w:ascii="宋体" w:hAnsi="宋体" w:cs="Arial"/>
          <w:color w:val="auto"/>
          <w:sz w:val="21"/>
          <w:szCs w:val="21"/>
          <w:highlight w:val="none"/>
        </w:rPr>
        <w:t>执行《劳动法》《劳动合同法》有关员工保障的其他规定，由劳动部门查实的，根据查实情况处罚。</w:t>
      </w:r>
    </w:p>
    <w:p>
      <w:pPr>
        <w:snapToGrid w:val="0"/>
        <w:spacing w:line="400" w:lineRule="exact"/>
        <w:ind w:firstLine="420" w:firstLineChars="200"/>
        <w:jc w:val="left"/>
        <w:rPr>
          <w:rFonts w:ascii="宋体" w:hAnsi="宋体" w:cs="Arial"/>
          <w:color w:val="auto"/>
          <w:sz w:val="21"/>
          <w:szCs w:val="21"/>
          <w:highlight w:val="none"/>
        </w:rPr>
      </w:pPr>
      <w:bookmarkStart w:id="281" w:name="_Toc19028"/>
      <w:bookmarkStart w:id="282" w:name="_Toc8874"/>
      <w:bookmarkStart w:id="283" w:name="_Toc10195"/>
      <w:bookmarkStart w:id="284" w:name="_Toc2405"/>
      <w:r>
        <w:rPr>
          <w:rFonts w:ascii="宋体" w:hAnsi="宋体" w:cs="Arial"/>
          <w:color w:val="auto"/>
          <w:sz w:val="21"/>
          <w:szCs w:val="21"/>
          <w:highlight w:val="none"/>
        </w:rPr>
        <w:t>（</w:t>
      </w:r>
      <w:bookmarkEnd w:id="281"/>
      <w:bookmarkEnd w:id="282"/>
      <w:bookmarkEnd w:id="283"/>
      <w:r>
        <w:rPr>
          <w:rFonts w:ascii="宋体" w:hAnsi="宋体" w:cs="Arial"/>
          <w:color w:val="auto"/>
          <w:sz w:val="21"/>
          <w:szCs w:val="21"/>
          <w:highlight w:val="none"/>
        </w:rPr>
        <w:t>三）</w:t>
      </w:r>
      <w:bookmarkEnd w:id="284"/>
      <w:bookmarkStart w:id="285" w:name="_Toc7379"/>
      <w:bookmarkStart w:id="286" w:name="_Toc27621"/>
      <w:bookmarkStart w:id="287" w:name="_Toc13009"/>
      <w:bookmarkStart w:id="288" w:name="_Toc15557"/>
      <w:r>
        <w:rPr>
          <w:rFonts w:ascii="宋体" w:hAnsi="宋体" w:cs="Arial"/>
          <w:color w:val="auto"/>
          <w:sz w:val="21"/>
          <w:szCs w:val="21"/>
          <w:highlight w:val="none"/>
        </w:rPr>
        <w:t>不可预见性因素，而导致付款有可能存在延期的风险，不得终止清扫保洁工作，否则采购人有权全额提取履约保证金。</w:t>
      </w:r>
      <w:bookmarkEnd w:id="285"/>
      <w:bookmarkEnd w:id="286"/>
      <w:bookmarkEnd w:id="287"/>
      <w:bookmarkEnd w:id="288"/>
    </w:p>
    <w:p>
      <w:pPr>
        <w:snapToGrid w:val="0"/>
        <w:spacing w:line="400" w:lineRule="exact"/>
        <w:ind w:firstLine="420" w:firstLineChars="200"/>
        <w:jc w:val="left"/>
        <w:rPr>
          <w:rFonts w:ascii="宋体" w:hAnsi="宋体" w:cs="Arial"/>
          <w:color w:val="auto"/>
          <w:sz w:val="21"/>
          <w:szCs w:val="21"/>
          <w:highlight w:val="none"/>
        </w:rPr>
      </w:pPr>
      <w:bookmarkStart w:id="289" w:name="_Toc28452"/>
      <w:bookmarkStart w:id="290" w:name="_Toc28136"/>
      <w:bookmarkStart w:id="291" w:name="_Toc2113"/>
      <w:bookmarkStart w:id="292" w:name="_Toc4169"/>
      <w:r>
        <w:rPr>
          <w:rFonts w:ascii="宋体" w:hAnsi="宋体" w:cs="Arial"/>
          <w:color w:val="auto"/>
          <w:sz w:val="21"/>
          <w:szCs w:val="21"/>
          <w:highlight w:val="none"/>
        </w:rPr>
        <w:t>（四）投标报价要求</w:t>
      </w:r>
      <w:bookmarkEnd w:id="289"/>
      <w:bookmarkEnd w:id="290"/>
      <w:bookmarkEnd w:id="291"/>
      <w:bookmarkEnd w:id="292"/>
    </w:p>
    <w:p>
      <w:pPr>
        <w:snapToGrid w:val="0"/>
        <w:spacing w:line="400" w:lineRule="exact"/>
        <w:ind w:firstLine="420" w:firstLineChars="200"/>
        <w:jc w:val="left"/>
        <w:rPr>
          <w:rFonts w:hint="eastAsia" w:ascii="宋体" w:hAnsi="宋体" w:cs="Arial"/>
          <w:color w:val="auto"/>
          <w:sz w:val="21"/>
          <w:szCs w:val="21"/>
          <w:highlight w:val="none"/>
        </w:rPr>
      </w:pPr>
      <w:r>
        <w:rPr>
          <w:rFonts w:ascii="宋体" w:hAnsi="宋体" w:cs="Arial"/>
          <w:color w:val="auto"/>
          <w:sz w:val="21"/>
          <w:szCs w:val="21"/>
          <w:highlight w:val="none"/>
        </w:rPr>
        <w:t>1、本项目总报价按</w:t>
      </w:r>
      <w:r>
        <w:rPr>
          <w:rFonts w:hint="eastAsia" w:ascii="宋体" w:hAnsi="宋体" w:cs="Arial"/>
          <w:color w:val="auto"/>
          <w:sz w:val="21"/>
          <w:szCs w:val="21"/>
          <w:highlight w:val="none"/>
        </w:rPr>
        <w:t>两年</w:t>
      </w:r>
      <w:r>
        <w:rPr>
          <w:rFonts w:ascii="宋体" w:hAnsi="宋体" w:cs="Arial"/>
          <w:color w:val="auto"/>
          <w:sz w:val="21"/>
          <w:szCs w:val="21"/>
          <w:highlight w:val="none"/>
        </w:rPr>
        <w:t>服务期进行报价。</w:t>
      </w:r>
    </w:p>
    <w:p>
      <w:pPr>
        <w:snapToGrid w:val="0"/>
        <w:spacing w:line="400" w:lineRule="exact"/>
        <w:ind w:firstLine="420" w:firstLineChars="200"/>
        <w:jc w:val="left"/>
        <w:rPr>
          <w:rFonts w:ascii="宋体" w:hAnsi="宋体" w:cs="Arial"/>
          <w:color w:val="auto"/>
          <w:sz w:val="21"/>
          <w:szCs w:val="21"/>
          <w:highlight w:val="none"/>
        </w:rPr>
      </w:pPr>
      <w:r>
        <w:rPr>
          <w:rFonts w:ascii="宋体" w:hAnsi="宋体" w:cs="Arial"/>
          <w:color w:val="auto"/>
          <w:sz w:val="21"/>
          <w:szCs w:val="21"/>
          <w:highlight w:val="none"/>
        </w:rPr>
        <w:t>2、报价格式见招标文件附件。</w:t>
      </w:r>
    </w:p>
    <w:p>
      <w:pPr>
        <w:pStyle w:val="19"/>
        <w:spacing w:line="360" w:lineRule="auto"/>
        <w:rPr>
          <w:rFonts w:ascii="Arial" w:hAnsi="Arial" w:cs="Arial"/>
          <w:b/>
          <w:color w:val="auto"/>
          <w:szCs w:val="21"/>
          <w:highlight w:val="none"/>
        </w:rPr>
      </w:pPr>
    </w:p>
    <w:p>
      <w:pPr>
        <w:pStyle w:val="6"/>
        <w:tabs>
          <w:tab w:val="left" w:pos="3169"/>
          <w:tab w:val="center" w:pos="4765"/>
        </w:tabs>
        <w:spacing w:before="0" w:after="0" w:line="276" w:lineRule="auto"/>
        <w:ind w:firstLine="2249" w:firstLineChars="700"/>
        <w:jc w:val="left"/>
        <w:rPr>
          <w:rStyle w:val="139"/>
          <w:rFonts w:hint="eastAsia"/>
          <w:b/>
          <w:color w:val="auto"/>
          <w:highlight w:val="none"/>
        </w:rPr>
      </w:pPr>
      <w:bookmarkStart w:id="293" w:name="_Toc105435539"/>
      <w:bookmarkStart w:id="294" w:name="_Toc105438825"/>
    </w:p>
    <w:p>
      <w:pPr>
        <w:pStyle w:val="6"/>
        <w:tabs>
          <w:tab w:val="left" w:pos="3169"/>
          <w:tab w:val="center" w:pos="4765"/>
        </w:tabs>
        <w:spacing w:before="0" w:after="0" w:line="276" w:lineRule="auto"/>
        <w:jc w:val="left"/>
        <w:rPr>
          <w:rStyle w:val="139"/>
          <w:rFonts w:hint="eastAsia"/>
          <w:b/>
          <w:color w:val="auto"/>
          <w:highlight w:val="none"/>
        </w:rPr>
      </w:pPr>
    </w:p>
    <w:p>
      <w:pPr>
        <w:rPr>
          <w:rStyle w:val="139"/>
          <w:rFonts w:hint="eastAsia"/>
          <w:b/>
          <w:color w:val="auto"/>
          <w:highlight w:val="none"/>
        </w:rPr>
      </w:pPr>
    </w:p>
    <w:p>
      <w:pPr>
        <w:pStyle w:val="2"/>
        <w:rPr>
          <w:rStyle w:val="139"/>
          <w:rFonts w:hint="eastAsia"/>
          <w:b/>
          <w:color w:val="auto"/>
          <w:highlight w:val="none"/>
        </w:rPr>
      </w:pPr>
    </w:p>
    <w:p>
      <w:pPr>
        <w:pStyle w:val="4"/>
        <w:rPr>
          <w:rStyle w:val="139"/>
          <w:rFonts w:hint="eastAsia"/>
          <w:b/>
          <w:color w:val="auto"/>
          <w:highlight w:val="none"/>
        </w:rPr>
      </w:pPr>
    </w:p>
    <w:p>
      <w:pPr>
        <w:rPr>
          <w:rFonts w:hint="eastAsia"/>
          <w:color w:val="auto"/>
          <w:highlight w:val="none"/>
        </w:rPr>
      </w:pPr>
    </w:p>
    <w:p>
      <w:pPr>
        <w:pStyle w:val="6"/>
        <w:tabs>
          <w:tab w:val="left" w:pos="3169"/>
          <w:tab w:val="center" w:pos="4765"/>
        </w:tabs>
        <w:spacing w:before="0" w:after="0" w:line="276" w:lineRule="auto"/>
        <w:ind w:firstLine="2249" w:firstLineChars="700"/>
        <w:jc w:val="left"/>
        <w:rPr>
          <w:rStyle w:val="139"/>
          <w:b/>
          <w:color w:val="auto"/>
          <w:highlight w:val="none"/>
        </w:rPr>
      </w:pPr>
      <w:r>
        <w:rPr>
          <w:rStyle w:val="139"/>
          <w:rFonts w:hint="eastAsia"/>
          <w:b/>
          <w:color w:val="auto"/>
          <w:highlight w:val="none"/>
        </w:rPr>
        <w:t>第三章  投标人须知</w:t>
      </w:r>
      <w:bookmarkEnd w:id="293"/>
      <w:bookmarkEnd w:id="294"/>
      <w:bookmarkStart w:id="295" w:name="_Toc105435726"/>
      <w:bookmarkStart w:id="296" w:name="_Toc105435540"/>
      <w:bookmarkStart w:id="297" w:name="_Toc105438826"/>
      <w:r>
        <w:rPr>
          <w:rStyle w:val="139"/>
          <w:rFonts w:hint="eastAsia"/>
          <w:b/>
          <w:color w:val="auto"/>
          <w:highlight w:val="none"/>
        </w:rPr>
        <w:t>前附表</w:t>
      </w:r>
      <w:bookmarkEnd w:id="295"/>
      <w:bookmarkEnd w:id="296"/>
      <w:bookmarkEnd w:id="297"/>
    </w:p>
    <w:tbl>
      <w:tblPr>
        <w:tblStyle w:val="42"/>
        <w:tblW w:w="909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645"/>
        <w:gridCol w:w="1920"/>
        <w:gridCol w:w="653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645" w:type="dxa"/>
            <w:noWrap w:val="0"/>
            <w:vAlign w:val="center"/>
          </w:tcPr>
          <w:p>
            <w:pPr>
              <w:widowControl/>
              <w:spacing w:line="400" w:lineRule="exact"/>
              <w:jc w:val="center"/>
              <w:rPr>
                <w:rFonts w:hint="eastAsia" w:ascii="宋体" w:hAnsi="宋体" w:cs="宋体"/>
                <w:b/>
                <w:color w:val="auto"/>
                <w:sz w:val="21"/>
                <w:szCs w:val="21"/>
                <w:highlight w:val="none"/>
              </w:rPr>
            </w:pPr>
            <w:r>
              <w:rPr>
                <w:rFonts w:hint="eastAsia" w:ascii="宋体" w:hAnsi="宋体" w:cs="宋体"/>
                <w:b/>
                <w:color w:val="auto"/>
                <w:sz w:val="21"/>
                <w:szCs w:val="21"/>
                <w:highlight w:val="none"/>
              </w:rPr>
              <w:t>项号</w:t>
            </w:r>
          </w:p>
        </w:tc>
        <w:tc>
          <w:tcPr>
            <w:tcW w:w="1920" w:type="dxa"/>
            <w:noWrap w:val="0"/>
            <w:vAlign w:val="center"/>
          </w:tcPr>
          <w:p>
            <w:pPr>
              <w:widowControl/>
              <w:spacing w:line="400" w:lineRule="exact"/>
              <w:jc w:val="center"/>
              <w:rPr>
                <w:rFonts w:hint="eastAsia" w:ascii="宋体" w:hAnsi="宋体" w:cs="宋体"/>
                <w:b/>
                <w:color w:val="auto"/>
                <w:sz w:val="21"/>
                <w:szCs w:val="21"/>
                <w:highlight w:val="none"/>
              </w:rPr>
            </w:pPr>
            <w:r>
              <w:rPr>
                <w:rFonts w:hint="eastAsia" w:ascii="宋体" w:hAnsi="宋体" w:cs="宋体"/>
                <w:b/>
                <w:color w:val="auto"/>
                <w:sz w:val="21"/>
                <w:szCs w:val="21"/>
                <w:highlight w:val="none"/>
              </w:rPr>
              <w:t>内容</w:t>
            </w:r>
          </w:p>
        </w:tc>
        <w:tc>
          <w:tcPr>
            <w:tcW w:w="6530" w:type="dxa"/>
            <w:noWrap w:val="0"/>
            <w:vAlign w:val="center"/>
          </w:tcPr>
          <w:p>
            <w:pPr>
              <w:widowControl/>
              <w:spacing w:line="400" w:lineRule="exact"/>
              <w:jc w:val="center"/>
              <w:rPr>
                <w:rFonts w:hint="eastAsia" w:ascii="宋体" w:hAnsi="宋体" w:cs="宋体"/>
                <w:b/>
                <w:color w:val="auto"/>
                <w:sz w:val="21"/>
                <w:szCs w:val="21"/>
                <w:highlight w:val="none"/>
              </w:rPr>
            </w:pPr>
            <w:r>
              <w:rPr>
                <w:rFonts w:hint="eastAsia" w:ascii="宋体" w:hAnsi="宋体" w:cs="宋体"/>
                <w:b/>
                <w:color w:val="auto"/>
                <w:sz w:val="21"/>
                <w:szCs w:val="21"/>
                <w:highlight w:val="none"/>
              </w:rPr>
              <w:t>说明与要求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645" w:type="dxa"/>
            <w:noWrap w:val="0"/>
            <w:vAlign w:val="center"/>
          </w:tcPr>
          <w:p>
            <w:pPr>
              <w:widowControl/>
              <w:numPr>
                <w:ilvl w:val="0"/>
                <w:numId w:val="7"/>
              </w:numPr>
              <w:spacing w:line="400" w:lineRule="exact"/>
              <w:rPr>
                <w:rFonts w:hint="eastAsia" w:ascii="宋体" w:hAnsi="宋体" w:cs="宋体"/>
                <w:color w:val="auto"/>
                <w:sz w:val="21"/>
                <w:szCs w:val="21"/>
                <w:highlight w:val="none"/>
              </w:rPr>
            </w:pPr>
          </w:p>
        </w:tc>
        <w:tc>
          <w:tcPr>
            <w:tcW w:w="1920" w:type="dxa"/>
            <w:noWrap w:val="0"/>
            <w:vAlign w:val="center"/>
          </w:tcPr>
          <w:p>
            <w:pPr>
              <w:widowControl/>
              <w:spacing w:line="40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项目名称</w:t>
            </w:r>
          </w:p>
        </w:tc>
        <w:tc>
          <w:tcPr>
            <w:tcW w:w="6530" w:type="dxa"/>
            <w:noWrap w:val="0"/>
            <w:vAlign w:val="center"/>
          </w:tcPr>
          <w:p>
            <w:pPr>
              <w:widowControl/>
              <w:spacing w:line="40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龙湾区瑶溪街道环卫保洁一体化项目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645" w:type="dxa"/>
            <w:noWrap w:val="0"/>
            <w:vAlign w:val="center"/>
          </w:tcPr>
          <w:p>
            <w:pPr>
              <w:widowControl/>
              <w:numPr>
                <w:ilvl w:val="0"/>
                <w:numId w:val="7"/>
              </w:numPr>
              <w:spacing w:line="400" w:lineRule="exact"/>
              <w:rPr>
                <w:rFonts w:hint="eastAsia" w:ascii="宋体" w:hAnsi="宋体" w:cs="宋体"/>
                <w:color w:val="auto"/>
                <w:sz w:val="21"/>
                <w:szCs w:val="21"/>
                <w:highlight w:val="none"/>
              </w:rPr>
            </w:pPr>
          </w:p>
        </w:tc>
        <w:tc>
          <w:tcPr>
            <w:tcW w:w="1920" w:type="dxa"/>
            <w:noWrap w:val="0"/>
            <w:vAlign w:val="center"/>
          </w:tcPr>
          <w:p>
            <w:pPr>
              <w:widowControl/>
              <w:spacing w:line="40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项目编号</w:t>
            </w:r>
          </w:p>
        </w:tc>
        <w:tc>
          <w:tcPr>
            <w:tcW w:w="6530" w:type="dxa"/>
            <w:noWrap w:val="0"/>
            <w:vAlign w:val="center"/>
          </w:tcPr>
          <w:p>
            <w:pPr>
              <w:widowControl/>
              <w:spacing w:line="400" w:lineRule="exact"/>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WZHC-20220923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645" w:type="dxa"/>
            <w:noWrap w:val="0"/>
            <w:vAlign w:val="center"/>
          </w:tcPr>
          <w:p>
            <w:pPr>
              <w:widowControl/>
              <w:numPr>
                <w:ilvl w:val="0"/>
                <w:numId w:val="7"/>
              </w:numPr>
              <w:spacing w:line="400" w:lineRule="exact"/>
              <w:rPr>
                <w:rFonts w:hint="eastAsia" w:ascii="宋体" w:hAnsi="宋体" w:cs="宋体"/>
                <w:color w:val="auto"/>
                <w:sz w:val="21"/>
                <w:szCs w:val="21"/>
                <w:highlight w:val="none"/>
              </w:rPr>
            </w:pPr>
          </w:p>
        </w:tc>
        <w:tc>
          <w:tcPr>
            <w:tcW w:w="1920" w:type="dxa"/>
            <w:noWrap w:val="0"/>
            <w:vAlign w:val="center"/>
          </w:tcPr>
          <w:p>
            <w:pPr>
              <w:widowControl/>
              <w:spacing w:line="40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资金来源</w:t>
            </w:r>
          </w:p>
        </w:tc>
        <w:tc>
          <w:tcPr>
            <w:tcW w:w="6530" w:type="dxa"/>
            <w:noWrap w:val="0"/>
            <w:vAlign w:val="center"/>
          </w:tcPr>
          <w:p>
            <w:pPr>
              <w:widowControl/>
              <w:spacing w:line="40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财政性资金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645" w:type="dxa"/>
            <w:noWrap w:val="0"/>
            <w:vAlign w:val="center"/>
          </w:tcPr>
          <w:p>
            <w:pPr>
              <w:widowControl/>
              <w:numPr>
                <w:ilvl w:val="0"/>
                <w:numId w:val="7"/>
              </w:numPr>
              <w:spacing w:line="400" w:lineRule="exact"/>
              <w:rPr>
                <w:rFonts w:hint="eastAsia" w:ascii="宋体" w:hAnsi="宋体" w:cs="宋体"/>
                <w:color w:val="auto"/>
                <w:sz w:val="21"/>
                <w:szCs w:val="21"/>
                <w:highlight w:val="none"/>
              </w:rPr>
            </w:pPr>
          </w:p>
        </w:tc>
        <w:tc>
          <w:tcPr>
            <w:tcW w:w="1920" w:type="dxa"/>
            <w:noWrap w:val="0"/>
            <w:vAlign w:val="center"/>
          </w:tcPr>
          <w:p>
            <w:pPr>
              <w:widowControl/>
              <w:spacing w:line="40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采购人及联系方式</w:t>
            </w:r>
          </w:p>
        </w:tc>
        <w:tc>
          <w:tcPr>
            <w:tcW w:w="6530" w:type="dxa"/>
            <w:noWrap w:val="0"/>
            <w:vAlign w:val="center"/>
          </w:tcPr>
          <w:p>
            <w:pPr>
              <w:widowControl/>
              <w:spacing w:line="40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见采购公告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645" w:type="dxa"/>
            <w:noWrap w:val="0"/>
            <w:vAlign w:val="center"/>
          </w:tcPr>
          <w:p>
            <w:pPr>
              <w:widowControl/>
              <w:numPr>
                <w:ilvl w:val="0"/>
                <w:numId w:val="7"/>
              </w:numPr>
              <w:spacing w:line="400" w:lineRule="exact"/>
              <w:rPr>
                <w:rFonts w:hint="eastAsia" w:ascii="宋体" w:hAnsi="宋体" w:cs="宋体"/>
                <w:color w:val="auto"/>
                <w:sz w:val="21"/>
                <w:szCs w:val="21"/>
                <w:highlight w:val="none"/>
              </w:rPr>
            </w:pPr>
          </w:p>
        </w:tc>
        <w:tc>
          <w:tcPr>
            <w:tcW w:w="1920" w:type="dxa"/>
            <w:noWrap w:val="0"/>
            <w:vAlign w:val="center"/>
          </w:tcPr>
          <w:p>
            <w:pPr>
              <w:widowControl/>
              <w:spacing w:line="40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采购代理机构</w:t>
            </w:r>
          </w:p>
          <w:p>
            <w:pPr>
              <w:widowControl/>
              <w:spacing w:line="40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及联系方式</w:t>
            </w:r>
          </w:p>
        </w:tc>
        <w:tc>
          <w:tcPr>
            <w:tcW w:w="6530" w:type="dxa"/>
            <w:noWrap w:val="0"/>
            <w:vAlign w:val="center"/>
          </w:tcPr>
          <w:p>
            <w:pPr>
              <w:widowControl/>
              <w:spacing w:line="40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见采购公告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645" w:type="dxa"/>
            <w:noWrap w:val="0"/>
            <w:vAlign w:val="center"/>
          </w:tcPr>
          <w:p>
            <w:pPr>
              <w:widowControl/>
              <w:numPr>
                <w:ilvl w:val="0"/>
                <w:numId w:val="7"/>
              </w:numPr>
              <w:spacing w:line="400" w:lineRule="exact"/>
              <w:rPr>
                <w:rFonts w:hint="eastAsia" w:ascii="宋体" w:hAnsi="宋体" w:cs="宋体"/>
                <w:color w:val="auto"/>
                <w:sz w:val="21"/>
                <w:szCs w:val="21"/>
                <w:highlight w:val="none"/>
              </w:rPr>
            </w:pPr>
          </w:p>
        </w:tc>
        <w:tc>
          <w:tcPr>
            <w:tcW w:w="1920" w:type="dxa"/>
            <w:noWrap w:val="0"/>
            <w:vAlign w:val="center"/>
          </w:tcPr>
          <w:p>
            <w:pPr>
              <w:widowControl/>
              <w:spacing w:line="40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采购内容</w:t>
            </w:r>
          </w:p>
        </w:tc>
        <w:tc>
          <w:tcPr>
            <w:tcW w:w="6530" w:type="dxa"/>
            <w:noWrap w:val="0"/>
            <w:vAlign w:val="center"/>
          </w:tcPr>
          <w:p>
            <w:pPr>
              <w:widowControl/>
              <w:spacing w:line="40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龙湾区瑶溪街道环卫保洁一体化项目（具体要求详见采购文件）。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374" w:hRule="atLeast"/>
          <w:jc w:val="center"/>
        </w:trPr>
        <w:tc>
          <w:tcPr>
            <w:tcW w:w="645" w:type="dxa"/>
            <w:noWrap w:val="0"/>
            <w:vAlign w:val="center"/>
          </w:tcPr>
          <w:p>
            <w:pPr>
              <w:widowControl/>
              <w:numPr>
                <w:ilvl w:val="0"/>
                <w:numId w:val="7"/>
              </w:numPr>
              <w:spacing w:line="400" w:lineRule="exact"/>
              <w:rPr>
                <w:rFonts w:hint="eastAsia" w:ascii="宋体" w:hAnsi="宋体" w:cs="宋体"/>
                <w:color w:val="auto"/>
                <w:sz w:val="21"/>
                <w:szCs w:val="21"/>
                <w:highlight w:val="none"/>
              </w:rPr>
            </w:pPr>
          </w:p>
        </w:tc>
        <w:tc>
          <w:tcPr>
            <w:tcW w:w="1920" w:type="dxa"/>
            <w:noWrap w:val="0"/>
            <w:vAlign w:val="center"/>
          </w:tcPr>
          <w:p>
            <w:pPr>
              <w:widowControl/>
              <w:spacing w:line="40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供应商</w:t>
            </w:r>
          </w:p>
          <w:p>
            <w:pPr>
              <w:widowControl/>
              <w:spacing w:line="40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资格要求</w:t>
            </w:r>
          </w:p>
        </w:tc>
        <w:tc>
          <w:tcPr>
            <w:tcW w:w="6530" w:type="dxa"/>
            <w:noWrap w:val="0"/>
            <w:vAlign w:val="center"/>
          </w:tcPr>
          <w:p>
            <w:pPr>
              <w:spacing w:line="340" w:lineRule="exact"/>
              <w:rPr>
                <w:rFonts w:hint="eastAsia" w:ascii="宋体" w:hAnsi="宋体"/>
                <w:b/>
                <w:color w:val="auto"/>
                <w:sz w:val="21"/>
                <w:szCs w:val="21"/>
                <w:highlight w:val="none"/>
              </w:rPr>
            </w:pPr>
            <w:r>
              <w:rPr>
                <w:rFonts w:hint="eastAsia" w:ascii="宋体" w:hAnsi="宋体"/>
                <w:b/>
                <w:color w:val="auto"/>
                <w:sz w:val="21"/>
                <w:szCs w:val="21"/>
                <w:highlight w:val="none"/>
                <w:lang w:val="en-US" w:eastAsia="zh-CN"/>
              </w:rPr>
              <w:t xml:space="preserve">1、符合《温州市国有企业采购管理办法（试行）》第十一条对供应商参加国有企业采购活 </w:t>
            </w:r>
          </w:p>
          <w:p>
            <w:pPr>
              <w:spacing w:line="340" w:lineRule="exact"/>
              <w:rPr>
                <w:rFonts w:hint="eastAsia" w:ascii="宋体" w:hAnsi="宋体"/>
                <w:b/>
                <w:color w:val="auto"/>
                <w:sz w:val="21"/>
                <w:szCs w:val="21"/>
                <w:highlight w:val="none"/>
              </w:rPr>
            </w:pPr>
            <w:r>
              <w:rPr>
                <w:rFonts w:hint="eastAsia" w:ascii="宋体" w:hAnsi="宋体"/>
                <w:b/>
                <w:color w:val="auto"/>
                <w:sz w:val="21"/>
                <w:szCs w:val="21"/>
                <w:highlight w:val="none"/>
                <w:lang w:val="en-US" w:eastAsia="zh-CN"/>
              </w:rPr>
              <w:t xml:space="preserve">动应当具备的条件的要求； </w:t>
            </w:r>
          </w:p>
          <w:p>
            <w:pPr>
              <w:spacing w:line="340" w:lineRule="exact"/>
              <w:rPr>
                <w:rFonts w:hint="eastAsia" w:ascii="宋体" w:hAnsi="宋体"/>
                <w:b/>
                <w:color w:val="auto"/>
                <w:sz w:val="21"/>
                <w:szCs w:val="21"/>
                <w:highlight w:val="none"/>
              </w:rPr>
            </w:pPr>
            <w:r>
              <w:rPr>
                <w:rFonts w:hint="eastAsia" w:ascii="宋体" w:hAnsi="宋体"/>
                <w:b/>
                <w:color w:val="auto"/>
                <w:sz w:val="21"/>
                <w:szCs w:val="21"/>
                <w:highlight w:val="none"/>
                <w:lang w:val="en-US" w:eastAsia="zh-CN"/>
              </w:rPr>
              <w:t xml:space="preserve">2、投标人未被“信用中国”（www.creditchina.gov.cn）、中国政府采购网 </w:t>
            </w:r>
          </w:p>
          <w:p>
            <w:pPr>
              <w:spacing w:line="340" w:lineRule="exact"/>
              <w:rPr>
                <w:rFonts w:hint="eastAsia" w:ascii="宋体" w:hAnsi="宋体"/>
                <w:b/>
                <w:color w:val="auto"/>
                <w:sz w:val="21"/>
                <w:szCs w:val="21"/>
                <w:highlight w:val="none"/>
              </w:rPr>
            </w:pPr>
            <w:r>
              <w:rPr>
                <w:rFonts w:hint="eastAsia" w:ascii="宋体" w:hAnsi="宋体"/>
                <w:b/>
                <w:color w:val="auto"/>
                <w:sz w:val="21"/>
                <w:szCs w:val="21"/>
                <w:highlight w:val="none"/>
                <w:lang w:val="en-US" w:eastAsia="zh-CN"/>
              </w:rPr>
              <w:t xml:space="preserve">（www.ccgp.gov.cn）列入失信被执行人、重大税收违法案件当事人名单、政府采购严重违法 </w:t>
            </w:r>
          </w:p>
          <w:p>
            <w:pPr>
              <w:spacing w:line="340" w:lineRule="exact"/>
              <w:rPr>
                <w:rFonts w:hint="eastAsia" w:ascii="宋体" w:hAnsi="宋体"/>
                <w:b/>
                <w:color w:val="auto"/>
                <w:sz w:val="21"/>
                <w:szCs w:val="21"/>
                <w:highlight w:val="none"/>
              </w:rPr>
            </w:pPr>
            <w:r>
              <w:rPr>
                <w:rFonts w:hint="eastAsia" w:ascii="宋体" w:hAnsi="宋体"/>
                <w:b/>
                <w:color w:val="auto"/>
                <w:sz w:val="21"/>
                <w:szCs w:val="21"/>
                <w:highlight w:val="none"/>
                <w:lang w:val="en-US" w:eastAsia="zh-CN"/>
              </w:rPr>
              <w:t xml:space="preserve">失信行为记录名单； </w:t>
            </w:r>
          </w:p>
          <w:p>
            <w:pPr>
              <w:widowControl/>
              <w:spacing w:line="400" w:lineRule="exact"/>
              <w:rPr>
                <w:rFonts w:hint="eastAsia" w:ascii="宋体" w:hAnsi="宋体" w:cs="宋体"/>
                <w:color w:val="auto"/>
                <w:sz w:val="21"/>
                <w:szCs w:val="21"/>
                <w:highlight w:val="none"/>
              </w:rPr>
            </w:pPr>
            <w:r>
              <w:rPr>
                <w:rFonts w:hint="eastAsia" w:ascii="宋体" w:hAnsi="宋体"/>
                <w:b/>
                <w:color w:val="auto"/>
                <w:sz w:val="21"/>
                <w:szCs w:val="21"/>
                <w:highlight w:val="none"/>
                <w:lang w:val="en-US" w:eastAsia="zh-CN"/>
              </w:rPr>
              <w:t xml:space="preserve">3、本项目不接受联合体投标。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645" w:type="dxa"/>
            <w:noWrap w:val="0"/>
            <w:vAlign w:val="center"/>
          </w:tcPr>
          <w:p>
            <w:pPr>
              <w:widowControl/>
              <w:numPr>
                <w:ilvl w:val="0"/>
                <w:numId w:val="7"/>
              </w:numPr>
              <w:spacing w:line="400" w:lineRule="exact"/>
              <w:rPr>
                <w:rFonts w:hint="eastAsia" w:ascii="宋体" w:hAnsi="宋体" w:cs="宋体"/>
                <w:color w:val="auto"/>
                <w:sz w:val="21"/>
                <w:szCs w:val="21"/>
                <w:highlight w:val="none"/>
              </w:rPr>
            </w:pPr>
          </w:p>
        </w:tc>
        <w:tc>
          <w:tcPr>
            <w:tcW w:w="1920" w:type="dxa"/>
            <w:noWrap w:val="0"/>
            <w:vAlign w:val="center"/>
          </w:tcPr>
          <w:p>
            <w:pPr>
              <w:widowControl/>
              <w:spacing w:line="40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是否接受联合体投标</w:t>
            </w:r>
          </w:p>
        </w:tc>
        <w:tc>
          <w:tcPr>
            <w:tcW w:w="6530" w:type="dxa"/>
            <w:noWrap w:val="0"/>
            <w:vAlign w:val="center"/>
          </w:tcPr>
          <w:p>
            <w:pPr>
              <w:widowControl/>
              <w:spacing w:line="40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fldChar w:fldCharType="begin"/>
            </w:r>
            <w:r>
              <w:rPr>
                <w:rFonts w:hint="eastAsia" w:ascii="宋体" w:hAnsi="宋体" w:cs="宋体"/>
                <w:color w:val="auto"/>
                <w:sz w:val="21"/>
                <w:szCs w:val="21"/>
                <w:highlight w:val="none"/>
              </w:rPr>
              <w:instrText xml:space="preserve"> eq \o\ac(□,</w:instrText>
            </w:r>
            <w:r>
              <w:rPr>
                <w:rFonts w:hint="eastAsia" w:ascii="宋体" w:hAnsi="宋体" w:cs="宋体"/>
                <w:color w:val="auto"/>
                <w:position w:val="2"/>
                <w:sz w:val="21"/>
                <w:szCs w:val="21"/>
                <w:highlight w:val="none"/>
              </w:rPr>
              <w:instrText xml:space="preserve">√</w:instrText>
            </w:r>
            <w:r>
              <w:rPr>
                <w:rFonts w:hint="eastAsia" w:ascii="宋体" w:hAnsi="宋体" w:cs="宋体"/>
                <w:color w:val="auto"/>
                <w:sz w:val="21"/>
                <w:szCs w:val="21"/>
                <w:highlight w:val="none"/>
              </w:rPr>
              <w:instrText xml:space="preserve">)</w:instrText>
            </w:r>
            <w:r>
              <w:rPr>
                <w:rFonts w:hint="eastAsia" w:ascii="宋体" w:hAnsi="宋体" w:cs="宋体"/>
                <w:color w:val="auto"/>
                <w:sz w:val="21"/>
                <w:szCs w:val="21"/>
                <w:highlight w:val="none"/>
              </w:rPr>
              <w:fldChar w:fldCharType="end"/>
            </w:r>
            <w:r>
              <w:rPr>
                <w:rFonts w:hint="eastAsia" w:ascii="宋体" w:hAnsi="宋体" w:cs="宋体"/>
                <w:color w:val="auto"/>
                <w:sz w:val="21"/>
                <w:szCs w:val="21"/>
                <w:highlight w:val="none"/>
              </w:rPr>
              <w:t>不接受</w:t>
            </w:r>
          </w:p>
          <w:p>
            <w:pPr>
              <w:widowControl/>
              <w:spacing w:line="40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□接受，应满足下列要求：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718" w:hRule="atLeast"/>
          <w:jc w:val="center"/>
        </w:trPr>
        <w:tc>
          <w:tcPr>
            <w:tcW w:w="645" w:type="dxa"/>
            <w:noWrap w:val="0"/>
            <w:vAlign w:val="center"/>
          </w:tcPr>
          <w:p>
            <w:pPr>
              <w:widowControl/>
              <w:numPr>
                <w:ilvl w:val="0"/>
                <w:numId w:val="7"/>
              </w:numPr>
              <w:spacing w:line="400" w:lineRule="exact"/>
              <w:rPr>
                <w:rFonts w:hint="eastAsia" w:ascii="宋体" w:hAnsi="宋体" w:cs="宋体"/>
                <w:color w:val="auto"/>
                <w:sz w:val="21"/>
                <w:szCs w:val="21"/>
                <w:highlight w:val="none"/>
              </w:rPr>
            </w:pPr>
          </w:p>
        </w:tc>
        <w:tc>
          <w:tcPr>
            <w:tcW w:w="1920" w:type="dxa"/>
            <w:noWrap w:val="0"/>
            <w:vAlign w:val="center"/>
          </w:tcPr>
          <w:p>
            <w:pPr>
              <w:widowControl/>
              <w:spacing w:line="40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踏勘现场</w:t>
            </w:r>
          </w:p>
        </w:tc>
        <w:tc>
          <w:tcPr>
            <w:tcW w:w="6530" w:type="dxa"/>
            <w:noWrap w:val="0"/>
            <w:vAlign w:val="center"/>
          </w:tcPr>
          <w:p>
            <w:pPr>
              <w:widowControl/>
              <w:spacing w:line="40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fldChar w:fldCharType="begin"/>
            </w:r>
            <w:r>
              <w:rPr>
                <w:rFonts w:hint="eastAsia" w:ascii="宋体" w:hAnsi="宋体" w:cs="宋体"/>
                <w:color w:val="auto"/>
                <w:sz w:val="21"/>
                <w:szCs w:val="21"/>
                <w:highlight w:val="none"/>
              </w:rPr>
              <w:instrText xml:space="preserve"> eq \o\ac(□,</w:instrText>
            </w:r>
            <w:r>
              <w:rPr>
                <w:rFonts w:hint="eastAsia" w:ascii="宋体" w:hAnsi="宋体" w:cs="宋体"/>
                <w:color w:val="auto"/>
                <w:position w:val="2"/>
                <w:sz w:val="21"/>
                <w:szCs w:val="21"/>
                <w:highlight w:val="none"/>
              </w:rPr>
              <w:instrText xml:space="preserve">√</w:instrText>
            </w:r>
            <w:r>
              <w:rPr>
                <w:rFonts w:hint="eastAsia" w:ascii="宋体" w:hAnsi="宋体" w:cs="宋体"/>
                <w:color w:val="auto"/>
                <w:sz w:val="21"/>
                <w:szCs w:val="21"/>
                <w:highlight w:val="none"/>
              </w:rPr>
              <w:instrText xml:space="preserve">)</w:instrText>
            </w:r>
            <w:r>
              <w:rPr>
                <w:rFonts w:hint="eastAsia" w:ascii="宋体" w:hAnsi="宋体" w:cs="宋体"/>
                <w:color w:val="auto"/>
                <w:sz w:val="21"/>
                <w:szCs w:val="21"/>
                <w:highlight w:val="none"/>
              </w:rPr>
              <w:fldChar w:fldCharType="end"/>
            </w:r>
            <w:r>
              <w:rPr>
                <w:rFonts w:hint="eastAsia" w:ascii="宋体" w:hAnsi="宋体" w:cs="宋体"/>
                <w:color w:val="auto"/>
                <w:sz w:val="21"/>
                <w:szCs w:val="21"/>
                <w:highlight w:val="none"/>
              </w:rPr>
              <w:t xml:space="preserve"> 不组织</w:t>
            </w:r>
          </w:p>
          <w:p>
            <w:pPr>
              <w:widowControl/>
              <w:spacing w:line="40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 组织    踏勘时间：</w:t>
            </w:r>
            <w:r>
              <w:rPr>
                <w:rFonts w:hint="eastAsia" w:ascii="宋体" w:hAnsi="宋体" w:cs="宋体"/>
                <w:i/>
                <w:color w:val="auto"/>
                <w:sz w:val="21"/>
                <w:szCs w:val="21"/>
                <w:highlight w:val="none"/>
              </w:rPr>
              <w:t xml:space="preserve">             </w:t>
            </w:r>
            <w:r>
              <w:rPr>
                <w:rFonts w:hint="eastAsia" w:ascii="宋体" w:hAnsi="宋体" w:cs="宋体"/>
                <w:color w:val="auto"/>
                <w:sz w:val="21"/>
                <w:szCs w:val="21"/>
                <w:highlight w:val="none"/>
              </w:rPr>
              <w:t xml:space="preserve"> 踏勘集中地点：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645" w:type="dxa"/>
            <w:noWrap w:val="0"/>
            <w:vAlign w:val="center"/>
          </w:tcPr>
          <w:p>
            <w:pPr>
              <w:widowControl/>
              <w:numPr>
                <w:ilvl w:val="0"/>
                <w:numId w:val="7"/>
              </w:numPr>
              <w:spacing w:line="400" w:lineRule="exact"/>
              <w:rPr>
                <w:rFonts w:hint="eastAsia" w:ascii="宋体" w:hAnsi="宋体" w:cs="宋体"/>
                <w:color w:val="auto"/>
                <w:sz w:val="21"/>
                <w:szCs w:val="21"/>
                <w:highlight w:val="none"/>
              </w:rPr>
            </w:pPr>
          </w:p>
        </w:tc>
        <w:tc>
          <w:tcPr>
            <w:tcW w:w="1920" w:type="dxa"/>
            <w:noWrap w:val="0"/>
            <w:vAlign w:val="center"/>
          </w:tcPr>
          <w:p>
            <w:pPr>
              <w:widowControl/>
              <w:spacing w:line="40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是否允许递交备选投标方案</w:t>
            </w:r>
          </w:p>
        </w:tc>
        <w:tc>
          <w:tcPr>
            <w:tcW w:w="6530" w:type="dxa"/>
            <w:noWrap w:val="0"/>
            <w:vAlign w:val="center"/>
          </w:tcPr>
          <w:p>
            <w:pPr>
              <w:widowControl/>
              <w:spacing w:line="40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fldChar w:fldCharType="begin"/>
            </w:r>
            <w:r>
              <w:rPr>
                <w:rFonts w:hint="eastAsia" w:ascii="宋体" w:hAnsi="宋体" w:cs="宋体"/>
                <w:color w:val="auto"/>
                <w:sz w:val="21"/>
                <w:szCs w:val="21"/>
                <w:highlight w:val="none"/>
              </w:rPr>
              <w:instrText xml:space="preserve"> eq \o\ac(□,</w:instrText>
            </w:r>
            <w:r>
              <w:rPr>
                <w:rFonts w:hint="eastAsia" w:ascii="宋体" w:hAnsi="宋体" w:cs="宋体"/>
                <w:color w:val="auto"/>
                <w:position w:val="2"/>
                <w:sz w:val="21"/>
                <w:szCs w:val="21"/>
                <w:highlight w:val="none"/>
              </w:rPr>
              <w:instrText xml:space="preserve">√</w:instrText>
            </w:r>
            <w:r>
              <w:rPr>
                <w:rFonts w:hint="eastAsia" w:ascii="宋体" w:hAnsi="宋体" w:cs="宋体"/>
                <w:color w:val="auto"/>
                <w:sz w:val="21"/>
                <w:szCs w:val="21"/>
                <w:highlight w:val="none"/>
              </w:rPr>
              <w:instrText xml:space="preserve">)</w:instrText>
            </w:r>
            <w:r>
              <w:rPr>
                <w:rFonts w:hint="eastAsia" w:ascii="宋体" w:hAnsi="宋体" w:cs="宋体"/>
                <w:color w:val="auto"/>
                <w:sz w:val="21"/>
                <w:szCs w:val="21"/>
                <w:highlight w:val="none"/>
              </w:rPr>
              <w:fldChar w:fldCharType="end"/>
            </w:r>
            <w:r>
              <w:rPr>
                <w:rFonts w:hint="eastAsia" w:ascii="宋体" w:hAnsi="宋体" w:cs="宋体"/>
                <w:color w:val="auto"/>
                <w:sz w:val="21"/>
                <w:szCs w:val="21"/>
                <w:highlight w:val="none"/>
              </w:rPr>
              <w:t>不允许：</w:t>
            </w:r>
            <w:r>
              <w:rPr>
                <w:rFonts w:hint="eastAsia" w:ascii="宋体" w:hAnsi="宋体" w:cs="宋体"/>
                <w:color w:val="auto"/>
                <w:sz w:val="21"/>
                <w:szCs w:val="21"/>
                <w:highlight w:val="none"/>
                <w:u w:val="single"/>
              </w:rPr>
              <w:t>▲供应商不得递交任何的投标备选（替代）方案，否则其投标文件将作无效标处理。</w:t>
            </w:r>
          </w:p>
          <w:p>
            <w:pPr>
              <w:widowControl/>
              <w:spacing w:line="40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□允许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645" w:type="dxa"/>
            <w:noWrap w:val="0"/>
            <w:vAlign w:val="center"/>
          </w:tcPr>
          <w:p>
            <w:pPr>
              <w:widowControl/>
              <w:numPr>
                <w:ilvl w:val="0"/>
                <w:numId w:val="7"/>
              </w:numPr>
              <w:spacing w:line="400" w:lineRule="exact"/>
              <w:rPr>
                <w:rFonts w:hint="eastAsia" w:ascii="宋体" w:hAnsi="宋体" w:cs="宋体"/>
                <w:color w:val="auto"/>
                <w:sz w:val="21"/>
                <w:szCs w:val="21"/>
                <w:highlight w:val="none"/>
              </w:rPr>
            </w:pPr>
          </w:p>
        </w:tc>
        <w:tc>
          <w:tcPr>
            <w:tcW w:w="1920" w:type="dxa"/>
            <w:noWrap w:val="0"/>
            <w:vAlign w:val="center"/>
          </w:tcPr>
          <w:p>
            <w:pPr>
              <w:widowControl/>
              <w:spacing w:line="40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投标货币</w:t>
            </w:r>
          </w:p>
        </w:tc>
        <w:tc>
          <w:tcPr>
            <w:tcW w:w="6530" w:type="dxa"/>
            <w:noWrap w:val="0"/>
            <w:vAlign w:val="center"/>
          </w:tcPr>
          <w:p>
            <w:pPr>
              <w:widowControl/>
              <w:spacing w:line="40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人民币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645" w:type="dxa"/>
            <w:noWrap w:val="0"/>
            <w:vAlign w:val="center"/>
          </w:tcPr>
          <w:p>
            <w:pPr>
              <w:widowControl/>
              <w:numPr>
                <w:ilvl w:val="0"/>
                <w:numId w:val="7"/>
              </w:numPr>
              <w:spacing w:line="400" w:lineRule="exact"/>
              <w:rPr>
                <w:rFonts w:hint="eastAsia" w:ascii="宋体" w:hAnsi="宋体" w:cs="宋体"/>
                <w:color w:val="auto"/>
                <w:sz w:val="21"/>
                <w:szCs w:val="21"/>
                <w:highlight w:val="none"/>
              </w:rPr>
            </w:pPr>
          </w:p>
        </w:tc>
        <w:tc>
          <w:tcPr>
            <w:tcW w:w="1920" w:type="dxa"/>
            <w:noWrap w:val="0"/>
            <w:vAlign w:val="center"/>
          </w:tcPr>
          <w:p>
            <w:pPr>
              <w:widowControl/>
              <w:spacing w:line="40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投标语言</w:t>
            </w:r>
          </w:p>
        </w:tc>
        <w:tc>
          <w:tcPr>
            <w:tcW w:w="6530" w:type="dxa"/>
            <w:noWrap w:val="0"/>
            <w:vAlign w:val="center"/>
          </w:tcPr>
          <w:p>
            <w:pPr>
              <w:widowControl/>
              <w:spacing w:line="40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中文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645" w:type="dxa"/>
            <w:noWrap w:val="0"/>
            <w:vAlign w:val="center"/>
          </w:tcPr>
          <w:p>
            <w:pPr>
              <w:widowControl/>
              <w:numPr>
                <w:ilvl w:val="0"/>
                <w:numId w:val="7"/>
              </w:numPr>
              <w:spacing w:line="400" w:lineRule="exact"/>
              <w:rPr>
                <w:rFonts w:hint="eastAsia" w:ascii="宋体" w:hAnsi="宋体" w:cs="宋体"/>
                <w:color w:val="auto"/>
                <w:sz w:val="21"/>
                <w:szCs w:val="21"/>
                <w:highlight w:val="none"/>
              </w:rPr>
            </w:pPr>
          </w:p>
        </w:tc>
        <w:tc>
          <w:tcPr>
            <w:tcW w:w="1920" w:type="dxa"/>
            <w:noWrap w:val="0"/>
            <w:vAlign w:val="center"/>
          </w:tcPr>
          <w:p>
            <w:pPr>
              <w:widowControl/>
              <w:spacing w:line="400" w:lineRule="exact"/>
              <w:jc w:val="center"/>
              <w:rPr>
                <w:rFonts w:hint="eastAsia" w:ascii="宋体" w:hAnsi="宋体" w:cs="宋体"/>
                <w:strike/>
                <w:color w:val="auto"/>
                <w:sz w:val="21"/>
                <w:szCs w:val="21"/>
                <w:highlight w:val="none"/>
              </w:rPr>
            </w:pPr>
            <w:r>
              <w:rPr>
                <w:rFonts w:hint="eastAsia" w:ascii="宋体" w:hAnsi="宋体" w:cs="宋体"/>
                <w:color w:val="auto"/>
                <w:sz w:val="21"/>
                <w:szCs w:val="21"/>
                <w:highlight w:val="none"/>
              </w:rPr>
              <w:t>投标文件的组成和份数</w:t>
            </w:r>
          </w:p>
        </w:tc>
        <w:tc>
          <w:tcPr>
            <w:tcW w:w="6530" w:type="dxa"/>
            <w:noWrap w:val="0"/>
            <w:vAlign w:val="center"/>
          </w:tcPr>
          <w:p>
            <w:pPr>
              <w:pStyle w:val="158"/>
              <w:widowControl/>
              <w:numPr>
                <w:ilvl w:val="0"/>
                <w:numId w:val="8"/>
              </w:numPr>
              <w:spacing w:before="0" w:line="400" w:lineRule="exact"/>
              <w:ind w:firstLine="0" w:firstLineChars="0"/>
              <w:contextualSpacing/>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投标文件由</w:t>
            </w:r>
            <w:r>
              <w:rPr>
                <w:rFonts w:hint="eastAsia" w:hAnsi="宋体"/>
                <w:b/>
                <w:bCs/>
                <w:color w:val="auto"/>
                <w:sz w:val="21"/>
                <w:szCs w:val="21"/>
                <w:highlight w:val="none"/>
              </w:rPr>
              <w:t>投标文件由资格文件、商务技术文件和报价文件三部分</w:t>
            </w:r>
            <w:r>
              <w:rPr>
                <w:rFonts w:hint="eastAsia" w:ascii="宋体" w:hAnsi="宋体" w:cs="宋体"/>
                <w:b/>
                <w:bCs/>
                <w:color w:val="auto"/>
                <w:sz w:val="21"/>
                <w:szCs w:val="21"/>
                <w:highlight w:val="none"/>
              </w:rPr>
              <w:t>组成</w:t>
            </w:r>
            <w:r>
              <w:rPr>
                <w:rFonts w:hint="eastAsia" w:ascii="宋体" w:hAnsi="宋体" w:cs="宋体"/>
                <w:b/>
                <w:bCs/>
                <w:color w:val="auto"/>
                <w:sz w:val="21"/>
                <w:szCs w:val="21"/>
                <w:highlight w:val="none"/>
                <w:lang w:eastAsia="zh-CN"/>
              </w:rPr>
              <w:t>。</w:t>
            </w:r>
          </w:p>
          <w:p>
            <w:pPr>
              <w:pStyle w:val="158"/>
              <w:widowControl/>
              <w:numPr>
                <w:ilvl w:val="0"/>
                <w:numId w:val="8"/>
              </w:numPr>
              <w:spacing w:before="0" w:line="400" w:lineRule="exact"/>
              <w:ind w:firstLine="0" w:firstLineChars="0"/>
              <w:contextualSpacing/>
              <w:rPr>
                <w:rFonts w:hint="eastAsia" w:ascii="宋体" w:hAnsi="宋体" w:cs="宋体"/>
                <w:b/>
                <w:bCs/>
                <w:color w:val="auto"/>
                <w:sz w:val="21"/>
                <w:szCs w:val="21"/>
                <w:highlight w:val="none"/>
              </w:rPr>
            </w:pPr>
            <w:r>
              <w:rPr>
                <w:rFonts w:hint="eastAsia" w:ascii="宋体" w:hAnsi="宋体" w:cs="宋体"/>
                <w:b/>
                <w:bCs/>
                <w:color w:val="auto"/>
                <w:sz w:val="21"/>
                <w:szCs w:val="21"/>
                <w:highlight w:val="none"/>
                <w:lang w:eastAsia="zh-CN"/>
              </w:rPr>
              <w:t>以上投标文件均正本一份，副本六份。</w:t>
            </w:r>
          </w:p>
          <w:p>
            <w:pPr>
              <w:pStyle w:val="158"/>
              <w:widowControl/>
              <w:numPr>
                <w:ilvl w:val="0"/>
                <w:numId w:val="0"/>
              </w:numPr>
              <w:spacing w:before="0" w:line="400" w:lineRule="exact"/>
              <w:contextualSpacing/>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建议投标人针对评分细则，编制目录索引，注明评标细则项目所在投标文件页码，以便评委能更快的搜索到各评分项所对应的投标响应内容，</w:t>
            </w:r>
            <w:r>
              <w:rPr>
                <w:rFonts w:hint="eastAsia" w:ascii="宋体" w:hAnsi="宋体" w:cs="宋体"/>
                <w:b/>
                <w:bCs/>
                <w:color w:val="auto"/>
                <w:sz w:val="21"/>
                <w:szCs w:val="21"/>
                <w:highlight w:val="none"/>
                <w:lang w:eastAsia="zh-CN"/>
              </w:rPr>
              <w:t>正反面</w:t>
            </w:r>
            <w:r>
              <w:rPr>
                <w:rFonts w:hint="eastAsia" w:ascii="宋体" w:hAnsi="宋体" w:cs="宋体"/>
                <w:b/>
                <w:bCs/>
                <w:color w:val="auto"/>
                <w:sz w:val="21"/>
                <w:szCs w:val="21"/>
                <w:highlight w:val="none"/>
              </w:rPr>
              <w:t>页数控制在600页以内。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645" w:type="dxa"/>
            <w:noWrap w:val="0"/>
            <w:vAlign w:val="center"/>
          </w:tcPr>
          <w:p>
            <w:pPr>
              <w:widowControl/>
              <w:numPr>
                <w:ilvl w:val="0"/>
                <w:numId w:val="7"/>
              </w:numPr>
              <w:spacing w:line="400" w:lineRule="exact"/>
              <w:rPr>
                <w:rFonts w:hint="eastAsia" w:ascii="宋体" w:hAnsi="宋体" w:cs="宋体"/>
                <w:color w:val="auto"/>
                <w:sz w:val="21"/>
                <w:szCs w:val="21"/>
                <w:highlight w:val="none"/>
              </w:rPr>
            </w:pPr>
          </w:p>
        </w:tc>
        <w:tc>
          <w:tcPr>
            <w:tcW w:w="1920" w:type="dxa"/>
            <w:noWrap w:val="0"/>
            <w:vAlign w:val="center"/>
          </w:tcPr>
          <w:p>
            <w:pPr>
              <w:keepNext w:val="0"/>
              <w:keepLines w:val="0"/>
              <w:widowControl/>
              <w:suppressLineNumbers w:val="0"/>
              <w:jc w:val="left"/>
              <w:rPr>
                <w:color w:val="auto"/>
                <w:highlight w:val="none"/>
              </w:rPr>
            </w:pPr>
            <w:r>
              <w:rPr>
                <w:rFonts w:hint="eastAsia" w:ascii="宋体" w:hAnsi="宋体" w:eastAsia="宋体" w:cs="宋体"/>
                <w:color w:val="auto"/>
                <w:kern w:val="0"/>
                <w:sz w:val="22"/>
                <w:szCs w:val="22"/>
                <w:highlight w:val="none"/>
                <w:lang w:val="en-US" w:eastAsia="zh-CN" w:bidi="ar"/>
              </w:rPr>
              <w:t xml:space="preserve">签字或盖章要 </w:t>
            </w:r>
          </w:p>
          <w:p>
            <w:pPr>
              <w:keepNext w:val="0"/>
              <w:keepLines w:val="0"/>
              <w:widowControl/>
              <w:suppressLineNumbers w:val="0"/>
              <w:jc w:val="left"/>
              <w:rPr>
                <w:color w:val="auto"/>
                <w:highlight w:val="none"/>
              </w:rPr>
            </w:pPr>
            <w:r>
              <w:rPr>
                <w:rFonts w:hint="eastAsia" w:ascii="宋体" w:hAnsi="宋体" w:eastAsia="宋体" w:cs="宋体"/>
                <w:color w:val="auto"/>
                <w:kern w:val="0"/>
                <w:sz w:val="22"/>
                <w:szCs w:val="22"/>
                <w:highlight w:val="none"/>
                <w:lang w:val="en-US" w:eastAsia="zh-CN" w:bidi="ar"/>
              </w:rPr>
              <w:t xml:space="preserve">求 </w:t>
            </w:r>
          </w:p>
          <w:p>
            <w:pPr>
              <w:widowControl/>
              <w:spacing w:line="400" w:lineRule="exact"/>
              <w:jc w:val="center"/>
              <w:rPr>
                <w:rFonts w:hint="eastAsia" w:ascii="宋体" w:hAnsi="宋体" w:cs="宋体"/>
                <w:strike/>
                <w:color w:val="auto"/>
                <w:sz w:val="21"/>
                <w:szCs w:val="21"/>
                <w:highlight w:val="none"/>
              </w:rPr>
            </w:pPr>
          </w:p>
        </w:tc>
        <w:tc>
          <w:tcPr>
            <w:tcW w:w="6530" w:type="dxa"/>
            <w:noWrap w:val="0"/>
            <w:vAlign w:val="center"/>
          </w:tcPr>
          <w:p>
            <w:pPr>
              <w:keepNext w:val="0"/>
              <w:keepLines w:val="0"/>
              <w:widowControl/>
              <w:suppressLineNumbers w:val="0"/>
              <w:jc w:val="left"/>
              <w:rPr>
                <w:rFonts w:hint="eastAsia" w:ascii="宋体" w:hAnsi="宋体" w:cs="宋体"/>
                <w:strike/>
                <w:color w:val="auto"/>
                <w:sz w:val="21"/>
                <w:szCs w:val="21"/>
                <w:highlight w:val="none"/>
              </w:rPr>
            </w:pPr>
            <w:r>
              <w:rPr>
                <w:rFonts w:hint="eastAsia" w:ascii="宋体" w:hAnsi="宋体" w:eastAsia="宋体" w:cs="宋体"/>
                <w:b/>
                <w:bCs/>
                <w:color w:val="auto"/>
                <w:kern w:val="0"/>
                <w:sz w:val="22"/>
                <w:szCs w:val="22"/>
                <w:highlight w:val="none"/>
                <w:lang w:val="en-US" w:eastAsia="zh-CN" w:bidi="ar"/>
              </w:rPr>
              <w:t xml:space="preserve">投标文件的正本及所有副本均须按采购文件格式要求，由投标供应商加盖单位公章和法定代表人或其授权代表印章（或签字）。投标文件中所涉及的公章必须是投标供应商全称的公章，不得使用投标专用章、合同章等类似图章代替。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645" w:type="dxa"/>
            <w:noWrap w:val="0"/>
            <w:vAlign w:val="center"/>
          </w:tcPr>
          <w:p>
            <w:pPr>
              <w:widowControl/>
              <w:numPr>
                <w:ilvl w:val="0"/>
                <w:numId w:val="7"/>
              </w:numPr>
              <w:spacing w:line="400" w:lineRule="exact"/>
              <w:rPr>
                <w:rFonts w:hint="eastAsia" w:ascii="宋体" w:hAnsi="宋体" w:cs="宋体"/>
                <w:color w:val="auto"/>
                <w:sz w:val="21"/>
                <w:szCs w:val="21"/>
                <w:highlight w:val="none"/>
              </w:rPr>
            </w:pPr>
          </w:p>
        </w:tc>
        <w:tc>
          <w:tcPr>
            <w:tcW w:w="1920" w:type="dxa"/>
            <w:noWrap w:val="0"/>
            <w:vAlign w:val="center"/>
          </w:tcPr>
          <w:p>
            <w:pPr>
              <w:keepNext w:val="0"/>
              <w:keepLines w:val="0"/>
              <w:widowControl/>
              <w:suppressLineNumbers w:val="0"/>
              <w:jc w:val="left"/>
              <w:rPr>
                <w:color w:val="auto"/>
                <w:highlight w:val="none"/>
              </w:rPr>
            </w:pPr>
            <w:r>
              <w:rPr>
                <w:rFonts w:hint="eastAsia" w:ascii="宋体" w:hAnsi="宋体" w:eastAsia="宋体" w:cs="宋体"/>
                <w:color w:val="auto"/>
                <w:kern w:val="0"/>
                <w:sz w:val="22"/>
                <w:szCs w:val="22"/>
                <w:highlight w:val="none"/>
                <w:lang w:val="en-US" w:eastAsia="zh-CN" w:bidi="ar"/>
              </w:rPr>
              <w:t xml:space="preserve">密封、装订要 </w:t>
            </w:r>
          </w:p>
          <w:p>
            <w:pPr>
              <w:keepNext w:val="0"/>
              <w:keepLines w:val="0"/>
              <w:widowControl/>
              <w:suppressLineNumbers w:val="0"/>
              <w:jc w:val="left"/>
              <w:rPr>
                <w:color w:val="auto"/>
                <w:highlight w:val="none"/>
              </w:rPr>
            </w:pPr>
            <w:r>
              <w:rPr>
                <w:rFonts w:hint="eastAsia" w:ascii="宋体" w:hAnsi="宋体" w:eastAsia="宋体" w:cs="宋体"/>
                <w:color w:val="auto"/>
                <w:kern w:val="0"/>
                <w:sz w:val="22"/>
                <w:szCs w:val="22"/>
                <w:highlight w:val="none"/>
                <w:lang w:val="en-US" w:eastAsia="zh-CN" w:bidi="ar"/>
              </w:rPr>
              <w:t>求</w:t>
            </w:r>
          </w:p>
          <w:p>
            <w:pPr>
              <w:widowControl/>
              <w:spacing w:line="400" w:lineRule="exact"/>
              <w:jc w:val="center"/>
              <w:rPr>
                <w:rFonts w:hint="eastAsia" w:ascii="宋体" w:hAnsi="宋体" w:cs="宋体"/>
                <w:strike/>
                <w:color w:val="auto"/>
                <w:sz w:val="21"/>
                <w:szCs w:val="21"/>
                <w:highlight w:val="none"/>
              </w:rPr>
            </w:pPr>
          </w:p>
        </w:tc>
        <w:tc>
          <w:tcPr>
            <w:tcW w:w="6530" w:type="dxa"/>
            <w:noWrap w:val="0"/>
            <w:vAlign w:val="center"/>
          </w:tcPr>
          <w:p>
            <w:pPr>
              <w:keepNext w:val="0"/>
              <w:keepLines w:val="0"/>
              <w:widowControl/>
              <w:suppressLineNumbers w:val="0"/>
              <w:jc w:val="left"/>
              <w:rPr>
                <w:rFonts w:hint="eastAsia" w:ascii="宋体" w:hAnsi="宋体" w:cs="宋体"/>
                <w:strike/>
                <w:color w:val="auto"/>
                <w:sz w:val="21"/>
                <w:szCs w:val="21"/>
                <w:highlight w:val="none"/>
              </w:rPr>
            </w:pPr>
            <w:r>
              <w:rPr>
                <w:rFonts w:hint="eastAsia" w:ascii="宋体" w:hAnsi="宋体" w:eastAsia="宋体" w:cs="宋体"/>
                <w:b/>
                <w:bCs/>
                <w:color w:val="auto"/>
                <w:kern w:val="0"/>
                <w:sz w:val="22"/>
                <w:szCs w:val="22"/>
                <w:highlight w:val="none"/>
                <w:lang w:val="en-US" w:eastAsia="zh-CN" w:bidi="ar"/>
              </w:rPr>
              <w:t>投标供应商应将</w:t>
            </w:r>
            <w:r>
              <w:rPr>
                <w:rFonts w:hint="eastAsia" w:hAnsi="宋体"/>
                <w:b/>
                <w:bCs/>
                <w:color w:val="auto"/>
                <w:sz w:val="21"/>
                <w:szCs w:val="21"/>
                <w:highlight w:val="none"/>
              </w:rPr>
              <w:t>投标文件资格文件、商务技术文件和报价文件</w:t>
            </w:r>
            <w:r>
              <w:rPr>
                <w:rFonts w:hint="eastAsia" w:ascii="宋体" w:hAnsi="宋体" w:eastAsia="宋体" w:cs="宋体"/>
                <w:b/>
                <w:bCs/>
                <w:color w:val="auto"/>
                <w:kern w:val="0"/>
                <w:sz w:val="22"/>
                <w:szCs w:val="22"/>
                <w:highlight w:val="none"/>
                <w:lang w:val="en-US" w:eastAsia="zh-CN" w:bidi="ar"/>
              </w:rPr>
              <w:t>均需分开单独包装密封，包装应有投标供应商公章及法定代表人或其授权代表印章（或签字）。如投标文件的</w:t>
            </w:r>
            <w:r>
              <w:rPr>
                <w:rFonts w:hint="eastAsia" w:hAnsi="宋体"/>
                <w:b/>
                <w:bCs/>
                <w:color w:val="auto"/>
                <w:sz w:val="21"/>
                <w:szCs w:val="21"/>
                <w:highlight w:val="none"/>
              </w:rPr>
              <w:t>资格文件、商务技术文件和报价文件</w:t>
            </w:r>
            <w:r>
              <w:rPr>
                <w:rFonts w:hint="eastAsia" w:ascii="宋体" w:hAnsi="宋体" w:eastAsia="宋体" w:cs="宋体"/>
                <w:b/>
                <w:bCs/>
                <w:color w:val="auto"/>
                <w:kern w:val="0"/>
                <w:sz w:val="22"/>
                <w:szCs w:val="22"/>
                <w:highlight w:val="none"/>
                <w:lang w:val="en-US" w:eastAsia="zh-CN" w:bidi="ar"/>
              </w:rPr>
              <w:t>未分开制作与包装或未密封， 投标文件将被拒绝接收。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645" w:type="dxa"/>
            <w:noWrap w:val="0"/>
            <w:vAlign w:val="center"/>
          </w:tcPr>
          <w:p>
            <w:pPr>
              <w:widowControl/>
              <w:numPr>
                <w:ilvl w:val="0"/>
                <w:numId w:val="7"/>
              </w:numPr>
              <w:spacing w:line="400" w:lineRule="exact"/>
              <w:rPr>
                <w:rFonts w:hint="eastAsia" w:ascii="宋体" w:hAnsi="宋体" w:cs="宋体"/>
                <w:color w:val="auto"/>
                <w:sz w:val="21"/>
                <w:szCs w:val="21"/>
                <w:highlight w:val="none"/>
              </w:rPr>
            </w:pPr>
          </w:p>
        </w:tc>
        <w:tc>
          <w:tcPr>
            <w:tcW w:w="1920" w:type="dxa"/>
            <w:noWrap w:val="0"/>
            <w:vAlign w:val="center"/>
          </w:tcPr>
          <w:p>
            <w:pPr>
              <w:widowControl/>
              <w:spacing w:line="40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投标有效期</w:t>
            </w:r>
          </w:p>
        </w:tc>
        <w:tc>
          <w:tcPr>
            <w:tcW w:w="6530" w:type="dxa"/>
            <w:noWrap w:val="0"/>
            <w:vAlign w:val="center"/>
          </w:tcPr>
          <w:p>
            <w:pPr>
              <w:widowControl/>
              <w:spacing w:line="40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投标截止时间起120日历天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645" w:type="dxa"/>
            <w:noWrap w:val="0"/>
            <w:vAlign w:val="center"/>
          </w:tcPr>
          <w:p>
            <w:pPr>
              <w:widowControl/>
              <w:numPr>
                <w:ilvl w:val="0"/>
                <w:numId w:val="7"/>
              </w:numPr>
              <w:spacing w:line="400" w:lineRule="exact"/>
              <w:rPr>
                <w:rFonts w:hint="eastAsia" w:ascii="宋体" w:hAnsi="宋体" w:cs="宋体"/>
                <w:color w:val="auto"/>
                <w:sz w:val="21"/>
                <w:szCs w:val="21"/>
                <w:highlight w:val="none"/>
              </w:rPr>
            </w:pPr>
          </w:p>
        </w:tc>
        <w:tc>
          <w:tcPr>
            <w:tcW w:w="1920" w:type="dxa"/>
            <w:noWrap w:val="0"/>
            <w:vAlign w:val="center"/>
          </w:tcPr>
          <w:p>
            <w:pPr>
              <w:widowControl/>
              <w:spacing w:line="40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投标样品</w:t>
            </w:r>
          </w:p>
        </w:tc>
        <w:tc>
          <w:tcPr>
            <w:tcW w:w="6530" w:type="dxa"/>
            <w:noWrap w:val="0"/>
            <w:vAlign w:val="center"/>
          </w:tcPr>
          <w:p>
            <w:pPr>
              <w:widowControl/>
              <w:spacing w:line="40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fldChar w:fldCharType="begin"/>
            </w:r>
            <w:r>
              <w:rPr>
                <w:rFonts w:hint="eastAsia" w:ascii="宋体" w:hAnsi="宋体" w:cs="宋体"/>
                <w:color w:val="auto"/>
                <w:sz w:val="21"/>
                <w:szCs w:val="21"/>
                <w:highlight w:val="none"/>
              </w:rPr>
              <w:instrText xml:space="preserve"> eq \o\ac(□,</w:instrText>
            </w:r>
            <w:r>
              <w:rPr>
                <w:rFonts w:hint="eastAsia" w:ascii="宋体" w:hAnsi="宋体" w:cs="宋体"/>
                <w:color w:val="auto"/>
                <w:position w:val="2"/>
                <w:sz w:val="21"/>
                <w:szCs w:val="21"/>
                <w:highlight w:val="none"/>
              </w:rPr>
              <w:instrText xml:space="preserve">√</w:instrText>
            </w:r>
            <w:r>
              <w:rPr>
                <w:rFonts w:hint="eastAsia" w:ascii="宋体" w:hAnsi="宋体" w:cs="宋体"/>
                <w:color w:val="auto"/>
                <w:sz w:val="21"/>
                <w:szCs w:val="21"/>
                <w:highlight w:val="none"/>
              </w:rPr>
              <w:instrText xml:space="preserve">)</w:instrText>
            </w:r>
            <w:r>
              <w:rPr>
                <w:rFonts w:hint="eastAsia" w:ascii="宋体" w:hAnsi="宋体" w:cs="宋体"/>
                <w:color w:val="auto"/>
                <w:sz w:val="21"/>
                <w:szCs w:val="21"/>
                <w:highlight w:val="none"/>
              </w:rPr>
              <w:fldChar w:fldCharType="end"/>
            </w:r>
            <w:r>
              <w:rPr>
                <w:rFonts w:hint="eastAsia" w:ascii="宋体" w:hAnsi="宋体" w:cs="宋体"/>
                <w:color w:val="auto"/>
                <w:sz w:val="21"/>
                <w:szCs w:val="21"/>
                <w:highlight w:val="none"/>
              </w:rPr>
              <w:t>不需要</w:t>
            </w:r>
          </w:p>
          <w:p>
            <w:pPr>
              <w:widowControl/>
              <w:spacing w:line="40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fldChar w:fldCharType="begin"/>
            </w:r>
            <w:r>
              <w:rPr>
                <w:rFonts w:hint="eastAsia" w:ascii="宋体" w:hAnsi="宋体" w:cs="宋体"/>
                <w:color w:val="auto"/>
                <w:sz w:val="21"/>
                <w:szCs w:val="21"/>
                <w:highlight w:val="none"/>
              </w:rPr>
              <w:instrText xml:space="preserve"> eq \o\ac(□)</w:instrText>
            </w:r>
            <w:r>
              <w:rPr>
                <w:rFonts w:hint="eastAsia" w:ascii="宋体" w:hAnsi="宋体" w:cs="宋体"/>
                <w:color w:val="auto"/>
                <w:sz w:val="21"/>
                <w:szCs w:val="21"/>
                <w:highlight w:val="none"/>
              </w:rPr>
              <w:fldChar w:fldCharType="end"/>
            </w:r>
            <w:r>
              <w:rPr>
                <w:rFonts w:hint="eastAsia" w:ascii="宋体" w:hAnsi="宋体" w:cs="宋体"/>
                <w:color w:val="auto"/>
                <w:sz w:val="21"/>
                <w:szCs w:val="21"/>
                <w:highlight w:val="none"/>
              </w:rPr>
              <w:t>需要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645" w:type="dxa"/>
            <w:noWrap w:val="0"/>
            <w:vAlign w:val="center"/>
          </w:tcPr>
          <w:p>
            <w:pPr>
              <w:widowControl/>
              <w:numPr>
                <w:ilvl w:val="0"/>
                <w:numId w:val="7"/>
              </w:numPr>
              <w:spacing w:line="400" w:lineRule="exact"/>
              <w:rPr>
                <w:rFonts w:hint="eastAsia" w:ascii="宋体" w:hAnsi="宋体" w:cs="宋体"/>
                <w:color w:val="auto"/>
                <w:sz w:val="21"/>
                <w:szCs w:val="21"/>
                <w:highlight w:val="none"/>
              </w:rPr>
            </w:pPr>
          </w:p>
        </w:tc>
        <w:tc>
          <w:tcPr>
            <w:tcW w:w="1920" w:type="dxa"/>
            <w:noWrap w:val="0"/>
            <w:vAlign w:val="center"/>
          </w:tcPr>
          <w:p>
            <w:pPr>
              <w:widowControl/>
              <w:spacing w:line="40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投标保证金</w:t>
            </w:r>
          </w:p>
        </w:tc>
        <w:tc>
          <w:tcPr>
            <w:tcW w:w="6530" w:type="dxa"/>
            <w:noWrap w:val="0"/>
            <w:vAlign w:val="center"/>
          </w:tcPr>
          <w:p>
            <w:pPr>
              <w:widowControl/>
              <w:spacing w:line="40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fldChar w:fldCharType="begin"/>
            </w:r>
            <w:r>
              <w:rPr>
                <w:rFonts w:hint="eastAsia" w:ascii="宋体" w:hAnsi="宋体" w:cs="宋体"/>
                <w:color w:val="auto"/>
                <w:sz w:val="21"/>
                <w:szCs w:val="21"/>
                <w:highlight w:val="none"/>
              </w:rPr>
              <w:instrText xml:space="preserve"> eq \o\ac(□,</w:instrText>
            </w:r>
            <w:r>
              <w:rPr>
                <w:rFonts w:hint="eastAsia" w:ascii="宋体" w:hAnsi="宋体" w:cs="宋体"/>
                <w:color w:val="auto"/>
                <w:position w:val="2"/>
                <w:sz w:val="21"/>
                <w:szCs w:val="21"/>
                <w:highlight w:val="none"/>
              </w:rPr>
              <w:instrText xml:space="preserve">√</w:instrText>
            </w:r>
            <w:r>
              <w:rPr>
                <w:rFonts w:hint="eastAsia" w:ascii="宋体" w:hAnsi="宋体" w:cs="宋体"/>
                <w:color w:val="auto"/>
                <w:sz w:val="21"/>
                <w:szCs w:val="21"/>
                <w:highlight w:val="none"/>
              </w:rPr>
              <w:instrText xml:space="preserve">)</w:instrText>
            </w:r>
            <w:r>
              <w:rPr>
                <w:rFonts w:hint="eastAsia" w:ascii="宋体" w:hAnsi="宋体" w:cs="宋体"/>
                <w:color w:val="auto"/>
                <w:sz w:val="21"/>
                <w:szCs w:val="21"/>
                <w:highlight w:val="none"/>
              </w:rPr>
              <w:fldChar w:fldCharType="end"/>
            </w:r>
            <w:r>
              <w:rPr>
                <w:rFonts w:hint="eastAsia" w:ascii="宋体" w:hAnsi="宋体" w:cs="宋体"/>
                <w:color w:val="auto"/>
                <w:sz w:val="21"/>
                <w:szCs w:val="21"/>
                <w:highlight w:val="none"/>
              </w:rPr>
              <w:t>不需要</w:t>
            </w:r>
          </w:p>
          <w:p>
            <w:pPr>
              <w:widowControl/>
              <w:spacing w:line="40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fldChar w:fldCharType="begin"/>
            </w:r>
            <w:r>
              <w:rPr>
                <w:rFonts w:hint="eastAsia" w:ascii="宋体" w:hAnsi="宋体" w:cs="宋体"/>
                <w:color w:val="auto"/>
                <w:sz w:val="21"/>
                <w:szCs w:val="21"/>
                <w:highlight w:val="none"/>
              </w:rPr>
              <w:instrText xml:space="preserve"> eq \o\ac(□)</w:instrText>
            </w:r>
            <w:r>
              <w:rPr>
                <w:rFonts w:hint="eastAsia" w:ascii="宋体" w:hAnsi="宋体" w:cs="宋体"/>
                <w:color w:val="auto"/>
                <w:sz w:val="21"/>
                <w:szCs w:val="21"/>
                <w:highlight w:val="none"/>
              </w:rPr>
              <w:fldChar w:fldCharType="end"/>
            </w:r>
            <w:r>
              <w:rPr>
                <w:rFonts w:hint="eastAsia" w:ascii="宋体" w:hAnsi="宋体" w:cs="宋体"/>
                <w:color w:val="auto"/>
                <w:sz w:val="21"/>
                <w:szCs w:val="21"/>
                <w:highlight w:val="none"/>
              </w:rPr>
              <w:t>需要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645" w:type="dxa"/>
            <w:noWrap w:val="0"/>
            <w:vAlign w:val="center"/>
          </w:tcPr>
          <w:p>
            <w:pPr>
              <w:widowControl/>
              <w:numPr>
                <w:ilvl w:val="0"/>
                <w:numId w:val="7"/>
              </w:numPr>
              <w:spacing w:line="400" w:lineRule="exact"/>
              <w:rPr>
                <w:rFonts w:hint="eastAsia" w:ascii="宋体" w:hAnsi="宋体" w:cs="宋体"/>
                <w:b/>
                <w:i/>
                <w:color w:val="auto"/>
                <w:sz w:val="21"/>
                <w:szCs w:val="21"/>
                <w:highlight w:val="none"/>
              </w:rPr>
            </w:pPr>
          </w:p>
        </w:tc>
        <w:tc>
          <w:tcPr>
            <w:tcW w:w="1920" w:type="dxa"/>
            <w:noWrap w:val="0"/>
            <w:vAlign w:val="center"/>
          </w:tcPr>
          <w:p>
            <w:pPr>
              <w:widowControl/>
              <w:spacing w:line="400" w:lineRule="exact"/>
              <w:jc w:val="center"/>
              <w:rPr>
                <w:rFonts w:hint="eastAsia" w:ascii="宋体" w:hAnsi="宋体" w:cs="宋体"/>
                <w:b/>
                <w:iCs/>
                <w:color w:val="auto"/>
                <w:sz w:val="21"/>
                <w:szCs w:val="21"/>
                <w:highlight w:val="none"/>
              </w:rPr>
            </w:pPr>
            <w:r>
              <w:rPr>
                <w:rFonts w:hint="eastAsia" w:ascii="宋体" w:hAnsi="宋体" w:cs="宋体"/>
                <w:b/>
                <w:iCs/>
                <w:color w:val="auto"/>
                <w:sz w:val="21"/>
                <w:szCs w:val="21"/>
                <w:highlight w:val="none"/>
              </w:rPr>
              <w:t>采购预算及分项最高限价</w:t>
            </w:r>
          </w:p>
        </w:tc>
        <w:tc>
          <w:tcPr>
            <w:tcW w:w="6530" w:type="dxa"/>
            <w:noWrap w:val="0"/>
            <w:vAlign w:val="center"/>
          </w:tcPr>
          <w:p>
            <w:pPr>
              <w:widowControl/>
              <w:spacing w:line="400" w:lineRule="exact"/>
              <w:rPr>
                <w:rFonts w:hint="eastAsia" w:ascii="宋体" w:hAnsi="宋体" w:cs="宋体"/>
                <w:b/>
                <w:iCs/>
                <w:color w:val="auto"/>
                <w:sz w:val="21"/>
                <w:szCs w:val="21"/>
                <w:highlight w:val="none"/>
              </w:rPr>
            </w:pPr>
            <w:r>
              <w:rPr>
                <w:rFonts w:hint="eastAsia" w:ascii="宋体" w:hAnsi="宋体" w:cs="宋体"/>
                <w:b/>
                <w:iCs/>
                <w:color w:val="auto"/>
                <w:sz w:val="21"/>
                <w:szCs w:val="21"/>
                <w:highlight w:val="none"/>
              </w:rPr>
              <w:t xml:space="preserve">本项目采购预算为 </w:t>
            </w:r>
            <w:r>
              <w:rPr>
                <w:rFonts w:hint="eastAsia" w:ascii="宋体" w:hAnsi="宋体" w:cs="宋体"/>
                <w:b/>
                <w:iCs/>
                <w:color w:val="auto"/>
                <w:sz w:val="21"/>
                <w:szCs w:val="21"/>
                <w:highlight w:val="none"/>
                <w:u w:val="single"/>
              </w:rPr>
              <w:t>67613231元</w:t>
            </w:r>
            <w:r>
              <w:rPr>
                <w:rFonts w:hint="eastAsia" w:ascii="宋体" w:hAnsi="宋体" w:cs="宋体"/>
                <w:b/>
                <w:iCs/>
                <w:color w:val="auto"/>
                <w:sz w:val="21"/>
                <w:szCs w:val="21"/>
                <w:highlight w:val="none"/>
              </w:rPr>
              <w:t>，分项采购限价见附件十二“投标分项报价汇总表”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645" w:type="dxa"/>
            <w:noWrap w:val="0"/>
            <w:vAlign w:val="center"/>
          </w:tcPr>
          <w:p>
            <w:pPr>
              <w:widowControl/>
              <w:numPr>
                <w:ilvl w:val="0"/>
                <w:numId w:val="7"/>
              </w:numPr>
              <w:spacing w:line="400" w:lineRule="exact"/>
              <w:rPr>
                <w:rFonts w:hint="eastAsia" w:ascii="宋体" w:hAnsi="宋体" w:cs="宋体"/>
                <w:color w:val="auto"/>
                <w:sz w:val="21"/>
                <w:szCs w:val="21"/>
                <w:highlight w:val="none"/>
              </w:rPr>
            </w:pPr>
          </w:p>
        </w:tc>
        <w:tc>
          <w:tcPr>
            <w:tcW w:w="1920" w:type="dxa"/>
            <w:noWrap w:val="0"/>
            <w:vAlign w:val="center"/>
          </w:tcPr>
          <w:p>
            <w:pPr>
              <w:widowControl/>
              <w:spacing w:line="400" w:lineRule="exact"/>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履约</w:t>
            </w:r>
            <w:r>
              <w:rPr>
                <w:rFonts w:hint="eastAsia" w:ascii="宋体" w:hAnsi="宋体" w:cs="宋体"/>
                <w:color w:val="auto"/>
                <w:sz w:val="21"/>
                <w:szCs w:val="21"/>
                <w:highlight w:val="none"/>
                <w:lang w:eastAsia="zh-CN"/>
              </w:rPr>
              <w:t>保证金</w:t>
            </w:r>
          </w:p>
        </w:tc>
        <w:tc>
          <w:tcPr>
            <w:tcW w:w="6530" w:type="dxa"/>
            <w:noWrap w:val="0"/>
            <w:vAlign w:val="center"/>
          </w:tcPr>
          <w:p>
            <w:pPr>
              <w:widowControl/>
              <w:spacing w:line="40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fldChar w:fldCharType="begin"/>
            </w:r>
            <w:r>
              <w:rPr>
                <w:rFonts w:hint="eastAsia" w:ascii="宋体" w:hAnsi="宋体" w:cs="宋体"/>
                <w:color w:val="auto"/>
                <w:sz w:val="21"/>
                <w:szCs w:val="21"/>
                <w:highlight w:val="none"/>
              </w:rPr>
              <w:instrText xml:space="preserve"> eq \o\ac(□)</w:instrText>
            </w:r>
            <w:r>
              <w:rPr>
                <w:rFonts w:hint="eastAsia" w:ascii="宋体" w:hAnsi="宋体" w:cs="宋体"/>
                <w:color w:val="auto"/>
                <w:sz w:val="21"/>
                <w:szCs w:val="21"/>
                <w:highlight w:val="none"/>
              </w:rPr>
              <w:fldChar w:fldCharType="end"/>
            </w:r>
            <w:r>
              <w:rPr>
                <w:rFonts w:hint="eastAsia" w:ascii="宋体" w:hAnsi="宋体" w:cs="宋体"/>
                <w:color w:val="auto"/>
                <w:sz w:val="21"/>
                <w:szCs w:val="21"/>
                <w:highlight w:val="none"/>
              </w:rPr>
              <w:t>不需要</w:t>
            </w:r>
          </w:p>
          <w:p>
            <w:pPr>
              <w:widowControl/>
              <w:spacing w:line="40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fldChar w:fldCharType="begin"/>
            </w:r>
            <w:r>
              <w:rPr>
                <w:rFonts w:hint="eastAsia" w:ascii="宋体" w:hAnsi="宋体" w:cs="宋体"/>
                <w:color w:val="auto"/>
                <w:sz w:val="21"/>
                <w:szCs w:val="21"/>
                <w:highlight w:val="none"/>
              </w:rPr>
              <w:instrText xml:space="preserve"> eq \o\ac(□,</w:instrText>
            </w:r>
            <w:r>
              <w:rPr>
                <w:rFonts w:hint="eastAsia" w:ascii="宋体" w:hAnsi="宋体" w:cs="宋体"/>
                <w:color w:val="auto"/>
                <w:position w:val="2"/>
                <w:sz w:val="21"/>
                <w:szCs w:val="21"/>
                <w:highlight w:val="none"/>
              </w:rPr>
              <w:instrText xml:space="preserve">√</w:instrText>
            </w:r>
            <w:r>
              <w:rPr>
                <w:rFonts w:hint="eastAsia" w:ascii="宋体" w:hAnsi="宋体" w:cs="宋体"/>
                <w:color w:val="auto"/>
                <w:sz w:val="21"/>
                <w:szCs w:val="21"/>
                <w:highlight w:val="none"/>
              </w:rPr>
              <w:instrText xml:space="preserve">)</w:instrText>
            </w:r>
            <w:r>
              <w:rPr>
                <w:rFonts w:hint="eastAsia" w:ascii="宋体" w:hAnsi="宋体" w:cs="宋体"/>
                <w:color w:val="auto"/>
                <w:sz w:val="21"/>
                <w:szCs w:val="21"/>
                <w:highlight w:val="none"/>
              </w:rPr>
              <w:fldChar w:fldCharType="end"/>
            </w:r>
            <w:r>
              <w:rPr>
                <w:rFonts w:hint="eastAsia" w:ascii="宋体" w:hAnsi="宋体" w:cs="宋体"/>
                <w:color w:val="auto"/>
                <w:sz w:val="21"/>
                <w:szCs w:val="21"/>
                <w:highlight w:val="none"/>
              </w:rPr>
              <w:t xml:space="preserve">需要 </w:t>
            </w:r>
            <w:r>
              <w:rPr>
                <w:rFonts w:hint="eastAsia" w:ascii="宋体" w:hAnsi="宋体" w:cs="宋体"/>
                <w:color w:val="auto"/>
                <w:sz w:val="21"/>
                <w:szCs w:val="21"/>
                <w:highlight w:val="none"/>
                <w:lang w:val="en-US" w:eastAsia="zh-CN"/>
              </w:rPr>
              <w:t>合同签订前</w:t>
            </w:r>
            <w:r>
              <w:rPr>
                <w:rFonts w:hint="eastAsia" w:ascii="宋体" w:hAnsi="宋体" w:cs="宋体"/>
                <w:color w:val="auto"/>
                <w:sz w:val="21"/>
                <w:szCs w:val="21"/>
                <w:highlight w:val="none"/>
              </w:rPr>
              <w:t>中标供应商应以银行转账方式提供相应区域一年</w:t>
            </w:r>
            <w:r>
              <w:rPr>
                <w:rFonts w:hint="eastAsia" w:ascii="宋体" w:hAnsi="宋体" w:cs="宋体"/>
                <w:color w:val="auto"/>
                <w:sz w:val="21"/>
                <w:szCs w:val="21"/>
                <w:highlight w:val="none"/>
                <w:lang w:eastAsia="zh-CN"/>
              </w:rPr>
              <w:t>合同价</w:t>
            </w:r>
            <w:r>
              <w:rPr>
                <w:rFonts w:hint="eastAsia" w:ascii="宋体" w:hAnsi="宋体" w:cs="宋体"/>
                <w:color w:val="auto"/>
                <w:sz w:val="21"/>
                <w:szCs w:val="21"/>
                <w:highlight w:val="none"/>
              </w:rPr>
              <w:t>的1%作为履约保证金。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645" w:type="dxa"/>
            <w:noWrap w:val="0"/>
            <w:vAlign w:val="center"/>
          </w:tcPr>
          <w:p>
            <w:pPr>
              <w:widowControl/>
              <w:numPr>
                <w:ilvl w:val="0"/>
                <w:numId w:val="7"/>
              </w:numPr>
              <w:spacing w:line="400" w:lineRule="exact"/>
              <w:rPr>
                <w:rFonts w:hint="eastAsia" w:ascii="宋体" w:hAnsi="宋体" w:cs="宋体"/>
                <w:color w:val="auto"/>
                <w:sz w:val="21"/>
                <w:szCs w:val="21"/>
                <w:highlight w:val="none"/>
              </w:rPr>
            </w:pPr>
          </w:p>
        </w:tc>
        <w:tc>
          <w:tcPr>
            <w:tcW w:w="1920" w:type="dxa"/>
            <w:noWrap w:val="0"/>
            <w:vAlign w:val="center"/>
          </w:tcPr>
          <w:p>
            <w:pPr>
              <w:widowControl/>
              <w:spacing w:line="40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采购文件获取时间及方式等</w:t>
            </w:r>
          </w:p>
        </w:tc>
        <w:tc>
          <w:tcPr>
            <w:tcW w:w="6530" w:type="dxa"/>
            <w:noWrap w:val="0"/>
            <w:vAlign w:val="center"/>
          </w:tcPr>
          <w:p>
            <w:pPr>
              <w:widowControl/>
              <w:numPr>
                <w:ilvl w:val="0"/>
                <w:numId w:val="9"/>
              </w:numPr>
              <w:spacing w:line="40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获取时间：公开发布之日起至投标截止时间止；</w:t>
            </w:r>
          </w:p>
          <w:p>
            <w:pPr>
              <w:widowControl/>
              <w:numPr>
                <w:ilvl w:val="0"/>
                <w:numId w:val="9"/>
              </w:numPr>
              <w:spacing w:line="40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获取方式：供应商登录浙江政府采购网（https://zfcg.czt.zj.gov.cn/new/）申请获取采购文件。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645" w:type="dxa"/>
            <w:noWrap w:val="0"/>
            <w:vAlign w:val="center"/>
          </w:tcPr>
          <w:p>
            <w:pPr>
              <w:widowControl/>
              <w:numPr>
                <w:ilvl w:val="0"/>
                <w:numId w:val="7"/>
              </w:numPr>
              <w:spacing w:line="400" w:lineRule="exact"/>
              <w:rPr>
                <w:rFonts w:hint="eastAsia" w:ascii="宋体" w:hAnsi="宋体" w:cs="宋体"/>
                <w:color w:val="auto"/>
                <w:sz w:val="21"/>
                <w:szCs w:val="21"/>
                <w:highlight w:val="none"/>
              </w:rPr>
            </w:pPr>
          </w:p>
        </w:tc>
        <w:tc>
          <w:tcPr>
            <w:tcW w:w="1920" w:type="dxa"/>
            <w:noWrap w:val="0"/>
            <w:vAlign w:val="center"/>
          </w:tcPr>
          <w:p>
            <w:pPr>
              <w:widowControl/>
              <w:spacing w:line="40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投标截止时间</w:t>
            </w:r>
          </w:p>
        </w:tc>
        <w:tc>
          <w:tcPr>
            <w:tcW w:w="6530" w:type="dxa"/>
            <w:noWrap w:val="0"/>
            <w:vAlign w:val="center"/>
          </w:tcPr>
          <w:p>
            <w:pPr>
              <w:widowControl/>
              <w:spacing w:line="40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2022年 </w:t>
            </w:r>
            <w:r>
              <w:rPr>
                <w:rFonts w:hint="eastAsia" w:ascii="宋体" w:hAnsi="宋体" w:cs="宋体"/>
                <w:color w:val="auto"/>
                <w:sz w:val="21"/>
                <w:szCs w:val="21"/>
                <w:highlight w:val="none"/>
                <w:lang w:val="en-US" w:eastAsia="zh-CN"/>
              </w:rPr>
              <w:t>11</w:t>
            </w:r>
            <w:r>
              <w:rPr>
                <w:rFonts w:hint="eastAsia" w:ascii="宋体" w:hAnsi="宋体" w:cs="宋体"/>
                <w:color w:val="auto"/>
                <w:sz w:val="21"/>
                <w:szCs w:val="21"/>
                <w:highlight w:val="none"/>
              </w:rPr>
              <w:t>月</w:t>
            </w:r>
            <w:r>
              <w:rPr>
                <w:rFonts w:hint="eastAsia" w:ascii="宋体" w:hAnsi="宋体" w:cs="宋体"/>
                <w:color w:val="auto"/>
                <w:sz w:val="21"/>
                <w:szCs w:val="21"/>
                <w:highlight w:val="none"/>
                <w:lang w:val="en-US" w:eastAsia="zh-CN"/>
              </w:rPr>
              <w:t xml:space="preserve">  </w:t>
            </w:r>
            <w:r>
              <w:rPr>
                <w:rFonts w:hint="eastAsia" w:ascii="宋体" w:hAnsi="宋体" w:cs="宋体"/>
                <w:color w:val="auto"/>
                <w:sz w:val="21"/>
                <w:szCs w:val="21"/>
                <w:highlight w:val="none"/>
              </w:rPr>
              <w:t xml:space="preserve"> 日9:30止(北京时间)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645" w:type="dxa"/>
            <w:noWrap w:val="0"/>
            <w:vAlign w:val="center"/>
          </w:tcPr>
          <w:p>
            <w:pPr>
              <w:widowControl/>
              <w:numPr>
                <w:ilvl w:val="0"/>
                <w:numId w:val="7"/>
              </w:numPr>
              <w:spacing w:line="400" w:lineRule="exact"/>
              <w:rPr>
                <w:rFonts w:hint="eastAsia" w:ascii="宋体" w:hAnsi="宋体" w:cs="宋体"/>
                <w:color w:val="auto"/>
                <w:sz w:val="21"/>
                <w:szCs w:val="21"/>
                <w:highlight w:val="none"/>
              </w:rPr>
            </w:pPr>
          </w:p>
        </w:tc>
        <w:tc>
          <w:tcPr>
            <w:tcW w:w="1920" w:type="dxa"/>
            <w:noWrap w:val="0"/>
            <w:vAlign w:val="center"/>
          </w:tcPr>
          <w:p>
            <w:pPr>
              <w:widowControl/>
              <w:spacing w:line="40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开标时间</w:t>
            </w:r>
          </w:p>
          <w:p>
            <w:pPr>
              <w:widowControl/>
              <w:spacing w:line="40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开标地点</w:t>
            </w:r>
          </w:p>
        </w:tc>
        <w:tc>
          <w:tcPr>
            <w:tcW w:w="6530" w:type="dxa"/>
            <w:noWrap w:val="0"/>
            <w:vAlign w:val="center"/>
          </w:tcPr>
          <w:p>
            <w:pPr>
              <w:widowControl/>
              <w:spacing w:line="40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开标时间：2022年</w:t>
            </w:r>
            <w:r>
              <w:rPr>
                <w:rFonts w:hint="eastAsia" w:ascii="宋体" w:hAnsi="宋体" w:cs="宋体"/>
                <w:color w:val="auto"/>
                <w:sz w:val="21"/>
                <w:szCs w:val="21"/>
                <w:highlight w:val="none"/>
                <w:lang w:val="en-US" w:eastAsia="zh-CN"/>
              </w:rPr>
              <w:t>11</w:t>
            </w:r>
            <w:r>
              <w:rPr>
                <w:rFonts w:hint="eastAsia" w:ascii="宋体" w:hAnsi="宋体" w:cs="宋体"/>
                <w:color w:val="auto"/>
                <w:sz w:val="21"/>
                <w:szCs w:val="21"/>
                <w:highlight w:val="none"/>
              </w:rPr>
              <w:t xml:space="preserve"> 月   日9:30</w:t>
            </w:r>
            <w:r>
              <w:rPr>
                <w:rFonts w:hint="eastAsia" w:ascii="宋体" w:hAnsi="宋体" w:cs="宋体"/>
                <w:i/>
                <w:color w:val="auto"/>
                <w:sz w:val="21"/>
                <w:szCs w:val="21"/>
                <w:highlight w:val="none"/>
              </w:rPr>
              <w:t xml:space="preserve"> </w:t>
            </w:r>
            <w:r>
              <w:rPr>
                <w:rFonts w:hint="eastAsia" w:ascii="宋体" w:hAnsi="宋体" w:cs="宋体"/>
                <w:color w:val="auto"/>
                <w:sz w:val="21"/>
                <w:szCs w:val="21"/>
                <w:highlight w:val="none"/>
              </w:rPr>
              <w:t>(北京时间)</w:t>
            </w:r>
          </w:p>
          <w:p>
            <w:pPr>
              <w:widowControl/>
              <w:spacing w:line="40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开标地点：</w:t>
            </w:r>
            <w:r>
              <w:rPr>
                <w:rFonts w:hint="eastAsia" w:ascii="宋体" w:hAnsi="宋体" w:cs="宋体"/>
                <w:color w:val="auto"/>
                <w:sz w:val="21"/>
                <w:szCs w:val="21"/>
                <w:highlight w:val="none"/>
                <w:lang w:val="en-US" w:eastAsia="zh-CN"/>
              </w:rPr>
              <w:t xml:space="preserve">龙湾区公共资源交易中心(温州市龙湾区永中街道府后路 77 号行政服务中心西裙楼三楼大厅)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645" w:type="dxa"/>
            <w:noWrap w:val="0"/>
            <w:vAlign w:val="center"/>
          </w:tcPr>
          <w:p>
            <w:pPr>
              <w:widowControl/>
              <w:numPr>
                <w:ilvl w:val="0"/>
                <w:numId w:val="7"/>
              </w:numPr>
              <w:spacing w:line="400" w:lineRule="exact"/>
              <w:rPr>
                <w:rFonts w:hint="eastAsia" w:ascii="宋体" w:hAnsi="宋体" w:cs="宋体"/>
                <w:color w:val="auto"/>
                <w:sz w:val="21"/>
                <w:szCs w:val="21"/>
                <w:highlight w:val="none"/>
              </w:rPr>
            </w:pPr>
          </w:p>
        </w:tc>
        <w:tc>
          <w:tcPr>
            <w:tcW w:w="1920" w:type="dxa"/>
            <w:noWrap w:val="0"/>
            <w:vAlign w:val="center"/>
          </w:tcPr>
          <w:p>
            <w:pPr>
              <w:widowControl/>
              <w:spacing w:line="40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开标程序</w:t>
            </w:r>
          </w:p>
        </w:tc>
        <w:tc>
          <w:tcPr>
            <w:tcW w:w="6530" w:type="dxa"/>
            <w:noWrap w:val="0"/>
            <w:vAlign w:val="center"/>
          </w:tcPr>
          <w:p>
            <w:pPr>
              <w:keepNext w:val="0"/>
              <w:keepLines w:val="0"/>
              <w:widowControl/>
              <w:suppressLineNumbers w:val="0"/>
              <w:jc w:val="left"/>
              <w:rPr>
                <w:color w:val="auto"/>
                <w:highlight w:val="none"/>
              </w:rPr>
            </w:pPr>
            <w:r>
              <w:rPr>
                <w:rFonts w:hint="eastAsia" w:ascii="宋体" w:hAnsi="宋体" w:eastAsia="宋体" w:cs="宋体"/>
                <w:color w:val="auto"/>
                <w:kern w:val="0"/>
                <w:sz w:val="22"/>
                <w:szCs w:val="22"/>
                <w:highlight w:val="none"/>
                <w:lang w:val="en-US" w:eastAsia="zh-CN" w:bidi="ar"/>
              </w:rPr>
              <w:t xml:space="preserve">（1）宣布开标纪律； </w:t>
            </w:r>
          </w:p>
          <w:p>
            <w:pPr>
              <w:keepNext w:val="0"/>
              <w:keepLines w:val="0"/>
              <w:widowControl/>
              <w:suppressLineNumbers w:val="0"/>
              <w:jc w:val="left"/>
              <w:rPr>
                <w:color w:val="auto"/>
                <w:highlight w:val="none"/>
              </w:rPr>
            </w:pPr>
            <w:r>
              <w:rPr>
                <w:rFonts w:hint="eastAsia" w:ascii="宋体" w:hAnsi="宋体" w:eastAsia="宋体" w:cs="宋体"/>
                <w:color w:val="auto"/>
                <w:kern w:val="0"/>
                <w:sz w:val="22"/>
                <w:szCs w:val="22"/>
                <w:highlight w:val="none"/>
                <w:lang w:val="en-US" w:eastAsia="zh-CN" w:bidi="ar"/>
              </w:rPr>
              <w:t xml:space="preserve">（2）公布在投标截止时间前递交投标文件的投标供应商名称，并点名确认投标 </w:t>
            </w:r>
          </w:p>
          <w:p>
            <w:pPr>
              <w:keepNext w:val="0"/>
              <w:keepLines w:val="0"/>
              <w:widowControl/>
              <w:suppressLineNumbers w:val="0"/>
              <w:jc w:val="left"/>
              <w:rPr>
                <w:color w:val="auto"/>
                <w:highlight w:val="none"/>
              </w:rPr>
            </w:pPr>
            <w:r>
              <w:rPr>
                <w:rFonts w:hint="eastAsia" w:ascii="宋体" w:hAnsi="宋体" w:eastAsia="宋体" w:cs="宋体"/>
                <w:color w:val="auto"/>
                <w:kern w:val="0"/>
                <w:sz w:val="22"/>
                <w:szCs w:val="22"/>
                <w:highlight w:val="none"/>
                <w:lang w:val="en-US" w:eastAsia="zh-CN" w:bidi="ar"/>
              </w:rPr>
              <w:t xml:space="preserve">供应商是否派授权代表到场； </w:t>
            </w:r>
          </w:p>
          <w:p>
            <w:pPr>
              <w:keepNext w:val="0"/>
              <w:keepLines w:val="0"/>
              <w:widowControl/>
              <w:suppressLineNumbers w:val="0"/>
              <w:jc w:val="left"/>
              <w:rPr>
                <w:color w:val="auto"/>
                <w:highlight w:val="none"/>
              </w:rPr>
            </w:pPr>
            <w:r>
              <w:rPr>
                <w:rFonts w:hint="eastAsia" w:ascii="宋体" w:hAnsi="宋体" w:eastAsia="宋体" w:cs="宋体"/>
                <w:color w:val="auto"/>
                <w:kern w:val="0"/>
                <w:sz w:val="22"/>
                <w:szCs w:val="22"/>
                <w:highlight w:val="none"/>
                <w:lang w:val="en-US" w:eastAsia="zh-CN" w:bidi="ar"/>
              </w:rPr>
              <w:t xml:space="preserve">（3）宣布唱标人、记录人、监督人员等有关人员姓名； </w:t>
            </w:r>
          </w:p>
          <w:p>
            <w:pPr>
              <w:keepNext w:val="0"/>
              <w:keepLines w:val="0"/>
              <w:widowControl/>
              <w:suppressLineNumbers w:val="0"/>
              <w:jc w:val="left"/>
              <w:rPr>
                <w:color w:val="auto"/>
                <w:highlight w:val="none"/>
              </w:rPr>
            </w:pPr>
            <w:r>
              <w:rPr>
                <w:rFonts w:hint="eastAsia" w:ascii="宋体" w:hAnsi="宋体" w:eastAsia="宋体" w:cs="宋体"/>
                <w:color w:val="auto"/>
                <w:kern w:val="0"/>
                <w:sz w:val="22"/>
                <w:szCs w:val="22"/>
                <w:highlight w:val="none"/>
                <w:lang w:val="en-US" w:eastAsia="zh-CN" w:bidi="ar"/>
              </w:rPr>
              <w:t xml:space="preserve">（4）密封情况检查：由监督人员或投标供应商推选的代表检查投标文件密封情况； </w:t>
            </w:r>
          </w:p>
          <w:p>
            <w:pPr>
              <w:keepNext w:val="0"/>
              <w:keepLines w:val="0"/>
              <w:widowControl/>
              <w:suppressLineNumbers w:val="0"/>
              <w:jc w:val="left"/>
              <w:rPr>
                <w:color w:val="auto"/>
                <w:highlight w:val="none"/>
              </w:rPr>
            </w:pPr>
            <w:r>
              <w:rPr>
                <w:rFonts w:hint="eastAsia" w:ascii="宋体" w:hAnsi="宋体" w:eastAsia="宋体" w:cs="宋体"/>
                <w:color w:val="auto"/>
                <w:kern w:val="0"/>
                <w:sz w:val="22"/>
                <w:szCs w:val="22"/>
                <w:highlight w:val="none"/>
                <w:lang w:val="en-US" w:eastAsia="zh-CN" w:bidi="ar"/>
              </w:rPr>
              <w:t xml:space="preserve">（5）开标顺序：按照投标供应商送达投标文件的逆序；先开启技术资信部分投标文件，评审结束后，宣布采购预算，再开启报价文件； </w:t>
            </w:r>
          </w:p>
          <w:p>
            <w:pPr>
              <w:keepNext w:val="0"/>
              <w:keepLines w:val="0"/>
              <w:widowControl/>
              <w:suppressLineNumbers w:val="0"/>
              <w:jc w:val="left"/>
              <w:rPr>
                <w:color w:val="auto"/>
                <w:highlight w:val="none"/>
              </w:rPr>
            </w:pPr>
            <w:r>
              <w:rPr>
                <w:rFonts w:hint="eastAsia" w:ascii="宋体" w:hAnsi="宋体" w:eastAsia="宋体" w:cs="宋体"/>
                <w:color w:val="auto"/>
                <w:kern w:val="0"/>
                <w:sz w:val="22"/>
                <w:szCs w:val="22"/>
                <w:highlight w:val="none"/>
                <w:lang w:val="en-US" w:eastAsia="zh-CN" w:bidi="ar"/>
              </w:rPr>
              <w:t xml:space="preserve">（6）确认开标结果：投标供应商授权代表对开标记录进行当场校核及勘误，并签字确认；并同时由记录人、监督人当场签字确认。 </w:t>
            </w:r>
          </w:p>
          <w:p>
            <w:pPr>
              <w:keepNext w:val="0"/>
              <w:keepLines w:val="0"/>
              <w:widowControl/>
              <w:suppressLineNumbers w:val="0"/>
              <w:jc w:val="left"/>
              <w:rPr>
                <w:color w:val="auto"/>
                <w:highlight w:val="none"/>
              </w:rPr>
            </w:pPr>
            <w:r>
              <w:rPr>
                <w:rFonts w:hint="eastAsia" w:ascii="宋体" w:hAnsi="宋体" w:eastAsia="宋体" w:cs="宋体"/>
                <w:color w:val="auto"/>
                <w:kern w:val="0"/>
                <w:sz w:val="22"/>
                <w:szCs w:val="22"/>
                <w:highlight w:val="none"/>
                <w:lang w:val="en-US" w:eastAsia="zh-CN" w:bidi="ar"/>
              </w:rPr>
              <w:t xml:space="preserve">（7）宣布开标结束。 </w:t>
            </w:r>
          </w:p>
          <w:p>
            <w:pPr>
              <w:keepNext w:val="0"/>
              <w:keepLines w:val="0"/>
              <w:widowControl/>
              <w:suppressLineNumbers w:val="0"/>
              <w:jc w:val="left"/>
              <w:rPr>
                <w:rFonts w:hint="eastAsia" w:ascii="宋体" w:hAnsi="宋体" w:cs="宋体"/>
                <w:color w:val="auto"/>
                <w:sz w:val="21"/>
                <w:szCs w:val="21"/>
                <w:highlight w:val="none"/>
              </w:rPr>
            </w:pPr>
            <w:r>
              <w:rPr>
                <w:rFonts w:hint="eastAsia" w:ascii="宋体" w:hAnsi="宋体" w:eastAsia="宋体" w:cs="宋体"/>
                <w:color w:val="auto"/>
                <w:kern w:val="0"/>
                <w:sz w:val="22"/>
                <w:szCs w:val="22"/>
                <w:highlight w:val="none"/>
                <w:lang w:val="en-US" w:eastAsia="zh-CN" w:bidi="ar"/>
              </w:rPr>
              <w:t xml:space="preserve">（8）投标供应商授权代表未参加开标会议；未到场签字确认的，不影响开标，评标过程，视同认可开标结果；事后不得对采购相关人员、开标过程和开标结果提出异议。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645" w:type="dxa"/>
            <w:noWrap w:val="0"/>
            <w:vAlign w:val="center"/>
          </w:tcPr>
          <w:p>
            <w:pPr>
              <w:widowControl/>
              <w:numPr>
                <w:ilvl w:val="0"/>
                <w:numId w:val="7"/>
              </w:numPr>
              <w:spacing w:line="400" w:lineRule="exact"/>
              <w:rPr>
                <w:rFonts w:hint="eastAsia" w:ascii="宋体" w:hAnsi="宋体" w:cs="宋体"/>
                <w:color w:val="auto"/>
                <w:sz w:val="21"/>
                <w:szCs w:val="21"/>
                <w:highlight w:val="none"/>
              </w:rPr>
            </w:pPr>
          </w:p>
        </w:tc>
        <w:tc>
          <w:tcPr>
            <w:tcW w:w="1920" w:type="dxa"/>
            <w:noWrap w:val="0"/>
            <w:vAlign w:val="center"/>
          </w:tcPr>
          <w:p>
            <w:pPr>
              <w:widowControl/>
              <w:spacing w:line="40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评标委员会的组建</w:t>
            </w:r>
          </w:p>
        </w:tc>
        <w:tc>
          <w:tcPr>
            <w:tcW w:w="6530" w:type="dxa"/>
            <w:noWrap w:val="0"/>
            <w:vAlign w:val="center"/>
          </w:tcPr>
          <w:p>
            <w:pPr>
              <w:widowControl/>
              <w:spacing w:line="400" w:lineRule="exact"/>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评标委员会构成：</w:t>
            </w:r>
            <w:r>
              <w:rPr>
                <w:rFonts w:hint="eastAsia" w:ascii="宋体" w:hAnsi="宋体" w:cs="宋体"/>
                <w:color w:val="auto"/>
                <w:sz w:val="21"/>
                <w:szCs w:val="21"/>
                <w:highlight w:val="none"/>
                <w:lang w:eastAsia="zh-CN"/>
              </w:rPr>
              <w:t>由采购人代表以及有关技术、经济等方面的专家组成，成员为7人及以上单数，其中技术、经济类专家不得少于总人数的2/3；</w:t>
            </w:r>
          </w:p>
          <w:p>
            <w:pPr>
              <w:widowControl/>
              <w:spacing w:line="40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评标专家确定方式：按相关规定从专家库中抽取。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645" w:type="dxa"/>
            <w:noWrap w:val="0"/>
            <w:vAlign w:val="center"/>
          </w:tcPr>
          <w:p>
            <w:pPr>
              <w:widowControl/>
              <w:numPr>
                <w:ilvl w:val="0"/>
                <w:numId w:val="7"/>
              </w:numPr>
              <w:spacing w:line="400" w:lineRule="exact"/>
              <w:rPr>
                <w:rFonts w:hint="eastAsia" w:ascii="宋体" w:hAnsi="宋体" w:cs="宋体"/>
                <w:color w:val="auto"/>
                <w:sz w:val="21"/>
                <w:szCs w:val="21"/>
                <w:highlight w:val="none"/>
              </w:rPr>
            </w:pPr>
          </w:p>
        </w:tc>
        <w:tc>
          <w:tcPr>
            <w:tcW w:w="1920" w:type="dxa"/>
            <w:noWrap w:val="0"/>
            <w:vAlign w:val="center"/>
          </w:tcPr>
          <w:p>
            <w:pPr>
              <w:widowControl/>
              <w:spacing w:line="40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诚信履约管理</w:t>
            </w:r>
          </w:p>
        </w:tc>
        <w:tc>
          <w:tcPr>
            <w:tcW w:w="6530" w:type="dxa"/>
            <w:noWrap w:val="0"/>
            <w:vAlign w:val="center"/>
          </w:tcPr>
          <w:p>
            <w:pPr>
              <w:widowControl/>
              <w:spacing w:line="40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合同签订后，采购人依法加强对合同履约进行管理，并在中标供应商供货、项目验收等重要关节，如实填写《诚信评价反馈表》（表附合同条款中），及时向市公共资源交易中心报备。建立中标供应商诚信履约评价制度，结果纳入诚信档案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645" w:type="dxa"/>
            <w:noWrap w:val="0"/>
            <w:vAlign w:val="center"/>
          </w:tcPr>
          <w:p>
            <w:pPr>
              <w:widowControl/>
              <w:numPr>
                <w:ilvl w:val="0"/>
                <w:numId w:val="7"/>
              </w:numPr>
              <w:spacing w:line="400" w:lineRule="exact"/>
              <w:rPr>
                <w:rFonts w:hint="eastAsia" w:ascii="宋体" w:hAnsi="宋体" w:cs="宋体"/>
                <w:color w:val="auto"/>
                <w:sz w:val="21"/>
                <w:szCs w:val="21"/>
                <w:highlight w:val="none"/>
              </w:rPr>
            </w:pPr>
          </w:p>
        </w:tc>
        <w:tc>
          <w:tcPr>
            <w:tcW w:w="1920" w:type="dxa"/>
            <w:noWrap w:val="0"/>
            <w:vAlign w:val="center"/>
          </w:tcPr>
          <w:p>
            <w:pPr>
              <w:widowControl/>
              <w:spacing w:line="40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解释权</w:t>
            </w:r>
          </w:p>
        </w:tc>
        <w:tc>
          <w:tcPr>
            <w:tcW w:w="6530" w:type="dxa"/>
            <w:noWrap w:val="0"/>
            <w:vAlign w:val="center"/>
          </w:tcPr>
          <w:p>
            <w:pPr>
              <w:widowControl/>
              <w:spacing w:line="40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构成本采购文件的各个组成文件应互为解释，互为说明；如有不明确或不一致的，由招标采购单位</w:t>
            </w:r>
            <w:r>
              <w:rPr>
                <w:rFonts w:hint="eastAsia" w:ascii="宋体" w:hAnsi="宋体" w:cs="宋体"/>
                <w:color w:val="auto"/>
                <w:sz w:val="21"/>
                <w:szCs w:val="21"/>
                <w:highlight w:val="none"/>
                <w:lang w:eastAsia="zh-CN"/>
              </w:rPr>
              <w:t>或招标代理公司</w:t>
            </w:r>
            <w:r>
              <w:rPr>
                <w:rFonts w:hint="eastAsia" w:ascii="宋体" w:hAnsi="宋体" w:cs="宋体"/>
                <w:color w:val="auto"/>
                <w:sz w:val="21"/>
                <w:szCs w:val="21"/>
                <w:highlight w:val="none"/>
              </w:rPr>
              <w:t>负责解释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645" w:type="dxa"/>
            <w:noWrap w:val="0"/>
            <w:vAlign w:val="center"/>
          </w:tcPr>
          <w:p>
            <w:pPr>
              <w:widowControl/>
              <w:numPr>
                <w:ilvl w:val="0"/>
                <w:numId w:val="7"/>
              </w:numPr>
              <w:spacing w:line="400" w:lineRule="exact"/>
              <w:rPr>
                <w:rFonts w:hint="eastAsia" w:ascii="宋体" w:hAnsi="宋体" w:cs="宋体"/>
                <w:bCs/>
                <w:color w:val="auto"/>
                <w:sz w:val="21"/>
                <w:szCs w:val="21"/>
                <w:highlight w:val="none"/>
              </w:rPr>
            </w:pPr>
          </w:p>
        </w:tc>
        <w:tc>
          <w:tcPr>
            <w:tcW w:w="1920" w:type="dxa"/>
            <w:noWrap w:val="0"/>
            <w:vAlign w:val="center"/>
          </w:tcPr>
          <w:p>
            <w:pPr>
              <w:widowControl/>
              <w:spacing w:line="400" w:lineRule="exact"/>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合同</w:t>
            </w:r>
            <w:r>
              <w:rPr>
                <w:rFonts w:hint="eastAsia" w:ascii="宋体" w:hAnsi="宋体" w:cs="宋体"/>
                <w:color w:val="auto"/>
                <w:sz w:val="21"/>
                <w:szCs w:val="21"/>
                <w:highlight w:val="none"/>
                <w:lang w:eastAsia="zh-CN"/>
              </w:rPr>
              <w:t>备案</w:t>
            </w:r>
          </w:p>
        </w:tc>
        <w:tc>
          <w:tcPr>
            <w:tcW w:w="6530" w:type="dxa"/>
            <w:noWrap w:val="0"/>
            <w:vAlign w:val="center"/>
          </w:tcPr>
          <w:p>
            <w:pPr>
              <w:widowControl/>
              <w:spacing w:line="400" w:lineRule="exact"/>
              <w:rPr>
                <w:rFonts w:hint="eastAsia" w:ascii="宋体" w:hAnsi="宋体" w:cs="宋体"/>
                <w:b/>
                <w:i/>
                <w:color w:val="auto"/>
                <w:sz w:val="21"/>
                <w:szCs w:val="21"/>
                <w:highlight w:val="none"/>
              </w:rPr>
            </w:pPr>
            <w:r>
              <w:rPr>
                <w:rFonts w:hint="eastAsia" w:ascii="宋体" w:hAnsi="宋体" w:cs="宋体"/>
                <w:color w:val="auto"/>
                <w:sz w:val="21"/>
                <w:szCs w:val="21"/>
                <w:highlight w:val="none"/>
              </w:rPr>
              <w:t>1、中标供应商与采购人签订合同后，三个工作日内将合同原件交给温州韩诚工程项目管理有限公司。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645" w:type="dxa"/>
            <w:noWrap w:val="0"/>
            <w:vAlign w:val="center"/>
          </w:tcPr>
          <w:p>
            <w:pPr>
              <w:widowControl/>
              <w:numPr>
                <w:ilvl w:val="0"/>
                <w:numId w:val="7"/>
              </w:numPr>
              <w:spacing w:line="400" w:lineRule="exact"/>
              <w:rPr>
                <w:rFonts w:hint="eastAsia" w:ascii="宋体" w:hAnsi="宋体" w:cs="宋体"/>
                <w:color w:val="auto"/>
                <w:sz w:val="21"/>
                <w:szCs w:val="21"/>
                <w:highlight w:val="none"/>
              </w:rPr>
            </w:pPr>
          </w:p>
        </w:tc>
        <w:tc>
          <w:tcPr>
            <w:tcW w:w="1920" w:type="dxa"/>
            <w:noWrap w:val="0"/>
            <w:vAlign w:val="center"/>
          </w:tcPr>
          <w:p>
            <w:pPr>
              <w:widowControl/>
              <w:spacing w:line="400" w:lineRule="exact"/>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其他说明</w:t>
            </w:r>
          </w:p>
        </w:tc>
        <w:tc>
          <w:tcPr>
            <w:tcW w:w="6530" w:type="dxa"/>
            <w:noWrap w:val="0"/>
            <w:vAlign w:val="center"/>
          </w:tcPr>
          <w:p>
            <w:pPr>
              <w:widowControl/>
              <w:spacing w:line="400" w:lineRule="exact"/>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采购代理服务费</w:t>
            </w:r>
          </w:p>
          <w:p>
            <w:pPr>
              <w:widowControl/>
              <w:spacing w:line="400" w:lineRule="exact"/>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本次采购代理服务费由中标供应商支付，采购代理服务费以中标金额作为收费基准价格计算，</w:t>
            </w:r>
            <w:r>
              <w:rPr>
                <w:rFonts w:hint="eastAsia" w:ascii="宋体" w:hAnsi="宋体" w:cs="宋体"/>
                <w:b/>
                <w:bCs/>
                <w:color w:val="auto"/>
                <w:sz w:val="21"/>
                <w:szCs w:val="21"/>
                <w:highlight w:val="none"/>
                <w:lang w:eastAsia="zh-CN"/>
              </w:rPr>
              <w:t>参照</w:t>
            </w:r>
            <w:r>
              <w:rPr>
                <w:rFonts w:hint="eastAsia" w:ascii="宋体" w:hAnsi="宋体" w:cs="宋体"/>
                <w:b/>
                <w:bCs/>
                <w:color w:val="auto"/>
                <w:sz w:val="21"/>
                <w:szCs w:val="21"/>
                <w:highlight w:val="none"/>
              </w:rPr>
              <w:t>国家计委印发的《招标代理服务收费管理暂行办法》计价格[2002]1980号文件及发改办价格（2003）857号文件服务类收费标准</w:t>
            </w:r>
            <w:r>
              <w:rPr>
                <w:rFonts w:hint="eastAsia" w:ascii="宋体" w:hAnsi="宋体" w:cs="宋体"/>
                <w:b/>
                <w:bCs/>
                <w:color w:val="auto"/>
                <w:sz w:val="21"/>
                <w:szCs w:val="21"/>
                <w:highlight w:val="none"/>
                <w:lang w:eastAsia="zh-CN"/>
              </w:rPr>
              <w:t>及有关会议纪要文件要求</w:t>
            </w:r>
            <w:r>
              <w:rPr>
                <w:rFonts w:hint="eastAsia" w:ascii="宋体" w:hAnsi="宋体" w:cs="宋体"/>
                <w:b/>
                <w:bCs/>
                <w:color w:val="auto"/>
                <w:sz w:val="21"/>
                <w:szCs w:val="21"/>
                <w:highlight w:val="none"/>
              </w:rPr>
              <w:t>计取</w:t>
            </w:r>
            <w:r>
              <w:rPr>
                <w:rFonts w:hint="eastAsia" w:ascii="宋体" w:hAnsi="宋体" w:cs="宋体"/>
                <w:b/>
                <w:bCs/>
                <w:color w:val="auto"/>
                <w:sz w:val="21"/>
                <w:szCs w:val="21"/>
                <w:highlight w:val="none"/>
                <w:lang w:eastAsia="zh-CN"/>
              </w:rPr>
              <w:t>，本项目按</w:t>
            </w:r>
            <w:r>
              <w:rPr>
                <w:rFonts w:hint="eastAsia" w:ascii="宋体" w:hAnsi="宋体" w:cs="宋体"/>
                <w:b/>
                <w:bCs/>
                <w:color w:val="auto"/>
                <w:sz w:val="21"/>
                <w:szCs w:val="21"/>
                <w:highlight w:val="none"/>
                <w:lang w:val="en-US" w:eastAsia="zh-CN"/>
              </w:rPr>
              <w:t>90000元计取</w:t>
            </w:r>
            <w:r>
              <w:rPr>
                <w:rFonts w:hint="eastAsia" w:ascii="宋体" w:hAnsi="宋体" w:cs="宋体"/>
                <w:b/>
                <w:bCs/>
                <w:color w:val="auto"/>
                <w:sz w:val="21"/>
                <w:szCs w:val="21"/>
                <w:highlight w:val="none"/>
              </w:rPr>
              <w:t>。采购代理服务费不在报价中单列（各供应商应在报价中予以考虑），该费用由中标供应商在领取中标通知书前付清。</w:t>
            </w:r>
          </w:p>
        </w:tc>
      </w:tr>
    </w:tbl>
    <w:p>
      <w:pPr>
        <w:pStyle w:val="6"/>
        <w:spacing w:before="0" w:after="0" w:line="480" w:lineRule="auto"/>
        <w:jc w:val="center"/>
        <w:rPr>
          <w:rFonts w:ascii="宋体" w:hAnsi="宋体" w:cs="宋体"/>
          <w:color w:val="auto"/>
          <w:sz w:val="28"/>
          <w:szCs w:val="28"/>
          <w:highlight w:val="none"/>
        </w:rPr>
      </w:pPr>
      <w:r>
        <w:rPr>
          <w:rFonts w:hAnsi="宋体"/>
          <w:color w:val="auto"/>
          <w:sz w:val="21"/>
          <w:szCs w:val="21"/>
          <w:highlight w:val="none"/>
        </w:rPr>
        <w:br w:type="page"/>
      </w:r>
      <w:bookmarkStart w:id="298" w:name="_Toc105435669"/>
      <w:bookmarkStart w:id="299" w:name="_Toc105435727"/>
      <w:bookmarkStart w:id="300" w:name="_Toc105438827"/>
      <w:bookmarkStart w:id="301" w:name="_Toc105435541"/>
      <w:bookmarkStart w:id="302" w:name="_Toc105438775"/>
      <w:r>
        <w:rPr>
          <w:rFonts w:ascii="宋体" w:hAnsi="宋体" w:cs="宋体"/>
          <w:color w:val="auto"/>
          <w:sz w:val="28"/>
          <w:szCs w:val="28"/>
          <w:highlight w:val="none"/>
        </w:rPr>
        <w:t>一</w:t>
      </w:r>
      <w:r>
        <w:rPr>
          <w:rFonts w:hint="eastAsia" w:ascii="宋体" w:hAnsi="宋体" w:cs="宋体"/>
          <w:color w:val="auto"/>
          <w:sz w:val="28"/>
          <w:szCs w:val="28"/>
          <w:highlight w:val="none"/>
        </w:rPr>
        <w:t>、</w:t>
      </w:r>
      <w:r>
        <w:rPr>
          <w:rFonts w:ascii="宋体" w:hAnsi="宋体" w:cs="宋体"/>
          <w:color w:val="auto"/>
          <w:sz w:val="28"/>
          <w:szCs w:val="28"/>
          <w:highlight w:val="none"/>
        </w:rPr>
        <w:t>总</w:t>
      </w:r>
      <w:r>
        <w:rPr>
          <w:rFonts w:hint="eastAsia" w:ascii="宋体" w:hAnsi="宋体" w:cs="宋体"/>
          <w:color w:val="auto"/>
          <w:sz w:val="28"/>
          <w:szCs w:val="28"/>
          <w:highlight w:val="none"/>
        </w:rPr>
        <w:t xml:space="preserve">  </w:t>
      </w:r>
      <w:r>
        <w:rPr>
          <w:rFonts w:ascii="宋体" w:hAnsi="宋体" w:cs="宋体"/>
          <w:color w:val="auto"/>
          <w:sz w:val="28"/>
          <w:szCs w:val="28"/>
          <w:highlight w:val="none"/>
        </w:rPr>
        <w:t>则</w:t>
      </w:r>
      <w:bookmarkEnd w:id="298"/>
      <w:bookmarkEnd w:id="299"/>
      <w:bookmarkEnd w:id="300"/>
      <w:bookmarkEnd w:id="301"/>
      <w:bookmarkEnd w:id="302"/>
    </w:p>
    <w:p>
      <w:pPr>
        <w:spacing w:line="360" w:lineRule="exact"/>
        <w:jc w:val="left"/>
        <w:rPr>
          <w:rFonts w:ascii="宋体" w:hAnsi="宋体"/>
          <w:b/>
          <w:color w:val="auto"/>
          <w:sz w:val="21"/>
          <w:szCs w:val="21"/>
          <w:highlight w:val="none"/>
        </w:rPr>
      </w:pPr>
      <w:r>
        <w:rPr>
          <w:rFonts w:hint="eastAsia" w:ascii="宋体" w:hAnsi="宋体"/>
          <w:b/>
          <w:color w:val="auto"/>
          <w:sz w:val="21"/>
          <w:szCs w:val="21"/>
          <w:highlight w:val="none"/>
        </w:rPr>
        <w:t>（一</w:t>
      </w:r>
      <w:r>
        <w:rPr>
          <w:rFonts w:ascii="宋体" w:hAnsi="宋体"/>
          <w:b/>
          <w:color w:val="auto"/>
          <w:sz w:val="21"/>
          <w:szCs w:val="21"/>
          <w:highlight w:val="none"/>
        </w:rPr>
        <w:t>）</w:t>
      </w:r>
      <w:r>
        <w:rPr>
          <w:rFonts w:hint="eastAsia" w:ascii="宋体" w:hAnsi="宋体"/>
          <w:b/>
          <w:color w:val="auto"/>
          <w:sz w:val="21"/>
          <w:szCs w:val="21"/>
          <w:highlight w:val="none"/>
        </w:rPr>
        <w:t xml:space="preserve"> 适用范围</w:t>
      </w:r>
    </w:p>
    <w:p>
      <w:pPr>
        <w:spacing w:line="360" w:lineRule="exact"/>
        <w:ind w:firstLine="420" w:firstLineChars="200"/>
        <w:jc w:val="left"/>
        <w:rPr>
          <w:rFonts w:ascii="宋体" w:hAnsi="宋体"/>
          <w:color w:val="auto"/>
          <w:sz w:val="21"/>
          <w:szCs w:val="21"/>
          <w:highlight w:val="none"/>
        </w:rPr>
      </w:pPr>
      <w:r>
        <w:rPr>
          <w:rFonts w:hint="eastAsia" w:ascii="宋体" w:hAnsi="宋体"/>
          <w:color w:val="auto"/>
          <w:sz w:val="21"/>
          <w:szCs w:val="21"/>
          <w:highlight w:val="none"/>
        </w:rPr>
        <w:t>本招标文件适用于</w:t>
      </w:r>
      <w:r>
        <w:rPr>
          <w:rFonts w:hint="eastAsia" w:ascii="宋体" w:hAnsi="宋体"/>
          <w:color w:val="auto"/>
          <w:sz w:val="21"/>
          <w:szCs w:val="21"/>
          <w:highlight w:val="none"/>
          <w:u w:val="single"/>
        </w:rPr>
        <w:t xml:space="preserve">龙湾区瑶溪街道环卫保洁一体化项目 </w:t>
      </w:r>
      <w:r>
        <w:rPr>
          <w:rFonts w:hint="eastAsia" w:ascii="宋体" w:hAnsi="宋体"/>
          <w:color w:val="auto"/>
          <w:sz w:val="21"/>
          <w:szCs w:val="21"/>
          <w:highlight w:val="none"/>
        </w:rPr>
        <w:t>的招标、评标、定标、验收、合同履约、付款等行为（法律、法规另有规定的，从其规定）。</w:t>
      </w:r>
    </w:p>
    <w:p>
      <w:pPr>
        <w:spacing w:line="360" w:lineRule="exact"/>
        <w:jc w:val="left"/>
        <w:rPr>
          <w:rFonts w:ascii="宋体" w:hAnsi="宋体"/>
          <w:b/>
          <w:color w:val="auto"/>
          <w:sz w:val="21"/>
          <w:szCs w:val="21"/>
          <w:highlight w:val="none"/>
        </w:rPr>
      </w:pPr>
      <w:r>
        <w:rPr>
          <w:rFonts w:hint="eastAsia" w:ascii="宋体" w:hAnsi="宋体"/>
          <w:b/>
          <w:color w:val="auto"/>
          <w:sz w:val="21"/>
          <w:szCs w:val="21"/>
          <w:highlight w:val="none"/>
        </w:rPr>
        <w:t>（二） 定义</w:t>
      </w:r>
    </w:p>
    <w:p>
      <w:pPr>
        <w:spacing w:line="360" w:lineRule="exact"/>
        <w:ind w:firstLine="420" w:firstLineChars="200"/>
        <w:jc w:val="left"/>
        <w:rPr>
          <w:rFonts w:ascii="宋体" w:hAnsi="宋体"/>
          <w:color w:val="auto"/>
          <w:sz w:val="21"/>
          <w:szCs w:val="21"/>
          <w:highlight w:val="none"/>
        </w:rPr>
      </w:pPr>
      <w:r>
        <w:rPr>
          <w:rFonts w:hint="eastAsia" w:ascii="宋体" w:hAnsi="宋体"/>
          <w:color w:val="auto"/>
          <w:sz w:val="21"/>
          <w:szCs w:val="21"/>
          <w:highlight w:val="none"/>
        </w:rPr>
        <w:t>1.“采购人”系指</w:t>
      </w:r>
      <w:r>
        <w:rPr>
          <w:rFonts w:hint="eastAsia" w:ascii="宋体" w:hAnsi="宋体"/>
          <w:color w:val="auto"/>
          <w:sz w:val="21"/>
          <w:szCs w:val="21"/>
          <w:highlight w:val="none"/>
          <w:lang w:eastAsia="zh-CN"/>
        </w:rPr>
        <w:t>温州市龙湾区城市管理服务有限公司</w:t>
      </w:r>
      <w:r>
        <w:rPr>
          <w:rFonts w:hint="eastAsia" w:ascii="宋体" w:hAnsi="宋体"/>
          <w:color w:val="auto"/>
          <w:sz w:val="21"/>
          <w:szCs w:val="21"/>
          <w:highlight w:val="none"/>
        </w:rPr>
        <w:t>。</w:t>
      </w:r>
    </w:p>
    <w:p>
      <w:pPr>
        <w:spacing w:line="360" w:lineRule="exact"/>
        <w:ind w:firstLine="420" w:firstLineChars="200"/>
        <w:jc w:val="left"/>
        <w:rPr>
          <w:rFonts w:ascii="宋体" w:hAnsi="宋体"/>
          <w:color w:val="auto"/>
          <w:sz w:val="21"/>
          <w:szCs w:val="21"/>
          <w:highlight w:val="none"/>
        </w:rPr>
      </w:pPr>
      <w:r>
        <w:rPr>
          <w:rFonts w:hint="eastAsia" w:ascii="宋体" w:hAnsi="宋体"/>
          <w:color w:val="auto"/>
          <w:sz w:val="21"/>
          <w:szCs w:val="21"/>
          <w:highlight w:val="none"/>
        </w:rPr>
        <w:t>2</w:t>
      </w:r>
      <w:r>
        <w:rPr>
          <w:rFonts w:ascii="宋体" w:hAnsi="宋体"/>
          <w:color w:val="auto"/>
          <w:sz w:val="21"/>
          <w:szCs w:val="21"/>
          <w:highlight w:val="none"/>
        </w:rPr>
        <w:t>.“</w:t>
      </w:r>
      <w:r>
        <w:rPr>
          <w:rFonts w:hint="eastAsia" w:ascii="宋体" w:hAnsi="宋体"/>
          <w:color w:val="auto"/>
          <w:sz w:val="21"/>
          <w:szCs w:val="21"/>
          <w:highlight w:val="none"/>
        </w:rPr>
        <w:t>采购代理机构”系指组织本次招标的温州韩诚工程项目管理有限公司。</w:t>
      </w:r>
    </w:p>
    <w:p>
      <w:pPr>
        <w:spacing w:line="360" w:lineRule="exact"/>
        <w:ind w:firstLine="420" w:firstLineChars="200"/>
        <w:jc w:val="left"/>
        <w:rPr>
          <w:rFonts w:ascii="宋体" w:hAnsi="宋体"/>
          <w:color w:val="auto"/>
          <w:sz w:val="21"/>
          <w:szCs w:val="21"/>
          <w:highlight w:val="none"/>
        </w:rPr>
      </w:pPr>
      <w:r>
        <w:rPr>
          <w:rFonts w:hint="eastAsia" w:ascii="宋体" w:hAnsi="宋体"/>
          <w:color w:val="auto"/>
          <w:sz w:val="21"/>
          <w:szCs w:val="21"/>
          <w:highlight w:val="none"/>
        </w:rPr>
        <w:t>3．“投标人”系指响应招标、参加投标竞争的法人、其他组织或者自然人，也称作供应商。</w:t>
      </w:r>
    </w:p>
    <w:p>
      <w:pPr>
        <w:spacing w:line="360" w:lineRule="exact"/>
        <w:ind w:firstLine="420" w:firstLineChars="200"/>
        <w:jc w:val="left"/>
        <w:rPr>
          <w:rFonts w:ascii="宋体" w:hAnsi="宋体"/>
          <w:color w:val="auto"/>
          <w:sz w:val="21"/>
          <w:szCs w:val="21"/>
          <w:highlight w:val="none"/>
        </w:rPr>
      </w:pPr>
      <w:r>
        <w:rPr>
          <w:rFonts w:hint="eastAsia" w:ascii="宋体" w:hAnsi="宋体"/>
          <w:color w:val="auto"/>
          <w:sz w:val="21"/>
          <w:szCs w:val="21"/>
          <w:highlight w:val="none"/>
        </w:rPr>
        <w:t>4．“服务”</w:t>
      </w:r>
      <w:r>
        <w:rPr>
          <w:rFonts w:ascii="宋体" w:hAnsi="宋体"/>
          <w:color w:val="auto"/>
          <w:sz w:val="21"/>
          <w:szCs w:val="21"/>
          <w:highlight w:val="none"/>
        </w:rPr>
        <w:t>系指招标文件规定投标人须承担的安装、调试、技术协助、校准、培训、技术指导以及其他类似的义务</w:t>
      </w:r>
      <w:r>
        <w:rPr>
          <w:rFonts w:hint="eastAsia" w:ascii="宋体" w:hAnsi="宋体"/>
          <w:color w:val="auto"/>
          <w:sz w:val="21"/>
          <w:szCs w:val="21"/>
          <w:highlight w:val="none"/>
        </w:rPr>
        <w:t>。</w:t>
      </w:r>
    </w:p>
    <w:p>
      <w:pPr>
        <w:spacing w:line="360" w:lineRule="exact"/>
        <w:ind w:firstLine="420" w:firstLineChars="200"/>
        <w:jc w:val="left"/>
        <w:rPr>
          <w:rFonts w:ascii="宋体" w:hAnsi="宋体"/>
          <w:color w:val="auto"/>
          <w:sz w:val="21"/>
          <w:szCs w:val="21"/>
          <w:highlight w:val="none"/>
        </w:rPr>
      </w:pPr>
      <w:r>
        <w:rPr>
          <w:rFonts w:hint="eastAsia" w:ascii="宋体" w:hAnsi="宋体"/>
          <w:color w:val="auto"/>
          <w:sz w:val="21"/>
          <w:szCs w:val="21"/>
          <w:highlight w:val="none"/>
        </w:rPr>
        <w:t>5．“项目”</w:t>
      </w:r>
      <w:r>
        <w:rPr>
          <w:rFonts w:ascii="宋体" w:hAnsi="宋体"/>
          <w:color w:val="auto"/>
          <w:sz w:val="21"/>
          <w:szCs w:val="21"/>
          <w:highlight w:val="none"/>
        </w:rPr>
        <w:t>系指投标人按招标文件规定向采购人提供的产品和服务</w:t>
      </w:r>
      <w:r>
        <w:rPr>
          <w:rFonts w:hint="eastAsia" w:ascii="宋体" w:hAnsi="宋体"/>
          <w:color w:val="auto"/>
          <w:sz w:val="21"/>
          <w:szCs w:val="21"/>
          <w:highlight w:val="none"/>
        </w:rPr>
        <w:t>。</w:t>
      </w:r>
    </w:p>
    <w:p>
      <w:pPr>
        <w:spacing w:line="360" w:lineRule="exact"/>
        <w:ind w:firstLine="420" w:firstLineChars="200"/>
        <w:jc w:val="left"/>
        <w:rPr>
          <w:rFonts w:ascii="宋体" w:hAnsi="宋体"/>
          <w:color w:val="auto"/>
          <w:sz w:val="21"/>
          <w:szCs w:val="21"/>
          <w:highlight w:val="none"/>
        </w:rPr>
      </w:pPr>
      <w:r>
        <w:rPr>
          <w:rFonts w:hint="eastAsia" w:ascii="宋体" w:hAnsi="宋体"/>
          <w:color w:val="auto"/>
          <w:sz w:val="21"/>
          <w:szCs w:val="21"/>
          <w:highlight w:val="none"/>
        </w:rPr>
        <w:t>6．“书面形式”包括信函、传真、</w:t>
      </w:r>
      <w:r>
        <w:rPr>
          <w:rFonts w:hint="eastAsia"/>
          <w:color w:val="auto"/>
          <w:sz w:val="21"/>
          <w:szCs w:val="21"/>
          <w:highlight w:val="none"/>
        </w:rPr>
        <w:t>数据电文（包括电子数据和电子邮件）等可以有形地表现所载内容的形式</w:t>
      </w:r>
      <w:r>
        <w:rPr>
          <w:rFonts w:hint="eastAsia" w:ascii="宋体" w:hAnsi="宋体"/>
          <w:color w:val="auto"/>
          <w:sz w:val="21"/>
          <w:szCs w:val="21"/>
          <w:highlight w:val="none"/>
        </w:rPr>
        <w:t>。</w:t>
      </w:r>
    </w:p>
    <w:p>
      <w:pPr>
        <w:spacing w:line="360" w:lineRule="exact"/>
        <w:ind w:firstLine="420" w:firstLineChars="200"/>
        <w:jc w:val="left"/>
        <w:rPr>
          <w:rFonts w:ascii="宋体" w:hAnsi="宋体"/>
          <w:color w:val="auto"/>
          <w:sz w:val="21"/>
          <w:szCs w:val="21"/>
          <w:highlight w:val="none"/>
        </w:rPr>
      </w:pPr>
      <w:r>
        <w:rPr>
          <w:rFonts w:hint="eastAsia" w:ascii="宋体" w:hAnsi="宋体"/>
          <w:color w:val="auto"/>
          <w:sz w:val="21"/>
          <w:szCs w:val="21"/>
          <w:highlight w:val="none"/>
          <w:lang w:val="en-US" w:eastAsia="zh-CN"/>
        </w:rPr>
        <w:t>7</w:t>
      </w:r>
      <w:r>
        <w:rPr>
          <w:rFonts w:hint="eastAsia" w:ascii="宋体" w:hAnsi="宋体"/>
          <w:color w:val="auto"/>
          <w:sz w:val="21"/>
          <w:szCs w:val="21"/>
          <w:highlight w:val="none"/>
        </w:rPr>
        <w:t>．“▲”系指实质性要求条款，投标人必须做出实质性响应。</w:t>
      </w:r>
    </w:p>
    <w:p>
      <w:pPr>
        <w:spacing w:line="360" w:lineRule="exact"/>
        <w:jc w:val="left"/>
        <w:rPr>
          <w:rFonts w:ascii="宋体" w:hAnsi="宋体"/>
          <w:b/>
          <w:color w:val="auto"/>
          <w:sz w:val="21"/>
          <w:szCs w:val="21"/>
          <w:highlight w:val="none"/>
        </w:rPr>
      </w:pPr>
      <w:r>
        <w:rPr>
          <w:rFonts w:hint="eastAsia" w:ascii="宋体" w:hAnsi="宋体"/>
          <w:b/>
          <w:color w:val="auto"/>
          <w:sz w:val="21"/>
          <w:szCs w:val="21"/>
          <w:highlight w:val="none"/>
        </w:rPr>
        <w:t>（三）招标方式</w:t>
      </w:r>
    </w:p>
    <w:p>
      <w:pPr>
        <w:spacing w:line="360" w:lineRule="exact"/>
        <w:ind w:firstLine="420" w:firstLineChars="200"/>
        <w:jc w:val="left"/>
        <w:rPr>
          <w:rFonts w:ascii="宋体" w:hAnsi="宋体"/>
          <w:color w:val="auto"/>
          <w:sz w:val="21"/>
          <w:szCs w:val="21"/>
          <w:highlight w:val="none"/>
        </w:rPr>
      </w:pPr>
      <w:r>
        <w:rPr>
          <w:rFonts w:hint="eastAsia" w:ascii="宋体" w:hAnsi="宋体"/>
          <w:color w:val="auto"/>
          <w:sz w:val="21"/>
          <w:szCs w:val="21"/>
          <w:highlight w:val="none"/>
        </w:rPr>
        <w:t>本次招标采用公开招标（线</w:t>
      </w:r>
      <w:r>
        <w:rPr>
          <w:rFonts w:hint="eastAsia" w:ascii="宋体" w:hAnsi="宋体"/>
          <w:color w:val="auto"/>
          <w:sz w:val="21"/>
          <w:szCs w:val="21"/>
          <w:highlight w:val="none"/>
          <w:lang w:eastAsia="zh-CN"/>
        </w:rPr>
        <w:t>下纸质</w:t>
      </w:r>
      <w:r>
        <w:rPr>
          <w:rFonts w:hint="eastAsia" w:ascii="宋体" w:hAnsi="宋体"/>
          <w:color w:val="auto"/>
          <w:sz w:val="21"/>
          <w:szCs w:val="21"/>
          <w:highlight w:val="none"/>
        </w:rPr>
        <w:t>招投标）方式进行。</w:t>
      </w:r>
    </w:p>
    <w:p>
      <w:pPr>
        <w:spacing w:line="360" w:lineRule="exact"/>
        <w:jc w:val="left"/>
        <w:rPr>
          <w:rFonts w:ascii="宋体" w:hAnsi="宋体"/>
          <w:b/>
          <w:color w:val="auto"/>
          <w:sz w:val="21"/>
          <w:szCs w:val="21"/>
          <w:highlight w:val="none"/>
        </w:rPr>
      </w:pPr>
      <w:r>
        <w:rPr>
          <w:rFonts w:hint="eastAsia" w:ascii="宋体" w:hAnsi="宋体"/>
          <w:b/>
          <w:color w:val="auto"/>
          <w:sz w:val="21"/>
          <w:szCs w:val="21"/>
          <w:highlight w:val="none"/>
        </w:rPr>
        <w:t>（四）投标委托</w:t>
      </w:r>
    </w:p>
    <w:p>
      <w:pPr>
        <w:spacing w:line="360" w:lineRule="exact"/>
        <w:ind w:firstLine="396" w:firstLineChars="200"/>
        <w:jc w:val="left"/>
        <w:rPr>
          <w:rFonts w:ascii="宋体" w:hAnsi="宋体"/>
          <w:color w:val="auto"/>
          <w:sz w:val="21"/>
          <w:szCs w:val="21"/>
          <w:highlight w:val="none"/>
        </w:rPr>
      </w:pPr>
      <w:r>
        <w:rPr>
          <w:rFonts w:ascii="宋体" w:hAnsi="宋体"/>
          <w:color w:val="auto"/>
          <w:spacing w:val="-6"/>
          <w:sz w:val="21"/>
          <w:szCs w:val="21"/>
          <w:highlight w:val="none"/>
        </w:rPr>
        <w:t>如投标人代表不是法定代表人，须有</w:t>
      </w:r>
      <w:r>
        <w:rPr>
          <w:rFonts w:ascii="宋体" w:hAnsi="宋体"/>
          <w:bCs/>
          <w:color w:val="auto"/>
          <w:spacing w:val="-6"/>
          <w:sz w:val="21"/>
          <w:szCs w:val="21"/>
          <w:highlight w:val="none"/>
        </w:rPr>
        <w:t>附有法定代表人资格证明</w:t>
      </w:r>
      <w:r>
        <w:rPr>
          <w:rFonts w:hint="eastAsia" w:ascii="宋体" w:hAnsi="宋体"/>
          <w:bCs/>
          <w:color w:val="auto"/>
          <w:spacing w:val="-6"/>
          <w:sz w:val="21"/>
          <w:szCs w:val="21"/>
          <w:highlight w:val="none"/>
        </w:rPr>
        <w:t>书</w:t>
      </w:r>
      <w:r>
        <w:rPr>
          <w:rFonts w:ascii="宋体" w:hAnsi="宋体"/>
          <w:bCs/>
          <w:color w:val="auto"/>
          <w:spacing w:val="-6"/>
          <w:sz w:val="21"/>
          <w:szCs w:val="21"/>
          <w:highlight w:val="none"/>
        </w:rPr>
        <w:t>的法定代表人授权</w:t>
      </w:r>
      <w:r>
        <w:rPr>
          <w:rFonts w:hint="eastAsia" w:ascii="宋体" w:hAnsi="宋体"/>
          <w:bCs/>
          <w:color w:val="auto"/>
          <w:spacing w:val="-6"/>
          <w:sz w:val="21"/>
          <w:szCs w:val="21"/>
          <w:highlight w:val="none"/>
        </w:rPr>
        <w:t>委托</w:t>
      </w:r>
      <w:r>
        <w:rPr>
          <w:rFonts w:ascii="宋体" w:hAnsi="宋体"/>
          <w:bCs/>
          <w:color w:val="auto"/>
          <w:spacing w:val="-6"/>
          <w:sz w:val="21"/>
          <w:szCs w:val="21"/>
          <w:highlight w:val="none"/>
        </w:rPr>
        <w:t>书</w:t>
      </w:r>
      <w:r>
        <w:rPr>
          <w:rFonts w:hint="eastAsia" w:ascii="宋体" w:hAnsi="宋体"/>
          <w:color w:val="auto"/>
          <w:spacing w:val="-6"/>
          <w:sz w:val="21"/>
          <w:szCs w:val="21"/>
          <w:highlight w:val="none"/>
        </w:rPr>
        <w:t>（格式详见投标文件第六章）。</w:t>
      </w:r>
    </w:p>
    <w:p>
      <w:pPr>
        <w:spacing w:line="360" w:lineRule="exact"/>
        <w:jc w:val="left"/>
        <w:rPr>
          <w:rFonts w:ascii="宋体" w:hAnsi="宋体"/>
          <w:b/>
          <w:color w:val="auto"/>
          <w:sz w:val="21"/>
          <w:szCs w:val="21"/>
          <w:highlight w:val="none"/>
        </w:rPr>
      </w:pPr>
      <w:r>
        <w:rPr>
          <w:rFonts w:hint="eastAsia" w:ascii="宋体" w:hAnsi="宋体"/>
          <w:b/>
          <w:color w:val="auto"/>
          <w:sz w:val="21"/>
          <w:szCs w:val="21"/>
          <w:highlight w:val="none"/>
        </w:rPr>
        <w:t>（五）投标费用</w:t>
      </w:r>
    </w:p>
    <w:p>
      <w:pPr>
        <w:spacing w:line="360" w:lineRule="exact"/>
        <w:ind w:firstLine="420" w:firstLineChars="200"/>
        <w:jc w:val="left"/>
        <w:rPr>
          <w:rFonts w:ascii="宋体" w:hAnsi="宋体"/>
          <w:color w:val="auto"/>
          <w:sz w:val="21"/>
          <w:szCs w:val="21"/>
          <w:highlight w:val="none"/>
        </w:rPr>
      </w:pPr>
      <w:r>
        <w:rPr>
          <w:rFonts w:hint="eastAsia" w:ascii="宋体" w:hAnsi="宋体"/>
          <w:color w:val="auto"/>
          <w:sz w:val="21"/>
          <w:szCs w:val="21"/>
          <w:highlight w:val="none"/>
        </w:rPr>
        <w:t>1.不论投标结果如何，投标人均应自行承担所有与投标有关的全部费用；</w:t>
      </w:r>
    </w:p>
    <w:p>
      <w:pPr>
        <w:spacing w:line="360" w:lineRule="exact"/>
        <w:ind w:firstLine="420" w:firstLineChars="200"/>
        <w:jc w:val="left"/>
        <w:rPr>
          <w:rFonts w:ascii="宋体" w:hAnsi="宋体"/>
          <w:color w:val="auto"/>
          <w:sz w:val="21"/>
          <w:szCs w:val="21"/>
          <w:highlight w:val="none"/>
        </w:rPr>
      </w:pPr>
      <w:r>
        <w:rPr>
          <w:rFonts w:hint="eastAsia" w:ascii="宋体" w:hAnsi="宋体"/>
          <w:color w:val="auto"/>
          <w:sz w:val="21"/>
          <w:szCs w:val="21"/>
          <w:highlight w:val="none"/>
        </w:rPr>
        <w:t>2.中标单位在中标通知书发出后七个工作日内，向采购代理机构交纳代理服务费。</w:t>
      </w:r>
    </w:p>
    <w:p>
      <w:pPr>
        <w:spacing w:line="360" w:lineRule="exact"/>
        <w:jc w:val="left"/>
        <w:rPr>
          <w:rFonts w:ascii="宋体" w:hAnsi="宋体"/>
          <w:b/>
          <w:color w:val="auto"/>
          <w:sz w:val="21"/>
          <w:szCs w:val="21"/>
          <w:highlight w:val="none"/>
        </w:rPr>
      </w:pPr>
      <w:r>
        <w:rPr>
          <w:rFonts w:hint="eastAsia" w:ascii="宋体" w:hAnsi="宋体"/>
          <w:b/>
          <w:color w:val="auto"/>
          <w:sz w:val="21"/>
          <w:szCs w:val="21"/>
          <w:highlight w:val="none"/>
        </w:rPr>
        <w:t>（六） 联合体投标</w:t>
      </w:r>
    </w:p>
    <w:p>
      <w:pPr>
        <w:spacing w:line="360" w:lineRule="exact"/>
        <w:ind w:firstLine="426" w:firstLineChars="202"/>
        <w:jc w:val="left"/>
        <w:rPr>
          <w:rFonts w:hint="eastAsia" w:ascii="宋体" w:hAnsi="宋体"/>
          <w:b/>
          <w:color w:val="auto"/>
          <w:sz w:val="21"/>
          <w:szCs w:val="21"/>
          <w:highlight w:val="none"/>
        </w:rPr>
      </w:pPr>
      <w:r>
        <w:rPr>
          <w:rFonts w:hint="eastAsia" w:ascii="宋体" w:hAnsi="宋体"/>
          <w:b/>
          <w:color w:val="auto"/>
          <w:sz w:val="21"/>
          <w:szCs w:val="21"/>
          <w:highlight w:val="none"/>
        </w:rPr>
        <w:t>本项目不接受联合体投标。</w:t>
      </w:r>
    </w:p>
    <w:p>
      <w:pPr>
        <w:spacing w:line="360" w:lineRule="exact"/>
        <w:jc w:val="left"/>
        <w:rPr>
          <w:rFonts w:ascii="宋体" w:hAnsi="宋体"/>
          <w:b/>
          <w:color w:val="auto"/>
          <w:sz w:val="21"/>
          <w:szCs w:val="21"/>
          <w:highlight w:val="none"/>
        </w:rPr>
      </w:pPr>
      <w:r>
        <w:rPr>
          <w:rFonts w:hint="eastAsia" w:ascii="宋体" w:hAnsi="宋体"/>
          <w:b/>
          <w:color w:val="auto"/>
          <w:sz w:val="21"/>
          <w:szCs w:val="21"/>
          <w:highlight w:val="none"/>
        </w:rPr>
        <w:t>（七） 转包与分包</w:t>
      </w:r>
    </w:p>
    <w:p>
      <w:pPr>
        <w:spacing w:line="360" w:lineRule="exact"/>
        <w:ind w:firstLine="422" w:firstLineChars="200"/>
        <w:jc w:val="left"/>
        <w:rPr>
          <w:rFonts w:ascii="宋体" w:hAnsi="宋体"/>
          <w:b/>
          <w:color w:val="auto"/>
          <w:sz w:val="21"/>
          <w:szCs w:val="21"/>
          <w:highlight w:val="none"/>
        </w:rPr>
      </w:pPr>
      <w:r>
        <w:rPr>
          <w:rFonts w:hint="eastAsia" w:ascii="宋体" w:hAnsi="宋体"/>
          <w:b/>
          <w:color w:val="auto"/>
          <w:sz w:val="21"/>
          <w:szCs w:val="21"/>
          <w:highlight w:val="none"/>
        </w:rPr>
        <w:t>本项目不允许转包与分包；</w:t>
      </w:r>
    </w:p>
    <w:p>
      <w:pPr>
        <w:spacing w:line="360" w:lineRule="exact"/>
        <w:rPr>
          <w:rFonts w:ascii="宋体" w:hAnsi="宋体" w:cs="宋体"/>
          <w:b/>
          <w:color w:val="auto"/>
          <w:kern w:val="0"/>
          <w:sz w:val="21"/>
          <w:szCs w:val="21"/>
          <w:highlight w:val="none"/>
        </w:rPr>
      </w:pPr>
      <w:r>
        <w:rPr>
          <w:rFonts w:hint="eastAsia" w:ascii="宋体" w:hAnsi="宋体" w:cs="宋体"/>
          <w:b/>
          <w:color w:val="auto"/>
          <w:kern w:val="0"/>
          <w:sz w:val="21"/>
          <w:szCs w:val="21"/>
          <w:highlight w:val="none"/>
        </w:rPr>
        <w:t>（八） 特别说明</w:t>
      </w:r>
    </w:p>
    <w:p>
      <w:pPr>
        <w:pStyle w:val="19"/>
        <w:spacing w:line="400" w:lineRule="exact"/>
        <w:ind w:firstLine="420" w:firstLineChars="200"/>
        <w:jc w:val="left"/>
        <w:rPr>
          <w:rFonts w:hAnsi="宋体"/>
          <w:color w:val="auto"/>
          <w:spacing w:val="0"/>
          <w:sz w:val="21"/>
          <w:szCs w:val="21"/>
          <w:highlight w:val="none"/>
        </w:rPr>
      </w:pPr>
      <w:r>
        <w:rPr>
          <w:rFonts w:hint="eastAsia" w:hAnsi="宋体"/>
          <w:color w:val="auto"/>
          <w:spacing w:val="0"/>
          <w:sz w:val="21"/>
          <w:szCs w:val="21"/>
          <w:highlight w:val="none"/>
        </w:rPr>
        <w:t>1</w:t>
      </w:r>
      <w:r>
        <w:rPr>
          <w:rFonts w:hAnsi="宋体"/>
          <w:color w:val="auto"/>
          <w:spacing w:val="0"/>
          <w:sz w:val="21"/>
          <w:szCs w:val="21"/>
          <w:highlight w:val="none"/>
        </w:rPr>
        <w:t>.投标人应仔细阅读招标文件的所有内容，按照招标文件的要求提交投标文件，并对所提供的全部资料的真实性承担法律责任。</w:t>
      </w:r>
    </w:p>
    <w:p>
      <w:pPr>
        <w:pStyle w:val="19"/>
        <w:spacing w:line="400" w:lineRule="exact"/>
        <w:ind w:firstLine="396" w:firstLineChars="200"/>
        <w:jc w:val="left"/>
        <w:rPr>
          <w:rFonts w:hAnsi="宋体"/>
          <w:color w:val="auto"/>
          <w:spacing w:val="0"/>
          <w:sz w:val="21"/>
          <w:szCs w:val="21"/>
          <w:highlight w:val="none"/>
        </w:rPr>
      </w:pPr>
      <w:r>
        <w:rPr>
          <w:rFonts w:hint="eastAsia" w:hAnsi="宋体" w:cs="宋体"/>
          <w:color w:val="auto"/>
          <w:spacing w:val="-6"/>
          <w:sz w:val="21"/>
          <w:szCs w:val="21"/>
          <w:highlight w:val="none"/>
        </w:rPr>
        <w:t>▲</w:t>
      </w:r>
      <w:r>
        <w:rPr>
          <w:rFonts w:hint="eastAsia" w:hAnsi="宋体"/>
          <w:color w:val="auto"/>
          <w:spacing w:val="0"/>
          <w:sz w:val="21"/>
          <w:szCs w:val="21"/>
          <w:highlight w:val="none"/>
        </w:rPr>
        <w:t>2</w:t>
      </w:r>
      <w:r>
        <w:rPr>
          <w:rFonts w:hAnsi="宋体"/>
          <w:color w:val="auto"/>
          <w:spacing w:val="0"/>
          <w:sz w:val="21"/>
          <w:szCs w:val="21"/>
          <w:highlight w:val="none"/>
        </w:rPr>
        <w:t>.单位负责人为同一人或者存在直接控股、管理关系的不同</w:t>
      </w:r>
      <w:r>
        <w:rPr>
          <w:rFonts w:hint="eastAsia" w:hAnsi="宋体"/>
          <w:color w:val="auto"/>
          <w:spacing w:val="0"/>
          <w:sz w:val="21"/>
          <w:szCs w:val="21"/>
          <w:highlight w:val="none"/>
        </w:rPr>
        <w:t>投标人</w:t>
      </w:r>
      <w:r>
        <w:rPr>
          <w:rFonts w:hAnsi="宋体"/>
          <w:color w:val="auto"/>
          <w:spacing w:val="0"/>
          <w:sz w:val="21"/>
          <w:szCs w:val="21"/>
          <w:highlight w:val="none"/>
        </w:rPr>
        <w:t>，不得参加同一合同项下的政府采购活动</w:t>
      </w:r>
      <w:r>
        <w:rPr>
          <w:rFonts w:hint="eastAsia" w:hAnsi="宋体"/>
          <w:color w:val="auto"/>
          <w:spacing w:val="0"/>
          <w:sz w:val="21"/>
          <w:szCs w:val="21"/>
          <w:highlight w:val="none"/>
        </w:rPr>
        <w:t>。如在评审过程（成交后质疑投诉期内）中发现投标人间存在上述关系，存在上述关系的全部投标人均做无效响应（无效成交）处理。</w:t>
      </w:r>
    </w:p>
    <w:p>
      <w:pPr>
        <w:pStyle w:val="19"/>
        <w:spacing w:line="400" w:lineRule="exact"/>
        <w:ind w:firstLine="396" w:firstLineChars="200"/>
        <w:jc w:val="left"/>
        <w:rPr>
          <w:rFonts w:hAnsi="宋体"/>
          <w:color w:val="auto"/>
          <w:spacing w:val="0"/>
          <w:sz w:val="21"/>
          <w:szCs w:val="21"/>
          <w:highlight w:val="none"/>
        </w:rPr>
      </w:pPr>
      <w:r>
        <w:rPr>
          <w:rFonts w:hint="eastAsia" w:hAnsi="宋体" w:cs="宋体"/>
          <w:color w:val="auto"/>
          <w:spacing w:val="-6"/>
          <w:sz w:val="21"/>
          <w:szCs w:val="21"/>
          <w:highlight w:val="none"/>
        </w:rPr>
        <w:t>▲</w:t>
      </w:r>
      <w:r>
        <w:rPr>
          <w:rFonts w:hint="eastAsia" w:hAnsi="宋体"/>
          <w:color w:val="auto"/>
          <w:spacing w:val="0"/>
          <w:sz w:val="21"/>
          <w:szCs w:val="21"/>
          <w:highlight w:val="none"/>
        </w:rPr>
        <w:t>3.</w:t>
      </w:r>
      <w:r>
        <w:rPr>
          <w:rFonts w:hAnsi="宋体"/>
          <w:color w:val="auto"/>
          <w:spacing w:val="0"/>
          <w:sz w:val="21"/>
          <w:szCs w:val="21"/>
          <w:highlight w:val="none"/>
        </w:rPr>
        <w:t>为采购项目提供整体设计、规范编制或者项目管理、监理、检测等服务的</w:t>
      </w:r>
      <w:r>
        <w:rPr>
          <w:rFonts w:hint="eastAsia" w:hAnsi="宋体"/>
          <w:color w:val="auto"/>
          <w:spacing w:val="0"/>
          <w:sz w:val="21"/>
          <w:szCs w:val="21"/>
          <w:highlight w:val="none"/>
        </w:rPr>
        <w:t>投标人</w:t>
      </w:r>
      <w:r>
        <w:rPr>
          <w:rFonts w:hAnsi="宋体"/>
          <w:color w:val="auto"/>
          <w:spacing w:val="0"/>
          <w:sz w:val="21"/>
          <w:szCs w:val="21"/>
          <w:highlight w:val="none"/>
        </w:rPr>
        <w:t>，不得再参加该采购项目的其他采购活动</w:t>
      </w:r>
      <w:r>
        <w:rPr>
          <w:rFonts w:hint="eastAsia" w:hAnsi="宋体"/>
          <w:color w:val="auto"/>
          <w:spacing w:val="0"/>
          <w:sz w:val="21"/>
          <w:szCs w:val="21"/>
          <w:highlight w:val="none"/>
        </w:rPr>
        <w:t>。</w:t>
      </w:r>
    </w:p>
    <w:p>
      <w:pPr>
        <w:pStyle w:val="19"/>
        <w:spacing w:line="400" w:lineRule="exact"/>
        <w:ind w:firstLine="420" w:firstLineChars="200"/>
        <w:jc w:val="left"/>
        <w:rPr>
          <w:rFonts w:hAnsi="宋体"/>
          <w:color w:val="auto"/>
          <w:spacing w:val="0"/>
          <w:sz w:val="21"/>
          <w:szCs w:val="21"/>
          <w:highlight w:val="none"/>
        </w:rPr>
      </w:pPr>
      <w:r>
        <w:rPr>
          <w:rFonts w:hint="eastAsia" w:hAnsi="宋体"/>
          <w:color w:val="auto"/>
          <w:spacing w:val="0"/>
          <w:sz w:val="21"/>
          <w:szCs w:val="21"/>
          <w:highlight w:val="none"/>
        </w:rPr>
        <w:t>4.知识产权</w:t>
      </w:r>
    </w:p>
    <w:p>
      <w:pPr>
        <w:pStyle w:val="19"/>
        <w:spacing w:line="400" w:lineRule="exact"/>
        <w:ind w:firstLine="420" w:firstLineChars="200"/>
        <w:jc w:val="left"/>
        <w:rPr>
          <w:rFonts w:hAnsi="宋体"/>
          <w:color w:val="auto"/>
          <w:spacing w:val="0"/>
          <w:sz w:val="21"/>
          <w:szCs w:val="21"/>
          <w:highlight w:val="none"/>
        </w:rPr>
      </w:pPr>
      <w:r>
        <w:rPr>
          <w:rFonts w:hint="eastAsia" w:hAnsi="宋体"/>
          <w:color w:val="auto"/>
          <w:spacing w:val="0"/>
          <w:sz w:val="21"/>
          <w:szCs w:val="21"/>
          <w:highlight w:val="none"/>
        </w:rPr>
        <w:t>4.1投标人应保证，采购人在中华人民共和国使用货物和服务的任何一部分时，免受第三方提出侵犯其专利权、商标权或其它知识产权的起诉。</w:t>
      </w:r>
    </w:p>
    <w:p>
      <w:pPr>
        <w:pStyle w:val="19"/>
        <w:spacing w:line="400" w:lineRule="exact"/>
        <w:ind w:firstLine="420" w:firstLineChars="200"/>
        <w:jc w:val="left"/>
        <w:rPr>
          <w:rFonts w:hAnsi="宋体"/>
          <w:color w:val="auto"/>
          <w:spacing w:val="0"/>
          <w:sz w:val="21"/>
          <w:szCs w:val="21"/>
          <w:highlight w:val="none"/>
        </w:rPr>
      </w:pPr>
      <w:r>
        <w:rPr>
          <w:rFonts w:hint="eastAsia" w:hAnsi="宋体"/>
          <w:color w:val="auto"/>
          <w:spacing w:val="0"/>
          <w:sz w:val="21"/>
          <w:szCs w:val="21"/>
          <w:highlight w:val="none"/>
        </w:rPr>
        <w:t>4.2投标人应对采购人在使用该产品时所涉及到的专利权负责，不损害采购人的利益。</w:t>
      </w:r>
    </w:p>
    <w:p>
      <w:pPr>
        <w:pStyle w:val="19"/>
        <w:spacing w:line="400" w:lineRule="exact"/>
        <w:ind w:firstLine="420" w:firstLineChars="200"/>
        <w:jc w:val="left"/>
        <w:rPr>
          <w:rFonts w:hAnsi="宋体"/>
          <w:color w:val="auto"/>
          <w:spacing w:val="0"/>
          <w:sz w:val="21"/>
          <w:szCs w:val="21"/>
          <w:highlight w:val="none"/>
        </w:rPr>
      </w:pPr>
      <w:r>
        <w:rPr>
          <w:rFonts w:hint="eastAsia" w:hAnsi="宋体"/>
          <w:color w:val="auto"/>
          <w:spacing w:val="0"/>
          <w:sz w:val="21"/>
          <w:szCs w:val="21"/>
          <w:highlight w:val="none"/>
        </w:rPr>
        <w:t>4.3报价应包括所有应支付的对专利权和版权、设计或其他知识产权而需要向其他方支付的版税。</w:t>
      </w:r>
    </w:p>
    <w:p>
      <w:pPr>
        <w:pStyle w:val="19"/>
        <w:spacing w:line="400" w:lineRule="exact"/>
        <w:ind w:firstLine="420" w:firstLineChars="200"/>
        <w:jc w:val="left"/>
        <w:rPr>
          <w:rFonts w:hAnsi="宋体"/>
          <w:color w:val="auto"/>
          <w:spacing w:val="0"/>
          <w:sz w:val="21"/>
          <w:szCs w:val="21"/>
          <w:highlight w:val="none"/>
        </w:rPr>
      </w:pPr>
      <w:r>
        <w:rPr>
          <w:rFonts w:hint="eastAsia" w:hAnsi="宋体"/>
          <w:color w:val="auto"/>
          <w:spacing w:val="0"/>
          <w:sz w:val="21"/>
          <w:szCs w:val="21"/>
          <w:highlight w:val="none"/>
        </w:rPr>
        <w:t>4.4投标人提供得货物或服务中如使用其他公司的相关专利，应在投标文件中出示相关授权，如未出示但使用了其他公司的专利，导致投标人中标（成交）而引起相关诉讼，由投标人承担。</w:t>
      </w:r>
    </w:p>
    <w:p>
      <w:pPr>
        <w:pStyle w:val="19"/>
        <w:spacing w:line="400" w:lineRule="exact"/>
        <w:ind w:firstLine="420" w:firstLineChars="200"/>
        <w:jc w:val="left"/>
        <w:rPr>
          <w:rFonts w:hAnsi="宋体"/>
          <w:color w:val="auto"/>
          <w:spacing w:val="0"/>
          <w:sz w:val="21"/>
          <w:szCs w:val="21"/>
          <w:highlight w:val="none"/>
        </w:rPr>
      </w:pPr>
      <w:r>
        <w:rPr>
          <w:rFonts w:hint="eastAsia" w:hAnsi="宋体"/>
          <w:color w:val="auto"/>
          <w:spacing w:val="0"/>
          <w:sz w:val="21"/>
          <w:szCs w:val="21"/>
          <w:highlight w:val="none"/>
        </w:rPr>
        <w:t>5.安全责任</w:t>
      </w:r>
    </w:p>
    <w:p>
      <w:pPr>
        <w:pStyle w:val="19"/>
        <w:spacing w:line="400" w:lineRule="exact"/>
        <w:ind w:firstLine="404" w:firstLineChars="200"/>
        <w:jc w:val="left"/>
        <w:rPr>
          <w:rFonts w:hAnsi="宋体"/>
          <w:color w:val="auto"/>
          <w:spacing w:val="0"/>
          <w:sz w:val="21"/>
          <w:szCs w:val="21"/>
          <w:highlight w:val="none"/>
        </w:rPr>
      </w:pPr>
      <w:r>
        <w:rPr>
          <w:rFonts w:hint="eastAsia" w:hAnsi="宋体" w:cs="宋体"/>
          <w:color w:val="auto"/>
          <w:sz w:val="21"/>
          <w:szCs w:val="21"/>
          <w:highlight w:val="none"/>
        </w:rPr>
        <w:t>供应商在参与本项目采购、合同履行过程中必须做好安全保障工作，不因项目实施而危及自身及第三方人员、财产安全。若发生任何安全事故，由供应商自行承担一切责任并赔偿损失。</w:t>
      </w:r>
      <w:r>
        <w:rPr>
          <w:rFonts w:hint="eastAsia" w:hAnsi="宋体"/>
          <w:color w:val="auto"/>
          <w:spacing w:val="0"/>
          <w:sz w:val="21"/>
          <w:szCs w:val="21"/>
          <w:highlight w:val="none"/>
        </w:rPr>
        <w:t>无论何种原因所造成，采购人均不负责。</w:t>
      </w:r>
    </w:p>
    <w:p>
      <w:pPr>
        <w:pStyle w:val="19"/>
        <w:spacing w:line="400" w:lineRule="exact"/>
        <w:ind w:firstLine="396" w:firstLineChars="200"/>
        <w:jc w:val="left"/>
        <w:rPr>
          <w:rFonts w:hint="eastAsia" w:hAnsi="宋体" w:cs="宋体"/>
          <w:color w:val="auto"/>
          <w:sz w:val="21"/>
          <w:szCs w:val="21"/>
          <w:highlight w:val="none"/>
        </w:rPr>
      </w:pPr>
      <w:r>
        <w:rPr>
          <w:rFonts w:hint="eastAsia" w:hAnsi="宋体"/>
          <w:color w:val="auto"/>
          <w:spacing w:val="-6"/>
          <w:sz w:val="21"/>
          <w:szCs w:val="21"/>
          <w:highlight w:val="none"/>
        </w:rPr>
        <w:t>6.</w:t>
      </w:r>
      <w:r>
        <w:rPr>
          <w:rFonts w:hint="eastAsia" w:hAnsi="宋体" w:cs="宋体"/>
          <w:color w:val="auto"/>
          <w:sz w:val="21"/>
          <w:szCs w:val="21"/>
          <w:highlight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采购活动，由单位负责人签署相关文件材料。</w:t>
      </w:r>
    </w:p>
    <w:p>
      <w:pPr>
        <w:pStyle w:val="19"/>
        <w:spacing w:line="360" w:lineRule="exact"/>
        <w:ind w:firstLine="420" w:firstLineChars="200"/>
        <w:jc w:val="left"/>
        <w:rPr>
          <w:rFonts w:hAnsi="宋体"/>
          <w:b/>
          <w:bCs/>
          <w:color w:val="auto"/>
          <w:spacing w:val="0"/>
          <w:sz w:val="21"/>
          <w:szCs w:val="21"/>
          <w:highlight w:val="none"/>
        </w:rPr>
      </w:pPr>
      <w:r>
        <w:rPr>
          <w:rFonts w:hint="eastAsia" w:hAnsi="宋体"/>
          <w:color w:val="auto"/>
          <w:spacing w:val="0"/>
          <w:sz w:val="21"/>
          <w:szCs w:val="21"/>
          <w:highlight w:val="none"/>
        </w:rPr>
        <w:t>7.本项目招标文件如有补充、更正均见浙江政府采购网（http://zfcg.czt.zj.gov.cn/）。投标人须在投标文件提交截止前自行查看是否有补充、更正文件，并按补充、更正文件要求响应，否则责任自负</w:t>
      </w:r>
      <w:r>
        <w:rPr>
          <w:rFonts w:hint="eastAsia" w:hAnsi="宋体"/>
          <w:b/>
          <w:bCs/>
          <w:color w:val="auto"/>
          <w:spacing w:val="0"/>
          <w:sz w:val="21"/>
          <w:szCs w:val="21"/>
          <w:highlight w:val="none"/>
        </w:rPr>
        <w:t>。</w:t>
      </w:r>
    </w:p>
    <w:p>
      <w:pPr>
        <w:pStyle w:val="19"/>
        <w:spacing w:line="400" w:lineRule="exact"/>
        <w:ind w:firstLine="0"/>
        <w:jc w:val="left"/>
        <w:rPr>
          <w:rFonts w:hAnsi="宋体" w:cs="宋体"/>
          <w:b/>
          <w:color w:val="auto"/>
          <w:sz w:val="21"/>
          <w:szCs w:val="21"/>
          <w:highlight w:val="none"/>
        </w:rPr>
      </w:pPr>
      <w:r>
        <w:rPr>
          <w:rFonts w:hAnsi="宋体" w:cs="宋体"/>
          <w:b/>
          <w:color w:val="auto"/>
          <w:sz w:val="21"/>
          <w:szCs w:val="21"/>
          <w:highlight w:val="none"/>
        </w:rPr>
        <w:t>（</w:t>
      </w:r>
      <w:r>
        <w:rPr>
          <w:rFonts w:hint="eastAsia" w:hAnsi="宋体" w:cs="宋体"/>
          <w:b/>
          <w:color w:val="auto"/>
          <w:sz w:val="21"/>
          <w:szCs w:val="21"/>
          <w:highlight w:val="none"/>
        </w:rPr>
        <w:t>九</w:t>
      </w:r>
      <w:r>
        <w:rPr>
          <w:rFonts w:hAnsi="宋体" w:cs="宋体"/>
          <w:b/>
          <w:color w:val="auto"/>
          <w:sz w:val="21"/>
          <w:szCs w:val="21"/>
          <w:highlight w:val="none"/>
        </w:rPr>
        <w:t>）</w:t>
      </w:r>
      <w:r>
        <w:rPr>
          <w:rFonts w:hint="eastAsia" w:hAnsi="宋体" w:cs="宋体"/>
          <w:b/>
          <w:color w:val="auto"/>
          <w:sz w:val="21"/>
          <w:szCs w:val="21"/>
          <w:highlight w:val="none"/>
        </w:rPr>
        <w:t xml:space="preserve"> </w:t>
      </w:r>
      <w:r>
        <w:rPr>
          <w:rFonts w:hAnsi="宋体" w:cs="宋体"/>
          <w:b/>
          <w:color w:val="auto"/>
          <w:sz w:val="21"/>
          <w:szCs w:val="21"/>
          <w:highlight w:val="none"/>
        </w:rPr>
        <w:t>质疑和投诉</w:t>
      </w:r>
    </w:p>
    <w:p>
      <w:pPr>
        <w:pStyle w:val="19"/>
        <w:spacing w:line="400" w:lineRule="exact"/>
        <w:ind w:firstLine="420" w:firstLineChars="200"/>
        <w:jc w:val="left"/>
        <w:rPr>
          <w:rFonts w:hAnsi="宋体" w:cs="宋体"/>
          <w:color w:val="auto"/>
          <w:spacing w:val="0"/>
          <w:sz w:val="21"/>
          <w:szCs w:val="21"/>
          <w:highlight w:val="none"/>
        </w:rPr>
      </w:pPr>
      <w:r>
        <w:rPr>
          <w:rFonts w:hAnsi="宋体"/>
          <w:color w:val="auto"/>
          <w:spacing w:val="0"/>
          <w:sz w:val="21"/>
          <w:szCs w:val="21"/>
          <w:highlight w:val="none"/>
        </w:rPr>
        <w:t>1</w:t>
      </w:r>
      <w:r>
        <w:rPr>
          <w:rFonts w:hint="eastAsia" w:hAnsi="宋体"/>
          <w:color w:val="auto"/>
          <w:spacing w:val="0"/>
          <w:sz w:val="21"/>
          <w:szCs w:val="21"/>
          <w:highlight w:val="none"/>
        </w:rPr>
        <w:t>.供应商</w:t>
      </w:r>
      <w:r>
        <w:rPr>
          <w:rFonts w:hint="eastAsia" w:hAnsi="宋体" w:cs="宋体"/>
          <w:color w:val="auto"/>
          <w:spacing w:val="0"/>
          <w:sz w:val="21"/>
          <w:szCs w:val="21"/>
          <w:highlight w:val="none"/>
        </w:rPr>
        <w:t>认为招标文件、投标过程和成交结果使自己的</w:t>
      </w:r>
      <w:r>
        <w:rPr>
          <w:rFonts w:hint="eastAsia" w:hAnsi="宋体" w:cs="宋体"/>
          <w:bCs/>
          <w:color w:val="auto"/>
          <w:spacing w:val="0"/>
          <w:sz w:val="21"/>
          <w:szCs w:val="21"/>
          <w:highlight w:val="none"/>
        </w:rPr>
        <w:t>权益受到损害</w:t>
      </w:r>
      <w:r>
        <w:rPr>
          <w:rFonts w:hint="eastAsia" w:hAnsi="宋体" w:cs="宋体"/>
          <w:color w:val="auto"/>
          <w:spacing w:val="0"/>
          <w:sz w:val="21"/>
          <w:szCs w:val="21"/>
          <w:highlight w:val="none"/>
        </w:rPr>
        <w:t>的，可以在知道或者应知其权益受到损害之日起</w:t>
      </w:r>
      <w:r>
        <w:rPr>
          <w:rFonts w:hint="eastAsia" w:hAnsi="宋体" w:cs="宋体"/>
          <w:bCs/>
          <w:color w:val="auto"/>
          <w:spacing w:val="0"/>
          <w:sz w:val="21"/>
          <w:szCs w:val="21"/>
          <w:highlight w:val="none"/>
        </w:rPr>
        <w:t>七个工作日内</w:t>
      </w:r>
      <w:r>
        <w:rPr>
          <w:rFonts w:hint="eastAsia" w:hAnsi="宋体" w:cs="宋体"/>
          <w:color w:val="auto"/>
          <w:spacing w:val="0"/>
          <w:sz w:val="21"/>
          <w:szCs w:val="21"/>
          <w:highlight w:val="none"/>
        </w:rPr>
        <w:t>，以书面形式向采购人或</w:t>
      </w:r>
      <w:r>
        <w:rPr>
          <w:rFonts w:hAnsi="宋体" w:cs="宋体"/>
          <w:color w:val="auto"/>
          <w:spacing w:val="0"/>
          <w:sz w:val="21"/>
          <w:szCs w:val="21"/>
          <w:highlight w:val="none"/>
        </w:rPr>
        <w:t>采购代理机构</w:t>
      </w:r>
      <w:r>
        <w:rPr>
          <w:rFonts w:hint="eastAsia" w:hAnsi="宋体" w:cs="宋体"/>
          <w:color w:val="auto"/>
          <w:spacing w:val="0"/>
          <w:sz w:val="21"/>
          <w:szCs w:val="21"/>
          <w:highlight w:val="none"/>
        </w:rPr>
        <w:t>提出质疑。质疑供应商对采购人、采购代理机构的答复不满意或者采购人、采购代理机构未在规定的时间内作出答复的，可以在</w:t>
      </w:r>
      <w:r>
        <w:rPr>
          <w:rFonts w:hint="eastAsia" w:hAnsi="宋体" w:cs="宋体"/>
          <w:bCs/>
          <w:color w:val="auto"/>
          <w:spacing w:val="0"/>
          <w:sz w:val="21"/>
          <w:szCs w:val="21"/>
          <w:highlight w:val="none"/>
        </w:rPr>
        <w:t>答复期满后十五个工作日内</w:t>
      </w:r>
      <w:r>
        <w:rPr>
          <w:rFonts w:hint="eastAsia" w:hAnsi="宋体" w:cs="宋体"/>
          <w:color w:val="auto"/>
          <w:spacing w:val="0"/>
          <w:sz w:val="21"/>
          <w:szCs w:val="21"/>
          <w:highlight w:val="none"/>
        </w:rPr>
        <w:t>向</w:t>
      </w:r>
      <w:r>
        <w:rPr>
          <w:rFonts w:hint="eastAsia" w:hAnsi="宋体" w:cs="宋体"/>
          <w:color w:val="auto"/>
          <w:spacing w:val="0"/>
          <w:sz w:val="21"/>
          <w:szCs w:val="21"/>
          <w:highlight w:val="none"/>
          <w:lang w:val="en-US" w:eastAsia="zh-CN"/>
        </w:rPr>
        <w:t>温州市龙湾区国资办</w:t>
      </w:r>
      <w:r>
        <w:rPr>
          <w:rFonts w:hint="eastAsia" w:hAnsi="宋体" w:cs="宋体"/>
          <w:bCs/>
          <w:color w:val="auto"/>
          <w:spacing w:val="0"/>
          <w:sz w:val="21"/>
          <w:szCs w:val="21"/>
          <w:highlight w:val="none"/>
        </w:rPr>
        <w:t>投诉</w:t>
      </w:r>
      <w:r>
        <w:rPr>
          <w:rFonts w:hint="eastAsia" w:hAnsi="宋体" w:cs="宋体"/>
          <w:color w:val="auto"/>
          <w:spacing w:val="0"/>
          <w:sz w:val="21"/>
          <w:szCs w:val="21"/>
          <w:highlight w:val="none"/>
        </w:rPr>
        <w:t>。</w:t>
      </w:r>
    </w:p>
    <w:p>
      <w:pPr>
        <w:pStyle w:val="19"/>
        <w:spacing w:line="400" w:lineRule="exact"/>
        <w:ind w:firstLine="422" w:firstLineChars="200"/>
        <w:jc w:val="left"/>
        <w:rPr>
          <w:rFonts w:hAnsi="宋体"/>
          <w:b/>
          <w:color w:val="auto"/>
          <w:spacing w:val="0"/>
          <w:sz w:val="21"/>
          <w:szCs w:val="21"/>
          <w:highlight w:val="none"/>
        </w:rPr>
      </w:pPr>
      <w:r>
        <w:rPr>
          <w:rFonts w:hint="eastAsia" w:hAnsi="宋体"/>
          <w:b/>
          <w:color w:val="auto"/>
          <w:spacing w:val="0"/>
          <w:sz w:val="21"/>
          <w:szCs w:val="21"/>
          <w:highlight w:val="none"/>
        </w:rPr>
        <w:t>2.供应商提出质疑应当提交质疑函和必要的证明材料，质疑函范本、投诉书范本请到浙江政府采购网下载专区下载，质疑函应当包括下列内容：</w:t>
      </w:r>
    </w:p>
    <w:p>
      <w:pPr>
        <w:pStyle w:val="19"/>
        <w:spacing w:line="400" w:lineRule="exact"/>
        <w:ind w:firstLine="420" w:firstLineChars="200"/>
        <w:jc w:val="left"/>
        <w:rPr>
          <w:rFonts w:hAnsi="宋体"/>
          <w:color w:val="auto"/>
          <w:spacing w:val="0"/>
          <w:sz w:val="21"/>
          <w:szCs w:val="21"/>
          <w:highlight w:val="none"/>
        </w:rPr>
      </w:pPr>
      <w:r>
        <w:rPr>
          <w:rFonts w:hint="eastAsia" w:hAnsi="宋体"/>
          <w:color w:val="auto"/>
          <w:spacing w:val="0"/>
          <w:sz w:val="21"/>
          <w:szCs w:val="21"/>
          <w:highlight w:val="none"/>
        </w:rPr>
        <w:t>（1）供应商的姓名或者名称、地址、邮编、联系人及联系电话；</w:t>
      </w:r>
    </w:p>
    <w:p>
      <w:pPr>
        <w:pStyle w:val="19"/>
        <w:spacing w:line="400" w:lineRule="exact"/>
        <w:ind w:firstLine="420" w:firstLineChars="200"/>
        <w:jc w:val="left"/>
        <w:rPr>
          <w:rFonts w:hAnsi="宋体"/>
          <w:color w:val="auto"/>
          <w:spacing w:val="0"/>
          <w:sz w:val="21"/>
          <w:szCs w:val="21"/>
          <w:highlight w:val="none"/>
        </w:rPr>
      </w:pPr>
      <w:r>
        <w:rPr>
          <w:rFonts w:hint="eastAsia" w:hAnsi="宋体"/>
          <w:color w:val="auto"/>
          <w:spacing w:val="0"/>
          <w:sz w:val="21"/>
          <w:szCs w:val="21"/>
          <w:highlight w:val="none"/>
        </w:rPr>
        <w:t>（2）质疑项目的名称、编号；</w:t>
      </w:r>
    </w:p>
    <w:p>
      <w:pPr>
        <w:pStyle w:val="19"/>
        <w:spacing w:line="400" w:lineRule="exact"/>
        <w:ind w:firstLine="420" w:firstLineChars="200"/>
        <w:jc w:val="left"/>
        <w:rPr>
          <w:rFonts w:hAnsi="宋体"/>
          <w:color w:val="auto"/>
          <w:spacing w:val="0"/>
          <w:sz w:val="21"/>
          <w:szCs w:val="21"/>
          <w:highlight w:val="none"/>
        </w:rPr>
      </w:pPr>
      <w:r>
        <w:rPr>
          <w:rFonts w:hint="eastAsia" w:hAnsi="宋体"/>
          <w:color w:val="auto"/>
          <w:spacing w:val="0"/>
          <w:sz w:val="21"/>
          <w:szCs w:val="21"/>
          <w:highlight w:val="none"/>
        </w:rPr>
        <w:t>（3）具体、明确的质疑事项和与质疑事项相关的请求；</w:t>
      </w:r>
    </w:p>
    <w:p>
      <w:pPr>
        <w:pStyle w:val="19"/>
        <w:spacing w:line="400" w:lineRule="exact"/>
        <w:ind w:firstLine="420" w:firstLineChars="200"/>
        <w:jc w:val="left"/>
        <w:rPr>
          <w:rFonts w:hAnsi="宋体"/>
          <w:color w:val="auto"/>
          <w:spacing w:val="0"/>
          <w:sz w:val="21"/>
          <w:szCs w:val="21"/>
          <w:highlight w:val="none"/>
        </w:rPr>
      </w:pPr>
      <w:r>
        <w:rPr>
          <w:rFonts w:hint="eastAsia" w:hAnsi="宋体"/>
          <w:color w:val="auto"/>
          <w:spacing w:val="0"/>
          <w:sz w:val="21"/>
          <w:szCs w:val="21"/>
          <w:highlight w:val="none"/>
        </w:rPr>
        <w:t>（4）事实依据；</w:t>
      </w:r>
    </w:p>
    <w:p>
      <w:pPr>
        <w:pStyle w:val="19"/>
        <w:spacing w:line="400" w:lineRule="exact"/>
        <w:ind w:firstLine="420" w:firstLineChars="200"/>
        <w:jc w:val="left"/>
        <w:rPr>
          <w:rFonts w:hAnsi="宋体"/>
          <w:color w:val="auto"/>
          <w:spacing w:val="0"/>
          <w:sz w:val="21"/>
          <w:szCs w:val="21"/>
          <w:highlight w:val="none"/>
        </w:rPr>
      </w:pPr>
      <w:r>
        <w:rPr>
          <w:rFonts w:hint="eastAsia" w:hAnsi="宋体"/>
          <w:color w:val="auto"/>
          <w:spacing w:val="0"/>
          <w:sz w:val="21"/>
          <w:szCs w:val="21"/>
          <w:highlight w:val="none"/>
        </w:rPr>
        <w:t>（5）必要的法律依据；</w:t>
      </w:r>
    </w:p>
    <w:p>
      <w:pPr>
        <w:pStyle w:val="19"/>
        <w:spacing w:line="400" w:lineRule="exact"/>
        <w:ind w:firstLine="420" w:firstLineChars="200"/>
        <w:jc w:val="left"/>
        <w:rPr>
          <w:rFonts w:hAnsi="宋体"/>
          <w:color w:val="auto"/>
          <w:spacing w:val="0"/>
          <w:sz w:val="21"/>
          <w:szCs w:val="21"/>
          <w:highlight w:val="none"/>
        </w:rPr>
      </w:pPr>
      <w:r>
        <w:rPr>
          <w:rFonts w:hint="eastAsia" w:hAnsi="宋体"/>
          <w:color w:val="auto"/>
          <w:spacing w:val="0"/>
          <w:sz w:val="21"/>
          <w:szCs w:val="21"/>
          <w:highlight w:val="none"/>
        </w:rPr>
        <w:t>（6）提出质疑的日期。</w:t>
      </w:r>
    </w:p>
    <w:p>
      <w:pPr>
        <w:pStyle w:val="19"/>
        <w:spacing w:line="400" w:lineRule="exact"/>
        <w:ind w:firstLine="420" w:firstLineChars="200"/>
        <w:jc w:val="left"/>
        <w:rPr>
          <w:rFonts w:hAnsi="宋体"/>
          <w:color w:val="auto"/>
          <w:spacing w:val="0"/>
          <w:sz w:val="21"/>
          <w:szCs w:val="21"/>
          <w:highlight w:val="none"/>
        </w:rPr>
      </w:pPr>
      <w:r>
        <w:rPr>
          <w:rFonts w:hint="eastAsia" w:hAnsi="宋体"/>
          <w:color w:val="auto"/>
          <w:spacing w:val="0"/>
          <w:sz w:val="21"/>
          <w:szCs w:val="21"/>
          <w:highlight w:val="none"/>
        </w:rPr>
        <w:t>供应商为自然人的，应当由本人签字；供应商为法人或者其他组织的，应当由法定代表人、主要负责人，或者其授权代表签字或者盖章，并加盖公章。</w:t>
      </w:r>
    </w:p>
    <w:p>
      <w:pPr>
        <w:pStyle w:val="19"/>
        <w:spacing w:line="400" w:lineRule="exact"/>
        <w:ind w:firstLine="420" w:firstLineChars="200"/>
        <w:jc w:val="left"/>
        <w:rPr>
          <w:rFonts w:hint="eastAsia" w:hAnsi="宋体"/>
          <w:b/>
          <w:color w:val="auto"/>
          <w:spacing w:val="0"/>
          <w:sz w:val="21"/>
          <w:szCs w:val="21"/>
          <w:highlight w:val="none"/>
        </w:rPr>
      </w:pPr>
      <w:r>
        <w:rPr>
          <w:rFonts w:hint="eastAsia" w:hAnsi="宋体"/>
          <w:color w:val="auto"/>
          <w:spacing w:val="0"/>
          <w:sz w:val="21"/>
          <w:szCs w:val="21"/>
          <w:highlight w:val="none"/>
        </w:rPr>
        <w:t>3.提出质疑的供应商应当是参与本项目投标活动的供应商。</w:t>
      </w:r>
      <w:r>
        <w:rPr>
          <w:rFonts w:hint="eastAsia" w:hAnsi="宋体"/>
          <w:b/>
          <w:color w:val="auto"/>
          <w:spacing w:val="0"/>
          <w:sz w:val="21"/>
          <w:szCs w:val="21"/>
          <w:highlight w:val="none"/>
        </w:rPr>
        <w:t>供应商在法定质疑期内应一次性提出针对同一采购程序环节的质疑。</w:t>
      </w:r>
    </w:p>
    <w:p>
      <w:pPr>
        <w:pStyle w:val="19"/>
        <w:spacing w:line="400" w:lineRule="exact"/>
        <w:ind w:firstLine="420" w:firstLineChars="200"/>
        <w:jc w:val="left"/>
        <w:rPr>
          <w:rFonts w:hint="eastAsia" w:hAnsi="宋体"/>
          <w:color w:val="auto"/>
          <w:spacing w:val="0"/>
          <w:sz w:val="21"/>
          <w:szCs w:val="21"/>
          <w:highlight w:val="none"/>
        </w:rPr>
      </w:pPr>
      <w:r>
        <w:rPr>
          <w:rFonts w:hint="eastAsia" w:hAnsi="宋体"/>
          <w:color w:val="auto"/>
          <w:spacing w:val="0"/>
          <w:sz w:val="21"/>
          <w:szCs w:val="21"/>
          <w:highlight w:val="none"/>
        </w:rPr>
        <w:t>4.投诉人投诉时,应当提交投诉书和必要的证明材料，并按照被投诉采购人、采购代理机构（以下简称被投诉人）和与投诉事项有关的供应商数量提供投诉书的副本。投诉书应当包括下列内容：</w:t>
      </w:r>
    </w:p>
    <w:p>
      <w:pPr>
        <w:pStyle w:val="19"/>
        <w:spacing w:line="400" w:lineRule="exact"/>
        <w:ind w:firstLine="0"/>
        <w:jc w:val="left"/>
        <w:rPr>
          <w:rFonts w:hint="eastAsia" w:hAnsi="宋体"/>
          <w:color w:val="auto"/>
          <w:spacing w:val="0"/>
          <w:sz w:val="21"/>
          <w:szCs w:val="21"/>
          <w:highlight w:val="none"/>
        </w:rPr>
      </w:pPr>
      <w:r>
        <w:rPr>
          <w:rFonts w:hint="eastAsia" w:hAnsi="宋体"/>
          <w:color w:val="auto"/>
          <w:spacing w:val="0"/>
          <w:sz w:val="21"/>
          <w:szCs w:val="21"/>
          <w:highlight w:val="none"/>
        </w:rPr>
        <w:t>　　（1）投诉人和被投诉人的姓名或者名称、通讯地址、邮编、联系人及联系电话；</w:t>
      </w:r>
    </w:p>
    <w:p>
      <w:pPr>
        <w:pStyle w:val="19"/>
        <w:spacing w:line="400" w:lineRule="exact"/>
        <w:ind w:firstLine="0"/>
        <w:jc w:val="left"/>
        <w:rPr>
          <w:rFonts w:hint="eastAsia" w:hAnsi="宋体"/>
          <w:color w:val="auto"/>
          <w:spacing w:val="0"/>
          <w:sz w:val="21"/>
          <w:szCs w:val="21"/>
          <w:highlight w:val="none"/>
        </w:rPr>
      </w:pPr>
      <w:r>
        <w:rPr>
          <w:rFonts w:hint="eastAsia" w:hAnsi="宋体"/>
          <w:color w:val="auto"/>
          <w:spacing w:val="0"/>
          <w:sz w:val="21"/>
          <w:szCs w:val="21"/>
          <w:highlight w:val="none"/>
        </w:rPr>
        <w:t>　　（2）质疑和质疑答复情况说明及相关证明材料；</w:t>
      </w:r>
    </w:p>
    <w:p>
      <w:pPr>
        <w:pStyle w:val="19"/>
        <w:spacing w:line="400" w:lineRule="exact"/>
        <w:ind w:firstLine="0"/>
        <w:jc w:val="left"/>
        <w:rPr>
          <w:rFonts w:hint="eastAsia" w:hAnsi="宋体"/>
          <w:color w:val="auto"/>
          <w:spacing w:val="0"/>
          <w:sz w:val="21"/>
          <w:szCs w:val="21"/>
          <w:highlight w:val="none"/>
        </w:rPr>
      </w:pPr>
      <w:r>
        <w:rPr>
          <w:rFonts w:hint="eastAsia" w:hAnsi="宋体"/>
          <w:color w:val="auto"/>
          <w:spacing w:val="0"/>
          <w:sz w:val="21"/>
          <w:szCs w:val="21"/>
          <w:highlight w:val="none"/>
        </w:rPr>
        <w:t>　　（3）具体、明确的投诉事项和与投诉事项相关的投诉请求；</w:t>
      </w:r>
    </w:p>
    <w:p>
      <w:pPr>
        <w:pStyle w:val="19"/>
        <w:spacing w:line="400" w:lineRule="exact"/>
        <w:ind w:firstLine="0"/>
        <w:jc w:val="left"/>
        <w:rPr>
          <w:rFonts w:hint="eastAsia" w:hAnsi="宋体"/>
          <w:color w:val="auto"/>
          <w:spacing w:val="0"/>
          <w:sz w:val="21"/>
          <w:szCs w:val="21"/>
          <w:highlight w:val="none"/>
        </w:rPr>
      </w:pPr>
      <w:r>
        <w:rPr>
          <w:rFonts w:hint="eastAsia" w:hAnsi="宋体"/>
          <w:color w:val="auto"/>
          <w:spacing w:val="0"/>
          <w:sz w:val="21"/>
          <w:szCs w:val="21"/>
          <w:highlight w:val="none"/>
        </w:rPr>
        <w:t>　　（4）事实依据；</w:t>
      </w:r>
    </w:p>
    <w:p>
      <w:pPr>
        <w:pStyle w:val="19"/>
        <w:spacing w:line="400" w:lineRule="exact"/>
        <w:ind w:firstLine="0"/>
        <w:jc w:val="left"/>
        <w:rPr>
          <w:rFonts w:hint="eastAsia" w:hAnsi="宋体"/>
          <w:color w:val="auto"/>
          <w:spacing w:val="0"/>
          <w:sz w:val="21"/>
          <w:szCs w:val="21"/>
          <w:highlight w:val="none"/>
        </w:rPr>
      </w:pPr>
      <w:r>
        <w:rPr>
          <w:rFonts w:hint="eastAsia" w:hAnsi="宋体"/>
          <w:color w:val="auto"/>
          <w:spacing w:val="0"/>
          <w:sz w:val="21"/>
          <w:szCs w:val="21"/>
          <w:highlight w:val="none"/>
        </w:rPr>
        <w:t>　　（5）法律依据；</w:t>
      </w:r>
    </w:p>
    <w:p>
      <w:pPr>
        <w:pStyle w:val="19"/>
        <w:spacing w:line="400" w:lineRule="exact"/>
        <w:ind w:firstLine="0"/>
        <w:jc w:val="left"/>
        <w:rPr>
          <w:rFonts w:hint="eastAsia" w:hAnsi="宋体"/>
          <w:color w:val="auto"/>
          <w:spacing w:val="0"/>
          <w:sz w:val="21"/>
          <w:szCs w:val="21"/>
          <w:highlight w:val="none"/>
        </w:rPr>
      </w:pPr>
      <w:r>
        <w:rPr>
          <w:rFonts w:hint="eastAsia" w:hAnsi="宋体"/>
          <w:color w:val="auto"/>
          <w:spacing w:val="0"/>
          <w:sz w:val="21"/>
          <w:szCs w:val="21"/>
          <w:highlight w:val="none"/>
        </w:rPr>
        <w:t>　　（6）提起投诉的日期。</w:t>
      </w:r>
    </w:p>
    <w:p>
      <w:pPr>
        <w:pStyle w:val="19"/>
        <w:spacing w:line="400" w:lineRule="exact"/>
        <w:ind w:firstLine="0"/>
        <w:jc w:val="left"/>
        <w:rPr>
          <w:rFonts w:hAnsi="宋体"/>
          <w:color w:val="auto"/>
          <w:spacing w:val="0"/>
          <w:sz w:val="21"/>
          <w:szCs w:val="21"/>
          <w:highlight w:val="none"/>
        </w:rPr>
      </w:pPr>
      <w:r>
        <w:rPr>
          <w:rFonts w:hint="eastAsia" w:hAnsi="宋体"/>
          <w:color w:val="auto"/>
          <w:spacing w:val="0"/>
          <w:sz w:val="21"/>
          <w:szCs w:val="21"/>
          <w:highlight w:val="none"/>
        </w:rPr>
        <w:t>　　投诉人为自然人的，应当由本人签字；投诉人为法人或者其他组织的，应当由法定代表人、主要负责人，或者其授权代表签字或者盖章，并加盖公章。</w:t>
      </w:r>
    </w:p>
    <w:p>
      <w:pPr>
        <w:pStyle w:val="23"/>
        <w:spacing w:beforeLines="0" w:afterLines="0" w:line="400" w:lineRule="exact"/>
        <w:ind w:firstLine="424" w:firstLineChars="202"/>
        <w:jc w:val="left"/>
        <w:rPr>
          <w:rFonts w:hAnsi="宋体"/>
          <w:color w:val="auto"/>
          <w:sz w:val="21"/>
          <w:szCs w:val="21"/>
          <w:highlight w:val="none"/>
        </w:rPr>
      </w:pPr>
      <w:r>
        <w:rPr>
          <w:rFonts w:hint="eastAsia" w:hAnsi="宋体"/>
          <w:color w:val="auto"/>
          <w:sz w:val="21"/>
          <w:szCs w:val="21"/>
          <w:highlight w:val="none"/>
        </w:rPr>
        <w:t>5.根据《政府采购质疑和投诉办法》第三十七条的规定，投诉人在全国范围12个月内三次以上投诉查无实据的，由财政部门列入不良行为记录名单。</w:t>
      </w:r>
    </w:p>
    <w:p>
      <w:pPr>
        <w:pStyle w:val="23"/>
        <w:spacing w:beforeLines="0" w:afterLines="0" w:line="400" w:lineRule="exact"/>
        <w:ind w:firstLine="424" w:firstLineChars="202"/>
        <w:jc w:val="left"/>
        <w:rPr>
          <w:rFonts w:hAnsi="宋体"/>
          <w:color w:val="auto"/>
          <w:sz w:val="21"/>
          <w:szCs w:val="21"/>
          <w:highlight w:val="none"/>
        </w:rPr>
      </w:pPr>
      <w:r>
        <w:rPr>
          <w:rFonts w:hint="eastAsia" w:hAnsi="宋体"/>
          <w:color w:val="auto"/>
          <w:sz w:val="21"/>
          <w:szCs w:val="21"/>
          <w:highlight w:val="none"/>
        </w:rPr>
        <w:t>投诉人有下列行为之一的，属于虚假、恶意投诉，由</w:t>
      </w:r>
      <w:r>
        <w:rPr>
          <w:rFonts w:hint="eastAsia" w:hAnsi="宋体"/>
          <w:color w:val="auto"/>
          <w:sz w:val="21"/>
          <w:szCs w:val="21"/>
          <w:highlight w:val="none"/>
          <w:lang w:eastAsia="zh-CN"/>
        </w:rPr>
        <w:t>国资办</w:t>
      </w:r>
      <w:r>
        <w:rPr>
          <w:rFonts w:hint="eastAsia" w:hAnsi="宋体"/>
          <w:color w:val="auto"/>
          <w:sz w:val="21"/>
          <w:szCs w:val="21"/>
          <w:highlight w:val="none"/>
        </w:rPr>
        <w:t>列入不良行为记录名单，禁止其1至3年内参加政府采购活动：</w:t>
      </w:r>
    </w:p>
    <w:p>
      <w:pPr>
        <w:pStyle w:val="23"/>
        <w:spacing w:beforeLines="0" w:afterLines="0" w:line="400" w:lineRule="exact"/>
        <w:ind w:firstLine="424" w:firstLineChars="202"/>
        <w:jc w:val="left"/>
        <w:rPr>
          <w:rFonts w:hAnsi="宋体"/>
          <w:color w:val="auto"/>
          <w:sz w:val="21"/>
          <w:szCs w:val="21"/>
          <w:highlight w:val="none"/>
        </w:rPr>
      </w:pPr>
      <w:r>
        <w:rPr>
          <w:rFonts w:hint="eastAsia" w:hAnsi="宋体"/>
          <w:color w:val="auto"/>
          <w:sz w:val="21"/>
          <w:szCs w:val="21"/>
          <w:highlight w:val="none"/>
        </w:rPr>
        <w:t>（1）捏造事实；</w:t>
      </w:r>
    </w:p>
    <w:p>
      <w:pPr>
        <w:pStyle w:val="23"/>
        <w:spacing w:beforeLines="0" w:afterLines="0" w:line="400" w:lineRule="exact"/>
        <w:ind w:firstLine="424" w:firstLineChars="202"/>
        <w:jc w:val="left"/>
        <w:rPr>
          <w:rFonts w:hAnsi="宋体"/>
          <w:color w:val="auto"/>
          <w:sz w:val="21"/>
          <w:szCs w:val="21"/>
          <w:highlight w:val="none"/>
        </w:rPr>
      </w:pPr>
      <w:r>
        <w:rPr>
          <w:rFonts w:hint="eastAsia" w:hAnsi="宋体"/>
          <w:color w:val="auto"/>
          <w:sz w:val="21"/>
          <w:szCs w:val="21"/>
          <w:highlight w:val="none"/>
        </w:rPr>
        <w:t>（2）提供虚假材料；</w:t>
      </w:r>
    </w:p>
    <w:p>
      <w:pPr>
        <w:pStyle w:val="23"/>
        <w:spacing w:beforeLines="0" w:afterLines="0" w:line="400" w:lineRule="exact"/>
        <w:ind w:firstLine="424" w:firstLineChars="202"/>
        <w:jc w:val="left"/>
        <w:rPr>
          <w:rFonts w:hint="eastAsia" w:hAnsi="宋体"/>
          <w:color w:val="auto"/>
          <w:sz w:val="21"/>
          <w:szCs w:val="21"/>
          <w:highlight w:val="none"/>
        </w:rPr>
      </w:pPr>
      <w:r>
        <w:rPr>
          <w:rFonts w:hint="eastAsia" w:hAnsi="宋体"/>
          <w:color w:val="auto"/>
          <w:sz w:val="21"/>
          <w:szCs w:val="21"/>
          <w:highlight w:val="none"/>
        </w:rPr>
        <w:t>（3）以非法手段取得证明材料。证据来源的合法性存在明显疑问，投诉人无法证明其取得方式合法的，视为以非法手段取得证明材料。</w:t>
      </w:r>
    </w:p>
    <w:p>
      <w:pPr>
        <w:pStyle w:val="19"/>
        <w:spacing w:line="360" w:lineRule="exact"/>
        <w:ind w:firstLine="420" w:firstLineChars="200"/>
        <w:jc w:val="left"/>
        <w:rPr>
          <w:rFonts w:hAnsi="宋体"/>
          <w:color w:val="auto"/>
          <w:spacing w:val="0"/>
          <w:sz w:val="21"/>
          <w:szCs w:val="21"/>
          <w:highlight w:val="none"/>
        </w:rPr>
      </w:pPr>
    </w:p>
    <w:p>
      <w:pPr>
        <w:pStyle w:val="6"/>
        <w:spacing w:before="0" w:after="0" w:line="480" w:lineRule="auto"/>
        <w:jc w:val="center"/>
        <w:rPr>
          <w:rFonts w:ascii="宋体" w:hAnsi="宋体" w:cs="宋体"/>
          <w:color w:val="auto"/>
          <w:sz w:val="28"/>
          <w:szCs w:val="28"/>
          <w:highlight w:val="none"/>
        </w:rPr>
      </w:pPr>
      <w:bookmarkStart w:id="303" w:name="_Toc105438776"/>
      <w:bookmarkStart w:id="304" w:name="_Toc105435728"/>
      <w:bookmarkStart w:id="305" w:name="_Toc105438828"/>
      <w:bookmarkStart w:id="306" w:name="_Toc105435542"/>
      <w:bookmarkStart w:id="307" w:name="_Toc105435670"/>
      <w:r>
        <w:rPr>
          <w:rFonts w:ascii="宋体" w:hAnsi="宋体" w:cs="宋体"/>
          <w:color w:val="auto"/>
          <w:sz w:val="28"/>
          <w:szCs w:val="28"/>
          <w:highlight w:val="none"/>
        </w:rPr>
        <w:t>二</w:t>
      </w:r>
      <w:r>
        <w:rPr>
          <w:rFonts w:hint="eastAsia" w:ascii="宋体" w:hAnsi="宋体" w:cs="宋体"/>
          <w:color w:val="auto"/>
          <w:sz w:val="28"/>
          <w:szCs w:val="28"/>
          <w:highlight w:val="none"/>
        </w:rPr>
        <w:t>、招标文件</w:t>
      </w:r>
      <w:bookmarkEnd w:id="303"/>
      <w:bookmarkEnd w:id="304"/>
      <w:bookmarkEnd w:id="305"/>
      <w:bookmarkEnd w:id="306"/>
      <w:bookmarkEnd w:id="307"/>
    </w:p>
    <w:p>
      <w:pPr>
        <w:spacing w:line="360" w:lineRule="atLeast"/>
        <w:jc w:val="left"/>
        <w:rPr>
          <w:rFonts w:ascii="宋体" w:hAnsi="宋体"/>
          <w:b/>
          <w:color w:val="auto"/>
          <w:sz w:val="21"/>
          <w:szCs w:val="21"/>
          <w:highlight w:val="none"/>
        </w:rPr>
      </w:pPr>
      <w:r>
        <w:rPr>
          <w:rFonts w:hint="eastAsia" w:ascii="宋体" w:hAnsi="宋体"/>
          <w:b/>
          <w:color w:val="auto"/>
          <w:sz w:val="21"/>
          <w:szCs w:val="21"/>
          <w:highlight w:val="none"/>
        </w:rPr>
        <w:t>（一） 招标文件的构成。本招标文件由以下部份组成：</w:t>
      </w:r>
    </w:p>
    <w:p>
      <w:pPr>
        <w:pStyle w:val="19"/>
        <w:spacing w:line="360" w:lineRule="atLeast"/>
        <w:ind w:firstLine="420" w:firstLineChars="200"/>
        <w:jc w:val="left"/>
        <w:rPr>
          <w:rFonts w:hAnsi="宋体"/>
          <w:color w:val="auto"/>
          <w:spacing w:val="0"/>
          <w:sz w:val="21"/>
          <w:szCs w:val="21"/>
          <w:highlight w:val="none"/>
        </w:rPr>
      </w:pPr>
      <w:r>
        <w:rPr>
          <w:rFonts w:hint="eastAsia" w:hAnsi="宋体"/>
          <w:color w:val="auto"/>
          <w:spacing w:val="0"/>
          <w:sz w:val="21"/>
          <w:szCs w:val="21"/>
          <w:highlight w:val="none"/>
        </w:rPr>
        <w:t>1.投标邀请</w:t>
      </w:r>
    </w:p>
    <w:p>
      <w:pPr>
        <w:pStyle w:val="19"/>
        <w:spacing w:line="360" w:lineRule="atLeast"/>
        <w:ind w:firstLine="420" w:firstLineChars="200"/>
        <w:jc w:val="left"/>
        <w:rPr>
          <w:rFonts w:hAnsi="宋体"/>
          <w:color w:val="auto"/>
          <w:spacing w:val="0"/>
          <w:sz w:val="21"/>
          <w:szCs w:val="21"/>
          <w:highlight w:val="none"/>
        </w:rPr>
      </w:pPr>
      <w:r>
        <w:rPr>
          <w:rFonts w:hint="eastAsia" w:hAnsi="宋体"/>
          <w:color w:val="auto"/>
          <w:spacing w:val="0"/>
          <w:sz w:val="21"/>
          <w:szCs w:val="21"/>
          <w:highlight w:val="none"/>
        </w:rPr>
        <w:t>2.采购需求</w:t>
      </w:r>
    </w:p>
    <w:p>
      <w:pPr>
        <w:pStyle w:val="19"/>
        <w:spacing w:line="360" w:lineRule="atLeast"/>
        <w:ind w:firstLine="420" w:firstLineChars="200"/>
        <w:jc w:val="left"/>
        <w:rPr>
          <w:rFonts w:hAnsi="宋体"/>
          <w:color w:val="auto"/>
          <w:spacing w:val="0"/>
          <w:sz w:val="21"/>
          <w:szCs w:val="21"/>
          <w:highlight w:val="none"/>
        </w:rPr>
      </w:pPr>
      <w:r>
        <w:rPr>
          <w:rFonts w:hint="eastAsia" w:hAnsi="宋体"/>
          <w:color w:val="auto"/>
          <w:spacing w:val="0"/>
          <w:sz w:val="21"/>
          <w:szCs w:val="21"/>
          <w:highlight w:val="none"/>
        </w:rPr>
        <w:t>3.投标人须知</w:t>
      </w:r>
    </w:p>
    <w:p>
      <w:pPr>
        <w:pStyle w:val="19"/>
        <w:spacing w:line="360" w:lineRule="atLeast"/>
        <w:ind w:firstLine="420" w:firstLineChars="200"/>
        <w:jc w:val="left"/>
        <w:rPr>
          <w:rFonts w:hAnsi="宋体"/>
          <w:color w:val="auto"/>
          <w:spacing w:val="0"/>
          <w:sz w:val="21"/>
          <w:szCs w:val="21"/>
          <w:highlight w:val="none"/>
        </w:rPr>
      </w:pPr>
      <w:r>
        <w:rPr>
          <w:rFonts w:hint="eastAsia" w:hAnsi="宋体"/>
          <w:color w:val="auto"/>
          <w:spacing w:val="0"/>
          <w:sz w:val="21"/>
          <w:szCs w:val="21"/>
          <w:highlight w:val="none"/>
        </w:rPr>
        <w:t>4.评标办法及评分标准</w:t>
      </w:r>
    </w:p>
    <w:p>
      <w:pPr>
        <w:pStyle w:val="19"/>
        <w:spacing w:line="360" w:lineRule="atLeast"/>
        <w:ind w:firstLine="420" w:firstLineChars="200"/>
        <w:jc w:val="left"/>
        <w:rPr>
          <w:rFonts w:hAnsi="宋体"/>
          <w:color w:val="auto"/>
          <w:spacing w:val="0"/>
          <w:sz w:val="21"/>
          <w:szCs w:val="21"/>
          <w:highlight w:val="none"/>
        </w:rPr>
      </w:pPr>
      <w:r>
        <w:rPr>
          <w:rFonts w:hint="eastAsia" w:hAnsi="宋体"/>
          <w:color w:val="auto"/>
          <w:spacing w:val="0"/>
          <w:sz w:val="21"/>
          <w:szCs w:val="21"/>
          <w:highlight w:val="none"/>
        </w:rPr>
        <w:t>5.拟签订的合同文本</w:t>
      </w:r>
    </w:p>
    <w:p>
      <w:pPr>
        <w:pStyle w:val="19"/>
        <w:spacing w:line="360" w:lineRule="atLeast"/>
        <w:ind w:firstLine="420" w:firstLineChars="200"/>
        <w:jc w:val="left"/>
        <w:rPr>
          <w:rFonts w:hAnsi="宋体"/>
          <w:color w:val="auto"/>
          <w:spacing w:val="0"/>
          <w:sz w:val="21"/>
          <w:szCs w:val="21"/>
          <w:highlight w:val="none"/>
        </w:rPr>
      </w:pPr>
      <w:r>
        <w:rPr>
          <w:rFonts w:hint="eastAsia" w:hAnsi="宋体"/>
          <w:color w:val="auto"/>
          <w:spacing w:val="0"/>
          <w:sz w:val="21"/>
          <w:szCs w:val="21"/>
          <w:highlight w:val="none"/>
        </w:rPr>
        <w:t>6.投标文件格式</w:t>
      </w:r>
    </w:p>
    <w:p>
      <w:pPr>
        <w:pStyle w:val="19"/>
        <w:spacing w:line="360" w:lineRule="atLeast"/>
        <w:ind w:firstLine="420" w:firstLineChars="200"/>
        <w:jc w:val="left"/>
        <w:rPr>
          <w:rFonts w:hAnsi="宋体"/>
          <w:color w:val="auto"/>
          <w:spacing w:val="0"/>
          <w:sz w:val="21"/>
          <w:szCs w:val="21"/>
          <w:highlight w:val="none"/>
        </w:rPr>
      </w:pPr>
      <w:r>
        <w:rPr>
          <w:rFonts w:hint="eastAsia" w:hAnsi="宋体"/>
          <w:color w:val="auto"/>
          <w:spacing w:val="0"/>
          <w:sz w:val="21"/>
          <w:szCs w:val="21"/>
          <w:highlight w:val="none"/>
        </w:rPr>
        <w:t>7.本项目招标文件的澄清、答复、修改、补充的内容</w:t>
      </w:r>
    </w:p>
    <w:p>
      <w:pPr>
        <w:spacing w:line="360" w:lineRule="atLeast"/>
        <w:jc w:val="left"/>
        <w:rPr>
          <w:rFonts w:ascii="宋体" w:hAnsi="宋体"/>
          <w:color w:val="auto"/>
          <w:sz w:val="21"/>
          <w:szCs w:val="21"/>
          <w:highlight w:val="none"/>
        </w:rPr>
      </w:pPr>
      <w:r>
        <w:rPr>
          <w:rFonts w:hint="eastAsia" w:ascii="宋体" w:hAnsi="宋体"/>
          <w:b/>
          <w:color w:val="auto"/>
          <w:sz w:val="21"/>
          <w:szCs w:val="21"/>
          <w:highlight w:val="none"/>
        </w:rPr>
        <w:t>（二） 投标人的风险</w:t>
      </w:r>
    </w:p>
    <w:p>
      <w:pPr>
        <w:pStyle w:val="19"/>
        <w:spacing w:line="360" w:lineRule="atLeast"/>
        <w:ind w:firstLine="420" w:firstLineChars="200"/>
        <w:jc w:val="left"/>
        <w:rPr>
          <w:rFonts w:hAnsi="宋体"/>
          <w:color w:val="auto"/>
          <w:spacing w:val="0"/>
          <w:sz w:val="21"/>
          <w:szCs w:val="21"/>
          <w:highlight w:val="none"/>
        </w:rPr>
      </w:pPr>
      <w:r>
        <w:rPr>
          <w:rFonts w:hint="eastAsia" w:hAnsi="宋体"/>
          <w:color w:val="auto"/>
          <w:spacing w:val="0"/>
          <w:sz w:val="21"/>
          <w:szCs w:val="21"/>
          <w:highlight w:val="none"/>
        </w:rPr>
        <w:t>投标人没有按照招标文件要求提供全部资料，或者投标人没有对招标文件在各方面作出实质性响应是投标人的风险，并可能导致其投标被拒绝。</w:t>
      </w:r>
    </w:p>
    <w:p>
      <w:pPr>
        <w:spacing w:line="360" w:lineRule="atLeast"/>
        <w:jc w:val="left"/>
        <w:rPr>
          <w:rFonts w:ascii="宋体" w:hAnsi="宋体"/>
          <w:b/>
          <w:color w:val="auto"/>
          <w:sz w:val="21"/>
          <w:szCs w:val="21"/>
          <w:highlight w:val="none"/>
        </w:rPr>
      </w:pPr>
      <w:r>
        <w:rPr>
          <w:rFonts w:hint="eastAsia" w:ascii="宋体" w:hAnsi="宋体"/>
          <w:b/>
          <w:color w:val="auto"/>
          <w:sz w:val="21"/>
          <w:szCs w:val="21"/>
          <w:highlight w:val="none"/>
        </w:rPr>
        <w:t>（三） 招标文件的澄清与修改</w:t>
      </w:r>
    </w:p>
    <w:p>
      <w:pPr>
        <w:pStyle w:val="19"/>
        <w:spacing w:line="360" w:lineRule="atLeast"/>
        <w:ind w:firstLine="420" w:firstLineChars="200"/>
        <w:rPr>
          <w:rFonts w:hAnsi="宋体"/>
          <w:color w:val="auto"/>
          <w:spacing w:val="0"/>
          <w:sz w:val="21"/>
          <w:szCs w:val="21"/>
          <w:highlight w:val="none"/>
        </w:rPr>
      </w:pPr>
      <w:r>
        <w:rPr>
          <w:rFonts w:hint="eastAsia" w:hAnsi="宋体"/>
          <w:color w:val="auto"/>
          <w:spacing w:val="0"/>
          <w:sz w:val="21"/>
          <w:szCs w:val="21"/>
          <w:highlight w:val="none"/>
        </w:rPr>
        <w:t>1</w:t>
      </w:r>
      <w:r>
        <w:rPr>
          <w:rFonts w:hAnsi="宋体"/>
          <w:color w:val="auto"/>
          <w:spacing w:val="0"/>
          <w:sz w:val="21"/>
          <w:szCs w:val="21"/>
          <w:highlight w:val="none"/>
        </w:rPr>
        <w:t>.采购人或者采购代理机构可以对已发出的招标文件进行必要的澄清或者修改</w:t>
      </w:r>
      <w:r>
        <w:rPr>
          <w:rFonts w:hint="eastAsia" w:hAnsi="宋体"/>
          <w:color w:val="auto"/>
          <w:spacing w:val="0"/>
          <w:sz w:val="21"/>
          <w:szCs w:val="21"/>
          <w:highlight w:val="none"/>
        </w:rPr>
        <w:t>，</w:t>
      </w:r>
      <w:r>
        <w:rPr>
          <w:rFonts w:hAnsi="宋体"/>
          <w:color w:val="auto"/>
          <w:spacing w:val="0"/>
          <w:sz w:val="21"/>
          <w:szCs w:val="21"/>
          <w:highlight w:val="none"/>
        </w:rPr>
        <w:t>澄清或者修改</w:t>
      </w:r>
      <w:r>
        <w:rPr>
          <w:rFonts w:hint="eastAsia" w:hAnsi="宋体"/>
          <w:color w:val="auto"/>
          <w:spacing w:val="0"/>
          <w:sz w:val="21"/>
          <w:szCs w:val="21"/>
          <w:highlight w:val="none"/>
        </w:rPr>
        <w:t>会</w:t>
      </w:r>
      <w:r>
        <w:rPr>
          <w:rFonts w:hAnsi="宋体"/>
          <w:color w:val="auto"/>
          <w:spacing w:val="0"/>
          <w:sz w:val="21"/>
          <w:szCs w:val="21"/>
          <w:highlight w:val="none"/>
        </w:rPr>
        <w:t>在原公告发布媒体上发布澄清公告</w:t>
      </w:r>
      <w:r>
        <w:rPr>
          <w:rFonts w:hint="eastAsia" w:hAnsi="宋体"/>
          <w:color w:val="auto"/>
          <w:spacing w:val="0"/>
          <w:sz w:val="21"/>
          <w:szCs w:val="21"/>
          <w:highlight w:val="none"/>
        </w:rPr>
        <w:t>，</w:t>
      </w:r>
      <w:r>
        <w:rPr>
          <w:rFonts w:hAnsi="宋体"/>
          <w:color w:val="auto"/>
          <w:spacing w:val="0"/>
          <w:sz w:val="21"/>
          <w:szCs w:val="21"/>
          <w:highlight w:val="none"/>
        </w:rPr>
        <w:t>澄清或者修改的内容为招标文件的组成部分。</w:t>
      </w:r>
      <w:r>
        <w:rPr>
          <w:rFonts w:hint="eastAsia" w:hAnsi="宋体"/>
          <w:color w:val="auto"/>
          <w:spacing w:val="0"/>
          <w:sz w:val="21"/>
          <w:szCs w:val="21"/>
          <w:highlight w:val="none"/>
        </w:rPr>
        <w:t>澄清或者修改的内容可能影响投标文件编制的，采购人或者采购代理机构会在投标截止时间至少15日前，以书面形式通知所有获取招标文件的潜在投标人；不足15日的，采购人或者采购代理机构会顺延提交投标文件的截止时间。</w:t>
      </w:r>
    </w:p>
    <w:p>
      <w:pPr>
        <w:pStyle w:val="19"/>
        <w:spacing w:line="360" w:lineRule="atLeast"/>
        <w:ind w:firstLine="420" w:firstLineChars="200"/>
        <w:rPr>
          <w:rFonts w:hAnsi="宋体"/>
          <w:color w:val="auto"/>
          <w:spacing w:val="0"/>
          <w:sz w:val="21"/>
          <w:szCs w:val="21"/>
          <w:highlight w:val="none"/>
        </w:rPr>
      </w:pPr>
      <w:r>
        <w:rPr>
          <w:rFonts w:hint="eastAsia" w:hAnsi="宋体"/>
          <w:color w:val="auto"/>
          <w:spacing w:val="0"/>
          <w:sz w:val="21"/>
          <w:szCs w:val="21"/>
          <w:highlight w:val="none"/>
        </w:rPr>
        <w:t>2.招标文件的修改将以书面形式通知所有购买招标文件的投标人，并对其具有约束力。投标人在收到上述通知后，应立即向采购</w:t>
      </w:r>
      <w:r>
        <w:rPr>
          <w:rFonts w:hAnsi="宋体"/>
          <w:color w:val="auto"/>
          <w:spacing w:val="0"/>
          <w:sz w:val="21"/>
          <w:szCs w:val="21"/>
          <w:highlight w:val="none"/>
        </w:rPr>
        <w:t>代理机构</w:t>
      </w:r>
      <w:r>
        <w:rPr>
          <w:rFonts w:hint="eastAsia" w:hAnsi="宋体"/>
          <w:color w:val="auto"/>
          <w:spacing w:val="0"/>
          <w:sz w:val="21"/>
          <w:szCs w:val="21"/>
          <w:highlight w:val="none"/>
        </w:rPr>
        <w:t>回函确认。若无书面回函确认，视同投标人已收到招标文件修改的通知，并受其约束。</w:t>
      </w:r>
    </w:p>
    <w:p>
      <w:pPr>
        <w:pStyle w:val="19"/>
        <w:spacing w:line="360" w:lineRule="atLeast"/>
        <w:ind w:firstLine="420" w:firstLineChars="200"/>
        <w:jc w:val="left"/>
        <w:rPr>
          <w:rFonts w:hint="eastAsia" w:hAnsi="宋体"/>
          <w:color w:val="auto"/>
          <w:spacing w:val="0"/>
          <w:sz w:val="21"/>
          <w:szCs w:val="21"/>
          <w:highlight w:val="none"/>
        </w:rPr>
      </w:pPr>
      <w:r>
        <w:rPr>
          <w:rFonts w:hint="eastAsia" w:hAnsi="宋体"/>
          <w:color w:val="auto"/>
          <w:spacing w:val="0"/>
          <w:sz w:val="21"/>
          <w:szCs w:val="21"/>
          <w:highlight w:val="none"/>
        </w:rPr>
        <w:t>3.</w:t>
      </w:r>
      <w:r>
        <w:rPr>
          <w:rFonts w:hAnsi="宋体"/>
          <w:color w:val="auto"/>
          <w:spacing w:val="0"/>
          <w:sz w:val="21"/>
          <w:szCs w:val="21"/>
          <w:highlight w:val="none"/>
        </w:rPr>
        <w:t>招标文件澄清、答复、修改、补充的内容为招标文件的组成部分。当招标文件与招标文件的答复、澄清、修改、补充通知就同一内容的表述不一致时，以最后发出的书面文件为准</w:t>
      </w:r>
      <w:r>
        <w:rPr>
          <w:rFonts w:hint="eastAsia" w:hAnsi="宋体"/>
          <w:color w:val="auto"/>
          <w:spacing w:val="0"/>
          <w:sz w:val="21"/>
          <w:szCs w:val="21"/>
          <w:highlight w:val="none"/>
        </w:rPr>
        <w:t>。</w:t>
      </w:r>
    </w:p>
    <w:p>
      <w:pPr>
        <w:pStyle w:val="19"/>
        <w:spacing w:line="360" w:lineRule="atLeast"/>
        <w:ind w:firstLine="420" w:firstLineChars="200"/>
        <w:jc w:val="left"/>
        <w:rPr>
          <w:rFonts w:hAnsi="宋体"/>
          <w:color w:val="auto"/>
          <w:spacing w:val="0"/>
          <w:sz w:val="21"/>
          <w:szCs w:val="21"/>
          <w:highlight w:val="none"/>
        </w:rPr>
      </w:pPr>
    </w:p>
    <w:p>
      <w:pPr>
        <w:pStyle w:val="6"/>
        <w:spacing w:before="0" w:after="0" w:line="480" w:lineRule="auto"/>
        <w:jc w:val="center"/>
        <w:rPr>
          <w:rFonts w:ascii="宋体" w:hAnsi="宋体" w:cs="宋体"/>
          <w:color w:val="auto"/>
          <w:sz w:val="28"/>
          <w:szCs w:val="28"/>
          <w:highlight w:val="none"/>
        </w:rPr>
      </w:pPr>
      <w:bookmarkStart w:id="308" w:name="_Toc105438777"/>
      <w:bookmarkStart w:id="309" w:name="_Toc105435543"/>
      <w:bookmarkStart w:id="310" w:name="_Toc105435671"/>
      <w:bookmarkStart w:id="311" w:name="_Toc105438829"/>
      <w:bookmarkStart w:id="312" w:name="_Toc105435729"/>
      <w:r>
        <w:rPr>
          <w:rFonts w:ascii="宋体" w:hAnsi="宋体" w:cs="宋体"/>
          <w:color w:val="auto"/>
          <w:sz w:val="28"/>
          <w:szCs w:val="28"/>
          <w:highlight w:val="none"/>
        </w:rPr>
        <w:t>三</w:t>
      </w:r>
      <w:r>
        <w:rPr>
          <w:rFonts w:hint="eastAsia" w:ascii="宋体" w:hAnsi="宋体" w:cs="宋体"/>
          <w:color w:val="auto"/>
          <w:sz w:val="28"/>
          <w:szCs w:val="28"/>
          <w:highlight w:val="none"/>
        </w:rPr>
        <w:t>、</w:t>
      </w:r>
      <w:r>
        <w:rPr>
          <w:rFonts w:ascii="宋体" w:hAnsi="宋体" w:cs="宋体"/>
          <w:color w:val="auto"/>
          <w:sz w:val="28"/>
          <w:szCs w:val="28"/>
          <w:highlight w:val="none"/>
        </w:rPr>
        <w:t>投标文件的编制</w:t>
      </w:r>
      <w:bookmarkEnd w:id="308"/>
      <w:bookmarkEnd w:id="309"/>
      <w:bookmarkEnd w:id="310"/>
      <w:bookmarkEnd w:id="311"/>
      <w:bookmarkEnd w:id="312"/>
    </w:p>
    <w:p>
      <w:pPr>
        <w:spacing w:line="360" w:lineRule="atLeast"/>
        <w:jc w:val="left"/>
        <w:rPr>
          <w:rFonts w:ascii="宋体" w:hAnsi="宋体"/>
          <w:b/>
          <w:color w:val="auto"/>
          <w:sz w:val="21"/>
          <w:szCs w:val="21"/>
          <w:highlight w:val="none"/>
        </w:rPr>
      </w:pPr>
      <w:r>
        <w:rPr>
          <w:rFonts w:hint="eastAsia" w:ascii="宋体" w:hAnsi="宋体"/>
          <w:b/>
          <w:color w:val="auto"/>
          <w:sz w:val="21"/>
          <w:szCs w:val="21"/>
          <w:highlight w:val="none"/>
        </w:rPr>
        <w:t>（一） 投标文件的组成</w:t>
      </w:r>
    </w:p>
    <w:p>
      <w:pPr>
        <w:pStyle w:val="19"/>
        <w:spacing w:line="360" w:lineRule="exact"/>
        <w:ind w:firstLineChars="149"/>
        <w:jc w:val="left"/>
        <w:rPr>
          <w:rFonts w:hint="eastAsia" w:hAnsi="宋体"/>
          <w:color w:val="auto"/>
          <w:spacing w:val="0"/>
          <w:sz w:val="21"/>
          <w:szCs w:val="21"/>
          <w:highlight w:val="none"/>
        </w:rPr>
      </w:pPr>
      <w:r>
        <w:rPr>
          <w:rFonts w:hint="eastAsia" w:hAnsi="宋体"/>
          <w:b/>
          <w:bCs/>
          <w:color w:val="auto"/>
          <w:sz w:val="21"/>
          <w:szCs w:val="21"/>
          <w:highlight w:val="none"/>
        </w:rPr>
        <w:t>投标文件由资格文件、商务技术文件和报价文件三部分组成（格式详见招标文件第六章）</w:t>
      </w:r>
      <w:r>
        <w:rPr>
          <w:rFonts w:hint="eastAsia" w:hAnsi="宋体"/>
          <w:color w:val="auto"/>
          <w:sz w:val="21"/>
          <w:szCs w:val="21"/>
          <w:highlight w:val="none"/>
        </w:rPr>
        <w:t>。</w:t>
      </w:r>
    </w:p>
    <w:p>
      <w:pPr>
        <w:spacing w:line="360" w:lineRule="exact"/>
        <w:ind w:firstLine="413" w:firstLineChars="196"/>
        <w:rPr>
          <w:rFonts w:ascii="宋体" w:hAnsi="宋体" w:cs="楷体"/>
          <w:b/>
          <w:color w:val="auto"/>
          <w:sz w:val="21"/>
          <w:szCs w:val="21"/>
          <w:highlight w:val="none"/>
        </w:rPr>
      </w:pPr>
      <w:r>
        <w:rPr>
          <w:rFonts w:hint="eastAsia" w:ascii="宋体" w:hAnsi="宋体" w:cs="楷体"/>
          <w:b/>
          <w:color w:val="auto"/>
          <w:sz w:val="21"/>
          <w:szCs w:val="21"/>
          <w:highlight w:val="none"/>
        </w:rPr>
        <w:t xml:space="preserve">1. </w:t>
      </w:r>
      <w:r>
        <w:rPr>
          <w:rFonts w:hint="eastAsia" w:ascii="宋体" w:hAnsi="宋体" w:cs="宋体"/>
          <w:b/>
          <w:color w:val="auto"/>
          <w:sz w:val="21"/>
          <w:szCs w:val="21"/>
          <w:highlight w:val="none"/>
          <w:lang w:val="zh-CN"/>
        </w:rPr>
        <w:t>▲</w:t>
      </w:r>
      <w:r>
        <w:rPr>
          <w:rFonts w:hint="eastAsia" w:ascii="宋体" w:hAnsi="宋体" w:cs="楷体"/>
          <w:b/>
          <w:color w:val="auto"/>
          <w:sz w:val="21"/>
          <w:szCs w:val="21"/>
          <w:highlight w:val="none"/>
        </w:rPr>
        <w:t>资格文件：</w:t>
      </w:r>
    </w:p>
    <w:tbl>
      <w:tblPr>
        <w:tblStyle w:val="42"/>
        <w:tblW w:w="9214"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8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8" w:hRule="atLeast"/>
        </w:trPr>
        <w:tc>
          <w:tcPr>
            <w:tcW w:w="671" w:type="dxa"/>
            <w:noWrap w:val="0"/>
            <w:vAlign w:val="center"/>
          </w:tcPr>
          <w:p>
            <w:pPr>
              <w:autoSpaceDE w:val="0"/>
              <w:autoSpaceDN w:val="0"/>
              <w:adjustRightInd w:val="0"/>
              <w:snapToGrid w:val="0"/>
              <w:spacing w:line="300" w:lineRule="exact"/>
              <w:jc w:val="center"/>
              <w:rPr>
                <w:rFonts w:ascii="宋体" w:hAnsi="宋体" w:cs="宋体"/>
                <w:b/>
                <w:color w:val="auto"/>
                <w:sz w:val="21"/>
                <w:szCs w:val="21"/>
                <w:highlight w:val="none"/>
                <w:lang w:val="zh-CN"/>
              </w:rPr>
            </w:pPr>
            <w:r>
              <w:rPr>
                <w:rFonts w:hint="eastAsia" w:ascii="宋体" w:hAnsi="宋体" w:cs="宋体"/>
                <w:b/>
                <w:color w:val="auto"/>
                <w:sz w:val="21"/>
                <w:szCs w:val="21"/>
                <w:highlight w:val="none"/>
                <w:lang w:val="zh-CN"/>
              </w:rPr>
              <w:t>序号</w:t>
            </w:r>
          </w:p>
        </w:tc>
        <w:tc>
          <w:tcPr>
            <w:tcW w:w="8543" w:type="dxa"/>
            <w:noWrap w:val="0"/>
            <w:vAlign w:val="center"/>
          </w:tcPr>
          <w:p>
            <w:pPr>
              <w:autoSpaceDE w:val="0"/>
              <w:autoSpaceDN w:val="0"/>
              <w:adjustRightInd w:val="0"/>
              <w:snapToGrid w:val="0"/>
              <w:spacing w:line="300" w:lineRule="exact"/>
              <w:jc w:val="left"/>
              <w:rPr>
                <w:rFonts w:ascii="宋体" w:hAnsi="宋体" w:cs="宋体"/>
                <w:b/>
                <w:color w:val="auto"/>
                <w:sz w:val="21"/>
                <w:szCs w:val="21"/>
                <w:highlight w:val="none"/>
                <w:lang w:val="zh-CN"/>
              </w:rPr>
            </w:pPr>
            <w:r>
              <w:rPr>
                <w:rFonts w:hint="eastAsia" w:ascii="宋体" w:hAnsi="宋体" w:cs="宋体"/>
                <w:b/>
                <w:color w:val="auto"/>
                <w:sz w:val="21"/>
                <w:szCs w:val="21"/>
                <w:highlight w:val="none"/>
                <w:lang w:val="zh-CN"/>
              </w:rPr>
              <w:t>内容（序号1-</w:t>
            </w:r>
            <w:r>
              <w:rPr>
                <w:rFonts w:hint="eastAsia" w:ascii="宋体" w:hAnsi="宋体" w:cs="宋体"/>
                <w:b/>
                <w:color w:val="auto"/>
                <w:sz w:val="21"/>
                <w:szCs w:val="21"/>
                <w:highlight w:val="none"/>
                <w:lang w:val="en-US" w:eastAsia="zh-CN"/>
              </w:rPr>
              <w:t>2</w:t>
            </w:r>
            <w:r>
              <w:rPr>
                <w:rFonts w:hint="eastAsia" w:ascii="宋体" w:hAnsi="宋体" w:cs="宋体"/>
                <w:b/>
                <w:color w:val="auto"/>
                <w:sz w:val="21"/>
                <w:szCs w:val="21"/>
                <w:highlight w:val="none"/>
                <w:lang w:val="zh-CN"/>
              </w:rPr>
              <w:t>项投标人必须按要求提供，否则不能通过资格性审查的，责任自负）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1" w:type="dxa"/>
            <w:noWrap w:val="0"/>
            <w:vAlign w:val="center"/>
          </w:tcPr>
          <w:p>
            <w:pPr>
              <w:numPr>
                <w:ilvl w:val="0"/>
                <w:numId w:val="10"/>
              </w:numPr>
              <w:autoSpaceDE w:val="0"/>
              <w:autoSpaceDN w:val="0"/>
              <w:adjustRightInd w:val="0"/>
              <w:snapToGrid w:val="0"/>
              <w:spacing w:line="300" w:lineRule="exact"/>
              <w:jc w:val="center"/>
              <w:rPr>
                <w:rFonts w:ascii="宋体" w:hAnsi="宋体" w:cs="宋体"/>
                <w:color w:val="auto"/>
                <w:sz w:val="21"/>
                <w:szCs w:val="21"/>
                <w:highlight w:val="none"/>
                <w:lang w:val="zh-CN"/>
              </w:rPr>
            </w:pPr>
          </w:p>
        </w:tc>
        <w:tc>
          <w:tcPr>
            <w:tcW w:w="8543" w:type="dxa"/>
            <w:noWrap w:val="0"/>
            <w:vAlign w:val="center"/>
          </w:tcPr>
          <w:p>
            <w:pPr>
              <w:autoSpaceDE w:val="0"/>
              <w:autoSpaceDN w:val="0"/>
              <w:adjustRightInd w:val="0"/>
              <w:snapToGrid w:val="0"/>
              <w:spacing w:line="400" w:lineRule="exact"/>
              <w:jc w:val="left"/>
              <w:rPr>
                <w:rFonts w:ascii="宋体" w:hAnsi="宋体" w:cs="宋体"/>
                <w:color w:val="auto"/>
                <w:sz w:val="21"/>
                <w:szCs w:val="21"/>
                <w:highlight w:val="none"/>
                <w:lang w:val="zh-CN"/>
              </w:rPr>
            </w:pPr>
            <w:r>
              <w:rPr>
                <w:rFonts w:hint="eastAsia" w:ascii="宋体" w:hAnsi="宋体" w:cs="宋体"/>
                <w:color w:val="auto"/>
                <w:sz w:val="21"/>
                <w:szCs w:val="21"/>
                <w:highlight w:val="none"/>
              </w:rPr>
              <w:t>有效的法人或者其他组织的营业执照等证明文件(加盖公章)，自然人的身份证</w:t>
            </w:r>
            <w:r>
              <w:rPr>
                <w:rFonts w:hint="eastAsia" w:ascii="宋体" w:hAnsi="宋体" w:cs="宋体"/>
                <w:color w:val="auto"/>
                <w:spacing w:val="-6"/>
                <w:sz w:val="21"/>
                <w:szCs w:val="21"/>
                <w:highlight w:val="none"/>
              </w:rPr>
              <w:t>（仅自然人响应时提供）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1" w:type="dxa"/>
            <w:noWrap w:val="0"/>
            <w:vAlign w:val="center"/>
          </w:tcPr>
          <w:p>
            <w:pPr>
              <w:numPr>
                <w:ilvl w:val="0"/>
                <w:numId w:val="10"/>
              </w:numPr>
              <w:autoSpaceDE w:val="0"/>
              <w:autoSpaceDN w:val="0"/>
              <w:adjustRightInd w:val="0"/>
              <w:snapToGrid w:val="0"/>
              <w:spacing w:line="300" w:lineRule="exact"/>
              <w:jc w:val="center"/>
              <w:rPr>
                <w:rFonts w:ascii="宋体" w:hAnsi="宋体" w:cs="宋体"/>
                <w:color w:val="auto"/>
                <w:sz w:val="21"/>
                <w:szCs w:val="21"/>
                <w:highlight w:val="none"/>
                <w:lang w:val="zh-CN"/>
              </w:rPr>
            </w:pPr>
          </w:p>
        </w:tc>
        <w:tc>
          <w:tcPr>
            <w:tcW w:w="8543" w:type="dxa"/>
            <w:noWrap w:val="0"/>
            <w:vAlign w:val="center"/>
          </w:tcPr>
          <w:p>
            <w:pPr>
              <w:autoSpaceDE w:val="0"/>
              <w:autoSpaceDN w:val="0"/>
              <w:spacing w:line="400" w:lineRule="exact"/>
              <w:jc w:val="left"/>
              <w:rPr>
                <w:rFonts w:ascii="宋体" w:hAnsi="宋体" w:cs="宋体"/>
                <w:color w:val="auto"/>
                <w:sz w:val="21"/>
                <w:szCs w:val="21"/>
                <w:highlight w:val="none"/>
              </w:rPr>
            </w:pPr>
            <w:r>
              <w:rPr>
                <w:rFonts w:hint="eastAsia" w:ascii="宋体" w:hAnsi="宋体" w:cs="宋体"/>
                <w:color w:val="auto"/>
                <w:spacing w:val="-6"/>
                <w:sz w:val="21"/>
                <w:szCs w:val="21"/>
                <w:highlight w:val="none"/>
              </w:rPr>
              <w:t>符合参加政府采购活动应当具备的一般条件的承诺函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noWrap w:val="0"/>
            <w:vAlign w:val="center"/>
          </w:tcPr>
          <w:p>
            <w:pPr>
              <w:numPr>
                <w:ilvl w:val="0"/>
                <w:numId w:val="10"/>
              </w:numPr>
              <w:autoSpaceDE w:val="0"/>
              <w:autoSpaceDN w:val="0"/>
              <w:adjustRightInd w:val="0"/>
              <w:snapToGrid w:val="0"/>
              <w:spacing w:line="300" w:lineRule="exact"/>
              <w:jc w:val="center"/>
              <w:rPr>
                <w:rFonts w:ascii="宋体" w:hAnsi="宋体" w:cs="宋体"/>
                <w:color w:val="auto"/>
                <w:sz w:val="21"/>
                <w:szCs w:val="21"/>
                <w:highlight w:val="none"/>
                <w:lang w:val="zh-CN"/>
              </w:rPr>
            </w:pPr>
          </w:p>
        </w:tc>
        <w:tc>
          <w:tcPr>
            <w:tcW w:w="8543" w:type="dxa"/>
            <w:noWrap w:val="0"/>
            <w:vAlign w:val="center"/>
          </w:tcPr>
          <w:p>
            <w:pPr>
              <w:autoSpaceDE w:val="0"/>
              <w:autoSpaceDN w:val="0"/>
              <w:adjustRightInd w:val="0"/>
              <w:snapToGrid w:val="0"/>
              <w:spacing w:line="300" w:lineRule="exact"/>
              <w:rPr>
                <w:rFonts w:ascii="宋体" w:hAnsi="宋体" w:cs="宋体"/>
                <w:color w:val="auto"/>
                <w:sz w:val="21"/>
                <w:szCs w:val="21"/>
                <w:highlight w:val="none"/>
              </w:rPr>
            </w:pPr>
            <w:r>
              <w:rPr>
                <w:rFonts w:hint="eastAsia" w:ascii="宋体" w:hAnsi="宋体" w:cs="宋体"/>
                <w:color w:val="auto"/>
                <w:sz w:val="21"/>
                <w:szCs w:val="21"/>
                <w:highlight w:val="none"/>
              </w:rPr>
              <w:t>投标人信用查询：截止投标截止时间未被“信用中国”（www.creditchina.gov.cn）、中国政府采购网（www.ccgp.gov.cn）列入失信被执行人、重大税收违法案件当事人名单、政府采购严重违法失信行为记录名单(以开标当日采购人或采购代理机构网页查询结果为准）。</w:t>
            </w:r>
          </w:p>
        </w:tc>
      </w:tr>
    </w:tbl>
    <w:p>
      <w:pPr>
        <w:spacing w:line="360" w:lineRule="exact"/>
        <w:ind w:firstLine="413" w:firstLineChars="196"/>
        <w:rPr>
          <w:rFonts w:ascii="宋体" w:hAnsi="宋体" w:cs="hakuyoxingshu7000"/>
          <w:b/>
          <w:color w:val="auto"/>
          <w:sz w:val="21"/>
          <w:szCs w:val="21"/>
          <w:highlight w:val="none"/>
        </w:rPr>
      </w:pPr>
      <w:r>
        <w:rPr>
          <w:rFonts w:hint="eastAsia" w:ascii="宋体" w:hAnsi="宋体" w:cs="楷体"/>
          <w:b/>
          <w:color w:val="auto"/>
          <w:sz w:val="21"/>
          <w:szCs w:val="21"/>
          <w:highlight w:val="none"/>
        </w:rPr>
        <w:t>2.商务技术文件</w:t>
      </w:r>
      <w:r>
        <w:rPr>
          <w:rFonts w:hint="eastAsia" w:ascii="宋体" w:hAnsi="宋体" w:cs="hakuyoxingshu7000"/>
          <w:b/>
          <w:color w:val="auto"/>
          <w:sz w:val="21"/>
          <w:szCs w:val="21"/>
          <w:highlight w:val="none"/>
        </w:rPr>
        <w:t>：</w:t>
      </w:r>
    </w:p>
    <w:tbl>
      <w:tblPr>
        <w:tblStyle w:val="42"/>
        <w:tblW w:w="9214"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9" w:type="dxa"/>
            <w:shd w:val="clear" w:color="auto" w:fill="auto"/>
            <w:noWrap w:val="0"/>
            <w:vAlign w:val="center"/>
          </w:tcPr>
          <w:p>
            <w:pPr>
              <w:autoSpaceDE w:val="0"/>
              <w:autoSpaceDN w:val="0"/>
              <w:adjustRightInd w:val="0"/>
              <w:snapToGrid w:val="0"/>
              <w:spacing w:line="300" w:lineRule="exact"/>
              <w:jc w:val="center"/>
              <w:rPr>
                <w:rFonts w:ascii="宋体" w:hAnsi="宋体" w:cs="宋体"/>
                <w:b/>
                <w:color w:val="auto"/>
                <w:sz w:val="21"/>
                <w:szCs w:val="21"/>
                <w:highlight w:val="none"/>
                <w:lang w:val="zh-CN"/>
              </w:rPr>
            </w:pPr>
            <w:r>
              <w:rPr>
                <w:rFonts w:hint="eastAsia" w:ascii="宋体" w:hAnsi="宋体" w:cs="宋体"/>
                <w:b/>
                <w:color w:val="auto"/>
                <w:sz w:val="21"/>
                <w:szCs w:val="21"/>
                <w:highlight w:val="none"/>
                <w:lang w:val="zh-CN"/>
              </w:rPr>
              <w:t>序号</w:t>
            </w:r>
          </w:p>
        </w:tc>
        <w:tc>
          <w:tcPr>
            <w:tcW w:w="8505" w:type="dxa"/>
            <w:shd w:val="clear" w:color="auto" w:fill="auto"/>
            <w:noWrap w:val="0"/>
            <w:vAlign w:val="center"/>
          </w:tcPr>
          <w:p>
            <w:pPr>
              <w:autoSpaceDE w:val="0"/>
              <w:autoSpaceDN w:val="0"/>
              <w:adjustRightInd w:val="0"/>
              <w:snapToGrid w:val="0"/>
              <w:spacing w:line="300" w:lineRule="exact"/>
              <w:jc w:val="left"/>
              <w:rPr>
                <w:rFonts w:ascii="宋体" w:hAnsi="宋体" w:cs="宋体"/>
                <w:b/>
                <w:color w:val="auto"/>
                <w:sz w:val="21"/>
                <w:szCs w:val="21"/>
                <w:highlight w:val="none"/>
                <w:lang w:val="zh-CN"/>
              </w:rPr>
            </w:pPr>
            <w:r>
              <w:rPr>
                <w:rFonts w:hint="eastAsia" w:ascii="宋体" w:hAnsi="宋体" w:cs="宋体"/>
                <w:b/>
                <w:color w:val="auto"/>
                <w:sz w:val="21"/>
                <w:szCs w:val="21"/>
                <w:highlight w:val="none"/>
                <w:lang w:val="zh-CN"/>
              </w:rPr>
              <w:t>内容（▲序号1-5项投标人必须提供，否则不能通过符合性审查的，责任自负）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9" w:type="dxa"/>
            <w:shd w:val="clear" w:color="auto" w:fill="auto"/>
            <w:noWrap w:val="0"/>
            <w:vAlign w:val="center"/>
          </w:tcPr>
          <w:p>
            <w:pPr>
              <w:numPr>
                <w:ilvl w:val="0"/>
                <w:numId w:val="11"/>
              </w:numPr>
              <w:autoSpaceDE w:val="0"/>
              <w:autoSpaceDN w:val="0"/>
              <w:adjustRightInd w:val="0"/>
              <w:snapToGrid w:val="0"/>
              <w:spacing w:line="300" w:lineRule="exact"/>
              <w:ind w:left="700" w:leftChars="0" w:firstLineChars="0"/>
              <w:jc w:val="center"/>
              <w:rPr>
                <w:rFonts w:ascii="宋体" w:hAnsi="宋体" w:cs="宋体"/>
                <w:color w:val="auto"/>
                <w:sz w:val="21"/>
                <w:szCs w:val="21"/>
                <w:highlight w:val="none"/>
                <w:lang w:val="zh-CN"/>
              </w:rPr>
            </w:pPr>
          </w:p>
        </w:tc>
        <w:tc>
          <w:tcPr>
            <w:tcW w:w="8505" w:type="dxa"/>
            <w:shd w:val="clear" w:color="auto" w:fill="auto"/>
            <w:noWrap w:val="0"/>
            <w:vAlign w:val="center"/>
          </w:tcPr>
          <w:p>
            <w:pPr>
              <w:autoSpaceDE w:val="0"/>
              <w:autoSpaceDN w:val="0"/>
              <w:spacing w:line="300" w:lineRule="exact"/>
              <w:jc w:val="left"/>
              <w:rPr>
                <w:rFonts w:ascii="宋体" w:hAnsi="宋体" w:cs="宋体"/>
                <w:color w:val="auto"/>
                <w:sz w:val="21"/>
                <w:szCs w:val="21"/>
                <w:highlight w:val="none"/>
                <w:lang w:val="zh-CN"/>
              </w:rPr>
            </w:pPr>
            <w:r>
              <w:rPr>
                <w:rFonts w:hint="eastAsia" w:ascii="宋体" w:hAnsi="宋体" w:cs="宋体"/>
                <w:color w:val="auto"/>
                <w:sz w:val="21"/>
                <w:szCs w:val="21"/>
                <w:highlight w:val="none"/>
              </w:rPr>
              <w:t>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9" w:type="dxa"/>
            <w:shd w:val="clear" w:color="auto" w:fill="auto"/>
            <w:noWrap w:val="0"/>
            <w:vAlign w:val="center"/>
          </w:tcPr>
          <w:p>
            <w:pPr>
              <w:numPr>
                <w:ilvl w:val="0"/>
                <w:numId w:val="11"/>
              </w:numPr>
              <w:autoSpaceDE w:val="0"/>
              <w:autoSpaceDN w:val="0"/>
              <w:adjustRightInd w:val="0"/>
              <w:snapToGrid w:val="0"/>
              <w:spacing w:line="300" w:lineRule="exact"/>
              <w:ind w:left="700" w:leftChars="0" w:firstLineChars="0"/>
              <w:jc w:val="center"/>
              <w:rPr>
                <w:rFonts w:ascii="宋体" w:hAnsi="宋体" w:cs="宋体"/>
                <w:color w:val="auto"/>
                <w:sz w:val="21"/>
                <w:szCs w:val="21"/>
                <w:highlight w:val="none"/>
                <w:lang w:val="zh-CN"/>
              </w:rPr>
            </w:pPr>
          </w:p>
        </w:tc>
        <w:tc>
          <w:tcPr>
            <w:tcW w:w="8505" w:type="dxa"/>
            <w:shd w:val="clear" w:color="auto" w:fill="auto"/>
            <w:noWrap w:val="0"/>
            <w:vAlign w:val="center"/>
          </w:tcPr>
          <w:p>
            <w:pPr>
              <w:autoSpaceDE w:val="0"/>
              <w:autoSpaceDN w:val="0"/>
              <w:spacing w:line="300" w:lineRule="exact"/>
              <w:jc w:val="left"/>
              <w:rPr>
                <w:rFonts w:ascii="宋体" w:hAnsi="宋体" w:cs="宋体"/>
                <w:color w:val="auto"/>
                <w:sz w:val="21"/>
                <w:szCs w:val="21"/>
                <w:highlight w:val="none"/>
              </w:rPr>
            </w:pPr>
            <w:r>
              <w:rPr>
                <w:rFonts w:hint="eastAsia" w:ascii="宋体" w:hAnsi="宋体" w:cs="宋体"/>
                <w:color w:val="auto"/>
                <w:sz w:val="21"/>
                <w:szCs w:val="21"/>
                <w:highlight w:val="none"/>
              </w:rPr>
              <w:t>法定代表人资格证明书或附有法定代表人资格证明书的法定代表人授权委托书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9" w:type="dxa"/>
            <w:shd w:val="clear" w:color="auto" w:fill="auto"/>
            <w:noWrap w:val="0"/>
            <w:vAlign w:val="center"/>
          </w:tcPr>
          <w:p>
            <w:pPr>
              <w:numPr>
                <w:ilvl w:val="0"/>
                <w:numId w:val="11"/>
              </w:numPr>
              <w:autoSpaceDE w:val="0"/>
              <w:autoSpaceDN w:val="0"/>
              <w:adjustRightInd w:val="0"/>
              <w:snapToGrid w:val="0"/>
              <w:spacing w:line="300" w:lineRule="exact"/>
              <w:ind w:left="700" w:leftChars="0" w:firstLineChars="0"/>
              <w:jc w:val="center"/>
              <w:rPr>
                <w:rFonts w:ascii="宋体" w:hAnsi="宋体" w:cs="宋体"/>
                <w:color w:val="auto"/>
                <w:sz w:val="21"/>
                <w:szCs w:val="21"/>
                <w:highlight w:val="none"/>
                <w:lang w:val="zh-CN"/>
              </w:rPr>
            </w:pPr>
          </w:p>
        </w:tc>
        <w:tc>
          <w:tcPr>
            <w:tcW w:w="8505" w:type="dxa"/>
            <w:shd w:val="clear" w:color="auto" w:fill="auto"/>
            <w:noWrap w:val="0"/>
            <w:vAlign w:val="center"/>
          </w:tcPr>
          <w:p>
            <w:pPr>
              <w:autoSpaceDE w:val="0"/>
              <w:autoSpaceDN w:val="0"/>
              <w:spacing w:line="300" w:lineRule="exact"/>
              <w:jc w:val="left"/>
              <w:rPr>
                <w:rFonts w:ascii="宋体" w:hAnsi="宋体" w:cs="宋体"/>
                <w:color w:val="auto"/>
                <w:sz w:val="21"/>
                <w:szCs w:val="21"/>
                <w:highlight w:val="none"/>
              </w:rPr>
            </w:pPr>
            <w:r>
              <w:rPr>
                <w:rFonts w:hint="eastAsia" w:ascii="宋体" w:hAnsi="宋体" w:cs="宋体"/>
                <w:color w:val="auto"/>
                <w:sz w:val="21"/>
                <w:szCs w:val="21"/>
                <w:highlight w:val="none"/>
              </w:rPr>
              <w:t>投标声明书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9" w:type="dxa"/>
            <w:shd w:val="clear" w:color="auto" w:fill="auto"/>
            <w:noWrap w:val="0"/>
            <w:vAlign w:val="center"/>
          </w:tcPr>
          <w:p>
            <w:pPr>
              <w:numPr>
                <w:ilvl w:val="0"/>
                <w:numId w:val="11"/>
              </w:numPr>
              <w:autoSpaceDE w:val="0"/>
              <w:autoSpaceDN w:val="0"/>
              <w:adjustRightInd w:val="0"/>
              <w:snapToGrid w:val="0"/>
              <w:spacing w:line="300" w:lineRule="exact"/>
              <w:ind w:left="700" w:leftChars="0" w:firstLineChars="0"/>
              <w:jc w:val="center"/>
              <w:rPr>
                <w:rFonts w:ascii="宋体" w:hAnsi="宋体" w:cs="宋体"/>
                <w:color w:val="auto"/>
                <w:sz w:val="21"/>
                <w:szCs w:val="21"/>
                <w:highlight w:val="none"/>
                <w:lang w:val="zh-CN"/>
              </w:rPr>
            </w:pPr>
          </w:p>
        </w:tc>
        <w:tc>
          <w:tcPr>
            <w:tcW w:w="8505" w:type="dxa"/>
            <w:shd w:val="clear" w:color="auto" w:fill="auto"/>
            <w:noWrap w:val="0"/>
            <w:vAlign w:val="center"/>
          </w:tcPr>
          <w:p>
            <w:pPr>
              <w:autoSpaceDE w:val="0"/>
              <w:autoSpaceDN w:val="0"/>
              <w:spacing w:line="300" w:lineRule="exact"/>
              <w:jc w:val="left"/>
              <w:rPr>
                <w:rFonts w:ascii="宋体" w:hAnsi="宋体" w:cs="宋体"/>
                <w:color w:val="auto"/>
                <w:sz w:val="21"/>
                <w:szCs w:val="21"/>
                <w:highlight w:val="none"/>
              </w:rPr>
            </w:pPr>
            <w:r>
              <w:rPr>
                <w:rFonts w:hint="eastAsia" w:ascii="宋体" w:hAnsi="宋体" w:cs="宋体"/>
                <w:color w:val="auto"/>
                <w:sz w:val="21"/>
                <w:szCs w:val="21"/>
                <w:highlight w:val="none"/>
              </w:rPr>
              <w:t>采购需求偏离表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9" w:type="dxa"/>
            <w:shd w:val="clear" w:color="auto" w:fill="auto"/>
            <w:noWrap w:val="0"/>
            <w:vAlign w:val="center"/>
          </w:tcPr>
          <w:p>
            <w:pPr>
              <w:numPr>
                <w:ilvl w:val="0"/>
                <w:numId w:val="11"/>
              </w:numPr>
              <w:autoSpaceDE w:val="0"/>
              <w:autoSpaceDN w:val="0"/>
              <w:adjustRightInd w:val="0"/>
              <w:snapToGrid w:val="0"/>
              <w:spacing w:line="300" w:lineRule="exact"/>
              <w:ind w:left="700" w:leftChars="0" w:firstLineChars="0"/>
              <w:jc w:val="center"/>
              <w:rPr>
                <w:rFonts w:ascii="宋体" w:hAnsi="宋体" w:cs="宋体"/>
                <w:color w:val="auto"/>
                <w:sz w:val="21"/>
                <w:szCs w:val="21"/>
                <w:highlight w:val="none"/>
                <w:lang w:val="zh-CN"/>
              </w:rPr>
            </w:pPr>
          </w:p>
        </w:tc>
        <w:tc>
          <w:tcPr>
            <w:tcW w:w="8505" w:type="dxa"/>
            <w:shd w:val="clear" w:color="auto" w:fill="auto"/>
            <w:noWrap w:val="0"/>
            <w:vAlign w:val="center"/>
          </w:tcPr>
          <w:p>
            <w:pPr>
              <w:autoSpaceDE w:val="0"/>
              <w:autoSpaceDN w:val="0"/>
              <w:spacing w:line="300" w:lineRule="exact"/>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环卫保洁承诺书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9" w:type="dxa"/>
            <w:shd w:val="clear" w:color="auto" w:fill="auto"/>
            <w:noWrap w:val="0"/>
            <w:vAlign w:val="center"/>
          </w:tcPr>
          <w:p>
            <w:pPr>
              <w:numPr>
                <w:ilvl w:val="0"/>
                <w:numId w:val="11"/>
              </w:numPr>
              <w:autoSpaceDE w:val="0"/>
              <w:autoSpaceDN w:val="0"/>
              <w:adjustRightInd w:val="0"/>
              <w:snapToGrid w:val="0"/>
              <w:spacing w:line="300" w:lineRule="exact"/>
              <w:ind w:left="700" w:leftChars="0" w:firstLineChars="0"/>
              <w:jc w:val="center"/>
              <w:rPr>
                <w:rFonts w:ascii="宋体" w:hAnsi="宋体" w:cs="宋体"/>
                <w:color w:val="auto"/>
                <w:sz w:val="21"/>
                <w:szCs w:val="21"/>
                <w:highlight w:val="none"/>
                <w:lang w:val="zh-CN"/>
              </w:rPr>
            </w:pPr>
          </w:p>
        </w:tc>
        <w:tc>
          <w:tcPr>
            <w:tcW w:w="8505" w:type="dxa"/>
            <w:shd w:val="clear" w:color="auto" w:fill="auto"/>
            <w:noWrap w:val="0"/>
            <w:vAlign w:val="center"/>
          </w:tcPr>
          <w:p>
            <w:pPr>
              <w:autoSpaceDE w:val="0"/>
              <w:autoSpaceDN w:val="0"/>
              <w:spacing w:line="300" w:lineRule="exact"/>
              <w:jc w:val="left"/>
              <w:rPr>
                <w:rFonts w:ascii="宋体" w:hAnsi="宋体" w:cs="宋体"/>
                <w:color w:val="auto"/>
                <w:sz w:val="21"/>
                <w:szCs w:val="21"/>
                <w:highlight w:val="none"/>
              </w:rPr>
            </w:pPr>
            <w:r>
              <w:rPr>
                <w:rFonts w:hint="eastAsia" w:ascii="宋体" w:hAnsi="宋体" w:cs="宋体"/>
                <w:color w:val="auto"/>
                <w:sz w:val="21"/>
                <w:szCs w:val="21"/>
                <w:highlight w:val="none"/>
              </w:rPr>
              <w:t>投标人情况介绍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9" w:type="dxa"/>
            <w:shd w:val="clear" w:color="auto" w:fill="auto"/>
            <w:noWrap w:val="0"/>
            <w:vAlign w:val="center"/>
          </w:tcPr>
          <w:p>
            <w:pPr>
              <w:numPr>
                <w:ilvl w:val="0"/>
                <w:numId w:val="11"/>
              </w:numPr>
              <w:autoSpaceDE w:val="0"/>
              <w:autoSpaceDN w:val="0"/>
              <w:adjustRightInd w:val="0"/>
              <w:snapToGrid w:val="0"/>
              <w:spacing w:line="300" w:lineRule="exact"/>
              <w:ind w:left="700" w:leftChars="0" w:firstLineChars="0"/>
              <w:jc w:val="center"/>
              <w:rPr>
                <w:rFonts w:ascii="宋体" w:hAnsi="宋体" w:cs="宋体"/>
                <w:color w:val="auto"/>
                <w:sz w:val="21"/>
                <w:szCs w:val="21"/>
                <w:highlight w:val="none"/>
                <w:lang w:val="zh-CN"/>
              </w:rPr>
            </w:pPr>
          </w:p>
        </w:tc>
        <w:tc>
          <w:tcPr>
            <w:tcW w:w="8505" w:type="dxa"/>
            <w:shd w:val="clear" w:color="auto" w:fill="auto"/>
            <w:noWrap w:val="0"/>
            <w:vAlign w:val="center"/>
          </w:tcPr>
          <w:p>
            <w:pPr>
              <w:autoSpaceDE w:val="0"/>
              <w:autoSpaceDN w:val="0"/>
              <w:spacing w:line="300" w:lineRule="exact"/>
              <w:jc w:val="left"/>
              <w:rPr>
                <w:rFonts w:ascii="宋体" w:hAnsi="宋体" w:cs="宋体"/>
                <w:color w:val="auto"/>
                <w:sz w:val="21"/>
                <w:szCs w:val="21"/>
                <w:highlight w:val="none"/>
              </w:rPr>
            </w:pPr>
            <w:r>
              <w:rPr>
                <w:rFonts w:hint="eastAsia" w:ascii="宋体" w:hAnsi="宋体" w:cs="宋体"/>
                <w:color w:val="auto"/>
                <w:sz w:val="21"/>
                <w:szCs w:val="21"/>
                <w:highlight w:val="none"/>
              </w:rPr>
              <w:t xml:space="preserve">投标人项目业绩一览表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9" w:type="dxa"/>
            <w:shd w:val="clear" w:color="auto" w:fill="auto"/>
            <w:noWrap w:val="0"/>
            <w:vAlign w:val="center"/>
          </w:tcPr>
          <w:p>
            <w:pPr>
              <w:numPr>
                <w:ilvl w:val="0"/>
                <w:numId w:val="11"/>
              </w:numPr>
              <w:autoSpaceDE w:val="0"/>
              <w:autoSpaceDN w:val="0"/>
              <w:adjustRightInd w:val="0"/>
              <w:snapToGrid w:val="0"/>
              <w:spacing w:line="300" w:lineRule="exact"/>
              <w:ind w:left="700" w:leftChars="0" w:firstLineChars="0"/>
              <w:jc w:val="center"/>
              <w:rPr>
                <w:rFonts w:ascii="宋体" w:hAnsi="宋体" w:cs="宋体"/>
                <w:color w:val="auto"/>
                <w:sz w:val="21"/>
                <w:szCs w:val="21"/>
                <w:highlight w:val="none"/>
                <w:lang w:val="zh-CN"/>
              </w:rPr>
            </w:pPr>
          </w:p>
        </w:tc>
        <w:tc>
          <w:tcPr>
            <w:tcW w:w="8505" w:type="dxa"/>
            <w:shd w:val="clear" w:color="auto" w:fill="auto"/>
            <w:noWrap w:val="0"/>
            <w:vAlign w:val="center"/>
          </w:tcPr>
          <w:p>
            <w:pPr>
              <w:autoSpaceDE w:val="0"/>
              <w:autoSpaceDN w:val="0"/>
              <w:adjustRightInd w:val="0"/>
              <w:snapToGrid w:val="0"/>
              <w:spacing w:line="300" w:lineRule="exact"/>
              <w:jc w:val="left"/>
              <w:rPr>
                <w:rFonts w:ascii="宋体" w:hAnsi="宋体" w:cs="宋体"/>
                <w:color w:val="auto"/>
                <w:sz w:val="21"/>
                <w:szCs w:val="21"/>
                <w:highlight w:val="none"/>
              </w:rPr>
            </w:pPr>
            <w:r>
              <w:rPr>
                <w:rFonts w:hint="eastAsia" w:ascii="宋体" w:hAnsi="宋体" w:cs="宋体"/>
                <w:color w:val="auto"/>
                <w:sz w:val="21"/>
                <w:szCs w:val="21"/>
                <w:highlight w:val="none"/>
              </w:rPr>
              <w:t>项目负责人及管理团队配置情况表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9" w:type="dxa"/>
            <w:shd w:val="clear" w:color="auto" w:fill="auto"/>
            <w:noWrap w:val="0"/>
            <w:vAlign w:val="center"/>
          </w:tcPr>
          <w:p>
            <w:pPr>
              <w:numPr>
                <w:ilvl w:val="0"/>
                <w:numId w:val="11"/>
              </w:numPr>
              <w:autoSpaceDE w:val="0"/>
              <w:autoSpaceDN w:val="0"/>
              <w:adjustRightInd w:val="0"/>
              <w:snapToGrid w:val="0"/>
              <w:spacing w:line="300" w:lineRule="exact"/>
              <w:ind w:left="700" w:leftChars="0" w:firstLineChars="0"/>
              <w:jc w:val="center"/>
              <w:rPr>
                <w:rFonts w:ascii="宋体" w:hAnsi="宋体" w:cs="宋体"/>
                <w:color w:val="auto"/>
                <w:sz w:val="21"/>
                <w:szCs w:val="21"/>
                <w:highlight w:val="none"/>
                <w:lang w:val="zh-CN"/>
              </w:rPr>
            </w:pPr>
          </w:p>
        </w:tc>
        <w:tc>
          <w:tcPr>
            <w:tcW w:w="8505" w:type="dxa"/>
            <w:shd w:val="clear" w:color="auto" w:fill="auto"/>
            <w:noWrap w:val="0"/>
            <w:vAlign w:val="center"/>
          </w:tcPr>
          <w:p>
            <w:pPr>
              <w:autoSpaceDE w:val="0"/>
              <w:autoSpaceDN w:val="0"/>
              <w:adjustRightInd w:val="0"/>
              <w:snapToGrid w:val="0"/>
              <w:spacing w:line="300" w:lineRule="exact"/>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相关证书（如有则提供）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9" w:type="dxa"/>
            <w:shd w:val="clear" w:color="auto" w:fill="auto"/>
            <w:noWrap w:val="0"/>
            <w:vAlign w:val="center"/>
          </w:tcPr>
          <w:p>
            <w:pPr>
              <w:numPr>
                <w:ilvl w:val="0"/>
                <w:numId w:val="11"/>
              </w:numPr>
              <w:autoSpaceDE w:val="0"/>
              <w:autoSpaceDN w:val="0"/>
              <w:adjustRightInd w:val="0"/>
              <w:snapToGrid w:val="0"/>
              <w:spacing w:line="300" w:lineRule="exact"/>
              <w:ind w:left="700" w:leftChars="0" w:firstLineChars="0"/>
              <w:jc w:val="center"/>
              <w:rPr>
                <w:rFonts w:ascii="宋体" w:hAnsi="宋体" w:cs="宋体"/>
                <w:color w:val="auto"/>
                <w:sz w:val="21"/>
                <w:szCs w:val="21"/>
                <w:highlight w:val="none"/>
                <w:lang w:val="zh-CN"/>
              </w:rPr>
            </w:pPr>
          </w:p>
        </w:tc>
        <w:tc>
          <w:tcPr>
            <w:tcW w:w="8505" w:type="dxa"/>
            <w:shd w:val="clear" w:color="auto" w:fill="auto"/>
            <w:noWrap w:val="0"/>
            <w:vAlign w:val="center"/>
          </w:tcPr>
          <w:p>
            <w:pPr>
              <w:autoSpaceDE w:val="0"/>
              <w:autoSpaceDN w:val="0"/>
              <w:adjustRightInd w:val="0"/>
              <w:snapToGrid w:val="0"/>
              <w:spacing w:line="300" w:lineRule="exact"/>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拟投入设备一览表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9" w:type="dxa"/>
            <w:shd w:val="clear" w:color="auto" w:fill="auto"/>
            <w:noWrap w:val="0"/>
            <w:vAlign w:val="center"/>
          </w:tcPr>
          <w:p>
            <w:pPr>
              <w:numPr>
                <w:ilvl w:val="0"/>
                <w:numId w:val="11"/>
              </w:numPr>
              <w:autoSpaceDE w:val="0"/>
              <w:autoSpaceDN w:val="0"/>
              <w:adjustRightInd w:val="0"/>
              <w:snapToGrid w:val="0"/>
              <w:spacing w:line="300" w:lineRule="exact"/>
              <w:ind w:left="700" w:leftChars="0" w:firstLineChars="0"/>
              <w:jc w:val="center"/>
              <w:rPr>
                <w:rFonts w:ascii="宋体" w:hAnsi="宋体" w:cs="宋体"/>
                <w:color w:val="auto"/>
                <w:sz w:val="21"/>
                <w:szCs w:val="21"/>
                <w:highlight w:val="none"/>
                <w:lang w:val="zh-CN"/>
              </w:rPr>
            </w:pPr>
          </w:p>
        </w:tc>
        <w:tc>
          <w:tcPr>
            <w:tcW w:w="8505" w:type="dxa"/>
            <w:shd w:val="clear" w:color="auto" w:fill="auto"/>
            <w:noWrap w:val="0"/>
            <w:vAlign w:val="center"/>
          </w:tcPr>
          <w:p>
            <w:pPr>
              <w:autoSpaceDE w:val="0"/>
              <w:autoSpaceDN w:val="0"/>
              <w:adjustRightInd w:val="0"/>
              <w:snapToGrid w:val="0"/>
              <w:spacing w:line="300" w:lineRule="exact"/>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一线现场作业人员配置计划表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 w:hRule="atLeast"/>
        </w:trPr>
        <w:tc>
          <w:tcPr>
            <w:tcW w:w="709" w:type="dxa"/>
            <w:shd w:val="clear" w:color="auto" w:fill="auto"/>
            <w:noWrap w:val="0"/>
            <w:vAlign w:val="center"/>
          </w:tcPr>
          <w:p>
            <w:pPr>
              <w:numPr>
                <w:ilvl w:val="0"/>
                <w:numId w:val="11"/>
              </w:numPr>
              <w:autoSpaceDE w:val="0"/>
              <w:autoSpaceDN w:val="0"/>
              <w:adjustRightInd w:val="0"/>
              <w:snapToGrid w:val="0"/>
              <w:spacing w:line="300" w:lineRule="exact"/>
              <w:ind w:left="700" w:leftChars="0" w:firstLineChars="0"/>
              <w:jc w:val="center"/>
              <w:rPr>
                <w:rFonts w:ascii="宋体" w:hAnsi="宋体" w:cs="宋体"/>
                <w:color w:val="auto"/>
                <w:sz w:val="21"/>
                <w:szCs w:val="21"/>
                <w:highlight w:val="none"/>
                <w:lang w:val="zh-CN"/>
              </w:rPr>
            </w:pPr>
          </w:p>
        </w:tc>
        <w:tc>
          <w:tcPr>
            <w:tcW w:w="8505" w:type="dxa"/>
            <w:shd w:val="clear" w:color="auto" w:fill="auto"/>
            <w:noWrap w:val="0"/>
            <w:vAlign w:val="center"/>
          </w:tcPr>
          <w:p>
            <w:pPr>
              <w:autoSpaceDE w:val="0"/>
              <w:autoSpaceDN w:val="0"/>
              <w:adjustRightInd w:val="0"/>
              <w:snapToGrid w:val="0"/>
              <w:spacing w:line="300" w:lineRule="exact"/>
              <w:jc w:val="left"/>
              <w:rPr>
                <w:rFonts w:hint="eastAsia" w:ascii="宋体" w:hAnsi="宋体" w:eastAsia="宋体" w:cs="宋体"/>
                <w:color w:val="auto"/>
                <w:sz w:val="21"/>
                <w:szCs w:val="21"/>
                <w:highlight w:val="none"/>
                <w:lang w:val="en-US" w:eastAsia="zh-CN"/>
              </w:rPr>
            </w:pPr>
            <w:r>
              <w:rPr>
                <w:rFonts w:hint="eastAsia" w:ascii="宋体" w:hAnsi="宋体"/>
                <w:color w:val="auto"/>
                <w:sz w:val="21"/>
                <w:szCs w:val="21"/>
                <w:highlight w:val="none"/>
                <w:lang w:val="zh-CN"/>
              </w:rPr>
              <w:t>针对瑶溪街道环卫一体化现状调查、重点难点分析及解决措施；针对瑶溪街道环卫一体化清扫保洁具体实施方案，人员、机具、耗材投入计划，作业计划、排班计划，安全管理及交接方案等；企业各项管理措施及制度；针对瑶溪街道环卫一体化项目突发事件的响应、处理方案及处理能力；后勤服务保障</w:t>
            </w:r>
            <w:r>
              <w:rPr>
                <w:rFonts w:hint="eastAsia" w:ascii="宋体" w:hAnsi="宋体"/>
                <w:color w:val="auto"/>
                <w:sz w:val="21"/>
                <w:szCs w:val="21"/>
                <w:highlight w:val="none"/>
                <w:lang w:val="en-US" w:eastAsia="zh-CN"/>
              </w:rPr>
              <w:t>;进场交接方案；优惠条件方案。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9" w:type="dxa"/>
            <w:shd w:val="clear" w:color="auto" w:fill="auto"/>
            <w:noWrap w:val="0"/>
            <w:vAlign w:val="center"/>
          </w:tcPr>
          <w:p>
            <w:pPr>
              <w:numPr>
                <w:ilvl w:val="0"/>
                <w:numId w:val="11"/>
              </w:numPr>
              <w:autoSpaceDE w:val="0"/>
              <w:autoSpaceDN w:val="0"/>
              <w:adjustRightInd w:val="0"/>
              <w:snapToGrid w:val="0"/>
              <w:spacing w:line="300" w:lineRule="exact"/>
              <w:ind w:left="700" w:leftChars="0" w:firstLineChars="0"/>
              <w:jc w:val="center"/>
              <w:rPr>
                <w:rFonts w:ascii="宋体" w:hAnsi="宋体" w:cs="宋体"/>
                <w:color w:val="auto"/>
                <w:sz w:val="21"/>
                <w:szCs w:val="21"/>
                <w:highlight w:val="none"/>
                <w:lang w:val="zh-CN"/>
              </w:rPr>
            </w:pPr>
          </w:p>
        </w:tc>
        <w:tc>
          <w:tcPr>
            <w:tcW w:w="8505" w:type="dxa"/>
            <w:shd w:val="clear" w:color="auto" w:fill="auto"/>
            <w:noWrap w:val="0"/>
            <w:vAlign w:val="center"/>
          </w:tcPr>
          <w:p>
            <w:pPr>
              <w:autoSpaceDE w:val="0"/>
              <w:autoSpaceDN w:val="0"/>
              <w:adjustRightInd w:val="0"/>
              <w:snapToGrid w:val="0"/>
              <w:spacing w:line="300" w:lineRule="exact"/>
              <w:rPr>
                <w:rFonts w:ascii="宋体" w:hAnsi="宋体" w:cs="宋体"/>
                <w:color w:val="auto"/>
                <w:sz w:val="21"/>
                <w:szCs w:val="21"/>
                <w:highlight w:val="none"/>
              </w:rPr>
            </w:pPr>
            <w:r>
              <w:rPr>
                <w:rFonts w:hint="eastAsia" w:ascii="宋体" w:hAnsi="宋体" w:cs="宋体"/>
                <w:color w:val="auto"/>
                <w:sz w:val="21"/>
                <w:szCs w:val="21"/>
                <w:highlight w:val="none"/>
              </w:rPr>
              <w:t>根据招标文件中的采购内容与技术要求、评标细则，需要提供的其它文件和资料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9" w:type="dxa"/>
            <w:shd w:val="clear" w:color="auto" w:fill="auto"/>
            <w:noWrap w:val="0"/>
            <w:vAlign w:val="center"/>
          </w:tcPr>
          <w:p>
            <w:pPr>
              <w:numPr>
                <w:ilvl w:val="0"/>
                <w:numId w:val="11"/>
              </w:numPr>
              <w:autoSpaceDE w:val="0"/>
              <w:autoSpaceDN w:val="0"/>
              <w:adjustRightInd w:val="0"/>
              <w:snapToGrid w:val="0"/>
              <w:spacing w:line="300" w:lineRule="exact"/>
              <w:ind w:left="700" w:leftChars="0" w:firstLineChars="0"/>
              <w:jc w:val="center"/>
              <w:rPr>
                <w:rFonts w:ascii="宋体" w:hAnsi="宋体" w:cs="宋体"/>
                <w:color w:val="auto"/>
                <w:sz w:val="21"/>
                <w:szCs w:val="21"/>
                <w:highlight w:val="none"/>
                <w:lang w:val="zh-CN"/>
              </w:rPr>
            </w:pPr>
          </w:p>
        </w:tc>
        <w:tc>
          <w:tcPr>
            <w:tcW w:w="8505" w:type="dxa"/>
            <w:shd w:val="clear" w:color="auto" w:fill="auto"/>
            <w:noWrap w:val="0"/>
            <w:vAlign w:val="center"/>
          </w:tcPr>
          <w:p>
            <w:pPr>
              <w:autoSpaceDE w:val="0"/>
              <w:autoSpaceDN w:val="0"/>
              <w:adjustRightInd w:val="0"/>
              <w:snapToGrid w:val="0"/>
              <w:spacing w:line="30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建议投标人针对评分细则，编制目录索引，注明评标细则项目所在投标文件页码，以便评委能更快的搜索到各评分项所对应的投标响应内容。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5" w:hRule="atLeast"/>
        </w:trPr>
        <w:tc>
          <w:tcPr>
            <w:tcW w:w="709" w:type="dxa"/>
            <w:shd w:val="clear" w:color="auto" w:fill="auto"/>
            <w:noWrap w:val="0"/>
            <w:vAlign w:val="center"/>
          </w:tcPr>
          <w:p>
            <w:pPr>
              <w:numPr>
                <w:ilvl w:val="0"/>
                <w:numId w:val="11"/>
              </w:numPr>
              <w:autoSpaceDE w:val="0"/>
              <w:autoSpaceDN w:val="0"/>
              <w:adjustRightInd w:val="0"/>
              <w:snapToGrid w:val="0"/>
              <w:spacing w:line="300" w:lineRule="exact"/>
              <w:ind w:left="700" w:leftChars="0" w:firstLineChars="0"/>
              <w:jc w:val="center"/>
              <w:rPr>
                <w:rFonts w:ascii="宋体" w:hAnsi="宋体" w:cs="宋体"/>
                <w:b/>
                <w:bCs/>
                <w:color w:val="auto"/>
                <w:sz w:val="21"/>
                <w:szCs w:val="21"/>
                <w:highlight w:val="none"/>
                <w:lang w:val="zh-CN"/>
              </w:rPr>
            </w:pPr>
          </w:p>
        </w:tc>
        <w:tc>
          <w:tcPr>
            <w:tcW w:w="8505" w:type="dxa"/>
            <w:shd w:val="clear" w:color="auto" w:fill="auto"/>
            <w:noWrap w:val="0"/>
            <w:vAlign w:val="center"/>
          </w:tcPr>
          <w:p>
            <w:pPr>
              <w:autoSpaceDE w:val="0"/>
              <w:autoSpaceDN w:val="0"/>
              <w:adjustRightInd w:val="0"/>
              <w:snapToGrid w:val="0"/>
              <w:spacing w:line="300" w:lineRule="exact"/>
              <w:rPr>
                <w:rFonts w:hint="eastAsia" w:ascii="宋体" w:hAnsi="宋体" w:eastAsia="宋体" w:cs="宋体"/>
                <w:b/>
                <w:bCs/>
                <w:color w:val="auto"/>
                <w:sz w:val="21"/>
                <w:szCs w:val="21"/>
                <w:highlight w:val="none"/>
                <w:lang w:eastAsia="zh-CN"/>
              </w:rPr>
            </w:pPr>
            <w:r>
              <w:rPr>
                <w:rFonts w:hint="eastAsia" w:ascii="宋体" w:hAnsi="宋体" w:cs="宋体"/>
                <w:b/>
                <w:bCs/>
                <w:color w:val="auto"/>
                <w:sz w:val="21"/>
                <w:szCs w:val="21"/>
                <w:highlight w:val="none"/>
              </w:rPr>
              <w:t>建议投标人针对评分细则，编制目录索引，注明评标细则项目所在投标文件页码，以便评委能更快的搜索到各评分项所对应的投标响应内容，</w:t>
            </w:r>
            <w:r>
              <w:rPr>
                <w:rFonts w:hint="eastAsia" w:ascii="宋体" w:hAnsi="宋体" w:cs="宋体"/>
                <w:b/>
                <w:bCs/>
                <w:color w:val="auto"/>
                <w:sz w:val="21"/>
                <w:szCs w:val="21"/>
                <w:highlight w:val="none"/>
                <w:lang w:eastAsia="zh-CN"/>
              </w:rPr>
              <w:t>正反面</w:t>
            </w:r>
            <w:r>
              <w:rPr>
                <w:rFonts w:hint="eastAsia" w:ascii="宋体" w:hAnsi="宋体" w:cs="宋体"/>
                <w:b/>
                <w:bCs/>
                <w:color w:val="auto"/>
                <w:sz w:val="21"/>
                <w:szCs w:val="21"/>
                <w:highlight w:val="none"/>
              </w:rPr>
              <w:t>页数控制在600页以内。</w:t>
            </w:r>
          </w:p>
        </w:tc>
      </w:tr>
    </w:tbl>
    <w:p>
      <w:pPr>
        <w:spacing w:line="360" w:lineRule="atLeast"/>
        <w:ind w:firstLine="422" w:firstLineChars="200"/>
        <w:rPr>
          <w:rFonts w:ascii="宋体" w:hAnsi="宋体"/>
          <w:b/>
          <w:color w:val="auto"/>
          <w:sz w:val="21"/>
          <w:szCs w:val="21"/>
          <w:highlight w:val="none"/>
        </w:rPr>
      </w:pPr>
      <w:r>
        <w:rPr>
          <w:rFonts w:hint="eastAsia" w:ascii="宋体" w:hAnsi="宋体"/>
          <w:b/>
          <w:color w:val="auto"/>
          <w:sz w:val="21"/>
          <w:szCs w:val="21"/>
          <w:highlight w:val="none"/>
        </w:rPr>
        <w:t>3.报价文件：</w:t>
      </w:r>
    </w:p>
    <w:tbl>
      <w:tblPr>
        <w:tblStyle w:val="42"/>
        <w:tblW w:w="9214"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8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8" w:hRule="atLeast"/>
        </w:trPr>
        <w:tc>
          <w:tcPr>
            <w:tcW w:w="671" w:type="dxa"/>
            <w:noWrap w:val="0"/>
            <w:vAlign w:val="center"/>
          </w:tcPr>
          <w:p>
            <w:pPr>
              <w:autoSpaceDE w:val="0"/>
              <w:autoSpaceDN w:val="0"/>
              <w:adjustRightInd w:val="0"/>
              <w:snapToGrid w:val="0"/>
              <w:spacing w:line="300" w:lineRule="exact"/>
              <w:jc w:val="center"/>
              <w:rPr>
                <w:rFonts w:ascii="宋体" w:hAnsi="宋体"/>
                <w:color w:val="auto"/>
                <w:sz w:val="21"/>
                <w:szCs w:val="21"/>
                <w:highlight w:val="none"/>
                <w:lang w:val="zh-CN"/>
              </w:rPr>
            </w:pPr>
            <w:r>
              <w:rPr>
                <w:rFonts w:hint="eastAsia" w:ascii="宋体" w:hAnsi="宋体" w:cs="宋体"/>
                <w:color w:val="auto"/>
                <w:sz w:val="21"/>
                <w:szCs w:val="21"/>
                <w:highlight w:val="none"/>
                <w:lang w:val="zh-CN"/>
              </w:rPr>
              <w:t>序号</w:t>
            </w:r>
          </w:p>
        </w:tc>
        <w:tc>
          <w:tcPr>
            <w:tcW w:w="8543" w:type="dxa"/>
            <w:noWrap w:val="0"/>
            <w:vAlign w:val="center"/>
          </w:tcPr>
          <w:p>
            <w:pPr>
              <w:jc w:val="left"/>
              <w:rPr>
                <w:b/>
                <w:color w:val="auto"/>
                <w:sz w:val="21"/>
                <w:szCs w:val="21"/>
                <w:highlight w:val="none"/>
              </w:rPr>
            </w:pPr>
            <w:r>
              <w:rPr>
                <w:rFonts w:hint="eastAsia" w:ascii="宋体" w:hAnsi="宋体" w:cs="宋体"/>
                <w:b/>
                <w:color w:val="auto"/>
                <w:sz w:val="21"/>
                <w:szCs w:val="21"/>
                <w:highlight w:val="none"/>
                <w:lang w:val="zh-CN"/>
              </w:rPr>
              <w:t>内容（▲序号1-2项投标人必须提供，否则不能通过符合性审查的，责任自负）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noWrap w:val="0"/>
            <w:vAlign w:val="center"/>
          </w:tcPr>
          <w:p>
            <w:pPr>
              <w:numPr>
                <w:ilvl w:val="0"/>
                <w:numId w:val="12"/>
              </w:numPr>
              <w:autoSpaceDE w:val="0"/>
              <w:autoSpaceDN w:val="0"/>
              <w:adjustRightInd w:val="0"/>
              <w:snapToGrid w:val="0"/>
              <w:spacing w:line="300" w:lineRule="exact"/>
              <w:jc w:val="center"/>
              <w:rPr>
                <w:rFonts w:ascii="宋体" w:hAnsi="宋体"/>
                <w:color w:val="auto"/>
                <w:sz w:val="21"/>
                <w:szCs w:val="21"/>
                <w:highlight w:val="none"/>
                <w:lang w:val="zh-CN"/>
              </w:rPr>
            </w:pPr>
          </w:p>
        </w:tc>
        <w:tc>
          <w:tcPr>
            <w:tcW w:w="8543" w:type="dxa"/>
            <w:noWrap w:val="0"/>
            <w:vAlign w:val="center"/>
          </w:tcPr>
          <w:p>
            <w:pPr>
              <w:jc w:val="left"/>
              <w:rPr>
                <w:color w:val="auto"/>
                <w:sz w:val="21"/>
                <w:szCs w:val="21"/>
                <w:highlight w:val="none"/>
              </w:rPr>
            </w:pPr>
            <w:r>
              <w:rPr>
                <w:rFonts w:hint="eastAsia" w:ascii="宋体" w:hAnsi="宋体" w:cs="宋体"/>
                <w:color w:val="auto"/>
                <w:sz w:val="21"/>
                <w:szCs w:val="21"/>
                <w:highlight w:val="none"/>
              </w:rPr>
              <w:t xml:space="preserve">开标一览表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noWrap w:val="0"/>
            <w:vAlign w:val="center"/>
          </w:tcPr>
          <w:p>
            <w:pPr>
              <w:numPr>
                <w:ilvl w:val="0"/>
                <w:numId w:val="12"/>
              </w:numPr>
              <w:autoSpaceDE w:val="0"/>
              <w:autoSpaceDN w:val="0"/>
              <w:adjustRightInd w:val="0"/>
              <w:snapToGrid w:val="0"/>
              <w:spacing w:line="300" w:lineRule="exact"/>
              <w:jc w:val="center"/>
              <w:rPr>
                <w:rFonts w:ascii="宋体" w:hAnsi="宋体"/>
                <w:color w:val="auto"/>
                <w:sz w:val="21"/>
                <w:szCs w:val="21"/>
                <w:highlight w:val="none"/>
                <w:lang w:val="zh-CN"/>
              </w:rPr>
            </w:pPr>
          </w:p>
        </w:tc>
        <w:tc>
          <w:tcPr>
            <w:tcW w:w="8543" w:type="dxa"/>
            <w:noWrap w:val="0"/>
            <w:vAlign w:val="center"/>
          </w:tcPr>
          <w:p>
            <w:pPr>
              <w:jc w:val="left"/>
              <w:rPr>
                <w:color w:val="auto"/>
                <w:sz w:val="21"/>
                <w:szCs w:val="21"/>
                <w:highlight w:val="none"/>
              </w:rPr>
            </w:pPr>
            <w:r>
              <w:rPr>
                <w:rFonts w:hint="eastAsia" w:ascii="宋体" w:hAnsi="宋体" w:cs="宋体"/>
                <w:color w:val="auto"/>
                <w:sz w:val="21"/>
                <w:szCs w:val="21"/>
                <w:highlight w:val="none"/>
              </w:rPr>
              <w:t>投标报价明细表</w:t>
            </w:r>
            <w:r>
              <w:rPr>
                <w:rFonts w:hint="eastAsia" w:ascii="宋体" w:hAnsi="宋体"/>
                <w:color w:val="auto"/>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671" w:type="dxa"/>
            <w:noWrap w:val="0"/>
            <w:vAlign w:val="center"/>
          </w:tcPr>
          <w:p>
            <w:pPr>
              <w:numPr>
                <w:ilvl w:val="0"/>
                <w:numId w:val="12"/>
              </w:numPr>
              <w:autoSpaceDE w:val="0"/>
              <w:autoSpaceDN w:val="0"/>
              <w:adjustRightInd w:val="0"/>
              <w:snapToGrid w:val="0"/>
              <w:spacing w:line="300" w:lineRule="exact"/>
              <w:jc w:val="center"/>
              <w:rPr>
                <w:rFonts w:ascii="宋体" w:hAnsi="宋体"/>
                <w:color w:val="auto"/>
                <w:sz w:val="21"/>
                <w:szCs w:val="21"/>
                <w:highlight w:val="none"/>
                <w:lang w:val="zh-CN"/>
              </w:rPr>
            </w:pPr>
          </w:p>
        </w:tc>
        <w:tc>
          <w:tcPr>
            <w:tcW w:w="8543" w:type="dxa"/>
            <w:noWrap w:val="0"/>
            <w:vAlign w:val="center"/>
          </w:tcPr>
          <w:p>
            <w:pPr>
              <w:autoSpaceDE w:val="0"/>
              <w:autoSpaceDN w:val="0"/>
              <w:adjustRightInd w:val="0"/>
              <w:spacing w:line="300" w:lineRule="exact"/>
              <w:textAlignment w:val="bottom"/>
              <w:rPr>
                <w:rFonts w:ascii="宋体" w:hAnsi="宋体"/>
                <w:color w:val="auto"/>
                <w:sz w:val="21"/>
                <w:szCs w:val="21"/>
                <w:highlight w:val="none"/>
              </w:rPr>
            </w:pPr>
            <w:r>
              <w:rPr>
                <w:rFonts w:hint="eastAsia" w:ascii="宋体" w:hAnsi="宋体" w:cs="宋体"/>
                <w:color w:val="auto"/>
                <w:sz w:val="21"/>
                <w:szCs w:val="21"/>
                <w:highlight w:val="none"/>
              </w:rPr>
              <w:t>其它投标人须说明的资料（如有则提供）</w:t>
            </w:r>
          </w:p>
        </w:tc>
      </w:tr>
    </w:tbl>
    <w:p>
      <w:pPr>
        <w:pStyle w:val="19"/>
        <w:spacing w:line="360" w:lineRule="exact"/>
        <w:ind w:left="0" w:leftChars="0" w:firstLine="0" w:firstLineChars="0"/>
        <w:jc w:val="left"/>
        <w:rPr>
          <w:rFonts w:hint="eastAsia" w:hAnsi="宋体"/>
          <w:color w:val="auto"/>
          <w:spacing w:val="0"/>
          <w:sz w:val="21"/>
          <w:szCs w:val="21"/>
          <w:highlight w:val="none"/>
        </w:rPr>
      </w:pPr>
    </w:p>
    <w:p>
      <w:pPr>
        <w:spacing w:line="360" w:lineRule="exact"/>
        <w:jc w:val="left"/>
        <w:rPr>
          <w:rFonts w:ascii="宋体" w:hAnsi="宋体" w:cs="宋体"/>
          <w:b/>
          <w:color w:val="auto"/>
          <w:sz w:val="21"/>
          <w:szCs w:val="21"/>
          <w:highlight w:val="none"/>
        </w:rPr>
      </w:pPr>
      <w:r>
        <w:rPr>
          <w:rFonts w:hint="eastAsia" w:ascii="宋体" w:hAnsi="宋体" w:cs="宋体"/>
          <w:b/>
          <w:color w:val="auto"/>
          <w:sz w:val="21"/>
          <w:szCs w:val="21"/>
          <w:highlight w:val="none"/>
        </w:rPr>
        <w:t>（二） 投标文件的语言及计量</w:t>
      </w:r>
    </w:p>
    <w:p>
      <w:pPr>
        <w:spacing w:line="360" w:lineRule="exact"/>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1.投标文件以及投标人与采购人或采购代理机构就有关投标事宜的所有来往函电，均应以中文汉语书写。除签名、盖章、专用名称等特殊情形外，以中文汉语以外的文字表述的投标文件视同未提供（有中文汉语说明的除外）。</w:t>
      </w:r>
    </w:p>
    <w:p>
      <w:pPr>
        <w:spacing w:line="360" w:lineRule="exact"/>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2.投标计量单位，招标文件已有明确规定的，使用招标文件规定的计量单位；招标文件没有规定的，应采用中华人民共和国法定计量单位（货币单位：人民币元），否则视同未响应。</w:t>
      </w:r>
    </w:p>
    <w:p>
      <w:pPr>
        <w:spacing w:line="360" w:lineRule="exact"/>
        <w:jc w:val="left"/>
        <w:rPr>
          <w:rFonts w:ascii="宋体" w:hAnsi="宋体" w:cs="宋体"/>
          <w:color w:val="auto"/>
          <w:sz w:val="21"/>
          <w:szCs w:val="21"/>
          <w:highlight w:val="none"/>
        </w:rPr>
      </w:pPr>
      <w:r>
        <w:rPr>
          <w:rFonts w:hint="eastAsia" w:ascii="宋体" w:hAnsi="宋体" w:cs="宋体"/>
          <w:b/>
          <w:color w:val="auto"/>
          <w:sz w:val="21"/>
          <w:szCs w:val="21"/>
          <w:highlight w:val="none"/>
        </w:rPr>
        <w:t>（三） 投标报价</w:t>
      </w:r>
    </w:p>
    <w:p>
      <w:pPr>
        <w:pStyle w:val="23"/>
        <w:spacing w:beforeLines="0" w:afterLines="0" w:line="360" w:lineRule="exact"/>
        <w:ind w:firstLine="397"/>
        <w:rPr>
          <w:rFonts w:hint="eastAsia" w:hAnsi="宋体" w:cs="宋体"/>
          <w:color w:val="auto"/>
          <w:sz w:val="21"/>
          <w:szCs w:val="21"/>
          <w:highlight w:val="none"/>
        </w:rPr>
      </w:pPr>
      <w:r>
        <w:rPr>
          <w:rFonts w:hint="eastAsia" w:hAnsi="宋体" w:cs="宋体"/>
          <w:color w:val="auto"/>
          <w:sz w:val="21"/>
          <w:szCs w:val="21"/>
          <w:highlight w:val="none"/>
        </w:rPr>
        <w:t>▲1.本次投标采用人民币报价。</w:t>
      </w:r>
    </w:p>
    <w:p>
      <w:pPr>
        <w:pStyle w:val="23"/>
        <w:spacing w:beforeLines="0" w:afterLines="0" w:line="360" w:lineRule="exact"/>
        <w:ind w:firstLine="397"/>
        <w:rPr>
          <w:rFonts w:hAnsi="宋体" w:cs="宋体"/>
          <w:color w:val="auto"/>
          <w:sz w:val="21"/>
          <w:szCs w:val="21"/>
          <w:highlight w:val="none"/>
        </w:rPr>
      </w:pPr>
      <w:r>
        <w:rPr>
          <w:rFonts w:hint="eastAsia" w:hAnsi="宋体" w:cs="宋体"/>
          <w:color w:val="auto"/>
          <w:sz w:val="21"/>
          <w:szCs w:val="21"/>
          <w:highlight w:val="none"/>
        </w:rPr>
        <w:t>2.</w:t>
      </w:r>
      <w:r>
        <w:rPr>
          <w:rFonts w:hint="eastAsia" w:hAnsi="宋体" w:cs="宋体"/>
          <w:bCs/>
          <w:color w:val="auto"/>
          <w:sz w:val="21"/>
          <w:szCs w:val="21"/>
          <w:highlight w:val="none"/>
        </w:rPr>
        <w:t>报价应按招标文件要求的格式编制、填写报价内容（可自行增行），未按招标文件要求编制、填写的投标文件可能被拒绝</w:t>
      </w:r>
      <w:r>
        <w:rPr>
          <w:rFonts w:hint="eastAsia" w:hAnsi="宋体" w:cs="宋体"/>
          <w:color w:val="auto"/>
          <w:sz w:val="21"/>
          <w:szCs w:val="21"/>
          <w:highlight w:val="none"/>
        </w:rPr>
        <w:t>。</w:t>
      </w:r>
    </w:p>
    <w:p>
      <w:pPr>
        <w:pStyle w:val="23"/>
        <w:spacing w:beforeLines="0" w:afterLines="0" w:line="360" w:lineRule="exact"/>
        <w:ind w:firstLine="397"/>
        <w:rPr>
          <w:rFonts w:hAnsi="宋体" w:cs="宋体"/>
          <w:color w:val="auto"/>
          <w:sz w:val="21"/>
          <w:szCs w:val="21"/>
          <w:highlight w:val="none"/>
        </w:rPr>
      </w:pPr>
      <w:r>
        <w:rPr>
          <w:rFonts w:hint="eastAsia" w:hAnsi="宋体" w:cs="宋体"/>
          <w:color w:val="auto"/>
          <w:sz w:val="21"/>
          <w:szCs w:val="21"/>
          <w:highlight w:val="none"/>
        </w:rPr>
        <w:t>3.投标报价是履行合同的最终价格，本项目投标报价采用固定总价承包，并对合同内容的费用、质量、安全、文明服务等实行全面承包。投标总价必须包括在承包区域内提供服务所需的人工费、机械台班费、水电费、工具材料费、保洁低值易耗品、公厕设施维修、环卫驿站、垃圾清运费（含无主生活垃圾、无主建筑垃圾、无主大件垃圾）、安全文明生产装备费（包括工人冬、夏装工作服等）、企业应缴税金和应得利润、应急等完成合同所需的一切本身和不可或缺的所有工作开支、政策性文件规定计合同包含的所有风险、责任等各项全部费用并承担一切风险责任。供应商认为完成本招标文件规定的项目承包内容所发生的直接成本、间接成本、利润、税金、政策性文件规定的费用、设备进出场费</w:t>
      </w:r>
      <w:r>
        <w:rPr>
          <w:rFonts w:hint="eastAsia" w:hAnsi="宋体" w:cs="宋体"/>
          <w:color w:val="auto"/>
          <w:sz w:val="21"/>
          <w:szCs w:val="21"/>
          <w:highlight w:val="none"/>
          <w:lang w:eastAsia="zh-CN"/>
        </w:rPr>
        <w:t>、代理服务费</w:t>
      </w:r>
      <w:r>
        <w:rPr>
          <w:rFonts w:hint="eastAsia" w:hAnsi="宋体" w:cs="宋体"/>
          <w:color w:val="auto"/>
          <w:sz w:val="21"/>
          <w:szCs w:val="21"/>
          <w:highlight w:val="none"/>
        </w:rPr>
        <w:t>等一切费用均应计入投标报价，凡未列入的将被认为均已包含在投标总价中。</w:t>
      </w:r>
    </w:p>
    <w:p>
      <w:pPr>
        <w:pStyle w:val="23"/>
        <w:spacing w:beforeLines="0" w:afterLines="0" w:line="360" w:lineRule="exact"/>
        <w:ind w:firstLine="397"/>
        <w:jc w:val="left"/>
        <w:rPr>
          <w:rFonts w:hint="eastAsia" w:hAnsi="宋体" w:cs="宋体"/>
          <w:color w:val="auto"/>
          <w:sz w:val="21"/>
          <w:szCs w:val="21"/>
          <w:highlight w:val="none"/>
        </w:rPr>
      </w:pPr>
      <w:r>
        <w:rPr>
          <w:rFonts w:hint="eastAsia" w:hAnsi="宋体" w:cs="宋体"/>
          <w:color w:val="auto"/>
          <w:sz w:val="21"/>
          <w:szCs w:val="21"/>
          <w:highlight w:val="none"/>
        </w:rPr>
        <w:t>4.投标文件只允许有一个报价，有选择的或有条件的报价将不予接受。</w:t>
      </w:r>
    </w:p>
    <w:p>
      <w:pPr>
        <w:pStyle w:val="15"/>
        <w:widowControl w:val="0"/>
        <w:tabs>
          <w:tab w:val="left" w:pos="720"/>
        </w:tabs>
        <w:spacing w:afterLines="0" w:line="360" w:lineRule="exact"/>
        <w:ind w:left="301" w:hanging="301" w:hangingChars="143"/>
        <w:rPr>
          <w:rFonts w:ascii="宋体" w:hAnsi="宋体" w:cs="宋体"/>
          <w:b/>
          <w:color w:val="auto"/>
          <w:kern w:val="2"/>
          <w:sz w:val="21"/>
          <w:szCs w:val="21"/>
          <w:highlight w:val="none"/>
        </w:rPr>
      </w:pPr>
      <w:r>
        <w:rPr>
          <w:rFonts w:hint="eastAsia" w:ascii="宋体" w:hAnsi="宋体" w:cs="宋体"/>
          <w:b/>
          <w:color w:val="auto"/>
          <w:kern w:val="2"/>
          <w:sz w:val="21"/>
          <w:szCs w:val="21"/>
          <w:highlight w:val="none"/>
        </w:rPr>
        <w:t>（四） 投标有效期</w:t>
      </w:r>
    </w:p>
    <w:p>
      <w:pPr>
        <w:pStyle w:val="23"/>
        <w:spacing w:beforeLines="0" w:afterLines="0" w:line="360" w:lineRule="exact"/>
        <w:ind w:firstLine="420" w:firstLineChars="200"/>
        <w:jc w:val="left"/>
        <w:rPr>
          <w:rFonts w:hAnsi="宋体" w:cs="宋体"/>
          <w:color w:val="auto"/>
          <w:sz w:val="21"/>
          <w:szCs w:val="21"/>
          <w:highlight w:val="none"/>
        </w:rPr>
      </w:pPr>
      <w:r>
        <w:rPr>
          <w:rFonts w:hint="eastAsia" w:hAnsi="宋体" w:cs="宋体"/>
          <w:color w:val="auto"/>
          <w:sz w:val="21"/>
          <w:szCs w:val="21"/>
          <w:highlight w:val="none"/>
        </w:rPr>
        <w:t>▲1.自投标截止日起</w:t>
      </w:r>
      <w:r>
        <w:rPr>
          <w:rFonts w:hint="eastAsia" w:hAnsi="宋体" w:cs="宋体"/>
          <w:color w:val="auto"/>
          <w:sz w:val="21"/>
          <w:szCs w:val="21"/>
          <w:highlight w:val="none"/>
          <w:u w:val="single"/>
        </w:rPr>
        <w:t xml:space="preserve">   120 </w:t>
      </w:r>
      <w:r>
        <w:rPr>
          <w:rFonts w:hint="eastAsia" w:hAnsi="宋体" w:cs="宋体"/>
          <w:color w:val="auto"/>
          <w:sz w:val="21"/>
          <w:szCs w:val="21"/>
          <w:highlight w:val="none"/>
        </w:rPr>
        <w:t>天投标文件应保持有效。有效期不足的投标文件将被拒绝。</w:t>
      </w:r>
    </w:p>
    <w:p>
      <w:pPr>
        <w:spacing w:line="360" w:lineRule="exact"/>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2.在特殊情况下，采购人可与投标人协商延长投标有效期，这种要求和答复均应以书面形式进行。</w:t>
      </w:r>
    </w:p>
    <w:p>
      <w:pPr>
        <w:spacing w:line="360" w:lineRule="exact"/>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3.投标人可拒绝接受延期。同意延长有效期的投标人不能修改投标文件。</w:t>
      </w:r>
    </w:p>
    <w:p>
      <w:pPr>
        <w:spacing w:line="360" w:lineRule="exact"/>
        <w:ind w:firstLine="420" w:firstLineChars="200"/>
        <w:rPr>
          <w:rFonts w:ascii="宋体" w:hAnsi="宋体" w:cs="宋体"/>
          <w:b/>
          <w:color w:val="auto"/>
          <w:sz w:val="21"/>
          <w:szCs w:val="21"/>
          <w:highlight w:val="none"/>
        </w:rPr>
      </w:pPr>
      <w:r>
        <w:rPr>
          <w:rFonts w:hint="eastAsia" w:ascii="宋体" w:hAnsi="宋体" w:cs="宋体"/>
          <w:color w:val="auto"/>
          <w:sz w:val="21"/>
          <w:szCs w:val="21"/>
          <w:highlight w:val="none"/>
        </w:rPr>
        <w:t>4.中标单位的投标文件自开标之日起至合同履行完毕止均应保持有效。</w:t>
      </w:r>
    </w:p>
    <w:p>
      <w:pPr>
        <w:spacing w:line="360" w:lineRule="exact"/>
        <w:rPr>
          <w:rFonts w:ascii="宋体" w:hAnsi="宋体" w:cs="宋体"/>
          <w:b/>
          <w:color w:val="auto"/>
          <w:sz w:val="21"/>
          <w:szCs w:val="21"/>
          <w:highlight w:val="none"/>
        </w:rPr>
      </w:pPr>
      <w:r>
        <w:rPr>
          <w:rFonts w:hint="eastAsia" w:ascii="宋体" w:hAnsi="宋体" w:cs="宋体"/>
          <w:b/>
          <w:color w:val="auto"/>
          <w:sz w:val="21"/>
          <w:szCs w:val="21"/>
          <w:highlight w:val="none"/>
        </w:rPr>
        <w:t>（五）投标保证金</w:t>
      </w:r>
    </w:p>
    <w:p>
      <w:pPr>
        <w:spacing w:line="360" w:lineRule="exact"/>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本项目无投标保证金。</w:t>
      </w:r>
    </w:p>
    <w:p>
      <w:pPr>
        <w:spacing w:line="360" w:lineRule="exact"/>
        <w:jc w:val="left"/>
        <w:rPr>
          <w:rFonts w:ascii="宋体" w:hAnsi="宋体" w:cs="宋体"/>
          <w:b/>
          <w:color w:val="auto"/>
          <w:sz w:val="21"/>
          <w:szCs w:val="21"/>
          <w:highlight w:val="none"/>
        </w:rPr>
      </w:pPr>
      <w:r>
        <w:rPr>
          <w:rFonts w:hint="eastAsia" w:ascii="宋体" w:hAnsi="宋体" w:cs="宋体"/>
          <w:b/>
          <w:color w:val="auto"/>
          <w:sz w:val="21"/>
          <w:szCs w:val="21"/>
          <w:highlight w:val="none"/>
        </w:rPr>
        <w:t>（六） 投标文件的签署和份数</w:t>
      </w:r>
    </w:p>
    <w:p>
      <w:pPr>
        <w:spacing w:line="360" w:lineRule="exact"/>
        <w:ind w:firstLine="396" w:firstLineChars="200"/>
        <w:jc w:val="left"/>
        <w:rPr>
          <w:rFonts w:hint="eastAsia" w:ascii="宋体" w:hAnsi="宋体" w:cs="宋体"/>
          <w:color w:val="auto"/>
          <w:spacing w:val="-6"/>
          <w:sz w:val="21"/>
          <w:szCs w:val="21"/>
          <w:highlight w:val="none"/>
        </w:rPr>
      </w:pPr>
      <w:r>
        <w:rPr>
          <w:rFonts w:hint="eastAsia" w:ascii="宋体" w:hAnsi="宋体" w:cs="宋体"/>
          <w:color w:val="auto"/>
          <w:spacing w:val="-6"/>
          <w:sz w:val="21"/>
          <w:szCs w:val="21"/>
          <w:highlight w:val="none"/>
          <w:lang w:val="en-US" w:eastAsia="zh-CN"/>
        </w:rPr>
        <w:t xml:space="preserve">1.投标文件的正本需打印或用不退色的墨水填写，并注明“正本”字样。副本可以复印。投 </w:t>
      </w:r>
    </w:p>
    <w:p>
      <w:pPr>
        <w:spacing w:line="360" w:lineRule="exact"/>
        <w:ind w:firstLine="396" w:firstLineChars="200"/>
        <w:jc w:val="left"/>
        <w:rPr>
          <w:rFonts w:hint="eastAsia" w:ascii="宋体" w:hAnsi="宋体" w:cs="宋体"/>
          <w:color w:val="auto"/>
          <w:spacing w:val="-6"/>
          <w:sz w:val="21"/>
          <w:szCs w:val="21"/>
          <w:highlight w:val="none"/>
        </w:rPr>
      </w:pPr>
      <w:r>
        <w:rPr>
          <w:rFonts w:hint="eastAsia" w:ascii="宋体" w:hAnsi="宋体" w:cs="宋体"/>
          <w:color w:val="auto"/>
          <w:spacing w:val="-6"/>
          <w:sz w:val="21"/>
          <w:szCs w:val="21"/>
          <w:highlight w:val="none"/>
          <w:lang w:val="en-US" w:eastAsia="zh-CN"/>
        </w:rPr>
        <w:t xml:space="preserve">标文件不得涂改和增删，如有错漏必须修改，修改处须由同一签署人签字或盖章。由于字迹模糊或 </w:t>
      </w:r>
    </w:p>
    <w:p>
      <w:pPr>
        <w:spacing w:line="360" w:lineRule="exact"/>
        <w:ind w:firstLine="396" w:firstLineChars="200"/>
        <w:jc w:val="left"/>
        <w:rPr>
          <w:rFonts w:hint="eastAsia" w:ascii="宋体" w:hAnsi="宋体" w:cs="宋体"/>
          <w:color w:val="auto"/>
          <w:spacing w:val="-6"/>
          <w:sz w:val="21"/>
          <w:szCs w:val="21"/>
          <w:highlight w:val="none"/>
        </w:rPr>
      </w:pPr>
      <w:r>
        <w:rPr>
          <w:rFonts w:hint="eastAsia" w:ascii="宋体" w:hAnsi="宋体" w:cs="宋体"/>
          <w:color w:val="auto"/>
          <w:spacing w:val="-6"/>
          <w:sz w:val="21"/>
          <w:szCs w:val="21"/>
          <w:highlight w:val="none"/>
          <w:lang w:val="en-US" w:eastAsia="zh-CN"/>
        </w:rPr>
        <w:t xml:space="preserve">表达不清引起的后果由供应商负责。 </w:t>
      </w:r>
    </w:p>
    <w:p>
      <w:pPr>
        <w:spacing w:line="360" w:lineRule="exact"/>
        <w:ind w:firstLine="396" w:firstLineChars="200"/>
        <w:jc w:val="left"/>
        <w:rPr>
          <w:rFonts w:hint="eastAsia" w:ascii="宋体" w:hAnsi="宋体" w:cs="宋体"/>
          <w:color w:val="auto"/>
          <w:spacing w:val="-6"/>
          <w:sz w:val="21"/>
          <w:szCs w:val="21"/>
          <w:highlight w:val="none"/>
        </w:rPr>
      </w:pPr>
      <w:r>
        <w:rPr>
          <w:rFonts w:hint="eastAsia" w:ascii="宋体" w:hAnsi="宋体" w:cs="宋体"/>
          <w:color w:val="auto"/>
          <w:spacing w:val="-6"/>
          <w:sz w:val="21"/>
          <w:szCs w:val="21"/>
          <w:highlight w:val="none"/>
          <w:lang w:val="en-US" w:eastAsia="zh-CN"/>
        </w:rPr>
        <w:t xml:space="preserve">2.投标文件须由供应商盖章并由法定代表人或法定代表人授权代表签署（或印章），供应商 </w:t>
      </w:r>
    </w:p>
    <w:p>
      <w:pPr>
        <w:spacing w:line="360" w:lineRule="exact"/>
        <w:ind w:firstLine="396" w:firstLineChars="200"/>
        <w:jc w:val="left"/>
        <w:rPr>
          <w:rFonts w:hint="eastAsia" w:ascii="宋体" w:hAnsi="宋体" w:cs="宋体"/>
          <w:color w:val="auto"/>
          <w:spacing w:val="-6"/>
          <w:sz w:val="21"/>
          <w:szCs w:val="21"/>
          <w:highlight w:val="none"/>
        </w:rPr>
      </w:pPr>
      <w:r>
        <w:rPr>
          <w:rFonts w:hint="eastAsia" w:ascii="宋体" w:hAnsi="宋体" w:cs="宋体"/>
          <w:color w:val="auto"/>
          <w:spacing w:val="-6"/>
          <w:sz w:val="21"/>
          <w:szCs w:val="21"/>
          <w:highlight w:val="none"/>
          <w:lang w:val="en-US" w:eastAsia="zh-CN"/>
        </w:rPr>
        <w:t xml:space="preserve">应写全称。 </w:t>
      </w:r>
    </w:p>
    <w:p>
      <w:pPr>
        <w:spacing w:line="360" w:lineRule="exact"/>
        <w:ind w:firstLine="396" w:firstLineChars="200"/>
        <w:jc w:val="left"/>
        <w:rPr>
          <w:rFonts w:hint="eastAsia" w:ascii="宋体" w:hAnsi="宋体" w:cs="宋体"/>
          <w:color w:val="auto"/>
          <w:spacing w:val="-6"/>
          <w:sz w:val="21"/>
          <w:szCs w:val="21"/>
          <w:highlight w:val="none"/>
        </w:rPr>
      </w:pPr>
      <w:r>
        <w:rPr>
          <w:rFonts w:hint="eastAsia" w:ascii="宋体" w:hAnsi="宋体" w:cs="宋体"/>
          <w:color w:val="auto"/>
          <w:spacing w:val="-6"/>
          <w:sz w:val="21"/>
          <w:szCs w:val="21"/>
          <w:highlight w:val="none"/>
          <w:lang w:val="en-US" w:eastAsia="zh-CN"/>
        </w:rPr>
        <w:t xml:space="preserve">3.当正本与副本不一致时，均以正本为准。当供应商投标文件未注明正本与副本且出现不一 </w:t>
      </w:r>
    </w:p>
    <w:p>
      <w:pPr>
        <w:spacing w:line="360" w:lineRule="exact"/>
        <w:ind w:firstLine="396" w:firstLineChars="200"/>
        <w:jc w:val="left"/>
        <w:rPr>
          <w:rFonts w:hint="eastAsia" w:ascii="宋体" w:hAnsi="宋体" w:cs="宋体"/>
          <w:color w:val="auto"/>
          <w:spacing w:val="-6"/>
          <w:sz w:val="21"/>
          <w:szCs w:val="21"/>
          <w:highlight w:val="none"/>
        </w:rPr>
      </w:pPr>
      <w:r>
        <w:rPr>
          <w:rFonts w:hint="eastAsia" w:ascii="宋体" w:hAnsi="宋体" w:cs="宋体"/>
          <w:color w:val="auto"/>
          <w:spacing w:val="-6"/>
          <w:sz w:val="21"/>
          <w:szCs w:val="21"/>
          <w:highlight w:val="none"/>
          <w:lang w:val="en-US" w:eastAsia="zh-CN"/>
        </w:rPr>
        <w:t>致时，评标委员会可以认定供应商出现选择性投标而对其投标予以废标。</w:t>
      </w:r>
    </w:p>
    <w:p>
      <w:pPr>
        <w:pStyle w:val="158"/>
        <w:widowControl/>
        <w:numPr>
          <w:ilvl w:val="0"/>
          <w:numId w:val="0"/>
        </w:numPr>
        <w:spacing w:before="0" w:line="400" w:lineRule="exact"/>
        <w:ind w:firstLine="396" w:firstLineChars="200"/>
        <w:contextualSpacing/>
        <w:rPr>
          <w:rFonts w:hint="eastAsia" w:ascii="宋体" w:hAnsi="宋体" w:cs="宋体"/>
          <w:b/>
          <w:bCs/>
          <w:color w:val="auto"/>
          <w:sz w:val="21"/>
          <w:szCs w:val="21"/>
          <w:highlight w:val="none"/>
        </w:rPr>
      </w:pPr>
      <w:r>
        <w:rPr>
          <w:rFonts w:hint="eastAsia" w:ascii="宋体" w:hAnsi="宋体" w:cs="宋体"/>
          <w:color w:val="auto"/>
          <w:spacing w:val="-6"/>
          <w:sz w:val="21"/>
          <w:szCs w:val="21"/>
          <w:highlight w:val="none"/>
          <w:lang w:val="en-US" w:eastAsia="zh-CN"/>
        </w:rPr>
        <w:t>4</w:t>
      </w:r>
      <w:r>
        <w:rPr>
          <w:rFonts w:hint="eastAsia" w:ascii="宋体" w:hAnsi="宋体" w:cs="宋体"/>
          <w:color w:val="auto"/>
          <w:spacing w:val="-6"/>
          <w:sz w:val="21"/>
          <w:szCs w:val="21"/>
          <w:highlight w:val="none"/>
        </w:rPr>
        <w:t>.投标文件份数：</w:t>
      </w:r>
      <w:r>
        <w:rPr>
          <w:rFonts w:hint="eastAsia" w:ascii="宋体" w:hAnsi="宋体" w:cs="宋体"/>
          <w:b/>
          <w:bCs/>
          <w:color w:val="auto"/>
          <w:sz w:val="21"/>
          <w:szCs w:val="21"/>
          <w:highlight w:val="none"/>
        </w:rPr>
        <w:t>投标文件由</w:t>
      </w:r>
      <w:r>
        <w:rPr>
          <w:rFonts w:hint="eastAsia" w:hAnsi="宋体"/>
          <w:b/>
          <w:bCs/>
          <w:color w:val="auto"/>
          <w:sz w:val="21"/>
          <w:szCs w:val="21"/>
          <w:highlight w:val="none"/>
        </w:rPr>
        <w:t>投标文件由资格文件、商务技术文件和报价文件三部分</w:t>
      </w:r>
      <w:r>
        <w:rPr>
          <w:rFonts w:hint="eastAsia" w:ascii="宋体" w:hAnsi="宋体" w:cs="宋体"/>
          <w:b/>
          <w:bCs/>
          <w:color w:val="auto"/>
          <w:sz w:val="21"/>
          <w:szCs w:val="21"/>
          <w:highlight w:val="none"/>
        </w:rPr>
        <w:t>组成</w:t>
      </w:r>
      <w:r>
        <w:rPr>
          <w:rFonts w:hint="eastAsia" w:ascii="宋体" w:hAnsi="宋体" w:cs="宋体"/>
          <w:b/>
          <w:bCs/>
          <w:color w:val="auto"/>
          <w:sz w:val="21"/>
          <w:szCs w:val="21"/>
          <w:highlight w:val="none"/>
          <w:lang w:eastAsia="zh-CN"/>
        </w:rPr>
        <w:t>。</w:t>
      </w:r>
    </w:p>
    <w:p>
      <w:pPr>
        <w:spacing w:line="360" w:lineRule="exact"/>
        <w:ind w:firstLine="422" w:firstLineChars="200"/>
        <w:jc w:val="left"/>
        <w:rPr>
          <w:rFonts w:ascii="宋体" w:hAnsi="宋体" w:cs="宋体"/>
          <w:color w:val="auto"/>
          <w:spacing w:val="-6"/>
          <w:sz w:val="21"/>
          <w:szCs w:val="21"/>
          <w:highlight w:val="none"/>
        </w:rPr>
      </w:pPr>
      <w:r>
        <w:rPr>
          <w:rFonts w:hint="eastAsia" w:ascii="宋体" w:hAnsi="宋体" w:cs="宋体"/>
          <w:b/>
          <w:bCs/>
          <w:color w:val="auto"/>
          <w:sz w:val="21"/>
          <w:szCs w:val="21"/>
          <w:highlight w:val="none"/>
          <w:lang w:eastAsia="zh-CN"/>
        </w:rPr>
        <w:t>以上所有投标文件均正本一份，副本六份。</w:t>
      </w:r>
    </w:p>
    <w:p>
      <w:pPr>
        <w:spacing w:line="360" w:lineRule="exact"/>
        <w:jc w:val="left"/>
        <w:rPr>
          <w:rFonts w:ascii="宋体" w:hAnsi="宋体" w:cs="宋体"/>
          <w:b/>
          <w:color w:val="auto"/>
          <w:sz w:val="21"/>
          <w:szCs w:val="21"/>
          <w:highlight w:val="none"/>
        </w:rPr>
      </w:pPr>
      <w:r>
        <w:rPr>
          <w:rFonts w:hint="eastAsia" w:ascii="宋体" w:hAnsi="宋体" w:cs="宋体"/>
          <w:b/>
          <w:color w:val="auto"/>
          <w:sz w:val="21"/>
          <w:szCs w:val="21"/>
          <w:highlight w:val="none"/>
        </w:rPr>
        <w:t>（</w:t>
      </w:r>
      <w:r>
        <w:rPr>
          <w:rFonts w:hint="eastAsia" w:ascii="宋体" w:hAnsi="宋体" w:cs="宋体"/>
          <w:b/>
          <w:color w:val="auto"/>
          <w:sz w:val="21"/>
          <w:szCs w:val="21"/>
          <w:highlight w:val="none"/>
          <w:lang w:eastAsia="zh-CN"/>
        </w:rPr>
        <w:t>七</w:t>
      </w:r>
      <w:r>
        <w:rPr>
          <w:rFonts w:hint="eastAsia" w:ascii="宋体" w:hAnsi="宋体" w:cs="宋体"/>
          <w:b/>
          <w:color w:val="auto"/>
          <w:sz w:val="21"/>
          <w:szCs w:val="21"/>
          <w:highlight w:val="none"/>
        </w:rPr>
        <w:t>） 投标文件的包装、递交、修改和撤回</w:t>
      </w:r>
    </w:p>
    <w:p>
      <w:pPr>
        <w:keepNext w:val="0"/>
        <w:keepLines w:val="0"/>
        <w:widowControl/>
        <w:suppressLineNumbers w:val="0"/>
        <w:ind w:firstLine="440" w:firstLineChars="200"/>
        <w:jc w:val="left"/>
        <w:rPr>
          <w:color w:val="auto"/>
          <w:highlight w:val="none"/>
        </w:rPr>
      </w:pPr>
      <w:r>
        <w:rPr>
          <w:rFonts w:hint="eastAsia" w:ascii="宋体" w:hAnsi="宋体" w:eastAsia="宋体" w:cs="宋体"/>
          <w:color w:val="auto"/>
          <w:kern w:val="0"/>
          <w:sz w:val="22"/>
          <w:szCs w:val="22"/>
          <w:highlight w:val="none"/>
          <w:lang w:val="en-US" w:eastAsia="zh-CN" w:bidi="ar"/>
        </w:rPr>
        <w:t xml:space="preserve">1、投标文件的密封及标记 </w:t>
      </w:r>
    </w:p>
    <w:p>
      <w:pPr>
        <w:keepNext w:val="0"/>
        <w:keepLines w:val="0"/>
        <w:widowControl/>
        <w:suppressLineNumbers w:val="0"/>
        <w:ind w:firstLine="440" w:firstLineChars="200"/>
        <w:jc w:val="left"/>
        <w:rPr>
          <w:color w:val="auto"/>
          <w:highlight w:val="none"/>
        </w:rPr>
      </w:pPr>
      <w:r>
        <w:rPr>
          <w:rFonts w:hint="eastAsia" w:ascii="宋体" w:hAnsi="宋体" w:eastAsia="宋体" w:cs="宋体"/>
          <w:color w:val="auto"/>
          <w:kern w:val="0"/>
          <w:sz w:val="22"/>
          <w:szCs w:val="22"/>
          <w:highlight w:val="none"/>
          <w:lang w:val="en-US" w:eastAsia="zh-CN" w:bidi="ar"/>
        </w:rPr>
        <w:t xml:space="preserve">1.1、投标文件应按以下方法装袋密封 </w:t>
      </w:r>
    </w:p>
    <w:p>
      <w:pPr>
        <w:keepNext w:val="0"/>
        <w:keepLines w:val="0"/>
        <w:widowControl/>
        <w:suppressLineNumbers w:val="0"/>
        <w:ind w:firstLine="442" w:firstLineChars="200"/>
        <w:jc w:val="left"/>
        <w:rPr>
          <w:color w:val="auto"/>
          <w:highlight w:val="none"/>
        </w:rPr>
      </w:pPr>
      <w:r>
        <w:rPr>
          <w:rFonts w:hint="eastAsia" w:ascii="宋体" w:hAnsi="宋体" w:eastAsia="宋体" w:cs="宋体"/>
          <w:b/>
          <w:bCs/>
          <w:color w:val="auto"/>
          <w:kern w:val="0"/>
          <w:sz w:val="22"/>
          <w:szCs w:val="22"/>
          <w:highlight w:val="none"/>
          <w:lang w:val="en-US" w:eastAsia="zh-CN" w:bidi="ar"/>
        </w:rPr>
        <w:t>▲投标供应商应将</w:t>
      </w:r>
      <w:r>
        <w:rPr>
          <w:rFonts w:hint="eastAsia" w:hAnsi="宋体"/>
          <w:b/>
          <w:bCs/>
          <w:color w:val="auto"/>
          <w:sz w:val="21"/>
          <w:szCs w:val="21"/>
          <w:highlight w:val="none"/>
        </w:rPr>
        <w:t>投标文件资格文件、商务技术文件和报价文件</w:t>
      </w:r>
      <w:r>
        <w:rPr>
          <w:rFonts w:hint="eastAsia" w:ascii="宋体" w:hAnsi="宋体" w:eastAsia="宋体" w:cs="宋体"/>
          <w:b/>
          <w:bCs/>
          <w:color w:val="auto"/>
          <w:kern w:val="0"/>
          <w:sz w:val="22"/>
          <w:szCs w:val="22"/>
          <w:highlight w:val="none"/>
          <w:lang w:val="en-US" w:eastAsia="zh-CN" w:bidi="ar"/>
        </w:rPr>
        <w:t>须分别装订成册，且分别单独密封。并注明投标文件正、 副本字样后装入密封袋内，启封处加盖投标单位公章并由法定代表人或其授权代表签字（或印章）。 封皮上写明项目编号、采购人及招标项目名称、供应商名称。并分别注明</w:t>
      </w:r>
      <w:r>
        <w:rPr>
          <w:rFonts w:hint="eastAsia" w:ascii="宋体" w:hAnsi="宋体" w:eastAsia="宋体" w:cs="宋体"/>
          <w:b/>
          <w:bCs/>
          <w:color w:val="auto"/>
          <w:kern w:val="0"/>
          <w:sz w:val="22"/>
          <w:szCs w:val="22"/>
          <w:highlight w:val="none"/>
          <w:lang w:val="en-US" w:eastAsia="zh-CN" w:bidi="ar"/>
        </w:rPr>
        <w:t>“</w:t>
      </w:r>
      <w:r>
        <w:rPr>
          <w:rFonts w:hint="eastAsia" w:ascii="宋体" w:hAnsi="宋体" w:cs="宋体"/>
          <w:b/>
          <w:bCs/>
          <w:color w:val="auto"/>
          <w:kern w:val="0"/>
          <w:sz w:val="22"/>
          <w:szCs w:val="22"/>
          <w:highlight w:val="none"/>
          <w:lang w:val="en-US" w:eastAsia="zh-CN" w:bidi="ar"/>
        </w:rPr>
        <w:t>资格审查</w:t>
      </w:r>
      <w:r>
        <w:rPr>
          <w:rFonts w:hint="eastAsia" w:ascii="宋体" w:hAnsi="宋体" w:eastAsia="宋体" w:cs="宋体"/>
          <w:b/>
          <w:bCs/>
          <w:color w:val="auto"/>
          <w:kern w:val="0"/>
          <w:sz w:val="22"/>
          <w:szCs w:val="22"/>
          <w:highlight w:val="none"/>
          <w:lang w:val="en-US" w:eastAsia="zh-CN" w:bidi="ar"/>
        </w:rPr>
        <w:t>投标文件”“商务报价投标文件”、 “技术资信投标文件”、“开标时启封”</w:t>
      </w:r>
      <w:r>
        <w:rPr>
          <w:rFonts w:hint="eastAsia" w:ascii="宋体" w:hAnsi="宋体" w:eastAsia="宋体" w:cs="宋体"/>
          <w:b/>
          <w:bCs/>
          <w:color w:val="auto"/>
          <w:kern w:val="0"/>
          <w:sz w:val="22"/>
          <w:szCs w:val="22"/>
          <w:highlight w:val="none"/>
          <w:lang w:val="en-US" w:eastAsia="zh-CN" w:bidi="ar"/>
        </w:rPr>
        <w:t xml:space="preserve">字样。  </w:t>
      </w:r>
    </w:p>
    <w:p>
      <w:pPr>
        <w:keepNext w:val="0"/>
        <w:keepLines w:val="0"/>
        <w:widowControl/>
        <w:suppressLineNumbers w:val="0"/>
        <w:ind w:firstLine="440" w:firstLineChars="200"/>
        <w:jc w:val="left"/>
        <w:rPr>
          <w:color w:val="auto"/>
          <w:highlight w:val="none"/>
        </w:rPr>
      </w:pPr>
      <w:r>
        <w:rPr>
          <w:rFonts w:hint="eastAsia" w:ascii="宋体" w:hAnsi="宋体" w:eastAsia="宋体" w:cs="宋体"/>
          <w:color w:val="auto"/>
          <w:kern w:val="0"/>
          <w:sz w:val="22"/>
          <w:szCs w:val="22"/>
          <w:highlight w:val="none"/>
          <w:lang w:val="en-US" w:eastAsia="zh-CN" w:bidi="ar"/>
        </w:rPr>
        <w:t xml:space="preserve">2、投标截止时间 </w:t>
      </w:r>
    </w:p>
    <w:p>
      <w:pPr>
        <w:keepNext w:val="0"/>
        <w:keepLines w:val="0"/>
        <w:widowControl/>
        <w:suppressLineNumbers w:val="0"/>
        <w:ind w:firstLine="440" w:firstLineChars="200"/>
        <w:jc w:val="left"/>
        <w:rPr>
          <w:color w:val="auto"/>
          <w:highlight w:val="none"/>
        </w:rPr>
      </w:pPr>
      <w:r>
        <w:rPr>
          <w:rFonts w:hint="eastAsia" w:ascii="宋体" w:hAnsi="宋体" w:eastAsia="宋体" w:cs="宋体"/>
          <w:color w:val="auto"/>
          <w:kern w:val="0"/>
          <w:sz w:val="22"/>
          <w:szCs w:val="22"/>
          <w:highlight w:val="none"/>
          <w:lang w:val="en-US" w:eastAsia="zh-CN" w:bidi="ar"/>
        </w:rPr>
        <w:t xml:space="preserve">2.1、投标文件必须在投标文件递交截止时间前送达指定的投标地点。 </w:t>
      </w:r>
    </w:p>
    <w:p>
      <w:pPr>
        <w:keepNext w:val="0"/>
        <w:keepLines w:val="0"/>
        <w:widowControl/>
        <w:suppressLineNumbers w:val="0"/>
        <w:ind w:firstLine="440" w:firstLineChars="200"/>
        <w:jc w:val="left"/>
        <w:rPr>
          <w:color w:val="auto"/>
          <w:highlight w:val="none"/>
        </w:rPr>
      </w:pPr>
      <w:r>
        <w:rPr>
          <w:rFonts w:hint="eastAsia" w:ascii="宋体" w:hAnsi="宋体" w:eastAsia="宋体" w:cs="宋体"/>
          <w:color w:val="auto"/>
          <w:kern w:val="0"/>
          <w:sz w:val="22"/>
          <w:szCs w:val="22"/>
          <w:highlight w:val="none"/>
          <w:lang w:val="en-US" w:eastAsia="zh-CN" w:bidi="ar"/>
        </w:rPr>
        <w:t>2.2、</w:t>
      </w:r>
      <w:r>
        <w:rPr>
          <w:rFonts w:hint="eastAsia" w:ascii="宋体" w:hAnsi="宋体" w:eastAsia="宋体" w:cs="宋体"/>
          <w:b/>
          <w:bCs/>
          <w:color w:val="auto"/>
          <w:kern w:val="0"/>
          <w:sz w:val="22"/>
          <w:szCs w:val="22"/>
          <w:highlight w:val="none"/>
          <w:lang w:val="en-US" w:eastAsia="zh-CN" w:bidi="ar"/>
        </w:rPr>
        <w:t>采购机构如因故推迟投标截止时间，应在投标截止前以更正公告形式通知所有供应商。在这种情况下，供应商的权利和义务将受到新的截止时间的约束。</w:t>
      </w:r>
    </w:p>
    <w:p>
      <w:pPr>
        <w:keepNext w:val="0"/>
        <w:keepLines w:val="0"/>
        <w:widowControl/>
        <w:suppressLineNumbers w:val="0"/>
        <w:ind w:firstLine="440" w:firstLineChars="200"/>
        <w:jc w:val="left"/>
        <w:rPr>
          <w:color w:val="auto"/>
          <w:highlight w:val="none"/>
        </w:rPr>
      </w:pPr>
      <w:r>
        <w:rPr>
          <w:rFonts w:hint="eastAsia" w:ascii="宋体" w:hAnsi="宋体" w:eastAsia="宋体" w:cs="宋体"/>
          <w:color w:val="auto"/>
          <w:kern w:val="0"/>
          <w:sz w:val="22"/>
          <w:szCs w:val="22"/>
          <w:highlight w:val="none"/>
          <w:lang w:val="en-US" w:eastAsia="zh-CN" w:bidi="ar"/>
        </w:rPr>
        <w:t xml:space="preserve">3、投标文件的修改和撤回 </w:t>
      </w:r>
    </w:p>
    <w:p>
      <w:pPr>
        <w:keepNext w:val="0"/>
        <w:keepLines w:val="0"/>
        <w:widowControl/>
        <w:suppressLineNumbers w:val="0"/>
        <w:ind w:firstLine="440" w:firstLineChars="200"/>
        <w:jc w:val="left"/>
        <w:rPr>
          <w:color w:val="auto"/>
          <w:highlight w:val="none"/>
        </w:rPr>
      </w:pPr>
      <w:r>
        <w:rPr>
          <w:rFonts w:hint="eastAsia" w:ascii="宋体" w:hAnsi="宋体" w:eastAsia="宋体" w:cs="宋体"/>
          <w:color w:val="auto"/>
          <w:kern w:val="0"/>
          <w:sz w:val="22"/>
          <w:szCs w:val="22"/>
          <w:highlight w:val="none"/>
          <w:lang w:val="en-US" w:eastAsia="zh-CN" w:bidi="ar"/>
        </w:rPr>
        <w:t>3.1 投标人在投标截止时间前，可以对所递交的投标文件进行补充、修改或者撤回，并书面通知采购人或者采购代理机构。补充、修改的内容应当按照采购文件要求签署、盖章、密封后，作为投标文件的组成部分。</w:t>
      </w:r>
    </w:p>
    <w:p>
      <w:pPr>
        <w:keepNext w:val="0"/>
        <w:keepLines w:val="0"/>
        <w:widowControl/>
        <w:suppressLineNumbers w:val="0"/>
        <w:ind w:firstLine="440" w:firstLineChars="200"/>
        <w:jc w:val="left"/>
        <w:rPr>
          <w:rFonts w:hint="eastAsia" w:ascii="宋体" w:hAnsi="宋体" w:eastAsia="宋体" w:cs="宋体"/>
          <w:color w:val="auto"/>
          <w:kern w:val="0"/>
          <w:sz w:val="22"/>
          <w:szCs w:val="22"/>
          <w:highlight w:val="none"/>
          <w:lang w:val="en-US" w:eastAsia="zh-CN" w:bidi="ar"/>
        </w:rPr>
      </w:pPr>
      <w:r>
        <w:rPr>
          <w:rFonts w:hint="eastAsia" w:ascii="宋体" w:hAnsi="宋体" w:eastAsia="宋体" w:cs="宋体"/>
          <w:color w:val="auto"/>
          <w:kern w:val="0"/>
          <w:sz w:val="22"/>
          <w:szCs w:val="22"/>
          <w:highlight w:val="none"/>
          <w:lang w:val="en-US" w:eastAsia="zh-CN" w:bidi="ar"/>
        </w:rPr>
        <w:t>4、投标文件的递交</w:t>
      </w:r>
    </w:p>
    <w:p>
      <w:pPr>
        <w:keepNext w:val="0"/>
        <w:keepLines w:val="0"/>
        <w:widowControl/>
        <w:suppressLineNumbers w:val="0"/>
        <w:ind w:firstLine="440" w:firstLineChars="200"/>
        <w:jc w:val="left"/>
        <w:rPr>
          <w:color w:val="auto"/>
          <w:highlight w:val="none"/>
        </w:rPr>
      </w:pPr>
      <w:r>
        <w:rPr>
          <w:rFonts w:hint="eastAsia" w:ascii="宋体" w:hAnsi="宋体" w:eastAsia="宋体" w:cs="宋体"/>
          <w:color w:val="auto"/>
          <w:kern w:val="0"/>
          <w:sz w:val="22"/>
          <w:szCs w:val="22"/>
          <w:highlight w:val="none"/>
          <w:lang w:val="en-US" w:eastAsia="zh-CN" w:bidi="ar"/>
        </w:rPr>
        <w:t xml:space="preserve">递交投标文件时，需满足以下要求，否则该投标文件予以拒绝： </w:t>
      </w:r>
    </w:p>
    <w:p>
      <w:pPr>
        <w:keepNext w:val="0"/>
        <w:keepLines w:val="0"/>
        <w:widowControl/>
        <w:suppressLineNumbers w:val="0"/>
        <w:ind w:firstLine="442" w:firstLineChars="200"/>
        <w:jc w:val="left"/>
        <w:rPr>
          <w:color w:val="auto"/>
          <w:highlight w:val="none"/>
        </w:rPr>
      </w:pPr>
      <w:r>
        <w:rPr>
          <w:rFonts w:hint="eastAsia" w:ascii="宋体" w:hAnsi="宋体" w:eastAsia="宋体" w:cs="宋体"/>
          <w:b/>
          <w:bCs/>
          <w:color w:val="auto"/>
          <w:kern w:val="0"/>
          <w:sz w:val="22"/>
          <w:szCs w:val="22"/>
          <w:highlight w:val="none"/>
          <w:lang w:val="en-US" w:eastAsia="zh-CN" w:bidi="ar"/>
        </w:rPr>
        <w:t xml:space="preserve">4.1、在投标截止时间之前递交。 </w:t>
      </w:r>
    </w:p>
    <w:p>
      <w:pPr>
        <w:keepNext w:val="0"/>
        <w:keepLines w:val="0"/>
        <w:widowControl/>
        <w:suppressLineNumbers w:val="0"/>
        <w:ind w:firstLine="442" w:firstLineChars="200"/>
        <w:jc w:val="left"/>
        <w:rPr>
          <w:color w:val="auto"/>
          <w:highlight w:val="none"/>
        </w:rPr>
      </w:pPr>
      <w:r>
        <w:rPr>
          <w:rFonts w:hint="eastAsia" w:ascii="宋体" w:hAnsi="宋体" w:eastAsia="宋体" w:cs="宋体"/>
          <w:b/>
          <w:bCs/>
          <w:color w:val="auto"/>
          <w:kern w:val="0"/>
          <w:sz w:val="22"/>
          <w:szCs w:val="22"/>
          <w:highlight w:val="none"/>
          <w:lang w:val="en-US" w:eastAsia="zh-CN" w:bidi="ar"/>
        </w:rPr>
        <w:t xml:space="preserve">4.2、包装与密封符合采购文件要求。 </w:t>
      </w:r>
    </w:p>
    <w:p>
      <w:pPr>
        <w:keepNext w:val="0"/>
        <w:keepLines w:val="0"/>
        <w:widowControl/>
        <w:suppressLineNumbers w:val="0"/>
        <w:ind w:firstLine="442" w:firstLineChars="200"/>
        <w:jc w:val="left"/>
        <w:rPr>
          <w:color w:val="auto"/>
          <w:highlight w:val="none"/>
        </w:rPr>
      </w:pPr>
      <w:r>
        <w:rPr>
          <w:rFonts w:hint="eastAsia" w:ascii="宋体" w:hAnsi="宋体" w:eastAsia="宋体" w:cs="宋体"/>
          <w:b/>
          <w:bCs/>
          <w:color w:val="auto"/>
          <w:kern w:val="0"/>
          <w:sz w:val="22"/>
          <w:szCs w:val="22"/>
          <w:highlight w:val="none"/>
          <w:lang w:val="en-US" w:eastAsia="zh-CN" w:bidi="ar"/>
        </w:rPr>
        <w:t xml:space="preserve">4.3、投标文件递交到指定的投标地点。 </w:t>
      </w:r>
    </w:p>
    <w:p>
      <w:pPr>
        <w:keepNext w:val="0"/>
        <w:keepLines w:val="0"/>
        <w:widowControl/>
        <w:suppressLineNumbers w:val="0"/>
        <w:ind w:firstLine="442" w:firstLineChars="200"/>
        <w:jc w:val="left"/>
        <w:rPr>
          <w:color w:val="auto"/>
          <w:highlight w:val="none"/>
        </w:rPr>
      </w:pPr>
      <w:r>
        <w:rPr>
          <w:rFonts w:hint="eastAsia" w:ascii="宋体" w:hAnsi="宋体" w:eastAsia="宋体" w:cs="宋体"/>
          <w:b/>
          <w:bCs/>
          <w:color w:val="auto"/>
          <w:kern w:val="0"/>
          <w:sz w:val="22"/>
          <w:szCs w:val="22"/>
          <w:highlight w:val="none"/>
          <w:lang w:val="en-US" w:eastAsia="zh-CN" w:bidi="ar"/>
        </w:rPr>
        <w:t xml:space="preserve">4.4、投标供应商法定代表人或其授权代表必须携合法有效身份证明原件、投标文件等相关资料，按采购文件规定本人亲自递交，并签字签到。 </w:t>
      </w:r>
    </w:p>
    <w:p>
      <w:pPr>
        <w:spacing w:line="360" w:lineRule="exact"/>
        <w:rPr>
          <w:rFonts w:ascii="宋体" w:hAnsi="宋体" w:cs="宋体"/>
          <w:b/>
          <w:color w:val="auto"/>
          <w:sz w:val="21"/>
          <w:szCs w:val="21"/>
          <w:highlight w:val="none"/>
        </w:rPr>
      </w:pPr>
      <w:r>
        <w:rPr>
          <w:rFonts w:hint="eastAsia" w:ascii="宋体" w:hAnsi="宋体" w:cs="宋体"/>
          <w:b/>
          <w:color w:val="auto"/>
          <w:sz w:val="21"/>
          <w:szCs w:val="21"/>
          <w:highlight w:val="none"/>
        </w:rPr>
        <w:t>（</w:t>
      </w:r>
      <w:r>
        <w:rPr>
          <w:rFonts w:hint="eastAsia" w:ascii="宋体" w:hAnsi="宋体" w:cs="宋体"/>
          <w:b/>
          <w:color w:val="auto"/>
          <w:sz w:val="21"/>
          <w:szCs w:val="21"/>
          <w:highlight w:val="none"/>
          <w:lang w:eastAsia="zh-CN"/>
        </w:rPr>
        <w:t>八</w:t>
      </w:r>
      <w:r>
        <w:rPr>
          <w:rFonts w:hint="eastAsia" w:ascii="宋体" w:hAnsi="宋体" w:cs="宋体"/>
          <w:b/>
          <w:color w:val="auto"/>
          <w:sz w:val="21"/>
          <w:szCs w:val="21"/>
          <w:highlight w:val="none"/>
        </w:rPr>
        <w:t>）投标无效的情形</w:t>
      </w:r>
    </w:p>
    <w:p>
      <w:pPr>
        <w:spacing w:line="360" w:lineRule="exact"/>
        <w:ind w:firstLine="422" w:firstLineChars="200"/>
        <w:rPr>
          <w:rFonts w:ascii="宋体" w:hAnsi="宋体" w:cs="宋体"/>
          <w:b/>
          <w:color w:val="auto"/>
          <w:sz w:val="21"/>
          <w:szCs w:val="21"/>
          <w:highlight w:val="none"/>
        </w:rPr>
      </w:pPr>
      <w:r>
        <w:rPr>
          <w:rFonts w:hint="eastAsia" w:ascii="宋体" w:hAnsi="宋体" w:cs="宋体"/>
          <w:b/>
          <w:color w:val="auto"/>
          <w:sz w:val="21"/>
          <w:szCs w:val="21"/>
          <w:highlight w:val="none"/>
        </w:rPr>
        <w:t>1.在资格审查时，</w:t>
      </w:r>
      <w:r>
        <w:rPr>
          <w:rFonts w:hint="eastAsia" w:ascii="宋体" w:hAnsi="宋体" w:cs="宋体"/>
          <w:color w:val="auto"/>
          <w:sz w:val="21"/>
          <w:szCs w:val="21"/>
          <w:highlight w:val="none"/>
        </w:rPr>
        <w:t xml:space="preserve"> </w:t>
      </w:r>
      <w:r>
        <w:rPr>
          <w:rFonts w:hint="eastAsia" w:ascii="宋体" w:hAnsi="宋体" w:cs="宋体"/>
          <w:b/>
          <w:color w:val="auto"/>
          <w:sz w:val="21"/>
          <w:szCs w:val="21"/>
          <w:highlight w:val="none"/>
        </w:rPr>
        <w:t>如发现下列情形之一的，投标文件将被视为无效：</w:t>
      </w:r>
    </w:p>
    <w:p>
      <w:pPr>
        <w:spacing w:line="360" w:lineRule="exact"/>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（1）资格证明材料不全的，或者不符合招标文件要求的；</w:t>
      </w:r>
    </w:p>
    <w:p>
      <w:pPr>
        <w:spacing w:line="360" w:lineRule="exact"/>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（2）投标人不具备招标文件中规定的资格要求的；</w:t>
      </w:r>
    </w:p>
    <w:p>
      <w:pPr>
        <w:spacing w:line="36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（3）资格文件未按要求签署、盖章的；</w:t>
      </w:r>
    </w:p>
    <w:p>
      <w:pPr>
        <w:spacing w:line="360" w:lineRule="exact"/>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（4）经查询存在不良信用记录的。</w:t>
      </w:r>
    </w:p>
    <w:p>
      <w:pPr>
        <w:spacing w:line="360" w:lineRule="exact"/>
        <w:ind w:firstLine="422" w:firstLineChars="200"/>
        <w:rPr>
          <w:rFonts w:ascii="宋体" w:hAnsi="宋体" w:cs="宋体"/>
          <w:b/>
          <w:color w:val="auto"/>
          <w:sz w:val="21"/>
          <w:szCs w:val="21"/>
          <w:highlight w:val="none"/>
        </w:rPr>
      </w:pPr>
      <w:r>
        <w:rPr>
          <w:rFonts w:hint="eastAsia" w:ascii="宋体" w:hAnsi="宋体" w:cs="宋体"/>
          <w:b/>
          <w:color w:val="auto"/>
          <w:sz w:val="21"/>
          <w:szCs w:val="21"/>
          <w:highlight w:val="none"/>
        </w:rPr>
        <w:t>2.在符合性审查、商务技术评审时，如发现下列情形之一的，投标文件将被视为无效：</w:t>
      </w:r>
    </w:p>
    <w:p>
      <w:pPr>
        <w:spacing w:line="360" w:lineRule="exact"/>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（1）商务技术文件未按要求签署、盖章的；</w:t>
      </w:r>
    </w:p>
    <w:p>
      <w:pPr>
        <w:spacing w:line="360" w:lineRule="exact"/>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（2）未提供或未按要求提供投标函、</w:t>
      </w:r>
      <w:r>
        <w:rPr>
          <w:rFonts w:hint="eastAsia" w:ascii="宋体" w:hAnsi="宋体" w:cs="宋体"/>
          <w:color w:val="auto"/>
          <w:spacing w:val="-6"/>
          <w:sz w:val="21"/>
          <w:szCs w:val="21"/>
          <w:highlight w:val="none"/>
        </w:rPr>
        <w:t>法定代表人资格证明书、</w:t>
      </w:r>
      <w:r>
        <w:rPr>
          <w:rFonts w:hint="eastAsia" w:ascii="宋体" w:hAnsi="宋体" w:cs="宋体"/>
          <w:color w:val="auto"/>
          <w:sz w:val="21"/>
          <w:szCs w:val="21"/>
          <w:highlight w:val="none"/>
        </w:rPr>
        <w:t>法定代表人授权委托书、投标声明书；</w:t>
      </w:r>
    </w:p>
    <w:p>
      <w:pPr>
        <w:spacing w:line="360" w:lineRule="exact"/>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（3）明显不符合招标文件要求，或者与招标文件中标“▲”的项目发生实质性偏离的；</w:t>
      </w:r>
    </w:p>
    <w:p>
      <w:pPr>
        <w:spacing w:line="36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（4）未提供采购需求偏离表或环卫保洁承诺书的；</w:t>
      </w:r>
    </w:p>
    <w:p>
      <w:pPr>
        <w:spacing w:line="360" w:lineRule="exact"/>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（5）投标技术方案不明确，存在一个或一个以上备选（替代）投标方案的；</w:t>
      </w:r>
    </w:p>
    <w:p>
      <w:pPr>
        <w:spacing w:line="360" w:lineRule="exact"/>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（6）投标文件含有采购人不能接受的附加条件的；</w:t>
      </w:r>
    </w:p>
    <w:p>
      <w:pPr>
        <w:spacing w:line="360" w:lineRule="exact"/>
        <w:ind w:firstLine="420" w:firstLineChars="200"/>
        <w:rPr>
          <w:rFonts w:ascii="宋体" w:hAnsi="宋体" w:cs="宋体"/>
          <w:color w:val="auto"/>
          <w:spacing w:val="-6"/>
          <w:sz w:val="21"/>
          <w:szCs w:val="21"/>
          <w:highlight w:val="none"/>
        </w:rPr>
      </w:pPr>
      <w:r>
        <w:rPr>
          <w:rFonts w:hint="eastAsia" w:ascii="宋体" w:hAnsi="宋体" w:cs="宋体"/>
          <w:color w:val="auto"/>
          <w:sz w:val="21"/>
          <w:szCs w:val="21"/>
          <w:highlight w:val="none"/>
        </w:rPr>
        <w:t>（7）投标有效期不满足招标文件要求的；</w:t>
      </w:r>
      <w:r>
        <w:rPr>
          <w:rFonts w:hint="eastAsia" w:ascii="宋体" w:hAnsi="宋体" w:cs="宋体"/>
          <w:color w:val="auto"/>
          <w:spacing w:val="-6"/>
          <w:sz w:val="21"/>
          <w:szCs w:val="21"/>
          <w:highlight w:val="none"/>
        </w:rPr>
        <w:t xml:space="preserve"> </w:t>
      </w:r>
    </w:p>
    <w:p>
      <w:pPr>
        <w:spacing w:line="360" w:lineRule="exact"/>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（8）法律、法规和招标文件中规定的其他无效情形。</w:t>
      </w:r>
    </w:p>
    <w:p>
      <w:pPr>
        <w:spacing w:line="360" w:lineRule="exact"/>
        <w:ind w:firstLine="422" w:firstLineChars="200"/>
        <w:rPr>
          <w:rFonts w:ascii="宋体" w:hAnsi="宋体" w:cs="宋体"/>
          <w:b/>
          <w:color w:val="auto"/>
          <w:sz w:val="21"/>
          <w:szCs w:val="21"/>
          <w:highlight w:val="none"/>
        </w:rPr>
      </w:pPr>
      <w:r>
        <w:rPr>
          <w:rFonts w:hint="eastAsia" w:ascii="宋体" w:hAnsi="宋体" w:cs="宋体"/>
          <w:b/>
          <w:color w:val="auto"/>
          <w:sz w:val="21"/>
          <w:szCs w:val="21"/>
          <w:highlight w:val="none"/>
        </w:rPr>
        <w:t>3.在报价评审时，如发现下列情形之一的，投标文件将被视为无效：</w:t>
      </w:r>
    </w:p>
    <w:p>
      <w:pPr>
        <w:spacing w:line="360" w:lineRule="exact"/>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（1）报价文件未按要求签署、盖章的；</w:t>
      </w:r>
    </w:p>
    <w:p>
      <w:pPr>
        <w:spacing w:line="360" w:lineRule="exact"/>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（2）未提供或未按要求提供开标一览表或投标报价明细表；</w:t>
      </w:r>
    </w:p>
    <w:p>
      <w:pPr>
        <w:spacing w:line="360" w:lineRule="exact"/>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（3）未按照招标文件标明的币种报价的；</w:t>
      </w:r>
    </w:p>
    <w:p>
      <w:pPr>
        <w:spacing w:line="360" w:lineRule="exact"/>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（4）报价超过招标文件中规定的预算金额或者最高限价的；</w:t>
      </w:r>
    </w:p>
    <w:p>
      <w:pPr>
        <w:spacing w:line="360" w:lineRule="exact"/>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（5）报价具有选择性，或者开标价格与投标文件承诺的优惠（折扣）价格不一致的；</w:t>
      </w:r>
    </w:p>
    <w:p>
      <w:pPr>
        <w:spacing w:line="360" w:lineRule="exact"/>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特别说明：</w:t>
      </w:r>
      <w:r>
        <w:rPr>
          <w:rFonts w:hAnsi="宋体"/>
          <w:color w:val="auto"/>
          <w:sz w:val="21"/>
          <w:szCs w:val="21"/>
          <w:highlight w:val="none"/>
        </w:rPr>
        <w:t>评标委员会</w:t>
      </w:r>
      <w:r>
        <w:rPr>
          <w:rFonts w:hint="eastAsia" w:ascii="宋体" w:hAnsi="宋体" w:cs="宋体"/>
          <w:color w:val="auto"/>
          <w:sz w:val="21"/>
          <w:szCs w:val="21"/>
          <w:highlight w:val="none"/>
        </w:rPr>
        <w:t>认为投标人的报价明显低于其他投标人报价，有可能影响产品质量或者不能诚信履约的，应当要求其在评标现场合理的时间内提供书面说明，必要时提交相关证明材料；投标人不能证明其报价合理性的，</w:t>
      </w:r>
      <w:r>
        <w:rPr>
          <w:rFonts w:hAnsi="宋体"/>
          <w:color w:val="auto"/>
          <w:sz w:val="21"/>
          <w:szCs w:val="21"/>
          <w:highlight w:val="none"/>
        </w:rPr>
        <w:t>评标委员会</w:t>
      </w:r>
      <w:r>
        <w:rPr>
          <w:rFonts w:hint="eastAsia" w:ascii="宋体" w:hAnsi="宋体" w:cs="宋体"/>
          <w:color w:val="auto"/>
          <w:sz w:val="21"/>
          <w:szCs w:val="21"/>
          <w:highlight w:val="none"/>
        </w:rPr>
        <w:t>应当将其作为无效投标处理。</w:t>
      </w:r>
    </w:p>
    <w:p>
      <w:pPr>
        <w:spacing w:line="360" w:lineRule="exact"/>
        <w:ind w:firstLine="422" w:firstLineChars="200"/>
        <w:rPr>
          <w:rFonts w:ascii="宋体" w:hAnsi="宋体" w:cs="宋体"/>
          <w:b/>
          <w:color w:val="auto"/>
          <w:sz w:val="21"/>
          <w:szCs w:val="21"/>
          <w:highlight w:val="none"/>
        </w:rPr>
      </w:pPr>
      <w:r>
        <w:rPr>
          <w:rFonts w:hint="eastAsia" w:ascii="宋体" w:hAnsi="宋体" w:cs="宋体"/>
          <w:b/>
          <w:color w:val="auto"/>
          <w:sz w:val="21"/>
          <w:szCs w:val="21"/>
          <w:highlight w:val="none"/>
        </w:rPr>
        <w:t>4.有下列情形之一的，视为投标人串通投标，其投标无效：</w:t>
      </w:r>
    </w:p>
    <w:p>
      <w:pPr>
        <w:pStyle w:val="23"/>
        <w:spacing w:beforeLines="0" w:afterLines="0" w:line="360" w:lineRule="exact"/>
        <w:ind w:firstLine="420" w:firstLineChars="200"/>
        <w:rPr>
          <w:rFonts w:hAnsi="宋体" w:cs="宋体"/>
          <w:color w:val="auto"/>
          <w:sz w:val="21"/>
          <w:szCs w:val="21"/>
          <w:highlight w:val="none"/>
        </w:rPr>
      </w:pPr>
      <w:r>
        <w:rPr>
          <w:rFonts w:hint="eastAsia" w:hAnsi="宋体" w:cs="宋体"/>
          <w:color w:val="auto"/>
          <w:sz w:val="21"/>
          <w:szCs w:val="21"/>
          <w:highlight w:val="none"/>
        </w:rPr>
        <w:t>（1）不同投标人的投标文件由同一单位或者个人编制；</w:t>
      </w:r>
    </w:p>
    <w:p>
      <w:pPr>
        <w:pStyle w:val="23"/>
        <w:spacing w:beforeLines="0" w:afterLines="0" w:line="360" w:lineRule="exact"/>
        <w:ind w:firstLine="420" w:firstLineChars="200"/>
        <w:rPr>
          <w:rFonts w:hAnsi="宋体" w:cs="宋体"/>
          <w:color w:val="auto"/>
          <w:sz w:val="21"/>
          <w:szCs w:val="21"/>
          <w:highlight w:val="none"/>
        </w:rPr>
      </w:pPr>
      <w:r>
        <w:rPr>
          <w:rFonts w:hint="eastAsia" w:hAnsi="宋体" w:cs="宋体"/>
          <w:color w:val="auto"/>
          <w:sz w:val="21"/>
          <w:szCs w:val="21"/>
          <w:highlight w:val="none"/>
        </w:rPr>
        <w:t>（2）不同投标人委托同一单位或者个人办理投标事宜；</w:t>
      </w:r>
    </w:p>
    <w:p>
      <w:pPr>
        <w:pStyle w:val="23"/>
        <w:spacing w:beforeLines="0" w:afterLines="0" w:line="360" w:lineRule="exact"/>
        <w:ind w:firstLine="420" w:firstLineChars="200"/>
        <w:rPr>
          <w:rFonts w:hAnsi="宋体" w:cs="宋体"/>
          <w:color w:val="auto"/>
          <w:sz w:val="21"/>
          <w:szCs w:val="21"/>
          <w:highlight w:val="none"/>
        </w:rPr>
      </w:pPr>
      <w:r>
        <w:rPr>
          <w:rFonts w:hint="eastAsia" w:hAnsi="宋体" w:cs="宋体"/>
          <w:color w:val="auto"/>
          <w:sz w:val="21"/>
          <w:szCs w:val="21"/>
          <w:highlight w:val="none"/>
        </w:rPr>
        <w:t>（3）不同投标人的投标文件载明的项目管理成员或者联系人员为同一人；</w:t>
      </w:r>
    </w:p>
    <w:p>
      <w:pPr>
        <w:pStyle w:val="23"/>
        <w:spacing w:beforeLines="0" w:afterLines="0" w:line="360" w:lineRule="exact"/>
        <w:ind w:firstLine="420" w:firstLineChars="200"/>
        <w:rPr>
          <w:rFonts w:hAnsi="宋体" w:cs="宋体"/>
          <w:color w:val="auto"/>
          <w:sz w:val="21"/>
          <w:szCs w:val="21"/>
          <w:highlight w:val="none"/>
        </w:rPr>
      </w:pPr>
      <w:r>
        <w:rPr>
          <w:rFonts w:hint="eastAsia" w:hAnsi="宋体" w:cs="宋体"/>
          <w:color w:val="auto"/>
          <w:sz w:val="21"/>
          <w:szCs w:val="21"/>
          <w:highlight w:val="none"/>
        </w:rPr>
        <w:t>（4）不同投标人的投标文件异常一致或者投标报价呈规律性差异；</w:t>
      </w:r>
    </w:p>
    <w:p>
      <w:pPr>
        <w:pStyle w:val="23"/>
        <w:spacing w:beforeLines="0" w:afterLines="0" w:line="360" w:lineRule="exact"/>
        <w:ind w:firstLine="420" w:firstLineChars="200"/>
        <w:rPr>
          <w:rFonts w:hint="eastAsia" w:hAnsi="宋体" w:cs="宋体"/>
          <w:color w:val="auto"/>
          <w:sz w:val="21"/>
          <w:szCs w:val="21"/>
          <w:highlight w:val="none"/>
        </w:rPr>
      </w:pPr>
      <w:r>
        <w:rPr>
          <w:rFonts w:hint="eastAsia" w:hAnsi="宋体" w:cs="宋体"/>
          <w:color w:val="auto"/>
          <w:sz w:val="21"/>
          <w:szCs w:val="21"/>
          <w:highlight w:val="none"/>
        </w:rPr>
        <w:t>（5）不同投标人的投标文件相互混装。</w:t>
      </w:r>
    </w:p>
    <w:p>
      <w:pPr>
        <w:pStyle w:val="23"/>
        <w:spacing w:beforeLines="0" w:afterLines="0" w:line="360" w:lineRule="exact"/>
        <w:ind w:firstLine="420" w:firstLineChars="200"/>
        <w:rPr>
          <w:rFonts w:hAnsi="宋体" w:cs="宋体"/>
          <w:color w:val="auto"/>
          <w:sz w:val="21"/>
          <w:szCs w:val="21"/>
          <w:highlight w:val="none"/>
        </w:rPr>
      </w:pPr>
    </w:p>
    <w:p>
      <w:pPr>
        <w:pStyle w:val="6"/>
        <w:spacing w:before="0" w:after="0" w:line="480" w:lineRule="auto"/>
        <w:jc w:val="center"/>
        <w:rPr>
          <w:rFonts w:ascii="宋体" w:hAnsi="宋体" w:cs="宋体"/>
          <w:color w:val="auto"/>
          <w:sz w:val="28"/>
          <w:szCs w:val="28"/>
          <w:highlight w:val="none"/>
        </w:rPr>
      </w:pPr>
      <w:bookmarkStart w:id="313" w:name="_Toc105438830"/>
      <w:bookmarkStart w:id="314" w:name="_Toc105435672"/>
      <w:bookmarkStart w:id="315" w:name="_Toc105438778"/>
      <w:bookmarkStart w:id="316" w:name="_Toc105435544"/>
      <w:bookmarkStart w:id="317" w:name="_Toc105435730"/>
      <w:r>
        <w:rPr>
          <w:rFonts w:ascii="宋体" w:hAnsi="宋体" w:cs="宋体"/>
          <w:color w:val="auto"/>
          <w:sz w:val="28"/>
          <w:szCs w:val="28"/>
          <w:highlight w:val="none"/>
        </w:rPr>
        <w:t>四</w:t>
      </w:r>
      <w:r>
        <w:rPr>
          <w:rFonts w:hint="eastAsia" w:ascii="宋体" w:hAnsi="宋体" w:cs="宋体"/>
          <w:color w:val="auto"/>
          <w:sz w:val="28"/>
          <w:szCs w:val="28"/>
          <w:highlight w:val="none"/>
        </w:rPr>
        <w:t>、开 标</w:t>
      </w:r>
      <w:bookmarkEnd w:id="313"/>
      <w:bookmarkEnd w:id="314"/>
      <w:bookmarkEnd w:id="315"/>
      <w:bookmarkEnd w:id="316"/>
      <w:bookmarkEnd w:id="317"/>
    </w:p>
    <w:p>
      <w:pPr>
        <w:pStyle w:val="19"/>
        <w:spacing w:line="360" w:lineRule="exact"/>
        <w:ind w:firstLine="0"/>
        <w:rPr>
          <w:rFonts w:hAnsi="宋体"/>
          <w:b/>
          <w:color w:val="auto"/>
          <w:spacing w:val="0"/>
          <w:sz w:val="21"/>
          <w:szCs w:val="21"/>
          <w:highlight w:val="none"/>
        </w:rPr>
      </w:pPr>
      <w:r>
        <w:rPr>
          <w:rFonts w:hint="eastAsia" w:hAnsi="宋体"/>
          <w:b/>
          <w:color w:val="auto"/>
          <w:spacing w:val="0"/>
          <w:sz w:val="21"/>
          <w:szCs w:val="21"/>
          <w:highlight w:val="none"/>
        </w:rPr>
        <w:t>（一）开标准备</w:t>
      </w:r>
    </w:p>
    <w:p>
      <w:pPr>
        <w:pStyle w:val="19"/>
        <w:spacing w:line="360" w:lineRule="exact"/>
        <w:ind w:firstLine="396" w:firstLineChars="200"/>
        <w:rPr>
          <w:rFonts w:hint="eastAsia" w:hAnsi="宋体"/>
          <w:color w:val="auto"/>
          <w:spacing w:val="-6"/>
          <w:sz w:val="21"/>
          <w:szCs w:val="21"/>
          <w:highlight w:val="none"/>
        </w:rPr>
      </w:pPr>
      <w:r>
        <w:rPr>
          <w:rFonts w:hint="eastAsia" w:hAnsi="宋体"/>
          <w:color w:val="auto"/>
          <w:spacing w:val="-6"/>
          <w:sz w:val="21"/>
          <w:szCs w:val="21"/>
          <w:highlight w:val="none"/>
        </w:rPr>
        <w:t>1.制订开标、评审工作的组织方案，落实工作场地、设施，检查录音录像采集设备运行情况。</w:t>
      </w:r>
    </w:p>
    <w:p>
      <w:pPr>
        <w:pStyle w:val="19"/>
        <w:spacing w:line="360" w:lineRule="exact"/>
        <w:ind w:firstLine="396" w:firstLineChars="200"/>
        <w:rPr>
          <w:rFonts w:hAnsi="宋体"/>
          <w:color w:val="auto"/>
          <w:spacing w:val="-6"/>
          <w:sz w:val="21"/>
          <w:szCs w:val="21"/>
          <w:highlight w:val="none"/>
        </w:rPr>
      </w:pPr>
      <w:r>
        <w:rPr>
          <w:rFonts w:hint="eastAsia" w:hAnsi="宋体"/>
          <w:color w:val="auto"/>
          <w:spacing w:val="-6"/>
          <w:sz w:val="21"/>
          <w:szCs w:val="21"/>
          <w:highlight w:val="none"/>
        </w:rPr>
        <w:t>2.通知或邀请相关单位和人员出席开标、评审活动（按规定由相关监管部门或其授权机构随机抽取、通知的政府采购评审专家除外）。</w:t>
      </w:r>
    </w:p>
    <w:p>
      <w:pPr>
        <w:pStyle w:val="19"/>
        <w:spacing w:line="360" w:lineRule="exact"/>
        <w:ind w:firstLine="396" w:firstLineChars="200"/>
        <w:rPr>
          <w:rFonts w:hAnsi="宋体"/>
          <w:color w:val="auto"/>
          <w:spacing w:val="-6"/>
          <w:sz w:val="21"/>
          <w:szCs w:val="21"/>
          <w:highlight w:val="none"/>
        </w:rPr>
      </w:pPr>
      <w:r>
        <w:rPr>
          <w:rFonts w:hint="eastAsia" w:hAnsi="宋体"/>
          <w:color w:val="auto"/>
          <w:spacing w:val="-6"/>
          <w:sz w:val="21"/>
          <w:szCs w:val="21"/>
          <w:highlight w:val="none"/>
        </w:rPr>
        <w:t>3.准备政府采购项目的相关文件资料，如项目政府采购预算确认书（计划）、专家抽取有关凭证、项目书面说明、招标文件、补充文件及质疑答复情况、现场工作所需的相关登记表单、评审工作底稿等。</w:t>
      </w:r>
    </w:p>
    <w:p>
      <w:pPr>
        <w:pStyle w:val="19"/>
        <w:spacing w:line="360" w:lineRule="exact"/>
        <w:ind w:firstLine="396" w:firstLineChars="200"/>
        <w:rPr>
          <w:rFonts w:hAnsi="宋体"/>
          <w:color w:val="auto"/>
          <w:spacing w:val="-6"/>
          <w:sz w:val="21"/>
          <w:szCs w:val="21"/>
          <w:highlight w:val="none"/>
        </w:rPr>
      </w:pPr>
      <w:r>
        <w:rPr>
          <w:rFonts w:hint="eastAsia" w:hAnsi="宋体"/>
          <w:color w:val="auto"/>
          <w:spacing w:val="-6"/>
          <w:sz w:val="21"/>
          <w:szCs w:val="21"/>
          <w:highlight w:val="none"/>
        </w:rPr>
        <w:t>4.其他应准备的事项。</w:t>
      </w:r>
    </w:p>
    <w:p>
      <w:pPr>
        <w:pStyle w:val="19"/>
        <w:spacing w:line="360" w:lineRule="exact"/>
        <w:ind w:firstLine="0"/>
        <w:rPr>
          <w:rFonts w:hAnsi="宋体"/>
          <w:b/>
          <w:color w:val="auto"/>
          <w:spacing w:val="0"/>
          <w:sz w:val="21"/>
          <w:szCs w:val="21"/>
          <w:highlight w:val="none"/>
        </w:rPr>
      </w:pPr>
      <w:r>
        <w:rPr>
          <w:rFonts w:hint="eastAsia" w:hAnsi="宋体"/>
          <w:b/>
          <w:color w:val="auto"/>
          <w:spacing w:val="0"/>
          <w:sz w:val="21"/>
          <w:szCs w:val="21"/>
          <w:highlight w:val="none"/>
        </w:rPr>
        <w:t>（二）开标程序</w:t>
      </w:r>
    </w:p>
    <w:p>
      <w:pPr>
        <w:keepNext w:val="0"/>
        <w:keepLines w:val="0"/>
        <w:widowControl/>
        <w:suppressLineNumbers w:val="0"/>
        <w:ind w:firstLine="440" w:firstLineChars="200"/>
        <w:jc w:val="left"/>
        <w:rPr>
          <w:color w:val="auto"/>
          <w:highlight w:val="none"/>
        </w:rPr>
      </w:pPr>
      <w:r>
        <w:rPr>
          <w:rFonts w:hint="eastAsia" w:ascii="宋体" w:hAnsi="宋体" w:eastAsia="宋体" w:cs="宋体"/>
          <w:color w:val="auto"/>
          <w:kern w:val="0"/>
          <w:sz w:val="22"/>
          <w:szCs w:val="22"/>
          <w:highlight w:val="none"/>
          <w:lang w:val="en-US" w:eastAsia="zh-CN" w:bidi="ar"/>
        </w:rPr>
        <w:t xml:space="preserve">1、开标 </w:t>
      </w:r>
    </w:p>
    <w:p>
      <w:pPr>
        <w:keepNext w:val="0"/>
        <w:keepLines w:val="0"/>
        <w:widowControl/>
        <w:suppressLineNumbers w:val="0"/>
        <w:ind w:firstLine="440" w:firstLineChars="200"/>
        <w:jc w:val="left"/>
        <w:rPr>
          <w:color w:val="auto"/>
          <w:highlight w:val="none"/>
        </w:rPr>
      </w:pPr>
      <w:r>
        <w:rPr>
          <w:rFonts w:hint="eastAsia" w:ascii="宋体" w:hAnsi="宋体" w:eastAsia="宋体" w:cs="宋体"/>
          <w:color w:val="auto"/>
          <w:kern w:val="0"/>
          <w:sz w:val="22"/>
          <w:szCs w:val="22"/>
          <w:highlight w:val="none"/>
          <w:lang w:val="en-US" w:eastAsia="zh-CN" w:bidi="ar"/>
        </w:rPr>
        <w:t xml:space="preserve">1.1、采购代理按采购文件规定的时间、地点截标、开标。 </w:t>
      </w:r>
    </w:p>
    <w:p>
      <w:pPr>
        <w:keepNext w:val="0"/>
        <w:keepLines w:val="0"/>
        <w:widowControl/>
        <w:suppressLineNumbers w:val="0"/>
        <w:ind w:firstLine="440" w:firstLineChars="200"/>
        <w:jc w:val="left"/>
        <w:rPr>
          <w:color w:val="auto"/>
          <w:highlight w:val="none"/>
        </w:rPr>
      </w:pPr>
      <w:r>
        <w:rPr>
          <w:rFonts w:hint="eastAsia" w:ascii="宋体" w:hAnsi="宋体" w:eastAsia="宋体" w:cs="宋体"/>
          <w:color w:val="auto"/>
          <w:kern w:val="0"/>
          <w:sz w:val="22"/>
          <w:szCs w:val="22"/>
          <w:highlight w:val="none"/>
          <w:lang w:val="en-US" w:eastAsia="zh-CN" w:bidi="ar"/>
        </w:rPr>
        <w:t xml:space="preserve">1.2、投标人的授权代表必须出席开标签到，并积极配合可能的询标。 </w:t>
      </w:r>
    </w:p>
    <w:p>
      <w:pPr>
        <w:keepNext w:val="0"/>
        <w:keepLines w:val="0"/>
        <w:widowControl/>
        <w:suppressLineNumbers w:val="0"/>
        <w:ind w:firstLine="442" w:firstLineChars="200"/>
        <w:jc w:val="left"/>
        <w:rPr>
          <w:color w:val="auto"/>
          <w:highlight w:val="none"/>
        </w:rPr>
      </w:pPr>
      <w:r>
        <w:rPr>
          <w:rFonts w:hint="eastAsia" w:ascii="宋体" w:hAnsi="宋体" w:eastAsia="宋体" w:cs="宋体"/>
          <w:b/>
          <w:bCs/>
          <w:color w:val="auto"/>
          <w:kern w:val="0"/>
          <w:sz w:val="22"/>
          <w:szCs w:val="22"/>
          <w:highlight w:val="none"/>
          <w:lang w:val="en-US" w:eastAsia="zh-CN" w:bidi="ar"/>
        </w:rPr>
        <w:t xml:space="preserve">1.3、递交投标文件时，投标人法定代表人授权代表必须出示并递交法定代表人授权书原件（密 </w:t>
      </w:r>
    </w:p>
    <w:p>
      <w:pPr>
        <w:keepNext w:val="0"/>
        <w:keepLines w:val="0"/>
        <w:widowControl/>
        <w:suppressLineNumbers w:val="0"/>
        <w:jc w:val="left"/>
        <w:rPr>
          <w:color w:val="auto"/>
          <w:highlight w:val="none"/>
        </w:rPr>
      </w:pPr>
      <w:r>
        <w:rPr>
          <w:rFonts w:hint="eastAsia" w:ascii="宋体" w:hAnsi="宋体" w:eastAsia="宋体" w:cs="宋体"/>
          <w:b/>
          <w:bCs/>
          <w:color w:val="auto"/>
          <w:kern w:val="0"/>
          <w:sz w:val="22"/>
          <w:szCs w:val="22"/>
          <w:highlight w:val="none"/>
          <w:lang w:val="en-US" w:eastAsia="zh-CN" w:bidi="ar"/>
        </w:rPr>
        <w:t xml:space="preserve">封在技术资信部分投标文件中也为有效）、合法有效的身份证明原件；法定代表人直接作为投标代 </w:t>
      </w:r>
    </w:p>
    <w:p>
      <w:pPr>
        <w:keepNext w:val="0"/>
        <w:keepLines w:val="0"/>
        <w:widowControl/>
        <w:suppressLineNumbers w:val="0"/>
        <w:jc w:val="left"/>
        <w:rPr>
          <w:color w:val="auto"/>
          <w:highlight w:val="none"/>
        </w:rPr>
      </w:pPr>
      <w:r>
        <w:rPr>
          <w:rFonts w:hint="eastAsia" w:ascii="宋体" w:hAnsi="宋体" w:eastAsia="宋体" w:cs="宋体"/>
          <w:b/>
          <w:bCs/>
          <w:color w:val="auto"/>
          <w:kern w:val="0"/>
          <w:sz w:val="22"/>
          <w:szCs w:val="22"/>
          <w:highlight w:val="none"/>
          <w:lang w:val="en-US" w:eastAsia="zh-CN" w:bidi="ar"/>
        </w:rPr>
        <w:t xml:space="preserve">表的必须出示并递交营业执照复印件（密封在技术资信部分投标文件中也为有效）、合法有效的身 </w:t>
      </w:r>
    </w:p>
    <w:p>
      <w:pPr>
        <w:keepNext w:val="0"/>
        <w:keepLines w:val="0"/>
        <w:widowControl/>
        <w:suppressLineNumbers w:val="0"/>
        <w:jc w:val="left"/>
        <w:rPr>
          <w:color w:val="auto"/>
          <w:highlight w:val="none"/>
        </w:rPr>
      </w:pPr>
      <w:r>
        <w:rPr>
          <w:rFonts w:hint="eastAsia" w:ascii="宋体" w:hAnsi="宋体" w:eastAsia="宋体" w:cs="宋体"/>
          <w:b/>
          <w:bCs/>
          <w:color w:val="auto"/>
          <w:kern w:val="0"/>
          <w:sz w:val="22"/>
          <w:szCs w:val="22"/>
          <w:highlight w:val="none"/>
          <w:lang w:val="en-US" w:eastAsia="zh-CN" w:bidi="ar"/>
        </w:rPr>
        <w:t xml:space="preserve">份证明原件。 </w:t>
      </w:r>
    </w:p>
    <w:p>
      <w:pPr>
        <w:keepNext w:val="0"/>
        <w:keepLines w:val="0"/>
        <w:widowControl/>
        <w:suppressLineNumbers w:val="0"/>
        <w:jc w:val="left"/>
        <w:rPr>
          <w:color w:val="auto"/>
          <w:highlight w:val="none"/>
        </w:rPr>
      </w:pPr>
      <w:r>
        <w:rPr>
          <w:rFonts w:hint="eastAsia" w:ascii="宋体" w:hAnsi="宋体" w:eastAsia="宋体" w:cs="宋体"/>
          <w:b/>
          <w:bCs/>
          <w:color w:val="auto"/>
          <w:kern w:val="0"/>
          <w:sz w:val="22"/>
          <w:szCs w:val="22"/>
          <w:highlight w:val="none"/>
          <w:lang w:val="en-US" w:eastAsia="zh-CN" w:bidi="ar"/>
        </w:rPr>
        <w:t xml:space="preserve">未提供以上证明的投标文件将拒收。 </w:t>
      </w:r>
    </w:p>
    <w:p>
      <w:pPr>
        <w:keepNext w:val="0"/>
        <w:keepLines w:val="0"/>
        <w:widowControl/>
        <w:suppressLineNumbers w:val="0"/>
        <w:ind w:firstLine="440" w:firstLineChars="200"/>
        <w:jc w:val="left"/>
        <w:rPr>
          <w:color w:val="auto"/>
          <w:highlight w:val="none"/>
        </w:rPr>
      </w:pPr>
      <w:r>
        <w:rPr>
          <w:rFonts w:hint="eastAsia" w:ascii="宋体" w:hAnsi="宋体" w:eastAsia="宋体" w:cs="宋体"/>
          <w:color w:val="auto"/>
          <w:kern w:val="0"/>
          <w:sz w:val="22"/>
          <w:szCs w:val="22"/>
          <w:highlight w:val="none"/>
          <w:lang w:val="en-US" w:eastAsia="zh-CN" w:bidi="ar"/>
        </w:rPr>
        <w:t xml:space="preserve">1.4、开标程序 </w:t>
      </w:r>
    </w:p>
    <w:p>
      <w:pPr>
        <w:keepNext w:val="0"/>
        <w:keepLines w:val="0"/>
        <w:widowControl/>
        <w:suppressLineNumbers w:val="0"/>
        <w:ind w:firstLine="440" w:firstLineChars="200"/>
        <w:jc w:val="left"/>
        <w:rPr>
          <w:color w:val="auto"/>
          <w:highlight w:val="none"/>
        </w:rPr>
      </w:pPr>
      <w:r>
        <w:rPr>
          <w:rFonts w:hint="eastAsia" w:ascii="宋体" w:hAnsi="宋体" w:eastAsia="宋体" w:cs="宋体"/>
          <w:color w:val="auto"/>
          <w:kern w:val="0"/>
          <w:sz w:val="22"/>
          <w:szCs w:val="22"/>
          <w:highlight w:val="none"/>
          <w:lang w:val="en-US" w:eastAsia="zh-CN" w:bidi="ar"/>
        </w:rPr>
        <w:t xml:space="preserve">1）首先当众开启供应商技术资信标。 </w:t>
      </w:r>
    </w:p>
    <w:p>
      <w:pPr>
        <w:keepNext w:val="0"/>
        <w:keepLines w:val="0"/>
        <w:widowControl/>
        <w:suppressLineNumbers w:val="0"/>
        <w:jc w:val="left"/>
        <w:rPr>
          <w:color w:val="auto"/>
          <w:highlight w:val="none"/>
        </w:rPr>
      </w:pPr>
      <w:r>
        <w:rPr>
          <w:rFonts w:hint="eastAsia" w:ascii="宋体" w:hAnsi="宋体" w:eastAsia="宋体" w:cs="宋体"/>
          <w:color w:val="auto"/>
          <w:kern w:val="0"/>
          <w:sz w:val="22"/>
          <w:szCs w:val="22"/>
          <w:highlight w:val="none"/>
          <w:lang w:val="en-US" w:eastAsia="zh-CN" w:bidi="ar"/>
        </w:rPr>
        <w:t xml:space="preserve">按招标文件规定的开标时间，采购组织机构审查投标供应商代表合法身份证明、法定代表人授 </w:t>
      </w:r>
    </w:p>
    <w:p>
      <w:pPr>
        <w:keepNext w:val="0"/>
        <w:keepLines w:val="0"/>
        <w:widowControl/>
        <w:suppressLineNumbers w:val="0"/>
        <w:jc w:val="left"/>
        <w:rPr>
          <w:color w:val="auto"/>
          <w:highlight w:val="none"/>
        </w:rPr>
      </w:pPr>
      <w:r>
        <w:rPr>
          <w:rFonts w:hint="eastAsia" w:ascii="宋体" w:hAnsi="宋体" w:eastAsia="宋体" w:cs="宋体"/>
          <w:color w:val="auto"/>
          <w:kern w:val="0"/>
          <w:sz w:val="22"/>
          <w:szCs w:val="22"/>
          <w:highlight w:val="none"/>
          <w:lang w:val="en-US" w:eastAsia="zh-CN" w:bidi="ar"/>
        </w:rPr>
        <w:t xml:space="preserve">权书原件。 </w:t>
      </w:r>
    </w:p>
    <w:p>
      <w:pPr>
        <w:keepNext w:val="0"/>
        <w:keepLines w:val="0"/>
        <w:widowControl/>
        <w:suppressLineNumbers w:val="0"/>
        <w:jc w:val="left"/>
        <w:rPr>
          <w:color w:val="auto"/>
          <w:highlight w:val="none"/>
        </w:rPr>
      </w:pPr>
      <w:r>
        <w:rPr>
          <w:rFonts w:hint="eastAsia" w:ascii="宋体" w:hAnsi="宋体" w:eastAsia="宋体" w:cs="宋体"/>
          <w:color w:val="auto"/>
          <w:kern w:val="0"/>
          <w:sz w:val="22"/>
          <w:szCs w:val="22"/>
          <w:highlight w:val="none"/>
          <w:lang w:val="en-US" w:eastAsia="zh-CN" w:bidi="ar"/>
        </w:rPr>
        <w:t xml:space="preserve">为方便供应商投标，供应商法定代表人授权书原件密封在技术资信部分投标文件中的，开启其 </w:t>
      </w:r>
    </w:p>
    <w:p>
      <w:pPr>
        <w:keepNext w:val="0"/>
        <w:keepLines w:val="0"/>
        <w:widowControl/>
        <w:suppressLineNumbers w:val="0"/>
        <w:jc w:val="left"/>
        <w:rPr>
          <w:color w:val="auto"/>
          <w:highlight w:val="none"/>
        </w:rPr>
      </w:pPr>
      <w:r>
        <w:rPr>
          <w:rFonts w:hint="eastAsia" w:ascii="宋体" w:hAnsi="宋体" w:eastAsia="宋体" w:cs="宋体"/>
          <w:color w:val="auto"/>
          <w:kern w:val="0"/>
          <w:sz w:val="22"/>
          <w:szCs w:val="22"/>
          <w:highlight w:val="none"/>
          <w:lang w:val="en-US" w:eastAsia="zh-CN" w:bidi="ar"/>
        </w:rPr>
        <w:t xml:space="preserve">技术资信标后再进行审查，但对于其技术资信标的启封，采购人及采购机构不承担任何责任。 </w:t>
      </w:r>
    </w:p>
    <w:p>
      <w:pPr>
        <w:keepNext w:val="0"/>
        <w:keepLines w:val="0"/>
        <w:widowControl/>
        <w:suppressLineNumbers w:val="0"/>
        <w:ind w:firstLine="440" w:firstLineChars="200"/>
        <w:jc w:val="left"/>
        <w:rPr>
          <w:color w:val="auto"/>
          <w:highlight w:val="none"/>
        </w:rPr>
      </w:pPr>
      <w:r>
        <w:rPr>
          <w:rFonts w:hint="eastAsia" w:ascii="宋体" w:hAnsi="宋体" w:eastAsia="宋体" w:cs="宋体"/>
          <w:color w:val="auto"/>
          <w:kern w:val="0"/>
          <w:sz w:val="22"/>
          <w:szCs w:val="22"/>
          <w:highlight w:val="none"/>
          <w:lang w:val="en-US" w:eastAsia="zh-CN" w:bidi="ar"/>
        </w:rPr>
        <w:t xml:space="preserve">2）对各投标供应商进行资格审查，通过资格审查的投标供应商，进入其技术资信标评审。资格审查不通过的，退还其未拆封的相关投标文件。 </w:t>
      </w:r>
    </w:p>
    <w:p>
      <w:pPr>
        <w:keepNext w:val="0"/>
        <w:keepLines w:val="0"/>
        <w:widowControl/>
        <w:suppressLineNumbers w:val="0"/>
        <w:ind w:firstLine="440" w:firstLineChars="200"/>
        <w:jc w:val="left"/>
        <w:rPr>
          <w:color w:val="auto"/>
          <w:highlight w:val="none"/>
        </w:rPr>
      </w:pPr>
      <w:r>
        <w:rPr>
          <w:rFonts w:hint="eastAsia" w:ascii="宋体" w:hAnsi="宋体" w:eastAsia="宋体" w:cs="宋体"/>
          <w:color w:val="auto"/>
          <w:kern w:val="0"/>
          <w:sz w:val="22"/>
          <w:szCs w:val="22"/>
          <w:highlight w:val="none"/>
          <w:lang w:val="en-US" w:eastAsia="zh-CN" w:bidi="ar"/>
        </w:rPr>
        <w:t>3）由评标委员会对供应商资信、资质及技术进行评审。评审通过的投标人，进入商务报价标开标。不通过的，退还其商务报价部分投标文件。</w:t>
      </w:r>
    </w:p>
    <w:p>
      <w:pPr>
        <w:keepNext w:val="0"/>
        <w:keepLines w:val="0"/>
        <w:widowControl/>
        <w:suppressLineNumbers w:val="0"/>
        <w:ind w:firstLine="440" w:firstLineChars="200"/>
        <w:jc w:val="left"/>
        <w:rPr>
          <w:color w:val="auto"/>
          <w:highlight w:val="none"/>
        </w:rPr>
      </w:pPr>
      <w:r>
        <w:rPr>
          <w:rFonts w:hint="eastAsia" w:ascii="宋体" w:hAnsi="宋体" w:eastAsia="宋体" w:cs="宋体"/>
          <w:color w:val="auto"/>
          <w:kern w:val="0"/>
          <w:sz w:val="22"/>
          <w:szCs w:val="22"/>
          <w:highlight w:val="none"/>
          <w:lang w:val="en-US" w:eastAsia="zh-CN" w:bidi="ar"/>
        </w:rPr>
        <w:t xml:space="preserve">4）商务报价标开标 </w:t>
      </w:r>
    </w:p>
    <w:p>
      <w:pPr>
        <w:keepNext w:val="0"/>
        <w:keepLines w:val="0"/>
        <w:widowControl/>
        <w:suppressLineNumbers w:val="0"/>
        <w:ind w:firstLine="220" w:firstLineChars="100"/>
        <w:jc w:val="left"/>
        <w:rPr>
          <w:color w:val="auto"/>
          <w:highlight w:val="none"/>
        </w:rPr>
      </w:pPr>
      <w:r>
        <w:rPr>
          <w:rFonts w:hint="eastAsia" w:ascii="宋体" w:hAnsi="宋体" w:eastAsia="宋体" w:cs="宋体"/>
          <w:color w:val="auto"/>
          <w:kern w:val="0"/>
          <w:sz w:val="22"/>
          <w:szCs w:val="22"/>
          <w:highlight w:val="none"/>
          <w:lang w:val="en-US" w:eastAsia="zh-CN" w:bidi="ar"/>
        </w:rPr>
        <w:t xml:space="preserve">（1）开商务报价标时邀请所有投标人代表参加，参加开标的代表应准时出席并签名报到以证明 </w:t>
      </w:r>
    </w:p>
    <w:p>
      <w:pPr>
        <w:keepNext w:val="0"/>
        <w:keepLines w:val="0"/>
        <w:widowControl/>
        <w:suppressLineNumbers w:val="0"/>
        <w:jc w:val="left"/>
        <w:rPr>
          <w:color w:val="auto"/>
          <w:highlight w:val="none"/>
        </w:rPr>
      </w:pPr>
      <w:r>
        <w:rPr>
          <w:rFonts w:hint="eastAsia" w:ascii="宋体" w:hAnsi="宋体" w:eastAsia="宋体" w:cs="宋体"/>
          <w:color w:val="auto"/>
          <w:kern w:val="0"/>
          <w:sz w:val="22"/>
          <w:szCs w:val="22"/>
          <w:highlight w:val="none"/>
          <w:lang w:val="en-US" w:eastAsia="zh-CN" w:bidi="ar"/>
        </w:rPr>
        <w:t xml:space="preserve">其出席。投标人代表未及时参加商务报价标开标的，事后不得对开标过程和开标结果提出异议。 </w:t>
      </w:r>
    </w:p>
    <w:p>
      <w:pPr>
        <w:keepNext w:val="0"/>
        <w:keepLines w:val="0"/>
        <w:widowControl/>
        <w:suppressLineNumbers w:val="0"/>
        <w:ind w:firstLine="220" w:firstLineChars="100"/>
        <w:jc w:val="left"/>
        <w:rPr>
          <w:color w:val="auto"/>
          <w:highlight w:val="none"/>
        </w:rPr>
      </w:pPr>
      <w:r>
        <w:rPr>
          <w:rFonts w:hint="eastAsia" w:ascii="宋体" w:hAnsi="宋体" w:eastAsia="宋体" w:cs="宋体"/>
          <w:color w:val="auto"/>
          <w:kern w:val="0"/>
          <w:sz w:val="22"/>
          <w:szCs w:val="22"/>
          <w:highlight w:val="none"/>
          <w:lang w:val="en-US" w:eastAsia="zh-CN" w:bidi="ar"/>
        </w:rPr>
        <w:t xml:space="preserve">（2）宣布对各投标人有效身份证件等审查结果和技术、资信标得分情况。 </w:t>
      </w:r>
    </w:p>
    <w:p>
      <w:pPr>
        <w:keepNext w:val="0"/>
        <w:keepLines w:val="0"/>
        <w:widowControl/>
        <w:suppressLineNumbers w:val="0"/>
        <w:ind w:firstLine="220" w:firstLineChars="100"/>
        <w:jc w:val="left"/>
        <w:rPr>
          <w:color w:val="auto"/>
          <w:highlight w:val="none"/>
        </w:rPr>
      </w:pPr>
      <w:r>
        <w:rPr>
          <w:rFonts w:hint="eastAsia" w:ascii="宋体" w:hAnsi="宋体" w:eastAsia="宋体" w:cs="宋体"/>
          <w:color w:val="auto"/>
          <w:kern w:val="0"/>
          <w:sz w:val="22"/>
          <w:szCs w:val="22"/>
          <w:highlight w:val="none"/>
          <w:lang w:val="en-US" w:eastAsia="zh-CN" w:bidi="ar"/>
        </w:rPr>
        <w:t xml:space="preserve">（3）检查有效投标人“商务报价标”的密封情况，确认无误后开启“商务报价标”，唱读“开 </w:t>
      </w:r>
    </w:p>
    <w:p>
      <w:pPr>
        <w:keepNext w:val="0"/>
        <w:keepLines w:val="0"/>
        <w:widowControl/>
        <w:suppressLineNumbers w:val="0"/>
        <w:jc w:val="left"/>
        <w:rPr>
          <w:color w:val="auto"/>
          <w:highlight w:val="none"/>
        </w:rPr>
      </w:pPr>
      <w:r>
        <w:rPr>
          <w:rFonts w:hint="eastAsia" w:ascii="宋体" w:hAnsi="宋体" w:eastAsia="宋体" w:cs="宋体"/>
          <w:color w:val="auto"/>
          <w:kern w:val="0"/>
          <w:sz w:val="22"/>
          <w:szCs w:val="22"/>
          <w:highlight w:val="none"/>
          <w:lang w:val="en-US" w:eastAsia="zh-CN" w:bidi="ar"/>
        </w:rPr>
        <w:t xml:space="preserve">标一览表”全部内容。唱读结束后，投标人代表应对唱读内容及记录结果当场进行校核和签字确认， </w:t>
      </w:r>
    </w:p>
    <w:p>
      <w:pPr>
        <w:keepNext w:val="0"/>
        <w:keepLines w:val="0"/>
        <w:widowControl/>
        <w:suppressLineNumbers w:val="0"/>
        <w:jc w:val="left"/>
        <w:rPr>
          <w:color w:val="auto"/>
          <w:highlight w:val="none"/>
        </w:rPr>
      </w:pPr>
      <w:r>
        <w:rPr>
          <w:rFonts w:hint="eastAsia" w:ascii="宋体" w:hAnsi="宋体" w:eastAsia="宋体" w:cs="宋体"/>
          <w:color w:val="auto"/>
          <w:kern w:val="0"/>
          <w:sz w:val="22"/>
          <w:szCs w:val="22"/>
          <w:highlight w:val="none"/>
          <w:lang w:val="en-US" w:eastAsia="zh-CN" w:bidi="ar"/>
        </w:rPr>
        <w:t xml:space="preserve">如有异议应当场提出，否则视为默许同意。 </w:t>
      </w:r>
    </w:p>
    <w:p>
      <w:pPr>
        <w:keepNext w:val="0"/>
        <w:keepLines w:val="0"/>
        <w:widowControl/>
        <w:suppressLineNumbers w:val="0"/>
        <w:ind w:firstLine="220" w:firstLineChars="100"/>
        <w:jc w:val="left"/>
        <w:rPr>
          <w:color w:val="auto"/>
          <w:highlight w:val="none"/>
        </w:rPr>
      </w:pPr>
      <w:r>
        <w:rPr>
          <w:rFonts w:hint="eastAsia" w:ascii="宋体" w:hAnsi="宋体" w:eastAsia="宋体" w:cs="宋体"/>
          <w:color w:val="auto"/>
          <w:kern w:val="0"/>
          <w:sz w:val="22"/>
          <w:szCs w:val="22"/>
          <w:highlight w:val="none"/>
          <w:lang w:val="en-US" w:eastAsia="zh-CN" w:bidi="ar"/>
        </w:rPr>
        <w:t xml:space="preserve">（4）开标时没有启封和宣读的投标文件，原封退回给投标人。 </w:t>
      </w:r>
    </w:p>
    <w:p>
      <w:pPr>
        <w:keepNext w:val="0"/>
        <w:keepLines w:val="0"/>
        <w:widowControl/>
        <w:suppressLineNumbers w:val="0"/>
        <w:ind w:firstLine="220" w:firstLineChars="100"/>
        <w:jc w:val="left"/>
        <w:rPr>
          <w:color w:val="auto"/>
          <w:highlight w:val="none"/>
        </w:rPr>
      </w:pPr>
      <w:r>
        <w:rPr>
          <w:rFonts w:hint="eastAsia" w:ascii="宋体" w:hAnsi="宋体" w:eastAsia="宋体" w:cs="宋体"/>
          <w:color w:val="auto"/>
          <w:kern w:val="0"/>
          <w:sz w:val="22"/>
          <w:szCs w:val="22"/>
          <w:highlight w:val="none"/>
          <w:lang w:val="en-US" w:eastAsia="zh-CN" w:bidi="ar"/>
        </w:rPr>
        <w:t xml:space="preserve">（5）开商务标时，采购人指定专人作好记录，存档备查。 </w:t>
      </w:r>
    </w:p>
    <w:p>
      <w:pPr>
        <w:keepNext w:val="0"/>
        <w:keepLines w:val="0"/>
        <w:widowControl/>
        <w:suppressLineNumbers w:val="0"/>
        <w:ind w:firstLine="442" w:firstLineChars="200"/>
        <w:jc w:val="left"/>
        <w:rPr>
          <w:color w:val="auto"/>
          <w:highlight w:val="none"/>
        </w:rPr>
      </w:pPr>
      <w:r>
        <w:rPr>
          <w:rFonts w:hint="eastAsia" w:ascii="宋体" w:hAnsi="宋体" w:eastAsia="宋体" w:cs="宋体"/>
          <w:b/>
          <w:bCs/>
          <w:color w:val="auto"/>
          <w:kern w:val="0"/>
          <w:sz w:val="22"/>
          <w:szCs w:val="22"/>
          <w:highlight w:val="none"/>
          <w:lang w:val="en-US" w:eastAsia="zh-CN" w:bidi="ar"/>
        </w:rPr>
        <w:t xml:space="preserve">5）商务报价标开标时，投标文件中《开标一览表》内容与投标文件中明细表内容不一致的，以 《开标一览表》为准。投标报价明细表计算错误的，由供应商自负责任。 </w:t>
      </w:r>
    </w:p>
    <w:p>
      <w:pPr>
        <w:keepNext w:val="0"/>
        <w:keepLines w:val="0"/>
        <w:widowControl/>
        <w:suppressLineNumbers w:val="0"/>
        <w:ind w:firstLine="440" w:firstLineChars="200"/>
        <w:jc w:val="left"/>
        <w:rPr>
          <w:color w:val="auto"/>
          <w:highlight w:val="none"/>
        </w:rPr>
      </w:pPr>
      <w:r>
        <w:rPr>
          <w:rFonts w:hint="eastAsia" w:ascii="宋体" w:hAnsi="宋体" w:eastAsia="宋体" w:cs="宋体"/>
          <w:color w:val="auto"/>
          <w:kern w:val="0"/>
          <w:sz w:val="22"/>
          <w:szCs w:val="22"/>
          <w:highlight w:val="none"/>
          <w:lang w:val="en-US" w:eastAsia="zh-CN" w:bidi="ar"/>
        </w:rPr>
        <w:t xml:space="preserve">6）投标文件的大写金额和小写金额不一致的，以大写金额为准；总价金额与按单价汇总金额不一致的，以单价金额计算结果为准；单价金额小数点有明显错位的，应以总价为准，并修改单价；以文字表示的数据与数字表示的有差别，以文字为准修正数字；对不同文字文本投标文件的解释发生异议的，以中文文本为准。 </w:t>
      </w:r>
    </w:p>
    <w:p>
      <w:pPr>
        <w:keepNext w:val="0"/>
        <w:keepLines w:val="0"/>
        <w:widowControl/>
        <w:suppressLineNumbers w:val="0"/>
        <w:ind w:firstLine="442" w:firstLineChars="200"/>
        <w:jc w:val="left"/>
        <w:rPr>
          <w:color w:val="auto"/>
          <w:highlight w:val="none"/>
        </w:rPr>
      </w:pPr>
      <w:r>
        <w:rPr>
          <w:rFonts w:hint="eastAsia" w:ascii="宋体" w:hAnsi="宋体" w:eastAsia="宋体" w:cs="宋体"/>
          <w:b/>
          <w:bCs/>
          <w:color w:val="auto"/>
          <w:kern w:val="0"/>
          <w:sz w:val="22"/>
          <w:szCs w:val="22"/>
          <w:highlight w:val="none"/>
          <w:lang w:val="en-US" w:eastAsia="zh-CN" w:bidi="ar"/>
        </w:rPr>
        <w:t xml:space="preserve"> </w:t>
      </w:r>
    </w:p>
    <w:p>
      <w:pPr>
        <w:pStyle w:val="23"/>
        <w:spacing w:beforeLines="0" w:afterLines="0" w:line="360" w:lineRule="exact"/>
        <w:jc w:val="center"/>
        <w:rPr>
          <w:rFonts w:hAnsi="宋体"/>
          <w:b/>
          <w:color w:val="auto"/>
          <w:sz w:val="21"/>
          <w:szCs w:val="21"/>
          <w:highlight w:val="none"/>
        </w:rPr>
      </w:pPr>
    </w:p>
    <w:p>
      <w:pPr>
        <w:pStyle w:val="6"/>
        <w:spacing w:before="0" w:after="0" w:line="480" w:lineRule="auto"/>
        <w:jc w:val="center"/>
        <w:rPr>
          <w:rFonts w:ascii="宋体" w:hAnsi="宋体" w:cs="宋体"/>
          <w:color w:val="auto"/>
          <w:sz w:val="28"/>
          <w:szCs w:val="28"/>
          <w:highlight w:val="none"/>
        </w:rPr>
      </w:pPr>
      <w:bookmarkStart w:id="318" w:name="_Toc105435673"/>
      <w:bookmarkStart w:id="319" w:name="_Toc105435545"/>
      <w:bookmarkStart w:id="320" w:name="_Toc105435731"/>
      <w:bookmarkStart w:id="321" w:name="_Toc105438779"/>
      <w:bookmarkStart w:id="322" w:name="_Toc105438831"/>
      <w:r>
        <w:rPr>
          <w:rFonts w:ascii="宋体" w:hAnsi="宋体" w:cs="宋体"/>
          <w:color w:val="auto"/>
          <w:sz w:val="28"/>
          <w:szCs w:val="28"/>
          <w:highlight w:val="none"/>
        </w:rPr>
        <w:t>五</w:t>
      </w:r>
      <w:r>
        <w:rPr>
          <w:rFonts w:hint="eastAsia" w:ascii="宋体" w:hAnsi="宋体" w:cs="宋体"/>
          <w:color w:val="auto"/>
          <w:sz w:val="28"/>
          <w:szCs w:val="28"/>
          <w:highlight w:val="none"/>
        </w:rPr>
        <w:t>、评 标</w:t>
      </w:r>
      <w:bookmarkEnd w:id="318"/>
      <w:bookmarkEnd w:id="319"/>
      <w:bookmarkEnd w:id="320"/>
      <w:bookmarkEnd w:id="321"/>
      <w:bookmarkEnd w:id="322"/>
    </w:p>
    <w:p>
      <w:pPr>
        <w:spacing w:line="360" w:lineRule="exact"/>
        <w:rPr>
          <w:rFonts w:ascii="宋体" w:hAnsi="宋体"/>
          <w:b/>
          <w:color w:val="auto"/>
          <w:sz w:val="21"/>
          <w:szCs w:val="21"/>
          <w:highlight w:val="none"/>
        </w:rPr>
      </w:pPr>
      <w:r>
        <w:rPr>
          <w:rFonts w:hint="eastAsia" w:ascii="宋体" w:hAnsi="宋体"/>
          <w:b/>
          <w:color w:val="auto"/>
          <w:sz w:val="21"/>
          <w:szCs w:val="21"/>
          <w:highlight w:val="none"/>
        </w:rPr>
        <w:t>（一）组建评标委员会</w:t>
      </w:r>
    </w:p>
    <w:p>
      <w:pPr>
        <w:widowControl/>
        <w:spacing w:line="400" w:lineRule="exact"/>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评标委员会构成：</w:t>
      </w:r>
      <w:r>
        <w:rPr>
          <w:rFonts w:hint="eastAsia" w:ascii="宋体" w:hAnsi="宋体" w:cs="宋体"/>
          <w:color w:val="auto"/>
          <w:sz w:val="21"/>
          <w:szCs w:val="21"/>
          <w:highlight w:val="none"/>
          <w:lang w:eastAsia="zh-CN"/>
        </w:rPr>
        <w:t>由采购人代表以及有关技术、经济等方面的专家组成，成员为7人及以上单数，其中技术、经济类专家不得少于总人数的2/3；</w:t>
      </w:r>
    </w:p>
    <w:p>
      <w:pPr>
        <w:pStyle w:val="19"/>
        <w:spacing w:line="360" w:lineRule="exact"/>
        <w:ind w:firstLine="0"/>
        <w:rPr>
          <w:rFonts w:hint="eastAsia" w:hAnsi="宋体" w:cs="宋体"/>
          <w:color w:val="auto"/>
          <w:sz w:val="21"/>
          <w:szCs w:val="21"/>
          <w:highlight w:val="none"/>
        </w:rPr>
      </w:pPr>
      <w:r>
        <w:rPr>
          <w:rFonts w:hint="eastAsia" w:hAnsi="宋体" w:cs="宋体"/>
          <w:color w:val="auto"/>
          <w:sz w:val="21"/>
          <w:szCs w:val="21"/>
          <w:highlight w:val="none"/>
        </w:rPr>
        <w:t>评标专家确定方式：按相关规定从专家库中抽取。</w:t>
      </w:r>
    </w:p>
    <w:p>
      <w:pPr>
        <w:pStyle w:val="19"/>
        <w:spacing w:line="360" w:lineRule="exact"/>
        <w:ind w:firstLine="0"/>
        <w:rPr>
          <w:rFonts w:hAnsi="宋体"/>
          <w:b/>
          <w:color w:val="auto"/>
          <w:spacing w:val="0"/>
          <w:sz w:val="21"/>
          <w:szCs w:val="21"/>
          <w:highlight w:val="none"/>
        </w:rPr>
      </w:pPr>
      <w:r>
        <w:rPr>
          <w:rFonts w:hAnsi="宋体"/>
          <w:b/>
          <w:color w:val="auto"/>
          <w:spacing w:val="0"/>
          <w:sz w:val="21"/>
          <w:szCs w:val="21"/>
          <w:highlight w:val="none"/>
        </w:rPr>
        <w:t>（二</w:t>
      </w:r>
      <w:r>
        <w:rPr>
          <w:rFonts w:hint="eastAsia" w:hAnsi="宋体"/>
          <w:b/>
          <w:color w:val="auto"/>
          <w:spacing w:val="0"/>
          <w:sz w:val="21"/>
          <w:szCs w:val="21"/>
          <w:highlight w:val="none"/>
        </w:rPr>
        <w:t>）评标</w:t>
      </w:r>
      <w:r>
        <w:rPr>
          <w:rFonts w:hAnsi="宋体"/>
          <w:b/>
          <w:color w:val="auto"/>
          <w:spacing w:val="0"/>
          <w:sz w:val="21"/>
          <w:szCs w:val="21"/>
          <w:highlight w:val="none"/>
        </w:rPr>
        <w:t>的方式</w:t>
      </w:r>
    </w:p>
    <w:p>
      <w:pPr>
        <w:pStyle w:val="19"/>
        <w:spacing w:line="360" w:lineRule="exact"/>
        <w:ind w:firstLine="420" w:firstLineChars="200"/>
        <w:rPr>
          <w:rFonts w:hAnsi="宋体"/>
          <w:color w:val="auto"/>
          <w:spacing w:val="0"/>
          <w:sz w:val="21"/>
          <w:szCs w:val="21"/>
          <w:highlight w:val="none"/>
        </w:rPr>
      </w:pPr>
      <w:r>
        <w:rPr>
          <w:rFonts w:hAnsi="宋体"/>
          <w:color w:val="auto"/>
          <w:spacing w:val="0"/>
          <w:sz w:val="21"/>
          <w:szCs w:val="21"/>
          <w:highlight w:val="none"/>
        </w:rPr>
        <w:t>本项目采用不公开方式评标，评标的依据为招标文件和投标文件。</w:t>
      </w:r>
    </w:p>
    <w:p>
      <w:pPr>
        <w:pStyle w:val="19"/>
        <w:spacing w:line="360" w:lineRule="exact"/>
        <w:ind w:firstLine="0"/>
        <w:rPr>
          <w:rFonts w:hAnsi="宋体"/>
          <w:b/>
          <w:color w:val="auto"/>
          <w:spacing w:val="0"/>
          <w:sz w:val="21"/>
          <w:szCs w:val="21"/>
          <w:highlight w:val="none"/>
        </w:rPr>
      </w:pPr>
      <w:r>
        <w:rPr>
          <w:rFonts w:hAnsi="宋体"/>
          <w:b/>
          <w:color w:val="auto"/>
          <w:spacing w:val="0"/>
          <w:sz w:val="21"/>
          <w:szCs w:val="21"/>
          <w:highlight w:val="none"/>
        </w:rPr>
        <w:t>（三）</w:t>
      </w:r>
      <w:r>
        <w:rPr>
          <w:rFonts w:hint="eastAsia" w:hAnsi="宋体"/>
          <w:b/>
          <w:color w:val="auto"/>
          <w:spacing w:val="0"/>
          <w:sz w:val="21"/>
          <w:szCs w:val="21"/>
          <w:highlight w:val="none"/>
        </w:rPr>
        <w:t>评标</w:t>
      </w:r>
      <w:r>
        <w:rPr>
          <w:rFonts w:hAnsi="宋体"/>
          <w:b/>
          <w:color w:val="auto"/>
          <w:spacing w:val="0"/>
          <w:sz w:val="21"/>
          <w:szCs w:val="21"/>
          <w:highlight w:val="none"/>
        </w:rPr>
        <w:t>程序</w:t>
      </w:r>
    </w:p>
    <w:p>
      <w:pPr>
        <w:pStyle w:val="19"/>
        <w:spacing w:line="360" w:lineRule="exact"/>
        <w:ind w:firstLine="420" w:firstLineChars="200"/>
        <w:rPr>
          <w:rFonts w:hAnsi="宋体"/>
          <w:color w:val="auto"/>
          <w:spacing w:val="0"/>
          <w:sz w:val="21"/>
          <w:szCs w:val="21"/>
          <w:highlight w:val="none"/>
        </w:rPr>
      </w:pPr>
      <w:r>
        <w:rPr>
          <w:rFonts w:hint="eastAsia" w:hAnsi="宋体"/>
          <w:color w:val="auto"/>
          <w:spacing w:val="0"/>
          <w:sz w:val="21"/>
          <w:szCs w:val="21"/>
          <w:highlight w:val="none"/>
        </w:rPr>
        <w:t>1.</w:t>
      </w:r>
      <w:r>
        <w:rPr>
          <w:rFonts w:hAnsi="宋体"/>
          <w:color w:val="auto"/>
          <w:spacing w:val="0"/>
          <w:sz w:val="21"/>
          <w:szCs w:val="21"/>
          <w:highlight w:val="none"/>
        </w:rPr>
        <w:t>介绍评标现场的人员情况，宣布评标工作纪律，告知</w:t>
      </w:r>
      <w:r>
        <w:rPr>
          <w:rFonts w:hint="eastAsia" w:hAnsi="宋体"/>
          <w:color w:val="auto"/>
          <w:spacing w:val="0"/>
          <w:sz w:val="21"/>
          <w:szCs w:val="21"/>
          <w:highlight w:val="none"/>
        </w:rPr>
        <w:t>评标委员会</w:t>
      </w:r>
      <w:r>
        <w:rPr>
          <w:rFonts w:hAnsi="宋体"/>
          <w:color w:val="auto"/>
          <w:spacing w:val="0"/>
          <w:sz w:val="21"/>
          <w:szCs w:val="21"/>
          <w:highlight w:val="none"/>
        </w:rPr>
        <w:t>应当回避情形</w:t>
      </w:r>
      <w:r>
        <w:rPr>
          <w:rFonts w:hint="eastAsia" w:hAnsi="宋体"/>
          <w:color w:val="auto"/>
          <w:spacing w:val="0"/>
          <w:sz w:val="21"/>
          <w:szCs w:val="21"/>
          <w:highlight w:val="none"/>
        </w:rPr>
        <w:t>，</w:t>
      </w:r>
      <w:r>
        <w:rPr>
          <w:rFonts w:hAnsi="宋体"/>
          <w:color w:val="auto"/>
          <w:spacing w:val="0"/>
          <w:sz w:val="21"/>
          <w:szCs w:val="21"/>
          <w:highlight w:val="none"/>
        </w:rPr>
        <w:t>组织推选</w:t>
      </w:r>
      <w:r>
        <w:rPr>
          <w:rFonts w:hint="eastAsia" w:hAnsi="宋体"/>
          <w:color w:val="auto"/>
          <w:spacing w:val="0"/>
          <w:sz w:val="21"/>
          <w:szCs w:val="21"/>
          <w:highlight w:val="none"/>
        </w:rPr>
        <w:t>评标委员会</w:t>
      </w:r>
      <w:r>
        <w:rPr>
          <w:rFonts w:hAnsi="宋体"/>
          <w:color w:val="auto"/>
          <w:spacing w:val="0"/>
          <w:sz w:val="21"/>
          <w:szCs w:val="21"/>
          <w:highlight w:val="none"/>
        </w:rPr>
        <w:t>组长。</w:t>
      </w:r>
    </w:p>
    <w:p>
      <w:pPr>
        <w:pStyle w:val="19"/>
        <w:spacing w:line="360" w:lineRule="exact"/>
        <w:ind w:firstLine="420" w:firstLineChars="200"/>
        <w:rPr>
          <w:rFonts w:hAnsi="宋体"/>
          <w:color w:val="auto"/>
          <w:spacing w:val="0"/>
          <w:sz w:val="21"/>
          <w:szCs w:val="21"/>
          <w:highlight w:val="none"/>
        </w:rPr>
      </w:pPr>
      <w:r>
        <w:rPr>
          <w:rFonts w:hint="eastAsia" w:hAnsi="宋体"/>
          <w:color w:val="auto"/>
          <w:spacing w:val="0"/>
          <w:sz w:val="21"/>
          <w:szCs w:val="21"/>
          <w:highlight w:val="none"/>
        </w:rPr>
        <w:t>2.</w:t>
      </w:r>
      <w:r>
        <w:rPr>
          <w:rFonts w:hAnsi="宋体"/>
          <w:color w:val="auto"/>
          <w:spacing w:val="0"/>
          <w:sz w:val="21"/>
          <w:szCs w:val="21"/>
          <w:highlight w:val="none"/>
        </w:rPr>
        <w:t>通报</w:t>
      </w:r>
      <w:r>
        <w:rPr>
          <w:rFonts w:hint="eastAsia" w:hAnsi="宋体"/>
          <w:color w:val="auto"/>
          <w:spacing w:val="0"/>
          <w:sz w:val="21"/>
          <w:szCs w:val="21"/>
          <w:highlight w:val="none"/>
        </w:rPr>
        <w:t>依法获取招标文件的投标人</w:t>
      </w:r>
      <w:r>
        <w:rPr>
          <w:rFonts w:hAnsi="宋体"/>
          <w:color w:val="auto"/>
          <w:spacing w:val="0"/>
          <w:sz w:val="21"/>
          <w:szCs w:val="21"/>
          <w:highlight w:val="none"/>
        </w:rPr>
        <w:t>名单及资格预审情况（如有），宣读最终提交</w:t>
      </w:r>
      <w:r>
        <w:rPr>
          <w:rFonts w:hint="eastAsia" w:hAnsi="宋体"/>
          <w:color w:val="auto"/>
          <w:spacing w:val="0"/>
          <w:sz w:val="21"/>
          <w:szCs w:val="21"/>
          <w:highlight w:val="none"/>
        </w:rPr>
        <w:t>投标文件</w:t>
      </w:r>
      <w:r>
        <w:rPr>
          <w:rFonts w:hAnsi="宋体"/>
          <w:color w:val="auto"/>
          <w:spacing w:val="0"/>
          <w:sz w:val="21"/>
          <w:szCs w:val="21"/>
          <w:highlight w:val="none"/>
        </w:rPr>
        <w:t>的</w:t>
      </w:r>
      <w:r>
        <w:rPr>
          <w:rFonts w:hint="eastAsia" w:hAnsi="宋体"/>
          <w:color w:val="auto"/>
          <w:spacing w:val="0"/>
          <w:sz w:val="21"/>
          <w:szCs w:val="21"/>
          <w:highlight w:val="none"/>
        </w:rPr>
        <w:t>投标人</w:t>
      </w:r>
      <w:r>
        <w:rPr>
          <w:rFonts w:hAnsi="宋体"/>
          <w:color w:val="auto"/>
          <w:spacing w:val="0"/>
          <w:sz w:val="21"/>
          <w:szCs w:val="21"/>
          <w:highlight w:val="none"/>
        </w:rPr>
        <w:t>名单，组织</w:t>
      </w:r>
      <w:r>
        <w:rPr>
          <w:rFonts w:hint="eastAsia" w:hAnsi="宋体"/>
          <w:color w:val="auto"/>
          <w:spacing w:val="0"/>
          <w:sz w:val="21"/>
          <w:szCs w:val="21"/>
          <w:highlight w:val="none"/>
        </w:rPr>
        <w:t>评标委员会</w:t>
      </w:r>
      <w:r>
        <w:rPr>
          <w:rFonts w:hAnsi="宋体"/>
          <w:color w:val="auto"/>
          <w:spacing w:val="0"/>
          <w:sz w:val="21"/>
          <w:szCs w:val="21"/>
          <w:highlight w:val="none"/>
        </w:rPr>
        <w:t>各位成员签订《政府采购评审人员廉洁自律承诺书》。</w:t>
      </w:r>
    </w:p>
    <w:p>
      <w:pPr>
        <w:pStyle w:val="19"/>
        <w:spacing w:line="360" w:lineRule="exact"/>
        <w:ind w:firstLine="404" w:firstLineChars="200"/>
        <w:rPr>
          <w:rFonts w:hint="eastAsia" w:hAnsi="宋体"/>
          <w:color w:val="auto"/>
          <w:sz w:val="21"/>
          <w:szCs w:val="21"/>
          <w:highlight w:val="none"/>
        </w:rPr>
      </w:pPr>
      <w:r>
        <w:rPr>
          <w:rFonts w:hint="eastAsia" w:hAnsi="宋体"/>
          <w:color w:val="auto"/>
          <w:sz w:val="21"/>
          <w:szCs w:val="21"/>
          <w:highlight w:val="none"/>
        </w:rPr>
        <w:t>3.</w:t>
      </w:r>
      <w:r>
        <w:rPr>
          <w:rFonts w:hAnsi="宋体"/>
          <w:color w:val="auto"/>
          <w:sz w:val="21"/>
          <w:szCs w:val="21"/>
          <w:highlight w:val="none"/>
        </w:rPr>
        <w:t>根据需要简要介绍</w:t>
      </w:r>
      <w:r>
        <w:rPr>
          <w:rFonts w:hint="eastAsia" w:hAnsi="宋体"/>
          <w:color w:val="auto"/>
          <w:sz w:val="21"/>
          <w:szCs w:val="21"/>
          <w:highlight w:val="none"/>
        </w:rPr>
        <w:t>招标</w:t>
      </w:r>
      <w:r>
        <w:rPr>
          <w:rFonts w:hAnsi="宋体"/>
          <w:color w:val="auto"/>
          <w:sz w:val="21"/>
          <w:szCs w:val="21"/>
          <w:highlight w:val="none"/>
        </w:rPr>
        <w:t>文件（含补充文件）制定及质疑答复情况、按书面陈述项目基本情况及评审工作需注意事项等，让评审专家尽快知悉和了解所评审项目的采购需求、评审依据、评审标准、工作程序等；提醒</w:t>
      </w:r>
      <w:r>
        <w:rPr>
          <w:rFonts w:hint="eastAsia" w:hAnsi="宋体"/>
          <w:color w:val="auto"/>
          <w:sz w:val="21"/>
          <w:szCs w:val="21"/>
          <w:highlight w:val="none"/>
        </w:rPr>
        <w:t>评标委员会</w:t>
      </w:r>
      <w:r>
        <w:rPr>
          <w:rFonts w:hAnsi="宋体"/>
          <w:color w:val="auto"/>
          <w:sz w:val="21"/>
          <w:szCs w:val="21"/>
          <w:highlight w:val="none"/>
        </w:rPr>
        <w:t>对客观评审项目应统一评审依据和评审标准，对主观评审项目应确定大致的评审要求和评审尺度；对</w:t>
      </w:r>
      <w:r>
        <w:rPr>
          <w:rFonts w:hint="eastAsia" w:hAnsi="宋体"/>
          <w:color w:val="auto"/>
          <w:sz w:val="21"/>
          <w:szCs w:val="21"/>
          <w:highlight w:val="none"/>
        </w:rPr>
        <w:t>评标委员会</w:t>
      </w:r>
      <w:r>
        <w:rPr>
          <w:rFonts w:hAnsi="宋体"/>
          <w:color w:val="auto"/>
          <w:sz w:val="21"/>
          <w:szCs w:val="21"/>
          <w:highlight w:val="none"/>
        </w:rPr>
        <w:t>提出的有关</w:t>
      </w:r>
      <w:r>
        <w:rPr>
          <w:rFonts w:hint="eastAsia" w:hAnsi="宋体"/>
          <w:color w:val="auto"/>
          <w:sz w:val="21"/>
          <w:szCs w:val="21"/>
          <w:highlight w:val="none"/>
        </w:rPr>
        <w:t>招标</w:t>
      </w:r>
      <w:r>
        <w:rPr>
          <w:rFonts w:hAnsi="宋体"/>
          <w:color w:val="auto"/>
          <w:sz w:val="21"/>
          <w:szCs w:val="21"/>
          <w:highlight w:val="none"/>
        </w:rPr>
        <w:t>文件、</w:t>
      </w:r>
      <w:r>
        <w:rPr>
          <w:rFonts w:hint="eastAsia" w:hAnsi="宋体"/>
          <w:color w:val="auto"/>
          <w:sz w:val="21"/>
          <w:szCs w:val="21"/>
          <w:highlight w:val="none"/>
        </w:rPr>
        <w:t>投标</w:t>
      </w:r>
      <w:r>
        <w:rPr>
          <w:rFonts w:hAnsi="宋体"/>
          <w:color w:val="auto"/>
          <w:sz w:val="21"/>
          <w:szCs w:val="21"/>
          <w:highlight w:val="none"/>
        </w:rPr>
        <w:t>文件的问题进行必要的说明、解释或讨论。</w:t>
      </w:r>
    </w:p>
    <w:p>
      <w:pPr>
        <w:pStyle w:val="19"/>
        <w:spacing w:line="360" w:lineRule="exact"/>
        <w:ind w:firstLine="396" w:firstLineChars="200"/>
        <w:rPr>
          <w:rFonts w:hint="eastAsia" w:hAnsi="宋体"/>
          <w:color w:val="auto"/>
          <w:spacing w:val="-6"/>
          <w:sz w:val="21"/>
          <w:szCs w:val="21"/>
          <w:highlight w:val="none"/>
        </w:rPr>
      </w:pPr>
      <w:r>
        <w:rPr>
          <w:rFonts w:hint="eastAsia" w:hAnsi="宋体"/>
          <w:color w:val="auto"/>
          <w:spacing w:val="-6"/>
          <w:sz w:val="21"/>
          <w:szCs w:val="21"/>
          <w:highlight w:val="none"/>
        </w:rPr>
        <w:t>4.开启投标文件后，采购人或采购代理机构将依法对投标人的资格进行审查，投标人未按照招标文件要求提供与资格条件相应的有效资格证明材料的，视为投标人不具备招标文件中规定的资格要求，其资格审查不通过，不再进行后续评审。</w:t>
      </w:r>
    </w:p>
    <w:p>
      <w:pPr>
        <w:pStyle w:val="19"/>
        <w:spacing w:line="360" w:lineRule="exact"/>
        <w:ind w:firstLine="396" w:firstLineChars="200"/>
        <w:rPr>
          <w:rFonts w:hint="eastAsia" w:hAnsi="宋体"/>
          <w:color w:val="auto"/>
          <w:spacing w:val="-6"/>
          <w:sz w:val="21"/>
          <w:szCs w:val="21"/>
          <w:highlight w:val="none"/>
        </w:rPr>
      </w:pPr>
      <w:r>
        <w:rPr>
          <w:rFonts w:hint="eastAsia" w:hAnsi="宋体"/>
          <w:color w:val="auto"/>
          <w:spacing w:val="-6"/>
          <w:sz w:val="21"/>
          <w:szCs w:val="21"/>
          <w:highlight w:val="none"/>
        </w:rPr>
        <w:t>5.评标委员会对通过资格审查的投标文件进行符合性审查，依据招标文件的规定，对投标文件中的有效性、完整性和对招标文件的响应程度进行审查，以确定是否对投标文件的实质性要求作出响应。符合性审查不通过的，不再进行后续评审。</w:t>
      </w:r>
    </w:p>
    <w:p>
      <w:pPr>
        <w:pStyle w:val="19"/>
        <w:spacing w:line="360" w:lineRule="exact"/>
        <w:ind w:firstLine="396" w:firstLineChars="200"/>
        <w:rPr>
          <w:rFonts w:hAnsi="宋体"/>
          <w:color w:val="auto"/>
          <w:spacing w:val="-6"/>
          <w:sz w:val="21"/>
          <w:szCs w:val="21"/>
          <w:highlight w:val="none"/>
        </w:rPr>
      </w:pPr>
      <w:r>
        <w:rPr>
          <w:rFonts w:hint="eastAsia" w:hAnsi="宋体"/>
          <w:color w:val="auto"/>
          <w:spacing w:val="-6"/>
          <w:sz w:val="21"/>
          <w:szCs w:val="21"/>
          <w:highlight w:val="none"/>
        </w:rPr>
        <w:t>6.比较与评价。</w:t>
      </w:r>
      <w:r>
        <w:rPr>
          <w:rFonts w:hint="eastAsia" w:hAnsi="宋体"/>
          <w:color w:val="auto"/>
          <w:sz w:val="21"/>
          <w:szCs w:val="21"/>
          <w:highlight w:val="none"/>
        </w:rPr>
        <w:t>评标委员会</w:t>
      </w:r>
      <w:r>
        <w:rPr>
          <w:rFonts w:hint="eastAsia" w:hAnsi="宋体"/>
          <w:color w:val="auto"/>
          <w:spacing w:val="-6"/>
          <w:sz w:val="21"/>
          <w:szCs w:val="21"/>
          <w:highlight w:val="none"/>
        </w:rPr>
        <w:t>按招标文件中规定的评标方法和标准，对资格审查和符合性审查合格的投标文件进行商务和技术评估，综合比较与评价。</w:t>
      </w:r>
    </w:p>
    <w:p>
      <w:pPr>
        <w:pStyle w:val="19"/>
        <w:spacing w:line="360" w:lineRule="exact"/>
        <w:ind w:firstLine="420" w:firstLineChars="200"/>
        <w:rPr>
          <w:rFonts w:hint="eastAsia" w:hAnsi="宋体"/>
          <w:color w:val="auto"/>
          <w:sz w:val="21"/>
          <w:szCs w:val="21"/>
          <w:highlight w:val="none"/>
        </w:rPr>
      </w:pPr>
      <w:r>
        <w:rPr>
          <w:rFonts w:hint="eastAsia" w:hAnsi="宋体"/>
          <w:color w:val="auto"/>
          <w:spacing w:val="0"/>
          <w:sz w:val="21"/>
          <w:szCs w:val="21"/>
          <w:highlight w:val="none"/>
        </w:rPr>
        <w:t>7</w:t>
      </w:r>
      <w:r>
        <w:rPr>
          <w:rFonts w:hint="eastAsia" w:hAnsi="宋体"/>
          <w:color w:val="auto"/>
          <w:sz w:val="21"/>
          <w:szCs w:val="21"/>
          <w:highlight w:val="none"/>
        </w:rPr>
        <w:t>.评标委员会</w:t>
      </w:r>
      <w:r>
        <w:rPr>
          <w:rFonts w:hAnsi="宋体"/>
          <w:color w:val="auto"/>
          <w:sz w:val="21"/>
          <w:szCs w:val="21"/>
          <w:highlight w:val="none"/>
        </w:rPr>
        <w:t>组长组织</w:t>
      </w:r>
      <w:r>
        <w:rPr>
          <w:rFonts w:hint="eastAsia" w:hAnsi="宋体"/>
          <w:color w:val="auto"/>
          <w:sz w:val="21"/>
          <w:szCs w:val="21"/>
          <w:highlight w:val="none"/>
        </w:rPr>
        <w:t>评标委员会</w:t>
      </w:r>
      <w:r>
        <w:rPr>
          <w:rFonts w:hAnsi="宋体"/>
          <w:color w:val="auto"/>
          <w:sz w:val="21"/>
          <w:szCs w:val="21"/>
          <w:highlight w:val="none"/>
        </w:rPr>
        <w:t>独立评审。评标委员会对拟认定为投标文件无效</w:t>
      </w:r>
      <w:r>
        <w:rPr>
          <w:rFonts w:hint="eastAsia" w:hAnsi="宋体"/>
          <w:color w:val="auto"/>
          <w:sz w:val="21"/>
          <w:szCs w:val="21"/>
          <w:highlight w:val="none"/>
        </w:rPr>
        <w:t>的</w:t>
      </w:r>
      <w:r>
        <w:rPr>
          <w:rFonts w:hAnsi="宋体"/>
          <w:color w:val="auto"/>
          <w:sz w:val="21"/>
          <w:szCs w:val="21"/>
          <w:highlight w:val="none"/>
        </w:rPr>
        <w:t>，应组织相关</w:t>
      </w:r>
      <w:r>
        <w:rPr>
          <w:rFonts w:hint="eastAsia" w:hAnsi="宋体"/>
          <w:color w:val="auto"/>
          <w:sz w:val="21"/>
          <w:szCs w:val="21"/>
          <w:highlight w:val="none"/>
        </w:rPr>
        <w:t>投标人</w:t>
      </w:r>
      <w:r>
        <w:rPr>
          <w:rFonts w:hAnsi="宋体"/>
          <w:color w:val="auto"/>
          <w:sz w:val="21"/>
          <w:szCs w:val="21"/>
          <w:highlight w:val="none"/>
        </w:rPr>
        <w:t>代表</w:t>
      </w:r>
      <w:r>
        <w:rPr>
          <w:rFonts w:hint="eastAsia" w:hAnsi="宋体"/>
          <w:color w:val="auto"/>
          <w:sz w:val="21"/>
          <w:szCs w:val="21"/>
          <w:highlight w:val="none"/>
        </w:rPr>
        <w:t>通过政府采购云平台在线答复</w:t>
      </w:r>
      <w:r>
        <w:rPr>
          <w:rFonts w:hAnsi="宋体"/>
          <w:color w:val="auto"/>
          <w:sz w:val="21"/>
          <w:szCs w:val="21"/>
          <w:highlight w:val="none"/>
        </w:rPr>
        <w:t>进行陈述、澄清或申辩；采购代理机构可协助评标委员会组长对打分结果进行校对、核对并汇总统计；对明显畸高、畸低的评分（其总评分偏离平均分30%以上的）</w:t>
      </w:r>
      <w:r>
        <w:rPr>
          <w:rFonts w:hint="eastAsia" w:hAnsi="宋体"/>
          <w:color w:val="auto"/>
          <w:sz w:val="21"/>
          <w:szCs w:val="21"/>
          <w:highlight w:val="none"/>
        </w:rPr>
        <w:t>，</w:t>
      </w:r>
      <w:r>
        <w:rPr>
          <w:rFonts w:hAnsi="宋体"/>
          <w:color w:val="auto"/>
          <w:sz w:val="21"/>
          <w:szCs w:val="21"/>
          <w:highlight w:val="none"/>
        </w:rPr>
        <w:t>评标委员会组长应提醒相关评审人员进行复核或书面说明理由。</w:t>
      </w:r>
      <w:r>
        <w:rPr>
          <w:rFonts w:hint="eastAsia" w:hAnsi="宋体"/>
          <w:color w:val="auto"/>
          <w:sz w:val="21"/>
          <w:szCs w:val="21"/>
          <w:highlight w:val="none"/>
        </w:rPr>
        <w:t>评审人员的评审、修改记录应保留原件，随项目其他资料一并存档。</w:t>
      </w:r>
    </w:p>
    <w:p>
      <w:pPr>
        <w:pStyle w:val="19"/>
        <w:spacing w:line="360" w:lineRule="exact"/>
        <w:ind w:firstLine="404" w:firstLineChars="200"/>
        <w:rPr>
          <w:rFonts w:hint="eastAsia" w:hAnsi="宋体"/>
          <w:color w:val="auto"/>
          <w:sz w:val="21"/>
          <w:szCs w:val="21"/>
          <w:highlight w:val="none"/>
        </w:rPr>
      </w:pPr>
      <w:r>
        <w:rPr>
          <w:rFonts w:hint="eastAsia" w:hAnsi="宋体"/>
          <w:color w:val="auto"/>
          <w:sz w:val="21"/>
          <w:szCs w:val="21"/>
          <w:highlight w:val="none"/>
        </w:rPr>
        <w:t>8.评标委员会完成评标后,评委对各部分得分汇总,计算出本项目最终得分。根据综合评分情况，按照</w:t>
      </w:r>
      <w:r>
        <w:rPr>
          <w:rFonts w:hint="eastAsia" w:hAnsi="宋体"/>
          <w:bCs/>
          <w:color w:val="auto"/>
          <w:sz w:val="21"/>
          <w:szCs w:val="21"/>
          <w:highlight w:val="none"/>
        </w:rPr>
        <w:t>综合得分</w:t>
      </w:r>
      <w:r>
        <w:rPr>
          <w:rFonts w:hint="eastAsia" w:hAnsi="宋体"/>
          <w:color w:val="auto"/>
          <w:sz w:val="21"/>
          <w:szCs w:val="21"/>
          <w:highlight w:val="none"/>
        </w:rPr>
        <w:t>由高到低顺序推荐2名中标候选人，并编写评审报告。</w:t>
      </w:r>
    </w:p>
    <w:p>
      <w:pPr>
        <w:pStyle w:val="19"/>
        <w:spacing w:line="360" w:lineRule="exact"/>
        <w:ind w:firstLine="0"/>
        <w:rPr>
          <w:rFonts w:hAnsi="宋体"/>
          <w:b/>
          <w:color w:val="auto"/>
          <w:spacing w:val="0"/>
          <w:sz w:val="21"/>
          <w:szCs w:val="21"/>
          <w:highlight w:val="none"/>
        </w:rPr>
      </w:pPr>
      <w:r>
        <w:rPr>
          <w:rFonts w:hAnsi="宋体"/>
          <w:b/>
          <w:color w:val="auto"/>
          <w:spacing w:val="0"/>
          <w:sz w:val="21"/>
          <w:szCs w:val="21"/>
          <w:highlight w:val="none"/>
        </w:rPr>
        <w:t>（四）</w:t>
      </w:r>
      <w:r>
        <w:rPr>
          <w:rFonts w:hint="eastAsia" w:hAnsi="宋体"/>
          <w:b/>
          <w:color w:val="auto"/>
          <w:spacing w:val="0"/>
          <w:sz w:val="21"/>
          <w:szCs w:val="21"/>
          <w:highlight w:val="none"/>
        </w:rPr>
        <w:t xml:space="preserve"> </w:t>
      </w:r>
      <w:r>
        <w:rPr>
          <w:rFonts w:hAnsi="宋体"/>
          <w:b/>
          <w:color w:val="auto"/>
          <w:spacing w:val="0"/>
          <w:sz w:val="21"/>
          <w:szCs w:val="21"/>
          <w:highlight w:val="none"/>
        </w:rPr>
        <w:t>澄清问题的形式</w:t>
      </w:r>
    </w:p>
    <w:p>
      <w:pPr>
        <w:pStyle w:val="19"/>
        <w:spacing w:line="360" w:lineRule="exact"/>
        <w:ind w:firstLine="420" w:firstLineChars="200"/>
        <w:rPr>
          <w:rFonts w:hAnsi="宋体"/>
          <w:color w:val="auto"/>
          <w:spacing w:val="0"/>
          <w:sz w:val="21"/>
          <w:szCs w:val="21"/>
          <w:highlight w:val="none"/>
        </w:rPr>
      </w:pPr>
      <w:r>
        <w:rPr>
          <w:rFonts w:hint="eastAsia" w:hAnsi="宋体"/>
          <w:color w:val="auto"/>
          <w:spacing w:val="0"/>
          <w:sz w:val="21"/>
          <w:szCs w:val="21"/>
          <w:highlight w:val="none"/>
        </w:rPr>
        <w:t>1.对于投标文件中含义不明确、同类问题表述不一致或者有明显文字和计算错误的内容，评标委员会应</w:t>
      </w:r>
      <w:r>
        <w:rPr>
          <w:rFonts w:hint="eastAsia" w:hAnsi="宋体"/>
          <w:color w:val="auto"/>
          <w:spacing w:val="-6"/>
          <w:sz w:val="21"/>
          <w:szCs w:val="21"/>
          <w:highlight w:val="none"/>
        </w:rPr>
        <w:t>通过询标</w:t>
      </w:r>
      <w:r>
        <w:rPr>
          <w:rFonts w:hint="eastAsia" w:hAnsi="宋体"/>
          <w:color w:val="auto"/>
          <w:spacing w:val="0"/>
          <w:sz w:val="21"/>
          <w:szCs w:val="21"/>
          <w:highlight w:val="none"/>
        </w:rPr>
        <w:t>形式要求投标人作出必要的澄清、说明或者补正。</w:t>
      </w:r>
    </w:p>
    <w:p>
      <w:pPr>
        <w:pStyle w:val="19"/>
        <w:spacing w:line="360" w:lineRule="exact"/>
        <w:ind w:firstLine="420" w:firstLineChars="200"/>
        <w:rPr>
          <w:rFonts w:hAnsi="宋体"/>
          <w:bCs/>
          <w:color w:val="auto"/>
          <w:spacing w:val="0"/>
          <w:sz w:val="21"/>
          <w:szCs w:val="21"/>
          <w:highlight w:val="none"/>
        </w:rPr>
      </w:pPr>
      <w:r>
        <w:rPr>
          <w:rFonts w:hint="eastAsia" w:hAnsi="宋体"/>
          <w:color w:val="auto"/>
          <w:spacing w:val="0"/>
          <w:sz w:val="21"/>
          <w:szCs w:val="21"/>
          <w:highlight w:val="none"/>
        </w:rPr>
        <w:t>2.投标人的澄清、说明或者补正应</w:t>
      </w:r>
      <w:r>
        <w:rPr>
          <w:rFonts w:hint="eastAsia" w:hAnsi="宋体"/>
          <w:color w:val="auto"/>
          <w:spacing w:val="-6"/>
          <w:sz w:val="21"/>
          <w:szCs w:val="21"/>
          <w:highlight w:val="none"/>
        </w:rPr>
        <w:t>通过询标形式作出</w:t>
      </w:r>
      <w:r>
        <w:rPr>
          <w:rFonts w:hint="eastAsia" w:hAnsi="宋体"/>
          <w:color w:val="auto"/>
          <w:spacing w:val="0"/>
          <w:sz w:val="21"/>
          <w:szCs w:val="21"/>
          <w:highlight w:val="none"/>
        </w:rPr>
        <w:t>，投标人的澄清、说明或者补正应由法定代表人或其授权的代表签字，</w:t>
      </w:r>
      <w:r>
        <w:rPr>
          <w:rFonts w:hint="eastAsia" w:hAnsi="宋体"/>
          <w:bCs/>
          <w:color w:val="auto"/>
          <w:spacing w:val="0"/>
          <w:sz w:val="21"/>
          <w:szCs w:val="21"/>
          <w:highlight w:val="none"/>
        </w:rPr>
        <w:t>投标人的澄清、说明或者补正不得超出投标文件的范围或者改变投标文件的实质性内容。</w:t>
      </w:r>
    </w:p>
    <w:p>
      <w:pPr>
        <w:pStyle w:val="19"/>
        <w:spacing w:line="360" w:lineRule="exact"/>
        <w:ind w:firstLine="0"/>
        <w:rPr>
          <w:rFonts w:hAnsi="宋体"/>
          <w:color w:val="auto"/>
          <w:spacing w:val="0"/>
          <w:sz w:val="21"/>
          <w:szCs w:val="21"/>
          <w:highlight w:val="none"/>
        </w:rPr>
      </w:pPr>
      <w:r>
        <w:rPr>
          <w:rFonts w:hAnsi="宋体"/>
          <w:b/>
          <w:color w:val="auto"/>
          <w:spacing w:val="0"/>
          <w:sz w:val="21"/>
          <w:szCs w:val="21"/>
          <w:highlight w:val="none"/>
        </w:rPr>
        <w:t>（五）错误修正</w:t>
      </w:r>
    </w:p>
    <w:p>
      <w:pPr>
        <w:pStyle w:val="19"/>
        <w:spacing w:line="360" w:lineRule="exact"/>
        <w:ind w:firstLine="420" w:firstLineChars="200"/>
        <w:rPr>
          <w:rFonts w:hAnsi="宋体"/>
          <w:color w:val="auto"/>
          <w:spacing w:val="0"/>
          <w:sz w:val="21"/>
          <w:szCs w:val="21"/>
          <w:highlight w:val="none"/>
        </w:rPr>
      </w:pPr>
      <w:r>
        <w:rPr>
          <w:rFonts w:hint="eastAsia" w:hAnsi="宋体"/>
          <w:color w:val="auto"/>
          <w:spacing w:val="0"/>
          <w:sz w:val="21"/>
          <w:szCs w:val="21"/>
          <w:highlight w:val="none"/>
        </w:rPr>
        <w:t>投标文件报价出现前后不一致的，除招标文件另有规定外，按照下列规定修正</w:t>
      </w:r>
      <w:r>
        <w:rPr>
          <w:rFonts w:hAnsi="宋体"/>
          <w:color w:val="auto"/>
          <w:spacing w:val="0"/>
          <w:sz w:val="21"/>
          <w:szCs w:val="21"/>
          <w:highlight w:val="none"/>
        </w:rPr>
        <w:t>：</w:t>
      </w:r>
    </w:p>
    <w:p>
      <w:pPr>
        <w:pStyle w:val="19"/>
        <w:spacing w:line="360" w:lineRule="exact"/>
        <w:ind w:firstLine="404" w:firstLineChars="200"/>
        <w:rPr>
          <w:rFonts w:hAnsi="宋体"/>
          <w:color w:val="auto"/>
          <w:sz w:val="21"/>
          <w:szCs w:val="21"/>
          <w:highlight w:val="none"/>
        </w:rPr>
      </w:pPr>
      <w:r>
        <w:rPr>
          <w:rFonts w:hint="eastAsia" w:hAnsi="宋体"/>
          <w:color w:val="auto"/>
          <w:sz w:val="21"/>
          <w:szCs w:val="21"/>
          <w:highlight w:val="none"/>
        </w:rPr>
        <w:t>1.投标文件中开标一览表内容与投标文件中相应内容不一致的，以开标一览表为准；</w:t>
      </w:r>
    </w:p>
    <w:p>
      <w:pPr>
        <w:pStyle w:val="19"/>
        <w:spacing w:line="360" w:lineRule="exact"/>
        <w:ind w:firstLine="404" w:firstLineChars="200"/>
        <w:rPr>
          <w:rFonts w:hAnsi="宋体"/>
          <w:color w:val="auto"/>
          <w:sz w:val="21"/>
          <w:szCs w:val="21"/>
          <w:highlight w:val="none"/>
        </w:rPr>
      </w:pPr>
      <w:r>
        <w:rPr>
          <w:rFonts w:hint="eastAsia" w:hAnsi="宋体"/>
          <w:color w:val="auto"/>
          <w:sz w:val="21"/>
          <w:szCs w:val="21"/>
          <w:highlight w:val="none"/>
        </w:rPr>
        <w:t>2.大写金额和小写金额不一致的，以大写金额为准；</w:t>
      </w:r>
    </w:p>
    <w:p>
      <w:pPr>
        <w:pStyle w:val="19"/>
        <w:spacing w:line="360" w:lineRule="exact"/>
        <w:ind w:firstLine="404" w:firstLineChars="200"/>
        <w:rPr>
          <w:rFonts w:hAnsi="宋体"/>
          <w:color w:val="auto"/>
          <w:sz w:val="21"/>
          <w:szCs w:val="21"/>
          <w:highlight w:val="none"/>
        </w:rPr>
      </w:pPr>
      <w:r>
        <w:rPr>
          <w:rFonts w:hint="eastAsia" w:hAnsi="宋体"/>
          <w:color w:val="auto"/>
          <w:sz w:val="21"/>
          <w:szCs w:val="21"/>
          <w:highlight w:val="none"/>
        </w:rPr>
        <w:t>3.单价金额小数点或者百分比有明显错位的，以开标一览表的总价为准，并修改单价；</w:t>
      </w:r>
    </w:p>
    <w:p>
      <w:pPr>
        <w:pStyle w:val="19"/>
        <w:spacing w:line="360" w:lineRule="exact"/>
        <w:ind w:firstLine="404" w:firstLineChars="200"/>
        <w:rPr>
          <w:rFonts w:hint="eastAsia" w:hAnsi="宋体"/>
          <w:color w:val="auto"/>
          <w:sz w:val="21"/>
          <w:szCs w:val="21"/>
          <w:highlight w:val="none"/>
        </w:rPr>
      </w:pPr>
      <w:r>
        <w:rPr>
          <w:rFonts w:hint="eastAsia" w:hAnsi="宋体"/>
          <w:color w:val="auto"/>
          <w:sz w:val="21"/>
          <w:szCs w:val="21"/>
          <w:highlight w:val="none"/>
        </w:rPr>
        <w:t>4.总价金额与按单价汇总金额不一致的，以单价金额计算结果为准。</w:t>
      </w:r>
    </w:p>
    <w:p>
      <w:pPr>
        <w:pStyle w:val="19"/>
        <w:spacing w:line="360" w:lineRule="exact"/>
        <w:ind w:firstLine="0"/>
        <w:rPr>
          <w:rFonts w:hAnsi="宋体"/>
          <w:b/>
          <w:color w:val="auto"/>
          <w:spacing w:val="0"/>
          <w:sz w:val="21"/>
          <w:szCs w:val="21"/>
          <w:highlight w:val="none"/>
        </w:rPr>
      </w:pPr>
      <w:r>
        <w:rPr>
          <w:rFonts w:hAnsi="宋体"/>
          <w:b/>
          <w:color w:val="auto"/>
          <w:spacing w:val="0"/>
          <w:sz w:val="21"/>
          <w:szCs w:val="21"/>
          <w:highlight w:val="none"/>
        </w:rPr>
        <w:t>（</w:t>
      </w:r>
      <w:r>
        <w:rPr>
          <w:rFonts w:hint="eastAsia" w:hAnsi="宋体"/>
          <w:b/>
          <w:color w:val="auto"/>
          <w:spacing w:val="0"/>
          <w:sz w:val="21"/>
          <w:szCs w:val="21"/>
          <w:highlight w:val="none"/>
        </w:rPr>
        <w:t>六</w:t>
      </w:r>
      <w:r>
        <w:rPr>
          <w:rFonts w:hAnsi="宋体"/>
          <w:b/>
          <w:color w:val="auto"/>
          <w:spacing w:val="0"/>
          <w:sz w:val="21"/>
          <w:szCs w:val="21"/>
          <w:highlight w:val="none"/>
        </w:rPr>
        <w:t>）</w:t>
      </w:r>
      <w:r>
        <w:rPr>
          <w:rFonts w:hint="eastAsia" w:hAnsi="宋体"/>
          <w:b/>
          <w:color w:val="auto"/>
          <w:spacing w:val="0"/>
          <w:sz w:val="21"/>
          <w:szCs w:val="21"/>
          <w:highlight w:val="none"/>
        </w:rPr>
        <w:t xml:space="preserve"> </w:t>
      </w:r>
      <w:r>
        <w:rPr>
          <w:rFonts w:hAnsi="宋体"/>
          <w:b/>
          <w:color w:val="auto"/>
          <w:spacing w:val="0"/>
          <w:sz w:val="21"/>
          <w:szCs w:val="21"/>
          <w:highlight w:val="none"/>
        </w:rPr>
        <w:t>评标原则和评标办法</w:t>
      </w:r>
    </w:p>
    <w:p>
      <w:pPr>
        <w:spacing w:line="3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1.评标委员会成员应当根据招标文件规定的评标程序、评标方法和评标标准进行独立评审。招标文件内容违反国家有关强制性规定的，评标委员会应当停止评标并向采购人或者采购代理机构说明情况。</w:t>
      </w:r>
    </w:p>
    <w:p>
      <w:pPr>
        <w:spacing w:line="3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2.评标委员会成员必须公平、公正、客观，不带任何倾向性和启发性，不得向外界透露任何与评标有关的内容，任何单位和个人不得干扰、影响评标的正常进行，评标委员会及有关工作人员不得私下与投标人接触。</w:t>
      </w:r>
    </w:p>
    <w:p>
      <w:pPr>
        <w:spacing w:line="3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3.评标中因评标委员会成员缺席、回避或者健康等特殊原因导致评标委员会组成不符合规定的，依法补足后继续评标。被更换的评标委员会成员所作出的评标意见无效。</w:t>
      </w:r>
    </w:p>
    <w:p>
      <w:pPr>
        <w:spacing w:line="3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4.评标委员会成员对需要共同认定的事项存在争议的，应当按照少数服从多数的原则作出结论。持不同意见的评标委员会成员应当在评标报告上签署不同意见及理由，否则视为同意评标报告。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5.评标办法。本项目评标办法是综合评分法，具体评标内容及评分标准等详见《第四章：评标办法及评分标准》。</w:t>
      </w:r>
    </w:p>
    <w:p>
      <w:pPr>
        <w:spacing w:line="360" w:lineRule="exact"/>
        <w:ind w:firstLine="422" w:firstLineChars="200"/>
        <w:rPr>
          <w:rFonts w:ascii="宋体" w:hAnsi="宋体"/>
          <w:b/>
          <w:bCs/>
          <w:color w:val="auto"/>
          <w:sz w:val="21"/>
          <w:szCs w:val="21"/>
          <w:highlight w:val="none"/>
        </w:rPr>
      </w:pPr>
      <w:r>
        <w:rPr>
          <w:rFonts w:hint="eastAsia" w:ascii="宋体" w:hAnsi="宋体"/>
          <w:b/>
          <w:bCs/>
          <w:color w:val="auto"/>
          <w:sz w:val="21"/>
          <w:szCs w:val="21"/>
          <w:highlight w:val="none"/>
        </w:rPr>
        <w:t>6.投标截止时或评审过程中有效投标人不足三家的，不予开标或评标。</w:t>
      </w:r>
    </w:p>
    <w:p>
      <w:pPr>
        <w:spacing w:line="360" w:lineRule="exact"/>
        <w:rPr>
          <w:rFonts w:ascii="宋体" w:hAnsi="宋体"/>
          <w:b/>
          <w:color w:val="auto"/>
          <w:sz w:val="21"/>
          <w:szCs w:val="21"/>
          <w:highlight w:val="none"/>
        </w:rPr>
      </w:pPr>
      <w:r>
        <w:rPr>
          <w:rFonts w:hint="eastAsia" w:ascii="宋体" w:hAnsi="宋体"/>
          <w:b/>
          <w:color w:val="auto"/>
          <w:sz w:val="21"/>
          <w:szCs w:val="21"/>
          <w:highlight w:val="none"/>
        </w:rPr>
        <w:t>（七）评标过程的监控</w:t>
      </w:r>
    </w:p>
    <w:p>
      <w:pPr>
        <w:spacing w:line="3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本项目评标过程实行全程录音、录像监控，投标人在评标过程中所进行的试图影响评标结果的不公正活动，可能导致其投标被拒绝。</w:t>
      </w:r>
    </w:p>
    <w:p>
      <w:pPr>
        <w:pStyle w:val="2"/>
        <w:ind w:firstLine="280"/>
        <w:rPr>
          <w:color w:val="auto"/>
          <w:highlight w:val="none"/>
        </w:rPr>
      </w:pPr>
    </w:p>
    <w:p>
      <w:pPr>
        <w:pStyle w:val="6"/>
        <w:spacing w:before="0" w:after="0" w:line="480" w:lineRule="auto"/>
        <w:jc w:val="center"/>
        <w:rPr>
          <w:rFonts w:ascii="宋体" w:hAnsi="宋体" w:cs="宋体"/>
          <w:color w:val="auto"/>
          <w:sz w:val="28"/>
          <w:szCs w:val="28"/>
          <w:highlight w:val="none"/>
        </w:rPr>
      </w:pPr>
      <w:bookmarkStart w:id="323" w:name="_Toc105438832"/>
      <w:bookmarkStart w:id="324" w:name="_Toc105438780"/>
      <w:bookmarkStart w:id="325" w:name="_Toc105435732"/>
      <w:bookmarkStart w:id="326" w:name="_Toc105435674"/>
      <w:bookmarkStart w:id="327" w:name="_Toc105435546"/>
      <w:r>
        <w:rPr>
          <w:rFonts w:hint="eastAsia" w:ascii="宋体" w:hAnsi="宋体" w:cs="宋体"/>
          <w:color w:val="auto"/>
          <w:sz w:val="28"/>
          <w:szCs w:val="28"/>
          <w:highlight w:val="none"/>
        </w:rPr>
        <w:t>六、定 标</w:t>
      </w:r>
      <w:bookmarkEnd w:id="323"/>
      <w:bookmarkEnd w:id="324"/>
      <w:bookmarkEnd w:id="325"/>
      <w:bookmarkEnd w:id="326"/>
      <w:bookmarkEnd w:id="327"/>
    </w:p>
    <w:p>
      <w:pPr>
        <w:spacing w:line="3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采购代理机构应当在评标结束后2个工作日内将评标报告送采购人。采购人应当自收到评标报告之日起5个工作日内，在评标报告确定的中标候选人名单中按顺序确定中标单位，也可以书面授权评标委员会直接确定中标单位。</w:t>
      </w:r>
    </w:p>
    <w:p>
      <w:pPr>
        <w:spacing w:line="360" w:lineRule="exact"/>
        <w:ind w:firstLine="420" w:firstLineChars="200"/>
        <w:rPr>
          <w:rFonts w:hint="eastAsia" w:ascii="宋体" w:hAnsi="宋体"/>
          <w:color w:val="auto"/>
          <w:spacing w:val="-6"/>
          <w:sz w:val="21"/>
          <w:szCs w:val="21"/>
          <w:highlight w:val="none"/>
        </w:rPr>
      </w:pPr>
      <w:r>
        <w:rPr>
          <w:rFonts w:hint="eastAsia" w:ascii="宋体" w:hAnsi="宋体"/>
          <w:color w:val="auto"/>
          <w:sz w:val="21"/>
          <w:szCs w:val="21"/>
          <w:highlight w:val="none"/>
        </w:rPr>
        <w:t>2.</w:t>
      </w:r>
      <w:r>
        <w:rPr>
          <w:rFonts w:hint="eastAsia" w:ascii="宋体" w:hAnsi="宋体"/>
          <w:color w:val="auto"/>
          <w:spacing w:val="-6"/>
          <w:sz w:val="21"/>
          <w:szCs w:val="21"/>
          <w:highlight w:val="none"/>
        </w:rPr>
        <w:t>采购人在收到评标报告之日起5个工作日内未按评标报告推荐的中标候选人排序确定中标单位，又不能说明合法理由的，视同按评标报告推荐的顺序确定排名第一的中标候选人为中标单位。</w:t>
      </w:r>
    </w:p>
    <w:p>
      <w:pPr>
        <w:spacing w:line="3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3.采购代理机构在中标单位确定后2个工作日内，在</w:t>
      </w:r>
      <w:r>
        <w:rPr>
          <w:rFonts w:hint="eastAsia"/>
          <w:color w:val="auto"/>
          <w:sz w:val="21"/>
          <w:szCs w:val="21"/>
          <w:highlight w:val="none"/>
        </w:rPr>
        <w:t>浙江政府采购网（http://zfcg.czt.zj.gov.cn）上</w:t>
      </w:r>
      <w:r>
        <w:rPr>
          <w:rFonts w:hint="eastAsia" w:ascii="宋体" w:hAnsi="宋体"/>
          <w:color w:val="auto"/>
          <w:sz w:val="21"/>
          <w:szCs w:val="21"/>
          <w:highlight w:val="none"/>
        </w:rPr>
        <w:t>公告中标结果，招标文件应当随中标结果同时公告。同时向中标单位发出中标通知书。</w:t>
      </w:r>
    </w:p>
    <w:p>
      <w:pPr>
        <w:pStyle w:val="2"/>
        <w:ind w:firstLine="280"/>
        <w:rPr>
          <w:color w:val="auto"/>
          <w:highlight w:val="none"/>
        </w:rPr>
      </w:pPr>
    </w:p>
    <w:p>
      <w:pPr>
        <w:pStyle w:val="6"/>
        <w:spacing w:before="0" w:after="0" w:line="480" w:lineRule="auto"/>
        <w:jc w:val="center"/>
        <w:rPr>
          <w:rFonts w:ascii="宋体" w:hAnsi="宋体" w:cs="宋体"/>
          <w:color w:val="auto"/>
          <w:sz w:val="28"/>
          <w:szCs w:val="28"/>
          <w:highlight w:val="none"/>
        </w:rPr>
      </w:pPr>
      <w:bookmarkStart w:id="328" w:name="_Toc105435547"/>
      <w:bookmarkStart w:id="329" w:name="_Toc105438833"/>
      <w:bookmarkStart w:id="330" w:name="_Toc105435675"/>
      <w:bookmarkStart w:id="331" w:name="_Toc105435733"/>
      <w:bookmarkStart w:id="332" w:name="_Toc105438781"/>
      <w:r>
        <w:rPr>
          <w:rFonts w:hint="eastAsia" w:ascii="宋体" w:hAnsi="宋体" w:cs="宋体"/>
          <w:color w:val="auto"/>
          <w:sz w:val="28"/>
          <w:szCs w:val="28"/>
          <w:highlight w:val="none"/>
        </w:rPr>
        <w:t>七、合同授予</w:t>
      </w:r>
      <w:bookmarkEnd w:id="328"/>
      <w:bookmarkEnd w:id="329"/>
      <w:bookmarkEnd w:id="330"/>
      <w:bookmarkEnd w:id="331"/>
      <w:bookmarkEnd w:id="332"/>
    </w:p>
    <w:p>
      <w:pPr>
        <w:snapToGrid w:val="0"/>
        <w:spacing w:line="360" w:lineRule="exact"/>
        <w:rPr>
          <w:rFonts w:ascii="宋体" w:hAnsi="宋体"/>
          <w:b/>
          <w:color w:val="auto"/>
          <w:sz w:val="21"/>
          <w:szCs w:val="21"/>
          <w:highlight w:val="none"/>
        </w:rPr>
      </w:pPr>
      <w:r>
        <w:rPr>
          <w:rFonts w:hint="eastAsia" w:ascii="宋体" w:hAnsi="宋体"/>
          <w:b/>
          <w:color w:val="auto"/>
          <w:sz w:val="21"/>
          <w:szCs w:val="21"/>
          <w:highlight w:val="none"/>
        </w:rPr>
        <w:t>（一）签订合同</w:t>
      </w:r>
    </w:p>
    <w:p>
      <w:pPr>
        <w:spacing w:line="3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1</w:t>
      </w:r>
      <w:r>
        <w:rPr>
          <w:rFonts w:ascii="宋体" w:hAnsi="宋体"/>
          <w:color w:val="auto"/>
          <w:sz w:val="21"/>
          <w:szCs w:val="21"/>
          <w:highlight w:val="none"/>
        </w:rPr>
        <w:t>.</w:t>
      </w:r>
      <w:r>
        <w:rPr>
          <w:rFonts w:hint="eastAsia" w:ascii="宋体" w:hAnsi="宋体"/>
          <w:color w:val="auto"/>
          <w:sz w:val="21"/>
          <w:szCs w:val="21"/>
          <w:highlight w:val="none"/>
        </w:rPr>
        <w:t>采购人应当自中标通知书发出之日起30日内，按照招标文件和中标单位投标文件的规定，与中标单位签订书面合同。所签订的合同不得对招标文件确定的事项和中标单位投标文件作实质性修改。采购人不得向中标单位提出任何不合理的要求作为签订合同的条件。</w:t>
      </w:r>
    </w:p>
    <w:p>
      <w:pPr>
        <w:spacing w:line="3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2.如中标单位放弃中标；因不可抗力或自身原因提出不能履行合同；或者招标文件规定或合同约定应当提交履约保证金而在规定的期限内未能提交的；或未能在规定时间内与采购人签订合同的；或在规定时间内借故否认已经承诺的条件而拒签合同的；或已签合同却拒绝按合同约定履约的；或者经质疑，采购人审查后，确因中标单位在本次采购活动中存在违法违规行为或其他原因使质疑成立的，采购人可视具体情况，可以按照评标报告推荐的中标候选人名单排序，确定下一候选人为中标，也可以重新开展政府采购活动。</w:t>
      </w:r>
    </w:p>
    <w:p>
      <w:pPr>
        <w:spacing w:line="360" w:lineRule="exact"/>
        <w:jc w:val="left"/>
        <w:rPr>
          <w:rFonts w:ascii="宋体" w:hAnsi="宋体"/>
          <w:b/>
          <w:color w:val="auto"/>
          <w:sz w:val="21"/>
          <w:szCs w:val="21"/>
          <w:highlight w:val="none"/>
        </w:rPr>
      </w:pPr>
      <w:r>
        <w:rPr>
          <w:rFonts w:ascii="宋体" w:hAnsi="宋体"/>
          <w:b/>
          <w:color w:val="auto"/>
          <w:sz w:val="21"/>
          <w:szCs w:val="21"/>
          <w:highlight w:val="none"/>
        </w:rPr>
        <w:t>（二）履约保证金</w:t>
      </w:r>
    </w:p>
    <w:p>
      <w:pPr>
        <w:widowControl/>
        <w:numPr>
          <w:ilvl w:val="0"/>
          <w:numId w:val="0"/>
        </w:numPr>
        <w:spacing w:line="400" w:lineRule="exact"/>
        <w:ind w:left="280" w:leftChars="0" w:firstLine="420" w:firstLineChars="200"/>
        <w:jc w:val="left"/>
        <w:rPr>
          <w:rFonts w:ascii="宋体" w:hAnsi="宋体" w:cs="Arial"/>
          <w:color w:val="auto"/>
          <w:sz w:val="21"/>
          <w:szCs w:val="21"/>
          <w:highlight w:val="none"/>
        </w:rPr>
      </w:pPr>
      <w:r>
        <w:rPr>
          <w:rFonts w:ascii="宋体" w:hAnsi="宋体" w:cs="Arial"/>
          <w:color w:val="auto"/>
          <w:sz w:val="21"/>
          <w:szCs w:val="21"/>
          <w:highlight w:val="none"/>
        </w:rPr>
        <w:t>中标单位履约保证金采用</w:t>
      </w:r>
      <w:r>
        <w:rPr>
          <w:rFonts w:ascii="宋体" w:hAnsi="宋体" w:cs="Arial"/>
          <w:b/>
          <w:bCs/>
          <w:color w:val="auto"/>
          <w:sz w:val="21"/>
          <w:szCs w:val="21"/>
          <w:highlight w:val="none"/>
          <w:u w:val="single"/>
        </w:rPr>
        <w:t>银行</w:t>
      </w:r>
      <w:r>
        <w:rPr>
          <w:rFonts w:hint="eastAsia" w:ascii="宋体" w:hAnsi="宋体" w:cs="Arial"/>
          <w:b/>
          <w:bCs/>
          <w:color w:val="auto"/>
          <w:sz w:val="21"/>
          <w:szCs w:val="21"/>
          <w:highlight w:val="none"/>
          <w:u w:val="single"/>
          <w:lang w:eastAsia="zh-CN"/>
        </w:rPr>
        <w:t>转账，</w:t>
      </w:r>
      <w:r>
        <w:rPr>
          <w:rFonts w:hint="eastAsia" w:ascii="宋体" w:hAnsi="宋体" w:cs="Arial"/>
          <w:b/>
          <w:bCs/>
          <w:color w:val="auto"/>
          <w:sz w:val="21"/>
          <w:szCs w:val="21"/>
          <w:highlight w:val="none"/>
          <w:u w:val="single"/>
          <w:lang w:val="en-US" w:eastAsia="zh-CN"/>
        </w:rPr>
        <w:t xml:space="preserve">中标后需向采购人提供合同价的1%的履约保证金，待服务期限结束后，无息退还。 </w:t>
      </w:r>
    </w:p>
    <w:p>
      <w:pPr>
        <w:pStyle w:val="19"/>
        <w:spacing w:line="360" w:lineRule="exact"/>
        <w:rPr>
          <w:color w:val="auto"/>
          <w:highlight w:val="none"/>
        </w:rPr>
      </w:pPr>
    </w:p>
    <w:p>
      <w:pPr>
        <w:pStyle w:val="6"/>
        <w:spacing w:before="0" w:after="0" w:line="480" w:lineRule="auto"/>
        <w:jc w:val="center"/>
        <w:rPr>
          <w:rStyle w:val="139"/>
          <w:rFonts w:hint="eastAsia"/>
          <w:b/>
          <w:color w:val="auto"/>
          <w:highlight w:val="none"/>
        </w:rPr>
      </w:pPr>
      <w:r>
        <w:rPr>
          <w:rFonts w:ascii="宋体" w:hAnsi="宋体"/>
          <w:color w:val="auto"/>
          <w:sz w:val="21"/>
          <w:szCs w:val="21"/>
          <w:highlight w:val="none"/>
        </w:rPr>
        <w:br w:type="page"/>
      </w:r>
      <w:bookmarkStart w:id="333" w:name="_Toc105435549"/>
      <w:bookmarkStart w:id="334" w:name="_Toc105438835"/>
      <w:r>
        <w:rPr>
          <w:rStyle w:val="139"/>
          <w:rFonts w:hint="eastAsia"/>
          <w:b/>
          <w:color w:val="auto"/>
          <w:highlight w:val="none"/>
        </w:rPr>
        <w:t>第四章  评标办法及评分标准</w:t>
      </w:r>
      <w:bookmarkEnd w:id="333"/>
      <w:bookmarkEnd w:id="334"/>
    </w:p>
    <w:p>
      <w:pPr>
        <w:spacing w:line="360" w:lineRule="exact"/>
        <w:ind w:firstLine="420" w:firstLineChars="200"/>
        <w:jc w:val="left"/>
        <w:rPr>
          <w:rFonts w:hint="eastAsia" w:ascii="宋体" w:hAnsi="宋体"/>
          <w:bCs/>
          <w:color w:val="auto"/>
          <w:kern w:val="0"/>
          <w:sz w:val="21"/>
          <w:szCs w:val="21"/>
          <w:highlight w:val="none"/>
        </w:rPr>
      </w:pPr>
      <w:bookmarkStart w:id="335" w:name="_Toc105435736"/>
      <w:bookmarkStart w:id="336" w:name="_Toc105435678"/>
      <w:bookmarkStart w:id="337" w:name="_Toc105438836"/>
      <w:bookmarkStart w:id="338" w:name="_Toc105435550"/>
      <w:r>
        <w:rPr>
          <w:rFonts w:hint="eastAsia" w:ascii="宋体" w:hAnsi="宋体"/>
          <w:bCs/>
          <w:color w:val="auto"/>
          <w:kern w:val="0"/>
          <w:sz w:val="21"/>
          <w:szCs w:val="21"/>
          <w:highlight w:val="none"/>
          <w:lang w:val="en-US" w:eastAsia="zh-CN"/>
        </w:rPr>
        <w:t xml:space="preserve">根据《温州市市属国有企业采购管理办法（试行）》、《温州市龙湾区区属国有企业采购管理办法》等有关法规，结合本次所要采购的服务，按照公平、公正、科学、择优的原则选择中标单位，特制定本评审办法。 </w:t>
      </w:r>
    </w:p>
    <w:p>
      <w:pPr>
        <w:pStyle w:val="6"/>
        <w:spacing w:before="120" w:beforeLines="50" w:after="0" w:line="36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一、总则</w:t>
      </w:r>
      <w:bookmarkEnd w:id="335"/>
      <w:bookmarkEnd w:id="336"/>
      <w:bookmarkEnd w:id="337"/>
      <w:bookmarkEnd w:id="338"/>
    </w:p>
    <w:p>
      <w:pPr>
        <w:snapToGrid w:val="0"/>
        <w:spacing w:line="3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评审工作遵循公平、公正、民主、科学的原则和诚实、信誉、效率的服务原则。本着科学、严谨的态度，认真进行评审。择优选定单位，确保服务质量、服务期，节约投资，最大限度的保护当事人权益，严格按照招标文件的商务、技术要求，对招标文件进行综合评定，提出优选方案，编写评标报告。评标委员会必须严格遵守保密规定，不得泄漏评审的有关情况，不得索贿受贿，不得接受吃请和礼品，不得参加影响公正评审的有关活动。对落标单位，评标委员会不作任何落标解释。</w:t>
      </w:r>
    </w:p>
    <w:p>
      <w:pPr>
        <w:pStyle w:val="6"/>
        <w:spacing w:before="120" w:beforeLines="50" w:after="0" w:line="360" w:lineRule="auto"/>
        <w:jc w:val="center"/>
        <w:rPr>
          <w:rFonts w:ascii="宋体" w:hAnsi="宋体" w:cs="宋体"/>
          <w:color w:val="auto"/>
          <w:sz w:val="21"/>
          <w:szCs w:val="21"/>
          <w:highlight w:val="none"/>
        </w:rPr>
      </w:pPr>
      <w:bookmarkStart w:id="339" w:name="_Toc105435551"/>
      <w:bookmarkStart w:id="340" w:name="_Toc105435679"/>
      <w:bookmarkStart w:id="341" w:name="_Toc105435737"/>
      <w:bookmarkStart w:id="342" w:name="_Toc105438837"/>
      <w:r>
        <w:rPr>
          <w:rFonts w:hint="eastAsia" w:ascii="宋体" w:hAnsi="宋体" w:cs="宋体"/>
          <w:color w:val="auto"/>
          <w:sz w:val="21"/>
          <w:szCs w:val="21"/>
          <w:highlight w:val="none"/>
        </w:rPr>
        <w:t>二、评审组织</w:t>
      </w:r>
      <w:bookmarkEnd w:id="339"/>
      <w:bookmarkEnd w:id="340"/>
      <w:bookmarkEnd w:id="341"/>
      <w:bookmarkEnd w:id="342"/>
    </w:p>
    <w:p>
      <w:pPr>
        <w:widowControl/>
        <w:spacing w:line="400" w:lineRule="exact"/>
        <w:ind w:firstLine="420" w:firstLineChars="200"/>
        <w:rPr>
          <w:rFonts w:hint="eastAsia" w:ascii="宋体" w:hAnsi="宋体" w:eastAsia="宋体" w:cs="宋体"/>
          <w:color w:val="auto"/>
          <w:sz w:val="21"/>
          <w:szCs w:val="21"/>
          <w:highlight w:val="none"/>
          <w:lang w:eastAsia="zh-CN"/>
        </w:rPr>
      </w:pPr>
      <w:bookmarkStart w:id="343" w:name="_Toc105435680"/>
      <w:bookmarkStart w:id="344" w:name="_Toc105435552"/>
      <w:bookmarkStart w:id="345" w:name="_Toc105435738"/>
      <w:bookmarkStart w:id="346" w:name="_Toc105438838"/>
      <w:r>
        <w:rPr>
          <w:rFonts w:hint="eastAsia" w:ascii="宋体" w:hAnsi="宋体" w:cs="宋体"/>
          <w:color w:val="auto"/>
          <w:sz w:val="21"/>
          <w:szCs w:val="21"/>
          <w:highlight w:val="none"/>
        </w:rPr>
        <w:t>评标委员会构成：</w:t>
      </w:r>
      <w:r>
        <w:rPr>
          <w:rFonts w:hint="eastAsia" w:ascii="宋体" w:hAnsi="宋体" w:cs="宋体"/>
          <w:color w:val="auto"/>
          <w:sz w:val="21"/>
          <w:szCs w:val="21"/>
          <w:highlight w:val="none"/>
          <w:lang w:eastAsia="zh-CN"/>
        </w:rPr>
        <w:t>由采购人代表以及有关技术、经济等方面的专家组成，成员为7人及以上单数，其中技术、经济类专家不得少于总人数的2/3；</w:t>
      </w:r>
    </w:p>
    <w:p>
      <w:pPr>
        <w:pStyle w:val="19"/>
        <w:spacing w:line="360" w:lineRule="exact"/>
        <w:ind w:firstLine="0"/>
        <w:rPr>
          <w:rFonts w:hint="eastAsia" w:hAnsi="宋体" w:cs="宋体"/>
          <w:color w:val="auto"/>
          <w:sz w:val="21"/>
          <w:szCs w:val="21"/>
          <w:highlight w:val="none"/>
        </w:rPr>
      </w:pPr>
      <w:r>
        <w:rPr>
          <w:rFonts w:hint="eastAsia" w:hAnsi="宋体" w:cs="宋体"/>
          <w:color w:val="auto"/>
          <w:sz w:val="21"/>
          <w:szCs w:val="21"/>
          <w:highlight w:val="none"/>
        </w:rPr>
        <w:t>评标专家确定方式：按相关规定从专家库中抽取。</w:t>
      </w:r>
    </w:p>
    <w:p>
      <w:pPr>
        <w:pStyle w:val="6"/>
        <w:spacing w:before="120" w:beforeLines="50" w:after="0" w:line="36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三、评标程序</w:t>
      </w:r>
      <w:bookmarkEnd w:id="343"/>
      <w:bookmarkEnd w:id="344"/>
      <w:bookmarkEnd w:id="345"/>
      <w:bookmarkEnd w:id="346"/>
    </w:p>
    <w:p>
      <w:pPr>
        <w:spacing w:line="360" w:lineRule="exact"/>
        <w:ind w:firstLine="420" w:firstLineChars="200"/>
        <w:jc w:val="left"/>
        <w:rPr>
          <w:rFonts w:hint="eastAsia" w:ascii="宋体" w:hAnsi="宋体"/>
          <w:bCs/>
          <w:color w:val="auto"/>
          <w:kern w:val="0"/>
          <w:sz w:val="21"/>
          <w:szCs w:val="21"/>
          <w:highlight w:val="none"/>
        </w:rPr>
      </w:pPr>
      <w:r>
        <w:rPr>
          <w:rFonts w:hint="eastAsia" w:ascii="宋体" w:hAnsi="宋体"/>
          <w:bCs/>
          <w:color w:val="auto"/>
          <w:kern w:val="0"/>
          <w:sz w:val="21"/>
          <w:szCs w:val="21"/>
          <w:highlight w:val="none"/>
        </w:rPr>
        <w:t>采购组织机构对各投标人的投标资格进行审查，评标委员会对合格投标人的进行符合性审查，然后对合格投标人的商务技术部分进行评审，商务技术部分评审结束后再对报价部分进行评审，根据综合评审结果，提交评标报告。</w:t>
      </w:r>
    </w:p>
    <w:p>
      <w:pPr>
        <w:pStyle w:val="6"/>
        <w:spacing w:before="120" w:beforeLines="50" w:after="0" w:line="360" w:lineRule="auto"/>
        <w:jc w:val="center"/>
        <w:rPr>
          <w:rFonts w:ascii="宋体" w:hAnsi="宋体" w:cs="宋体"/>
          <w:color w:val="auto"/>
          <w:sz w:val="21"/>
          <w:szCs w:val="21"/>
          <w:highlight w:val="none"/>
        </w:rPr>
      </w:pPr>
      <w:bookmarkStart w:id="347" w:name="_Toc105438839"/>
      <w:bookmarkStart w:id="348" w:name="_Toc105435739"/>
      <w:bookmarkStart w:id="349" w:name="_Toc105435681"/>
      <w:bookmarkStart w:id="350" w:name="_Toc105435553"/>
      <w:r>
        <w:rPr>
          <w:rFonts w:hint="eastAsia" w:ascii="宋体" w:hAnsi="宋体" w:cs="宋体"/>
          <w:color w:val="auto"/>
          <w:sz w:val="21"/>
          <w:szCs w:val="21"/>
          <w:highlight w:val="none"/>
        </w:rPr>
        <w:t>四、评标办法</w:t>
      </w:r>
      <w:bookmarkEnd w:id="347"/>
      <w:bookmarkEnd w:id="348"/>
      <w:bookmarkEnd w:id="349"/>
      <w:bookmarkEnd w:id="350"/>
    </w:p>
    <w:p>
      <w:pPr>
        <w:pStyle w:val="33"/>
        <w:adjustRightInd w:val="0"/>
        <w:snapToGrid w:val="0"/>
        <w:spacing w:after="0" w:line="400" w:lineRule="exact"/>
        <w:ind w:left="0" w:leftChars="0" w:firstLine="424" w:firstLineChars="202"/>
        <w:rPr>
          <w:rFonts w:hint="eastAsia" w:ascii="宋体" w:hAnsi="宋体"/>
          <w:bCs/>
          <w:color w:val="auto"/>
          <w:kern w:val="0"/>
          <w:sz w:val="21"/>
          <w:szCs w:val="21"/>
          <w:highlight w:val="none"/>
        </w:rPr>
      </w:pPr>
      <w:r>
        <w:rPr>
          <w:rFonts w:hint="eastAsia" w:ascii="宋体" w:hAnsi="宋体"/>
          <w:bCs/>
          <w:color w:val="auto"/>
          <w:kern w:val="0"/>
          <w:sz w:val="21"/>
          <w:szCs w:val="21"/>
          <w:highlight w:val="none"/>
        </w:rPr>
        <w:t>本次评审采用综合评分法，总分为100分，商务技术分70分，价格分30分。合格投标人的评审得分为各项目汇总得分，评标委员会应当根据综合评分情况，按照评审得分由高到低顺序推荐</w:t>
      </w:r>
      <w:r>
        <w:rPr>
          <w:rFonts w:hint="eastAsia" w:ascii="宋体" w:hAnsi="宋体"/>
          <w:b/>
          <w:bCs w:val="0"/>
          <w:color w:val="auto"/>
          <w:kern w:val="0"/>
          <w:sz w:val="21"/>
          <w:szCs w:val="21"/>
          <w:highlight w:val="none"/>
        </w:rPr>
        <w:t>2名</w:t>
      </w:r>
      <w:r>
        <w:rPr>
          <w:rFonts w:hint="eastAsia" w:ascii="宋体" w:hAnsi="宋体"/>
          <w:bCs/>
          <w:color w:val="auto"/>
          <w:kern w:val="0"/>
          <w:sz w:val="21"/>
          <w:szCs w:val="21"/>
          <w:highlight w:val="none"/>
        </w:rPr>
        <w:t>中标候选人，评审得分相同的，按照投标报价由低到高的顺序推荐；评审得分且投标报价相同的，由评标委员会抽签决定名次。评分过程中采用四舍五入法，并保留小数2位：投标人评审得分=商务技术分+价格分。</w:t>
      </w:r>
    </w:p>
    <w:p>
      <w:pPr>
        <w:pStyle w:val="6"/>
        <w:spacing w:before="120" w:beforeLines="50" w:after="0" w:line="360" w:lineRule="auto"/>
        <w:jc w:val="center"/>
        <w:rPr>
          <w:rFonts w:ascii="宋体" w:hAnsi="宋体" w:cs="宋体"/>
          <w:color w:val="auto"/>
          <w:sz w:val="21"/>
          <w:szCs w:val="21"/>
          <w:highlight w:val="none"/>
        </w:rPr>
      </w:pPr>
      <w:bookmarkStart w:id="351" w:name="_Toc105435740"/>
      <w:bookmarkStart w:id="352" w:name="_Toc105438840"/>
      <w:bookmarkStart w:id="353" w:name="_Toc105435682"/>
      <w:bookmarkStart w:id="354" w:name="_Toc105435554"/>
      <w:r>
        <w:rPr>
          <w:rFonts w:hint="eastAsia" w:ascii="宋体" w:hAnsi="宋体" w:cs="宋体"/>
          <w:color w:val="auto"/>
          <w:sz w:val="21"/>
          <w:szCs w:val="21"/>
          <w:highlight w:val="none"/>
        </w:rPr>
        <w:t>五、评分细则</w:t>
      </w:r>
      <w:bookmarkEnd w:id="351"/>
      <w:bookmarkEnd w:id="352"/>
      <w:bookmarkEnd w:id="353"/>
      <w:bookmarkEnd w:id="354"/>
    </w:p>
    <w:p>
      <w:pPr>
        <w:spacing w:line="360" w:lineRule="exact"/>
        <w:rPr>
          <w:rFonts w:ascii="宋体" w:hAnsi="宋体" w:cs="Arial"/>
          <w:b/>
          <w:color w:val="auto"/>
          <w:sz w:val="21"/>
          <w:szCs w:val="21"/>
          <w:highlight w:val="none"/>
        </w:rPr>
      </w:pPr>
      <w:r>
        <w:rPr>
          <w:rFonts w:hint="eastAsia" w:ascii="宋体" w:hAnsi="宋体"/>
          <w:b/>
          <w:color w:val="auto"/>
          <w:sz w:val="21"/>
          <w:szCs w:val="21"/>
          <w:highlight w:val="none"/>
        </w:rPr>
        <w:t xml:space="preserve">    1、商务技术分</w:t>
      </w:r>
      <w:r>
        <w:rPr>
          <w:rFonts w:hint="eastAsia" w:ascii="宋体" w:hAnsi="宋体" w:cs="Arial"/>
          <w:b/>
          <w:color w:val="auto"/>
          <w:sz w:val="21"/>
          <w:szCs w:val="21"/>
          <w:highlight w:val="none"/>
        </w:rPr>
        <w:t>（70分）</w:t>
      </w:r>
    </w:p>
    <w:p>
      <w:pPr>
        <w:spacing w:line="360" w:lineRule="exact"/>
        <w:ind w:firstLine="420" w:firstLineChars="200"/>
        <w:rPr>
          <w:rFonts w:ascii="宋体" w:hAnsi="宋体"/>
          <w:color w:val="auto"/>
          <w:sz w:val="21"/>
          <w:szCs w:val="21"/>
          <w:highlight w:val="none"/>
        </w:rPr>
      </w:pPr>
      <w:r>
        <w:rPr>
          <w:rFonts w:hint="eastAsia" w:ascii="宋体" w:hAnsi="宋体" w:cs="Arial"/>
          <w:color w:val="auto"/>
          <w:sz w:val="21"/>
          <w:szCs w:val="21"/>
          <w:highlight w:val="none"/>
        </w:rPr>
        <w:t>各评标委员会成员按下列评分项目进行评定，每人一张评分计算表，由评标委员会成员各自评定打分并记实名。各评标委员会成员对各投标人的各项评分内容评分的合计分的算术平均值为该投标人商务技术分得分（保留二位小数，第三位四舍五入）</w:t>
      </w:r>
      <w:r>
        <w:rPr>
          <w:rFonts w:hint="eastAsia" w:ascii="宋体" w:hAnsi="宋体"/>
          <w:color w:val="auto"/>
          <w:sz w:val="21"/>
          <w:szCs w:val="21"/>
          <w:highlight w:val="none"/>
        </w:rPr>
        <w:t>。</w:t>
      </w:r>
    </w:p>
    <w:tbl>
      <w:tblPr>
        <w:tblStyle w:val="42"/>
        <w:tblW w:w="968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46"/>
        <w:gridCol w:w="1555"/>
        <w:gridCol w:w="699"/>
        <w:gridCol w:w="678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4" w:hRule="atLeast"/>
          <w:jc w:val="center"/>
        </w:trPr>
        <w:tc>
          <w:tcPr>
            <w:tcW w:w="646" w:type="dxa"/>
            <w:noWrap w:val="0"/>
            <w:vAlign w:val="center"/>
          </w:tcPr>
          <w:p>
            <w:pPr>
              <w:spacing w:line="300" w:lineRule="exact"/>
              <w:jc w:val="center"/>
              <w:rPr>
                <w:rFonts w:ascii="宋体" w:hAnsi="宋体" w:cs="Arial"/>
                <w:b/>
                <w:color w:val="auto"/>
                <w:sz w:val="21"/>
                <w:szCs w:val="21"/>
                <w:highlight w:val="none"/>
              </w:rPr>
            </w:pPr>
            <w:r>
              <w:rPr>
                <w:rFonts w:ascii="宋体" w:hAnsi="宋体" w:cs="Arial"/>
                <w:b/>
                <w:color w:val="auto"/>
                <w:sz w:val="21"/>
                <w:szCs w:val="21"/>
                <w:highlight w:val="none"/>
              </w:rPr>
              <w:t>序号</w:t>
            </w:r>
          </w:p>
        </w:tc>
        <w:tc>
          <w:tcPr>
            <w:tcW w:w="1555" w:type="dxa"/>
            <w:noWrap w:val="0"/>
            <w:vAlign w:val="center"/>
          </w:tcPr>
          <w:p>
            <w:pPr>
              <w:spacing w:line="300" w:lineRule="exact"/>
              <w:ind w:left="-50"/>
              <w:jc w:val="center"/>
              <w:rPr>
                <w:rFonts w:ascii="宋体" w:hAnsi="宋体" w:cs="Arial"/>
                <w:b/>
                <w:snapToGrid w:val="0"/>
                <w:color w:val="auto"/>
                <w:sz w:val="21"/>
                <w:szCs w:val="21"/>
                <w:highlight w:val="none"/>
              </w:rPr>
            </w:pPr>
            <w:r>
              <w:rPr>
                <w:rFonts w:ascii="宋体" w:hAnsi="宋体" w:cs="Arial"/>
                <w:b/>
                <w:snapToGrid w:val="0"/>
                <w:color w:val="auto"/>
                <w:sz w:val="21"/>
                <w:szCs w:val="21"/>
                <w:highlight w:val="none"/>
              </w:rPr>
              <w:t>评分内容</w:t>
            </w:r>
          </w:p>
        </w:tc>
        <w:tc>
          <w:tcPr>
            <w:tcW w:w="699" w:type="dxa"/>
            <w:noWrap w:val="0"/>
            <w:vAlign w:val="center"/>
          </w:tcPr>
          <w:p>
            <w:pPr>
              <w:spacing w:line="300" w:lineRule="exact"/>
              <w:jc w:val="center"/>
              <w:rPr>
                <w:rFonts w:ascii="宋体" w:hAnsi="宋体" w:cs="Arial"/>
                <w:b/>
                <w:color w:val="auto"/>
                <w:sz w:val="21"/>
                <w:szCs w:val="21"/>
                <w:highlight w:val="none"/>
              </w:rPr>
            </w:pPr>
            <w:r>
              <w:rPr>
                <w:rFonts w:ascii="宋体" w:hAnsi="宋体" w:cs="Arial"/>
                <w:b/>
                <w:snapToGrid w:val="0"/>
                <w:color w:val="auto"/>
                <w:sz w:val="21"/>
                <w:szCs w:val="21"/>
                <w:highlight w:val="none"/>
              </w:rPr>
              <w:t>分值</w:t>
            </w:r>
          </w:p>
        </w:tc>
        <w:tc>
          <w:tcPr>
            <w:tcW w:w="6783" w:type="dxa"/>
            <w:noWrap w:val="0"/>
            <w:vAlign w:val="center"/>
          </w:tcPr>
          <w:p>
            <w:pPr>
              <w:spacing w:line="300" w:lineRule="exact"/>
              <w:ind w:left="-146" w:leftChars="-52" w:right="-76" w:rightChars="-27"/>
              <w:jc w:val="center"/>
              <w:rPr>
                <w:rFonts w:ascii="宋体" w:hAnsi="宋体" w:cs="Arial"/>
                <w:b/>
                <w:color w:val="auto"/>
                <w:sz w:val="21"/>
                <w:szCs w:val="21"/>
                <w:highlight w:val="none"/>
              </w:rPr>
            </w:pPr>
            <w:r>
              <w:rPr>
                <w:rFonts w:ascii="宋体" w:hAnsi="宋体" w:cs="Arial"/>
                <w:b/>
                <w:snapToGrid w:val="0"/>
                <w:color w:val="auto"/>
                <w:sz w:val="21"/>
                <w:szCs w:val="21"/>
                <w:highlight w:val="none"/>
              </w:rPr>
              <w:t>评分细则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46" w:hRule="atLeast"/>
          <w:jc w:val="center"/>
        </w:trPr>
        <w:tc>
          <w:tcPr>
            <w:tcW w:w="646" w:type="dxa"/>
            <w:noWrap w:val="0"/>
            <w:vAlign w:val="center"/>
          </w:tcPr>
          <w:p>
            <w:pPr>
              <w:widowControl/>
              <w:numPr>
                <w:ilvl w:val="0"/>
                <w:numId w:val="13"/>
              </w:numPr>
              <w:spacing w:line="300" w:lineRule="exact"/>
              <w:jc w:val="center"/>
              <w:rPr>
                <w:rFonts w:ascii="宋体" w:hAnsi="宋体" w:cs="Arial"/>
                <w:color w:val="auto"/>
                <w:sz w:val="21"/>
                <w:szCs w:val="21"/>
                <w:highlight w:val="none"/>
              </w:rPr>
            </w:pPr>
          </w:p>
        </w:tc>
        <w:tc>
          <w:tcPr>
            <w:tcW w:w="1555" w:type="dxa"/>
            <w:noWrap w:val="0"/>
            <w:vAlign w:val="center"/>
          </w:tcPr>
          <w:p>
            <w:pPr>
              <w:autoSpaceDE w:val="0"/>
              <w:autoSpaceDN w:val="0"/>
              <w:adjustRightInd w:val="0"/>
              <w:spacing w:line="300" w:lineRule="exact"/>
              <w:jc w:val="center"/>
              <w:rPr>
                <w:rFonts w:ascii="宋体" w:hAnsi="宋体" w:cs="Arial"/>
                <w:color w:val="auto"/>
                <w:sz w:val="21"/>
                <w:szCs w:val="21"/>
                <w:highlight w:val="none"/>
              </w:rPr>
            </w:pPr>
            <w:r>
              <w:rPr>
                <w:rFonts w:hint="eastAsia" w:ascii="宋体" w:hAnsi="宋体" w:cs="Arial"/>
                <w:color w:val="auto"/>
                <w:sz w:val="21"/>
                <w:szCs w:val="21"/>
                <w:highlight w:val="none"/>
              </w:rPr>
              <w:t>投标人</w:t>
            </w:r>
            <w:r>
              <w:rPr>
                <w:rFonts w:ascii="宋体" w:hAnsi="宋体" w:cs="Arial"/>
                <w:color w:val="auto"/>
                <w:sz w:val="21"/>
                <w:szCs w:val="21"/>
                <w:highlight w:val="none"/>
              </w:rPr>
              <w:t>综合服务能力</w:t>
            </w:r>
          </w:p>
        </w:tc>
        <w:tc>
          <w:tcPr>
            <w:tcW w:w="699" w:type="dxa"/>
            <w:noWrap w:val="0"/>
            <w:vAlign w:val="center"/>
          </w:tcPr>
          <w:p>
            <w:pPr>
              <w:spacing w:line="300" w:lineRule="exact"/>
              <w:ind w:right="3"/>
              <w:jc w:val="center"/>
              <w:rPr>
                <w:rFonts w:hint="eastAsia" w:ascii="宋体" w:hAnsi="宋体" w:cs="Arial"/>
                <w:color w:val="auto"/>
                <w:sz w:val="21"/>
                <w:szCs w:val="21"/>
                <w:highlight w:val="none"/>
              </w:rPr>
            </w:pPr>
            <w:r>
              <w:rPr>
                <w:rFonts w:ascii="宋体" w:hAnsi="宋体" w:cs="Arial"/>
                <w:color w:val="auto"/>
                <w:sz w:val="21"/>
                <w:szCs w:val="21"/>
                <w:highlight w:val="none"/>
              </w:rPr>
              <w:t>6</w:t>
            </w:r>
            <w:r>
              <w:rPr>
                <w:rFonts w:hint="eastAsia" w:ascii="宋体" w:hAnsi="宋体" w:cs="Arial"/>
                <w:color w:val="auto"/>
                <w:sz w:val="21"/>
                <w:szCs w:val="21"/>
                <w:highlight w:val="none"/>
              </w:rPr>
              <w:t>分</w:t>
            </w:r>
          </w:p>
        </w:tc>
        <w:tc>
          <w:tcPr>
            <w:tcW w:w="6783" w:type="dxa"/>
            <w:noWrap w:val="0"/>
            <w:vAlign w:val="center"/>
          </w:tcPr>
          <w:p>
            <w:pPr>
              <w:adjustRightInd w:val="0"/>
              <w:snapToGrid w:val="0"/>
              <w:spacing w:line="300" w:lineRule="exact"/>
              <w:rPr>
                <w:rFonts w:hint="eastAsia" w:ascii="宋体" w:hAnsi="宋体" w:cs="Arial"/>
                <w:color w:val="auto"/>
                <w:sz w:val="21"/>
                <w:szCs w:val="21"/>
                <w:highlight w:val="none"/>
              </w:rPr>
            </w:pPr>
            <w:r>
              <w:rPr>
                <w:rFonts w:hint="eastAsia" w:ascii="宋体" w:hAnsi="宋体" w:cs="Arial"/>
                <w:color w:val="auto"/>
                <w:sz w:val="21"/>
                <w:szCs w:val="21"/>
                <w:highlight w:val="none"/>
              </w:rPr>
              <w:t>投标人</w:t>
            </w:r>
            <w:r>
              <w:rPr>
                <w:rFonts w:ascii="宋体" w:hAnsi="宋体" w:cs="Arial"/>
                <w:color w:val="auto"/>
                <w:sz w:val="21"/>
                <w:szCs w:val="21"/>
                <w:highlight w:val="none"/>
              </w:rPr>
              <w:t>在保洁作业方面取得的质量、环境、职业健康管理体系认证情况：每提供一项证书得2分，最高得6分。</w:t>
            </w:r>
          </w:p>
          <w:p>
            <w:pPr>
              <w:pStyle w:val="2"/>
              <w:spacing w:after="0" w:line="300" w:lineRule="exact"/>
              <w:ind w:firstLine="0" w:firstLineChars="0"/>
              <w:rPr>
                <w:rFonts w:hint="eastAsia" w:ascii="宋体" w:hAnsi="宋体" w:cs="Arial"/>
                <w:color w:val="auto"/>
                <w:sz w:val="21"/>
                <w:szCs w:val="21"/>
                <w:highlight w:val="none"/>
              </w:rPr>
            </w:pPr>
            <w:r>
              <w:rPr>
                <w:rFonts w:hint="eastAsia" w:ascii="宋体" w:hAnsi="宋体" w:cs="Arial"/>
                <w:color w:val="auto"/>
                <w:sz w:val="21"/>
                <w:szCs w:val="21"/>
                <w:highlight w:val="none"/>
              </w:rPr>
              <w:t>注：须提供有效的证书扫描件加盖公章，否则不得分。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9" w:hRule="atLeast"/>
          <w:jc w:val="center"/>
        </w:trPr>
        <w:tc>
          <w:tcPr>
            <w:tcW w:w="646" w:type="dxa"/>
            <w:noWrap w:val="0"/>
            <w:vAlign w:val="center"/>
          </w:tcPr>
          <w:p>
            <w:pPr>
              <w:widowControl/>
              <w:numPr>
                <w:ilvl w:val="0"/>
                <w:numId w:val="13"/>
              </w:numPr>
              <w:spacing w:line="300" w:lineRule="exact"/>
              <w:jc w:val="center"/>
              <w:rPr>
                <w:rFonts w:ascii="宋体" w:hAnsi="宋体" w:cs="Arial"/>
                <w:color w:val="auto"/>
                <w:sz w:val="21"/>
                <w:szCs w:val="21"/>
                <w:highlight w:val="none"/>
              </w:rPr>
            </w:pPr>
          </w:p>
        </w:tc>
        <w:tc>
          <w:tcPr>
            <w:tcW w:w="1555" w:type="dxa"/>
            <w:noWrap w:val="0"/>
            <w:vAlign w:val="center"/>
          </w:tcPr>
          <w:p>
            <w:pPr>
              <w:spacing w:line="300" w:lineRule="exact"/>
              <w:ind w:right="3"/>
              <w:jc w:val="center"/>
              <w:rPr>
                <w:rFonts w:ascii="宋体" w:hAnsi="宋体" w:cs="Arial"/>
                <w:color w:val="auto"/>
                <w:sz w:val="21"/>
                <w:szCs w:val="21"/>
                <w:highlight w:val="none"/>
              </w:rPr>
            </w:pPr>
            <w:r>
              <w:rPr>
                <w:rFonts w:ascii="宋体" w:hAnsi="宋体" w:cs="Arial"/>
                <w:color w:val="auto"/>
                <w:sz w:val="21"/>
                <w:szCs w:val="21"/>
                <w:highlight w:val="none"/>
              </w:rPr>
              <w:t>项目负责人及管理团队</w:t>
            </w:r>
          </w:p>
        </w:tc>
        <w:tc>
          <w:tcPr>
            <w:tcW w:w="699" w:type="dxa"/>
            <w:noWrap w:val="0"/>
            <w:vAlign w:val="center"/>
          </w:tcPr>
          <w:p>
            <w:pPr>
              <w:spacing w:line="300" w:lineRule="exact"/>
              <w:ind w:right="3"/>
              <w:jc w:val="center"/>
              <w:rPr>
                <w:rFonts w:ascii="宋体" w:hAnsi="宋体" w:cs="Arial"/>
                <w:color w:val="auto"/>
                <w:sz w:val="21"/>
                <w:szCs w:val="21"/>
                <w:highlight w:val="none"/>
              </w:rPr>
            </w:pPr>
            <w:r>
              <w:rPr>
                <w:rFonts w:ascii="宋体" w:hAnsi="宋体" w:cs="Arial"/>
                <w:color w:val="auto"/>
                <w:sz w:val="21"/>
                <w:szCs w:val="21"/>
                <w:highlight w:val="none"/>
              </w:rPr>
              <w:t>3</w:t>
            </w:r>
            <w:r>
              <w:rPr>
                <w:rFonts w:hint="eastAsia" w:ascii="宋体" w:hAnsi="宋体" w:cs="Arial"/>
                <w:color w:val="auto"/>
                <w:sz w:val="21"/>
                <w:szCs w:val="21"/>
                <w:highlight w:val="none"/>
              </w:rPr>
              <w:t>分</w:t>
            </w:r>
          </w:p>
        </w:tc>
        <w:tc>
          <w:tcPr>
            <w:tcW w:w="6783" w:type="dxa"/>
            <w:noWrap w:val="0"/>
            <w:vAlign w:val="center"/>
          </w:tcPr>
          <w:p>
            <w:pPr>
              <w:spacing w:line="300" w:lineRule="exact"/>
              <w:ind w:right="3"/>
              <w:rPr>
                <w:rFonts w:hint="eastAsia" w:ascii="宋体" w:hAnsi="宋体" w:cs="Arial"/>
                <w:color w:val="auto"/>
                <w:sz w:val="21"/>
                <w:szCs w:val="21"/>
                <w:highlight w:val="none"/>
              </w:rPr>
            </w:pPr>
            <w:r>
              <w:rPr>
                <w:rFonts w:hint="eastAsia" w:ascii="宋体" w:hAnsi="宋体" w:cs="Arial"/>
                <w:color w:val="auto"/>
                <w:sz w:val="21"/>
                <w:szCs w:val="21"/>
                <w:highlight w:val="none"/>
              </w:rPr>
              <w:t>拟投入的项目管理人员，应配备项目负责人、生产负责人、技术质量负责人、安全负责人等人员，团队配置合理的，得</w:t>
            </w:r>
            <w:r>
              <w:rPr>
                <w:rFonts w:ascii="宋体" w:hAnsi="宋体" w:cs="Arial"/>
                <w:color w:val="auto"/>
                <w:sz w:val="21"/>
                <w:szCs w:val="21"/>
                <w:highlight w:val="none"/>
              </w:rPr>
              <w:t>3</w:t>
            </w:r>
            <w:r>
              <w:rPr>
                <w:rFonts w:hint="eastAsia" w:ascii="宋体" w:hAnsi="宋体" w:cs="Arial"/>
                <w:color w:val="auto"/>
                <w:sz w:val="21"/>
                <w:szCs w:val="21"/>
                <w:highlight w:val="none"/>
              </w:rPr>
              <w:t>分；团队配置基本合理的，得</w:t>
            </w:r>
            <w:r>
              <w:rPr>
                <w:rFonts w:ascii="宋体" w:hAnsi="宋体" w:cs="Arial"/>
                <w:color w:val="auto"/>
                <w:sz w:val="21"/>
                <w:szCs w:val="21"/>
                <w:highlight w:val="none"/>
              </w:rPr>
              <w:t>2</w:t>
            </w:r>
            <w:r>
              <w:rPr>
                <w:rFonts w:hint="eastAsia" w:ascii="宋体" w:hAnsi="宋体" w:cs="Arial"/>
                <w:color w:val="auto"/>
                <w:sz w:val="21"/>
                <w:szCs w:val="21"/>
                <w:highlight w:val="none"/>
              </w:rPr>
              <w:t>分；团队配置欠缺的，得</w:t>
            </w:r>
            <w:r>
              <w:rPr>
                <w:rFonts w:ascii="宋体" w:hAnsi="宋体" w:cs="Arial"/>
                <w:color w:val="auto"/>
                <w:sz w:val="21"/>
                <w:szCs w:val="21"/>
                <w:highlight w:val="none"/>
              </w:rPr>
              <w:t>1</w:t>
            </w:r>
            <w:r>
              <w:rPr>
                <w:rFonts w:hint="eastAsia" w:ascii="宋体" w:hAnsi="宋体" w:cs="Arial"/>
                <w:color w:val="auto"/>
                <w:sz w:val="21"/>
                <w:szCs w:val="21"/>
                <w:highlight w:val="none"/>
              </w:rPr>
              <w:t>分。</w:t>
            </w:r>
          </w:p>
          <w:p>
            <w:pPr>
              <w:spacing w:line="300" w:lineRule="exact"/>
              <w:ind w:right="3"/>
              <w:rPr>
                <w:rFonts w:ascii="宋体" w:hAnsi="宋体" w:cs="Arial"/>
                <w:color w:val="auto"/>
                <w:sz w:val="21"/>
                <w:szCs w:val="21"/>
                <w:highlight w:val="none"/>
              </w:rPr>
            </w:pPr>
            <w:r>
              <w:rPr>
                <w:rFonts w:hint="eastAsia" w:ascii="宋体" w:hAnsi="宋体" w:cs="Arial"/>
                <w:color w:val="auto"/>
                <w:sz w:val="21"/>
                <w:szCs w:val="21"/>
                <w:highlight w:val="none"/>
              </w:rPr>
              <w:t>注：项目负责人需提供在投标单位缴纳社保近</w:t>
            </w:r>
            <w:r>
              <w:rPr>
                <w:rFonts w:ascii="宋体" w:hAnsi="宋体" w:cs="Arial"/>
                <w:color w:val="auto"/>
                <w:sz w:val="21"/>
                <w:szCs w:val="21"/>
                <w:highlight w:val="none"/>
              </w:rPr>
              <w:t>6</w:t>
            </w:r>
            <w:r>
              <w:rPr>
                <w:rFonts w:hint="eastAsia" w:ascii="宋体" w:hAnsi="宋体" w:cs="Arial"/>
                <w:color w:val="auto"/>
                <w:sz w:val="21"/>
                <w:szCs w:val="21"/>
                <w:highlight w:val="none"/>
              </w:rPr>
              <w:t>个月社保缴纳证明或持股证明，否则不得分。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6" w:type="dxa"/>
            <w:noWrap w:val="0"/>
            <w:vAlign w:val="center"/>
          </w:tcPr>
          <w:p>
            <w:pPr>
              <w:widowControl/>
              <w:numPr>
                <w:ilvl w:val="0"/>
                <w:numId w:val="13"/>
              </w:numPr>
              <w:tabs>
                <w:tab w:val="left" w:pos="166"/>
              </w:tabs>
              <w:spacing w:line="300" w:lineRule="exact"/>
              <w:jc w:val="center"/>
              <w:rPr>
                <w:rFonts w:ascii="宋体" w:hAnsi="宋体" w:cs="Arial"/>
                <w:color w:val="auto"/>
                <w:sz w:val="21"/>
                <w:szCs w:val="21"/>
                <w:highlight w:val="none"/>
              </w:rPr>
            </w:pPr>
          </w:p>
        </w:tc>
        <w:tc>
          <w:tcPr>
            <w:tcW w:w="1555" w:type="dxa"/>
            <w:noWrap w:val="0"/>
            <w:vAlign w:val="center"/>
          </w:tcPr>
          <w:p>
            <w:pPr>
              <w:spacing w:line="300" w:lineRule="exact"/>
              <w:ind w:right="3"/>
              <w:jc w:val="center"/>
              <w:rPr>
                <w:rFonts w:ascii="宋体" w:hAnsi="宋体" w:cs="Arial"/>
                <w:color w:val="auto"/>
                <w:sz w:val="21"/>
                <w:szCs w:val="21"/>
                <w:highlight w:val="none"/>
              </w:rPr>
            </w:pPr>
            <w:r>
              <w:rPr>
                <w:rFonts w:hint="eastAsia" w:ascii="宋体" w:hAnsi="宋体" w:cs="Arial"/>
                <w:color w:val="auto"/>
                <w:sz w:val="21"/>
                <w:szCs w:val="21"/>
                <w:highlight w:val="none"/>
              </w:rPr>
              <w:t>业绩</w:t>
            </w:r>
          </w:p>
        </w:tc>
        <w:tc>
          <w:tcPr>
            <w:tcW w:w="699" w:type="dxa"/>
            <w:noWrap w:val="0"/>
            <w:vAlign w:val="center"/>
          </w:tcPr>
          <w:p>
            <w:pPr>
              <w:spacing w:line="300" w:lineRule="exact"/>
              <w:ind w:right="3"/>
              <w:jc w:val="center"/>
              <w:rPr>
                <w:rFonts w:hint="eastAsia" w:ascii="宋体" w:hAnsi="宋体" w:cs="Arial"/>
                <w:color w:val="auto"/>
                <w:sz w:val="21"/>
                <w:szCs w:val="21"/>
                <w:highlight w:val="none"/>
              </w:rPr>
            </w:pPr>
            <w:r>
              <w:rPr>
                <w:rFonts w:hint="eastAsia" w:ascii="宋体" w:hAnsi="宋体" w:cs="Arial"/>
                <w:color w:val="auto"/>
                <w:sz w:val="21"/>
                <w:szCs w:val="21"/>
                <w:highlight w:val="none"/>
              </w:rPr>
              <w:t>3分</w:t>
            </w:r>
          </w:p>
        </w:tc>
        <w:tc>
          <w:tcPr>
            <w:tcW w:w="6783" w:type="dxa"/>
            <w:noWrap w:val="0"/>
            <w:vAlign w:val="center"/>
          </w:tcPr>
          <w:p>
            <w:pPr>
              <w:widowControl/>
              <w:numPr>
                <w:ilvl w:val="0"/>
                <w:numId w:val="14"/>
              </w:numPr>
              <w:adjustRightInd w:val="0"/>
              <w:snapToGrid w:val="0"/>
              <w:spacing w:line="300" w:lineRule="exact"/>
              <w:jc w:val="left"/>
              <w:rPr>
                <w:rFonts w:hint="eastAsia" w:ascii="宋体" w:hAnsi="宋体" w:cs="Arial"/>
                <w:color w:val="auto"/>
                <w:sz w:val="21"/>
                <w:szCs w:val="21"/>
                <w:highlight w:val="none"/>
              </w:rPr>
            </w:pPr>
            <w:r>
              <w:rPr>
                <w:rFonts w:hint="eastAsia" w:ascii="宋体" w:hAnsi="宋体" w:cs="Arial"/>
                <w:color w:val="auto"/>
                <w:sz w:val="21"/>
                <w:szCs w:val="21"/>
                <w:highlight w:val="none"/>
              </w:rPr>
              <w:t>投标人2019年10月1日（以合同签订时间为准）以来承接的市政道路保洁业绩（村居道路保洁业绩视同市政道路保洁业绩），每个得0.5分；最多得1分。</w:t>
            </w:r>
          </w:p>
          <w:p>
            <w:pPr>
              <w:widowControl/>
              <w:numPr>
                <w:ilvl w:val="0"/>
                <w:numId w:val="0"/>
              </w:numPr>
              <w:adjustRightInd w:val="0"/>
              <w:snapToGrid w:val="0"/>
              <w:spacing w:line="300" w:lineRule="exact"/>
              <w:jc w:val="left"/>
              <w:rPr>
                <w:rFonts w:hint="eastAsia" w:ascii="宋体" w:hAnsi="宋体" w:cs="Arial"/>
                <w:color w:val="auto"/>
                <w:sz w:val="21"/>
                <w:szCs w:val="21"/>
                <w:highlight w:val="none"/>
              </w:rPr>
            </w:pPr>
            <w:r>
              <w:rPr>
                <w:rFonts w:hint="eastAsia" w:ascii="宋体" w:hAnsi="宋体" w:cs="Arial"/>
                <w:color w:val="auto"/>
                <w:sz w:val="21"/>
                <w:szCs w:val="21"/>
                <w:highlight w:val="none"/>
              </w:rPr>
              <w:t>2.投标人2019年10月1日（以合同签订时间为准）以来承接的河道保洁业绩（湖泊</w:t>
            </w:r>
            <w:r>
              <w:rPr>
                <w:rFonts w:hint="eastAsia" w:ascii="宋体" w:hAnsi="宋体" w:cs="Arial"/>
                <w:color w:val="auto"/>
                <w:sz w:val="21"/>
                <w:szCs w:val="21"/>
                <w:highlight w:val="none"/>
                <w:lang w:eastAsia="zh-CN"/>
              </w:rPr>
              <w:t>保洁业绩视同河道保洁业绩</w:t>
            </w:r>
            <w:r>
              <w:rPr>
                <w:rFonts w:hint="eastAsia" w:ascii="宋体" w:hAnsi="宋体" w:cs="Arial"/>
                <w:color w:val="auto"/>
                <w:sz w:val="21"/>
                <w:szCs w:val="21"/>
                <w:highlight w:val="none"/>
              </w:rPr>
              <w:t>），每个得0.5分；最多得1分。</w:t>
            </w:r>
          </w:p>
          <w:p>
            <w:pPr>
              <w:widowControl/>
              <w:adjustRightInd w:val="0"/>
              <w:snapToGrid w:val="0"/>
              <w:spacing w:line="300" w:lineRule="exact"/>
              <w:jc w:val="left"/>
              <w:rPr>
                <w:rFonts w:hint="eastAsia" w:ascii="宋体" w:hAnsi="宋体" w:cs="Arial"/>
                <w:color w:val="auto"/>
                <w:sz w:val="21"/>
                <w:szCs w:val="21"/>
                <w:highlight w:val="none"/>
              </w:rPr>
            </w:pPr>
            <w:r>
              <w:rPr>
                <w:rFonts w:hint="eastAsia" w:ascii="宋体" w:hAnsi="宋体" w:cs="Arial"/>
                <w:color w:val="auto"/>
                <w:sz w:val="21"/>
                <w:szCs w:val="21"/>
                <w:highlight w:val="none"/>
              </w:rPr>
              <w:t>3 .投标人2019年10月1日（以合同签订时间为准）以来承接的公厕保洁业绩，每个得0.5分；最多得1分。</w:t>
            </w:r>
          </w:p>
          <w:p>
            <w:pPr>
              <w:widowControl/>
              <w:adjustRightInd w:val="0"/>
              <w:snapToGrid w:val="0"/>
              <w:spacing w:line="300" w:lineRule="exact"/>
              <w:jc w:val="left"/>
              <w:rPr>
                <w:rFonts w:hint="eastAsia" w:ascii="宋体" w:hAnsi="宋体" w:cs="Arial"/>
                <w:b/>
                <w:bCs/>
                <w:color w:val="auto"/>
                <w:sz w:val="21"/>
                <w:szCs w:val="21"/>
                <w:highlight w:val="none"/>
              </w:rPr>
            </w:pPr>
            <w:r>
              <w:rPr>
                <w:rFonts w:hint="eastAsia" w:ascii="宋体" w:hAnsi="宋体" w:cs="Arial"/>
                <w:b/>
                <w:bCs/>
                <w:color w:val="auto"/>
                <w:sz w:val="21"/>
                <w:szCs w:val="21"/>
                <w:highlight w:val="none"/>
              </w:rPr>
              <w:t>注：</w:t>
            </w:r>
            <w:r>
              <w:rPr>
                <w:rFonts w:hint="eastAsia" w:ascii="宋体" w:hAnsi="宋体" w:cs="Arial"/>
                <w:b/>
                <w:bCs/>
                <w:color w:val="auto"/>
                <w:sz w:val="21"/>
                <w:szCs w:val="21"/>
                <w:highlight w:val="none"/>
              </w:rPr>
              <w:fldChar w:fldCharType="begin"/>
            </w:r>
            <w:r>
              <w:rPr>
                <w:rFonts w:hint="eastAsia" w:ascii="宋体" w:hAnsi="宋体" w:cs="Arial"/>
                <w:b/>
                <w:bCs/>
                <w:color w:val="auto"/>
                <w:sz w:val="21"/>
                <w:szCs w:val="21"/>
                <w:highlight w:val="none"/>
              </w:rPr>
              <w:instrText xml:space="preserve"> = 1 \* GB3 </w:instrText>
            </w:r>
            <w:r>
              <w:rPr>
                <w:rFonts w:hint="eastAsia" w:ascii="宋体" w:hAnsi="宋体" w:cs="Arial"/>
                <w:b/>
                <w:bCs/>
                <w:color w:val="auto"/>
                <w:sz w:val="21"/>
                <w:szCs w:val="21"/>
                <w:highlight w:val="none"/>
              </w:rPr>
              <w:fldChar w:fldCharType="separate"/>
            </w:r>
            <w:r>
              <w:rPr>
                <w:rFonts w:hint="eastAsia" w:ascii="宋体" w:hAnsi="宋体" w:cs="Arial"/>
                <w:b/>
                <w:bCs/>
                <w:color w:val="auto"/>
                <w:sz w:val="21"/>
                <w:szCs w:val="21"/>
                <w:highlight w:val="none"/>
              </w:rPr>
              <w:t>①</w:t>
            </w:r>
            <w:r>
              <w:rPr>
                <w:rFonts w:hint="eastAsia" w:ascii="宋体" w:hAnsi="宋体" w:cs="Arial"/>
                <w:b/>
                <w:bCs/>
                <w:color w:val="auto"/>
                <w:sz w:val="21"/>
                <w:szCs w:val="21"/>
                <w:highlight w:val="none"/>
              </w:rPr>
              <w:fldChar w:fldCharType="end"/>
            </w:r>
            <w:r>
              <w:rPr>
                <w:rFonts w:hint="eastAsia" w:ascii="宋体" w:hAnsi="宋体" w:cs="Arial"/>
                <w:b/>
                <w:bCs/>
                <w:color w:val="auto"/>
                <w:sz w:val="21"/>
                <w:szCs w:val="21"/>
                <w:highlight w:val="none"/>
              </w:rPr>
              <w:t>须提供中标（成交）通知书及合同扫描件，否则不得分。</w:t>
            </w:r>
          </w:p>
          <w:p>
            <w:pPr>
              <w:widowControl/>
              <w:adjustRightInd w:val="0"/>
              <w:snapToGrid w:val="0"/>
              <w:spacing w:line="300" w:lineRule="exact"/>
              <w:jc w:val="left"/>
              <w:rPr>
                <w:rFonts w:hint="eastAsia" w:ascii="宋体" w:hAnsi="宋体" w:cs="Arial"/>
                <w:b/>
                <w:bCs/>
                <w:color w:val="auto"/>
                <w:sz w:val="21"/>
                <w:szCs w:val="21"/>
                <w:highlight w:val="none"/>
              </w:rPr>
            </w:pPr>
            <w:r>
              <w:rPr>
                <w:rFonts w:hint="eastAsia" w:ascii="宋体" w:hAnsi="宋体" w:cs="Arial"/>
                <w:b/>
                <w:bCs/>
                <w:color w:val="auto"/>
                <w:sz w:val="21"/>
                <w:szCs w:val="21"/>
                <w:highlight w:val="none"/>
              </w:rPr>
              <w:fldChar w:fldCharType="begin"/>
            </w:r>
            <w:r>
              <w:rPr>
                <w:rFonts w:hint="eastAsia" w:ascii="宋体" w:hAnsi="宋体" w:cs="Arial"/>
                <w:b/>
                <w:bCs/>
                <w:color w:val="auto"/>
                <w:sz w:val="21"/>
                <w:szCs w:val="21"/>
                <w:highlight w:val="none"/>
              </w:rPr>
              <w:instrText xml:space="preserve"> = 2 \* GB3 </w:instrText>
            </w:r>
            <w:r>
              <w:rPr>
                <w:rFonts w:hint="eastAsia" w:ascii="宋体" w:hAnsi="宋体" w:cs="Arial"/>
                <w:b/>
                <w:bCs/>
                <w:color w:val="auto"/>
                <w:sz w:val="21"/>
                <w:szCs w:val="21"/>
                <w:highlight w:val="none"/>
              </w:rPr>
              <w:fldChar w:fldCharType="separate"/>
            </w:r>
            <w:r>
              <w:rPr>
                <w:rFonts w:hint="eastAsia" w:ascii="宋体" w:hAnsi="宋体" w:cs="Arial"/>
                <w:b/>
                <w:bCs/>
                <w:color w:val="auto"/>
                <w:sz w:val="21"/>
                <w:szCs w:val="21"/>
                <w:highlight w:val="none"/>
              </w:rPr>
              <w:t>②</w:t>
            </w:r>
            <w:r>
              <w:rPr>
                <w:rFonts w:hint="eastAsia" w:ascii="宋体" w:hAnsi="宋体" w:cs="Arial"/>
                <w:b/>
                <w:bCs/>
                <w:color w:val="auto"/>
                <w:sz w:val="21"/>
                <w:szCs w:val="21"/>
                <w:highlight w:val="none"/>
              </w:rPr>
              <w:fldChar w:fldCharType="end"/>
            </w:r>
            <w:r>
              <w:rPr>
                <w:rFonts w:hint="eastAsia" w:ascii="宋体" w:hAnsi="宋体" w:cs="Arial"/>
                <w:b/>
                <w:bCs/>
                <w:color w:val="auto"/>
                <w:sz w:val="21"/>
                <w:szCs w:val="21"/>
                <w:highlight w:val="none"/>
              </w:rPr>
              <w:t>同一个项目，续签合同业绩不予计分；同一合同仅计分一次。</w:t>
            </w:r>
          </w:p>
          <w:p>
            <w:pPr>
              <w:widowControl/>
              <w:adjustRightInd w:val="0"/>
              <w:snapToGrid w:val="0"/>
              <w:spacing w:line="300" w:lineRule="exact"/>
              <w:jc w:val="left"/>
              <w:rPr>
                <w:rFonts w:hint="eastAsia" w:eastAsia="宋体"/>
                <w:color w:val="auto"/>
                <w:highlight w:val="none"/>
                <w:lang w:eastAsia="zh-CN"/>
              </w:rPr>
            </w:pPr>
            <w:r>
              <w:rPr>
                <w:rFonts w:hint="eastAsia" w:ascii="宋体" w:hAnsi="宋体" w:cs="Arial"/>
                <w:b/>
                <w:bCs/>
                <w:color w:val="auto"/>
                <w:sz w:val="21"/>
                <w:szCs w:val="21"/>
                <w:highlight w:val="none"/>
                <w:lang w:eastAsia="zh-CN"/>
              </w:rPr>
              <w:t>③一个合同或多个合同里符合以上三项业绩的均予以计分。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6" w:type="dxa"/>
            <w:noWrap w:val="0"/>
            <w:vAlign w:val="center"/>
          </w:tcPr>
          <w:p>
            <w:pPr>
              <w:widowControl/>
              <w:numPr>
                <w:ilvl w:val="0"/>
                <w:numId w:val="13"/>
              </w:numPr>
              <w:spacing w:line="300" w:lineRule="exact"/>
              <w:jc w:val="center"/>
              <w:rPr>
                <w:rFonts w:ascii="宋体" w:hAnsi="宋体" w:cs="Arial"/>
                <w:color w:val="auto"/>
                <w:sz w:val="21"/>
                <w:szCs w:val="21"/>
                <w:highlight w:val="none"/>
              </w:rPr>
            </w:pPr>
          </w:p>
        </w:tc>
        <w:tc>
          <w:tcPr>
            <w:tcW w:w="1555" w:type="dxa"/>
            <w:noWrap w:val="0"/>
            <w:vAlign w:val="center"/>
          </w:tcPr>
          <w:p>
            <w:pPr>
              <w:spacing w:line="300" w:lineRule="exact"/>
              <w:ind w:right="3"/>
              <w:jc w:val="center"/>
              <w:rPr>
                <w:rFonts w:hint="eastAsia" w:ascii="宋体" w:hAnsi="宋体" w:cs="Arial"/>
                <w:color w:val="auto"/>
                <w:sz w:val="21"/>
                <w:szCs w:val="21"/>
                <w:highlight w:val="none"/>
              </w:rPr>
            </w:pPr>
            <w:r>
              <w:rPr>
                <w:rFonts w:hint="eastAsia" w:ascii="宋体" w:hAnsi="宋体" w:cs="Arial"/>
                <w:color w:val="auto"/>
                <w:sz w:val="21"/>
                <w:szCs w:val="21"/>
                <w:highlight w:val="none"/>
              </w:rPr>
              <w:t>作业机具</w:t>
            </w:r>
          </w:p>
          <w:p>
            <w:pPr>
              <w:spacing w:line="300" w:lineRule="exact"/>
              <w:ind w:right="3"/>
              <w:jc w:val="center"/>
              <w:rPr>
                <w:rFonts w:ascii="宋体" w:hAnsi="宋体" w:cs="Arial"/>
                <w:color w:val="auto"/>
                <w:sz w:val="21"/>
                <w:szCs w:val="21"/>
                <w:highlight w:val="none"/>
              </w:rPr>
            </w:pPr>
            <w:r>
              <w:rPr>
                <w:rFonts w:hint="eastAsia" w:ascii="宋体" w:hAnsi="宋体" w:cs="Arial"/>
                <w:color w:val="auto"/>
                <w:sz w:val="21"/>
                <w:szCs w:val="21"/>
                <w:highlight w:val="none"/>
              </w:rPr>
              <w:t>优化</w:t>
            </w:r>
            <w:r>
              <w:rPr>
                <w:rFonts w:ascii="宋体" w:hAnsi="宋体" w:cs="Arial"/>
                <w:color w:val="auto"/>
                <w:sz w:val="21"/>
                <w:szCs w:val="21"/>
                <w:highlight w:val="none"/>
              </w:rPr>
              <w:t>配置</w:t>
            </w:r>
          </w:p>
        </w:tc>
        <w:tc>
          <w:tcPr>
            <w:tcW w:w="699" w:type="dxa"/>
            <w:noWrap w:val="0"/>
            <w:vAlign w:val="center"/>
          </w:tcPr>
          <w:p>
            <w:pPr>
              <w:spacing w:line="300" w:lineRule="exact"/>
              <w:ind w:right="3"/>
              <w:jc w:val="center"/>
              <w:rPr>
                <w:rFonts w:ascii="宋体" w:hAnsi="宋体" w:cs="Arial"/>
                <w:color w:val="auto"/>
                <w:sz w:val="21"/>
                <w:szCs w:val="21"/>
                <w:highlight w:val="none"/>
              </w:rPr>
            </w:pPr>
            <w:r>
              <w:rPr>
                <w:rFonts w:ascii="宋体" w:hAnsi="宋体" w:cs="Arial"/>
                <w:color w:val="auto"/>
                <w:sz w:val="21"/>
                <w:szCs w:val="21"/>
                <w:highlight w:val="none"/>
              </w:rPr>
              <w:t>20</w:t>
            </w:r>
            <w:r>
              <w:rPr>
                <w:rFonts w:hint="eastAsia" w:ascii="宋体" w:hAnsi="宋体" w:cs="Arial"/>
                <w:color w:val="auto"/>
                <w:sz w:val="21"/>
                <w:szCs w:val="21"/>
                <w:highlight w:val="none"/>
              </w:rPr>
              <w:t>分</w:t>
            </w:r>
          </w:p>
        </w:tc>
        <w:tc>
          <w:tcPr>
            <w:tcW w:w="6783" w:type="dxa"/>
            <w:noWrap w:val="0"/>
            <w:vAlign w:val="center"/>
          </w:tcPr>
          <w:p>
            <w:pPr>
              <w:widowControl/>
              <w:adjustRightInd w:val="0"/>
              <w:snapToGrid w:val="0"/>
              <w:spacing w:line="300" w:lineRule="exact"/>
              <w:jc w:val="left"/>
              <w:rPr>
                <w:rFonts w:hint="eastAsia" w:ascii="宋体" w:hAnsi="宋体" w:cs="Arial"/>
                <w:color w:val="auto"/>
                <w:sz w:val="21"/>
                <w:szCs w:val="21"/>
                <w:highlight w:val="none"/>
              </w:rPr>
            </w:pPr>
            <w:r>
              <w:rPr>
                <w:rFonts w:hint="eastAsia" w:ascii="宋体" w:hAnsi="宋体" w:cs="Arial"/>
                <w:color w:val="auto"/>
                <w:sz w:val="21"/>
                <w:szCs w:val="21"/>
                <w:highlight w:val="none"/>
              </w:rPr>
              <w:t>1.投标人</w:t>
            </w:r>
            <w:r>
              <w:rPr>
                <w:rFonts w:ascii="宋体" w:hAnsi="宋体" w:cs="Arial"/>
                <w:color w:val="auto"/>
                <w:sz w:val="21"/>
                <w:szCs w:val="21"/>
                <w:highlight w:val="none"/>
              </w:rPr>
              <w:t>提供</w:t>
            </w:r>
            <w:r>
              <w:rPr>
                <w:rFonts w:hint="eastAsia" w:ascii="宋体" w:hAnsi="宋体" w:cs="Arial"/>
                <w:color w:val="auto"/>
                <w:sz w:val="21"/>
                <w:szCs w:val="21"/>
                <w:highlight w:val="none"/>
              </w:rPr>
              <w:t>的重型作业车辆中达到国六排放标准或为新能源车的，每提供1辆得</w:t>
            </w:r>
            <w:r>
              <w:rPr>
                <w:rFonts w:hint="eastAsia" w:ascii="宋体" w:hAnsi="宋体" w:cs="Arial"/>
                <w:color w:val="auto"/>
                <w:sz w:val="21"/>
                <w:szCs w:val="21"/>
                <w:highlight w:val="none"/>
                <w:lang w:val="en-US" w:eastAsia="zh-CN"/>
              </w:rPr>
              <w:t>1.25</w:t>
            </w:r>
            <w:r>
              <w:rPr>
                <w:rFonts w:hint="eastAsia" w:ascii="宋体" w:hAnsi="宋体" w:cs="Arial"/>
                <w:color w:val="auto"/>
                <w:sz w:val="21"/>
                <w:szCs w:val="21"/>
                <w:highlight w:val="none"/>
              </w:rPr>
              <w:t>分，最多得</w:t>
            </w:r>
            <w:r>
              <w:rPr>
                <w:rFonts w:ascii="宋体" w:hAnsi="宋体" w:cs="Arial"/>
                <w:color w:val="auto"/>
                <w:sz w:val="21"/>
                <w:szCs w:val="21"/>
                <w:highlight w:val="none"/>
              </w:rPr>
              <w:t>10</w:t>
            </w:r>
            <w:r>
              <w:rPr>
                <w:rFonts w:hint="eastAsia" w:ascii="宋体" w:hAnsi="宋体" w:cs="Arial"/>
                <w:color w:val="auto"/>
                <w:sz w:val="21"/>
                <w:szCs w:val="21"/>
                <w:highlight w:val="none"/>
              </w:rPr>
              <w:t>分；</w:t>
            </w:r>
          </w:p>
          <w:p>
            <w:pPr>
              <w:widowControl/>
              <w:adjustRightInd w:val="0"/>
              <w:snapToGrid w:val="0"/>
              <w:spacing w:line="300" w:lineRule="exact"/>
              <w:jc w:val="left"/>
              <w:rPr>
                <w:rFonts w:hint="eastAsia" w:ascii="宋体" w:hAnsi="宋体" w:cs="Arial"/>
                <w:color w:val="auto"/>
                <w:sz w:val="21"/>
                <w:szCs w:val="21"/>
                <w:highlight w:val="none"/>
              </w:rPr>
            </w:pPr>
            <w:r>
              <w:rPr>
                <w:rFonts w:hint="eastAsia" w:ascii="宋体" w:hAnsi="宋体" w:cs="Arial"/>
                <w:color w:val="auto"/>
                <w:sz w:val="21"/>
                <w:szCs w:val="21"/>
                <w:highlight w:val="none"/>
              </w:rPr>
              <w:t>2.投标人提供的小型多功能清扫车中为新能源的，每提供1辆得0.5分，最多得5分；</w:t>
            </w:r>
          </w:p>
          <w:p>
            <w:pPr>
              <w:widowControl/>
              <w:adjustRightInd w:val="0"/>
              <w:snapToGrid w:val="0"/>
              <w:spacing w:line="300" w:lineRule="exact"/>
              <w:jc w:val="left"/>
              <w:rPr>
                <w:rFonts w:ascii="宋体" w:hAnsi="宋体" w:cs="Arial"/>
                <w:color w:val="auto"/>
                <w:sz w:val="21"/>
                <w:szCs w:val="21"/>
                <w:highlight w:val="none"/>
              </w:rPr>
            </w:pPr>
            <w:r>
              <w:rPr>
                <w:rFonts w:hint="eastAsia" w:ascii="宋体" w:hAnsi="宋体" w:cs="Arial"/>
                <w:color w:val="auto"/>
                <w:sz w:val="21"/>
                <w:szCs w:val="21"/>
                <w:highlight w:val="none"/>
              </w:rPr>
              <w:t>3.护栏清洗车，每提供一辆得1分，最多2分；</w:t>
            </w:r>
          </w:p>
          <w:p>
            <w:pPr>
              <w:widowControl/>
              <w:adjustRightInd w:val="0"/>
              <w:snapToGrid w:val="0"/>
              <w:spacing w:line="300" w:lineRule="exact"/>
              <w:jc w:val="left"/>
              <w:rPr>
                <w:rFonts w:hint="eastAsia" w:ascii="宋体" w:hAnsi="宋体"/>
                <w:color w:val="auto"/>
                <w:sz w:val="21"/>
                <w:szCs w:val="21"/>
                <w:highlight w:val="none"/>
              </w:rPr>
            </w:pPr>
            <w:r>
              <w:rPr>
                <w:rFonts w:hint="eastAsia" w:ascii="宋体" w:hAnsi="宋体" w:cs="Arial"/>
                <w:bCs/>
                <w:color w:val="auto"/>
                <w:sz w:val="21"/>
                <w:szCs w:val="21"/>
                <w:highlight w:val="none"/>
              </w:rPr>
              <w:t>4.</w:t>
            </w:r>
            <w:r>
              <w:rPr>
                <w:rFonts w:ascii="宋体" w:hAnsi="宋体" w:cs="Arial"/>
                <w:bCs/>
                <w:color w:val="auto"/>
                <w:sz w:val="21"/>
                <w:szCs w:val="21"/>
                <w:highlight w:val="none"/>
              </w:rPr>
              <w:t>油污清洗车（满载最大总质量≥3吨，配置前高压喷杆和后置高压水枪、辅助清洗推车，配备高温加热及喷砂功能）</w:t>
            </w:r>
            <w:r>
              <w:rPr>
                <w:rFonts w:hint="eastAsia" w:ascii="宋体" w:hAnsi="宋体" w:cs="Arial"/>
                <w:bCs/>
                <w:color w:val="auto"/>
                <w:sz w:val="21"/>
                <w:szCs w:val="21"/>
                <w:highlight w:val="none"/>
              </w:rPr>
              <w:t>，</w:t>
            </w:r>
            <w:r>
              <w:rPr>
                <w:rFonts w:hint="eastAsia" w:ascii="宋体" w:hAnsi="宋体" w:cs="Arial"/>
                <w:color w:val="auto"/>
                <w:sz w:val="21"/>
                <w:szCs w:val="21"/>
                <w:highlight w:val="none"/>
              </w:rPr>
              <w:t>每提供一辆得1分，最多2分；</w:t>
            </w:r>
          </w:p>
          <w:p>
            <w:pPr>
              <w:widowControl/>
              <w:adjustRightInd w:val="0"/>
              <w:snapToGrid w:val="0"/>
              <w:spacing w:line="300" w:lineRule="exact"/>
              <w:jc w:val="left"/>
              <w:rPr>
                <w:rFonts w:ascii="宋体" w:hAnsi="宋体"/>
                <w:color w:val="auto"/>
                <w:sz w:val="21"/>
                <w:szCs w:val="21"/>
                <w:highlight w:val="none"/>
              </w:rPr>
            </w:pPr>
            <w:r>
              <w:rPr>
                <w:rFonts w:hint="eastAsia" w:ascii="宋体" w:hAnsi="宋体" w:cs="Arial"/>
                <w:color w:val="auto"/>
                <w:sz w:val="21"/>
                <w:szCs w:val="21"/>
                <w:highlight w:val="none"/>
              </w:rPr>
              <w:t>5.清吸机器人，每提供一辆得0.5分，最多1分。</w:t>
            </w:r>
          </w:p>
          <w:p>
            <w:pPr>
              <w:pStyle w:val="3"/>
              <w:spacing w:after="0" w:line="300" w:lineRule="exact"/>
              <w:rPr>
                <w:rFonts w:hint="eastAsia" w:ascii="宋体" w:hAnsi="宋体"/>
                <w:bCs/>
                <w:color w:val="auto"/>
                <w:sz w:val="21"/>
                <w:szCs w:val="21"/>
                <w:highlight w:val="none"/>
              </w:rPr>
            </w:pPr>
            <w:r>
              <w:rPr>
                <w:rFonts w:hint="eastAsia" w:ascii="宋体" w:hAnsi="宋体"/>
                <w:bCs/>
                <w:color w:val="auto"/>
                <w:sz w:val="21"/>
                <w:szCs w:val="21"/>
                <w:highlight w:val="none"/>
              </w:rPr>
              <w:t>注：</w:t>
            </w:r>
            <w:r>
              <w:rPr>
                <w:rFonts w:ascii="宋体" w:hAnsi="宋体"/>
                <w:bCs/>
                <w:color w:val="auto"/>
                <w:sz w:val="21"/>
                <w:szCs w:val="21"/>
                <w:highlight w:val="none"/>
              </w:rPr>
              <w:fldChar w:fldCharType="begin"/>
            </w:r>
            <w:r>
              <w:rPr>
                <w:rFonts w:ascii="宋体" w:hAnsi="宋体"/>
                <w:bCs/>
                <w:color w:val="auto"/>
                <w:sz w:val="21"/>
                <w:szCs w:val="21"/>
                <w:highlight w:val="none"/>
              </w:rPr>
              <w:instrText xml:space="preserve"> </w:instrText>
            </w:r>
            <w:r>
              <w:rPr>
                <w:rFonts w:hint="eastAsia" w:ascii="宋体" w:hAnsi="宋体"/>
                <w:bCs/>
                <w:color w:val="auto"/>
                <w:sz w:val="21"/>
                <w:szCs w:val="21"/>
                <w:highlight w:val="none"/>
              </w:rPr>
              <w:instrText xml:space="preserve">= 1 \* GB3</w:instrText>
            </w:r>
            <w:r>
              <w:rPr>
                <w:rFonts w:ascii="宋体" w:hAnsi="宋体"/>
                <w:bCs/>
                <w:color w:val="auto"/>
                <w:sz w:val="21"/>
                <w:szCs w:val="21"/>
                <w:highlight w:val="none"/>
              </w:rPr>
              <w:instrText xml:space="preserve"> </w:instrText>
            </w:r>
            <w:r>
              <w:rPr>
                <w:rFonts w:ascii="宋体" w:hAnsi="宋体"/>
                <w:bCs/>
                <w:color w:val="auto"/>
                <w:sz w:val="21"/>
                <w:szCs w:val="21"/>
                <w:highlight w:val="none"/>
              </w:rPr>
              <w:fldChar w:fldCharType="separate"/>
            </w:r>
            <w:r>
              <w:rPr>
                <w:rFonts w:hint="eastAsia" w:ascii="宋体" w:hAnsi="宋体"/>
                <w:bCs/>
                <w:color w:val="auto"/>
                <w:sz w:val="21"/>
                <w:szCs w:val="21"/>
                <w:highlight w:val="none"/>
              </w:rPr>
              <w:t>①</w:t>
            </w:r>
            <w:r>
              <w:rPr>
                <w:rFonts w:ascii="宋体" w:hAnsi="宋体"/>
                <w:bCs/>
                <w:color w:val="auto"/>
                <w:sz w:val="21"/>
                <w:szCs w:val="21"/>
                <w:highlight w:val="none"/>
              </w:rPr>
              <w:fldChar w:fldCharType="end"/>
            </w:r>
            <w:r>
              <w:rPr>
                <w:rFonts w:ascii="宋体" w:hAnsi="宋体"/>
                <w:bCs/>
                <w:color w:val="auto"/>
                <w:sz w:val="21"/>
                <w:szCs w:val="21"/>
                <w:highlight w:val="none"/>
              </w:rPr>
              <w:t>新能源是指含混合动力电动汽车(HEV)、纯电动汽车(BEV，包括太阳能汽车)、燃料电池电动汽车(FCEV)、其他新能源(如超级电容器、飞轮等高效储能器)汽车等</w:t>
            </w:r>
            <w:r>
              <w:rPr>
                <w:rFonts w:hint="eastAsia" w:ascii="宋体" w:hAnsi="宋体"/>
                <w:bCs/>
                <w:color w:val="auto"/>
                <w:sz w:val="21"/>
                <w:szCs w:val="21"/>
                <w:highlight w:val="none"/>
              </w:rPr>
              <w:t>。</w:t>
            </w:r>
          </w:p>
          <w:p>
            <w:pPr>
              <w:spacing w:line="300" w:lineRule="exact"/>
              <w:rPr>
                <w:rFonts w:ascii="宋体" w:hAnsi="宋体" w:cs="Arial"/>
                <w:color w:val="auto"/>
                <w:sz w:val="21"/>
                <w:szCs w:val="21"/>
                <w:highlight w:val="none"/>
              </w:rPr>
            </w:pPr>
            <w:r>
              <w:rPr>
                <w:rFonts w:ascii="宋体" w:hAnsi="宋体" w:cs="Arial"/>
                <w:color w:val="auto"/>
                <w:sz w:val="21"/>
                <w:szCs w:val="21"/>
                <w:highlight w:val="none"/>
              </w:rPr>
              <w:fldChar w:fldCharType="begin"/>
            </w:r>
            <w:r>
              <w:rPr>
                <w:rFonts w:ascii="宋体" w:hAnsi="宋体" w:cs="Arial"/>
                <w:color w:val="auto"/>
                <w:sz w:val="21"/>
                <w:szCs w:val="21"/>
                <w:highlight w:val="none"/>
              </w:rPr>
              <w:instrText xml:space="preserve"> </w:instrText>
            </w:r>
            <w:r>
              <w:rPr>
                <w:rFonts w:hint="eastAsia" w:ascii="宋体" w:hAnsi="宋体" w:cs="Arial"/>
                <w:color w:val="auto"/>
                <w:sz w:val="21"/>
                <w:szCs w:val="21"/>
                <w:highlight w:val="none"/>
              </w:rPr>
              <w:instrText xml:space="preserve">= 2 \* GB3</w:instrText>
            </w:r>
            <w:r>
              <w:rPr>
                <w:rFonts w:ascii="宋体" w:hAnsi="宋体" w:cs="Arial"/>
                <w:color w:val="auto"/>
                <w:sz w:val="21"/>
                <w:szCs w:val="21"/>
                <w:highlight w:val="none"/>
              </w:rPr>
              <w:instrText xml:space="preserve"> </w:instrText>
            </w:r>
            <w:r>
              <w:rPr>
                <w:rFonts w:ascii="宋体" w:hAnsi="宋体" w:cs="Arial"/>
                <w:color w:val="auto"/>
                <w:sz w:val="21"/>
                <w:szCs w:val="21"/>
                <w:highlight w:val="none"/>
              </w:rPr>
              <w:fldChar w:fldCharType="separate"/>
            </w:r>
            <w:r>
              <w:rPr>
                <w:rFonts w:hint="eastAsia" w:ascii="宋体" w:hAnsi="宋体" w:cs="Arial"/>
                <w:color w:val="auto"/>
                <w:sz w:val="21"/>
                <w:szCs w:val="21"/>
                <w:highlight w:val="none"/>
              </w:rPr>
              <w:t>②</w:t>
            </w:r>
            <w:r>
              <w:rPr>
                <w:rFonts w:ascii="宋体" w:hAnsi="宋体" w:cs="Arial"/>
                <w:color w:val="auto"/>
                <w:sz w:val="21"/>
                <w:szCs w:val="21"/>
                <w:highlight w:val="none"/>
              </w:rPr>
              <w:fldChar w:fldCharType="end"/>
            </w:r>
            <w:r>
              <w:rPr>
                <w:rFonts w:ascii="宋体" w:hAnsi="宋体" w:cs="Arial"/>
                <w:color w:val="auto"/>
                <w:sz w:val="21"/>
                <w:szCs w:val="21"/>
                <w:highlight w:val="none"/>
              </w:rPr>
              <w:t>要求</w:t>
            </w:r>
            <w:r>
              <w:rPr>
                <w:rFonts w:hint="eastAsia" w:ascii="宋体" w:hAnsi="宋体" w:cs="Arial"/>
                <w:color w:val="auto"/>
                <w:sz w:val="21"/>
                <w:szCs w:val="21"/>
                <w:highlight w:val="none"/>
              </w:rPr>
              <w:t>投标人</w:t>
            </w:r>
            <w:r>
              <w:rPr>
                <w:rFonts w:ascii="宋体" w:hAnsi="宋体" w:cs="Arial"/>
                <w:color w:val="auto"/>
                <w:sz w:val="21"/>
                <w:szCs w:val="21"/>
                <w:highlight w:val="none"/>
              </w:rPr>
              <w:t>自有已上牌或承诺中标后购买，并提供以下证明资料方可计分：</w:t>
            </w:r>
          </w:p>
          <w:p>
            <w:pPr>
              <w:widowControl/>
              <w:numPr>
                <w:ilvl w:val="0"/>
                <w:numId w:val="15"/>
              </w:numPr>
              <w:tabs>
                <w:tab w:val="left" w:pos="0"/>
                <w:tab w:val="clear" w:pos="1080"/>
              </w:tabs>
              <w:overflowPunct w:val="0"/>
              <w:autoSpaceDE w:val="0"/>
              <w:autoSpaceDN w:val="0"/>
              <w:adjustRightInd w:val="0"/>
              <w:spacing w:line="300" w:lineRule="exact"/>
              <w:ind w:left="105" w:firstLine="0"/>
              <w:jc w:val="left"/>
              <w:textAlignment w:val="baseline"/>
              <w:rPr>
                <w:rFonts w:ascii="宋体" w:hAnsi="宋体" w:cs="Arial"/>
                <w:color w:val="auto"/>
                <w:sz w:val="21"/>
                <w:szCs w:val="21"/>
                <w:highlight w:val="none"/>
              </w:rPr>
            </w:pPr>
            <w:r>
              <w:rPr>
                <w:rFonts w:hint="eastAsia" w:ascii="宋体" w:hAnsi="宋体" w:cs="Arial"/>
                <w:color w:val="auto"/>
                <w:sz w:val="21"/>
                <w:szCs w:val="21"/>
                <w:highlight w:val="none"/>
              </w:rPr>
              <w:t>投标人</w:t>
            </w:r>
            <w:r>
              <w:rPr>
                <w:rFonts w:ascii="宋体" w:hAnsi="宋体" w:cs="宋体"/>
                <w:color w:val="auto"/>
                <w:sz w:val="21"/>
                <w:szCs w:val="21"/>
                <w:highlight w:val="none"/>
                <w:lang w:bidi="ar"/>
              </w:rPr>
              <w:t>自有已上牌(指</w:t>
            </w:r>
            <w:r>
              <w:rPr>
                <w:rFonts w:hint="eastAsia" w:ascii="宋体" w:hAnsi="宋体" w:cs="Arial"/>
                <w:color w:val="auto"/>
                <w:sz w:val="21"/>
                <w:szCs w:val="21"/>
                <w:highlight w:val="none"/>
              </w:rPr>
              <w:t>投标人</w:t>
            </w:r>
            <w:r>
              <w:rPr>
                <w:rFonts w:ascii="宋体" w:hAnsi="宋体" w:cs="宋体"/>
                <w:color w:val="auto"/>
                <w:sz w:val="21"/>
                <w:szCs w:val="21"/>
                <w:highlight w:val="none"/>
                <w:lang w:bidi="ar"/>
              </w:rPr>
              <w:t>自行购置，包括分公司购置)车辆：以上重型洗扫一体车、</w:t>
            </w:r>
            <w:r>
              <w:rPr>
                <w:rFonts w:hint="eastAsia" w:ascii="宋体" w:hAnsi="宋体" w:cs="宋体"/>
                <w:color w:val="auto"/>
                <w:sz w:val="21"/>
                <w:szCs w:val="21"/>
                <w:highlight w:val="none"/>
              </w:rPr>
              <w:t>重型高压冲洗车、</w:t>
            </w:r>
            <w:r>
              <w:rPr>
                <w:rFonts w:ascii="宋体" w:hAnsi="宋体" w:cs="宋体"/>
                <w:color w:val="auto"/>
                <w:sz w:val="21"/>
                <w:szCs w:val="21"/>
                <w:highlight w:val="none"/>
                <w:lang w:bidi="ar"/>
              </w:rPr>
              <w:t>重型洒水车</w:t>
            </w:r>
            <w:r>
              <w:rPr>
                <w:rFonts w:hint="eastAsia" w:ascii="宋体" w:hAnsi="宋体" w:cs="宋体"/>
                <w:color w:val="auto"/>
                <w:sz w:val="21"/>
                <w:szCs w:val="21"/>
                <w:highlight w:val="none"/>
                <w:lang w:bidi="ar"/>
              </w:rPr>
              <w:t>（多功能抑尘车）</w:t>
            </w:r>
            <w:r>
              <w:rPr>
                <w:rFonts w:ascii="宋体" w:hAnsi="宋体" w:cs="宋体"/>
                <w:color w:val="auto"/>
                <w:sz w:val="21"/>
                <w:szCs w:val="21"/>
                <w:highlight w:val="none"/>
                <w:lang w:bidi="ar"/>
              </w:rPr>
              <w:t>需提供公安部门颁发的行驶证（行驶证带车辆照片）扫描件和车辆彩色照片（注明车辆种类）</w:t>
            </w:r>
            <w:r>
              <w:rPr>
                <w:rFonts w:hint="eastAsia" w:ascii="宋体" w:hAnsi="宋体" w:cs="宋体"/>
                <w:color w:val="auto"/>
                <w:sz w:val="21"/>
                <w:szCs w:val="21"/>
                <w:highlight w:val="none"/>
                <w:lang w:bidi="ar"/>
              </w:rPr>
              <w:t>。</w:t>
            </w:r>
          </w:p>
          <w:p>
            <w:pPr>
              <w:widowControl/>
              <w:numPr>
                <w:ilvl w:val="0"/>
                <w:numId w:val="15"/>
              </w:numPr>
              <w:tabs>
                <w:tab w:val="left" w:pos="0"/>
                <w:tab w:val="clear" w:pos="1080"/>
              </w:tabs>
              <w:overflowPunct w:val="0"/>
              <w:autoSpaceDE w:val="0"/>
              <w:autoSpaceDN w:val="0"/>
              <w:adjustRightInd w:val="0"/>
              <w:spacing w:line="300" w:lineRule="exact"/>
              <w:ind w:left="105" w:firstLine="0"/>
              <w:jc w:val="left"/>
              <w:textAlignment w:val="baseline"/>
              <w:rPr>
                <w:rFonts w:ascii="宋体" w:hAnsi="宋体" w:cs="Arial"/>
                <w:bCs/>
                <w:color w:val="auto"/>
                <w:sz w:val="21"/>
                <w:szCs w:val="21"/>
                <w:highlight w:val="none"/>
              </w:rPr>
            </w:pPr>
            <w:r>
              <w:rPr>
                <w:rFonts w:ascii="宋体" w:hAnsi="宋体" w:cs="Arial"/>
                <w:color w:val="auto"/>
                <w:sz w:val="21"/>
                <w:szCs w:val="21"/>
                <w:highlight w:val="none"/>
              </w:rPr>
              <w:t>承诺中标后购买的车辆</w:t>
            </w:r>
            <w:r>
              <w:rPr>
                <w:rFonts w:hint="eastAsia" w:ascii="宋体" w:hAnsi="宋体" w:cs="Arial"/>
                <w:color w:val="auto"/>
                <w:sz w:val="21"/>
                <w:szCs w:val="21"/>
                <w:highlight w:val="none"/>
              </w:rPr>
              <w:t>设备</w:t>
            </w:r>
            <w:r>
              <w:rPr>
                <w:rFonts w:ascii="宋体" w:hAnsi="宋体" w:cs="Arial"/>
                <w:color w:val="auto"/>
                <w:sz w:val="21"/>
                <w:szCs w:val="21"/>
                <w:highlight w:val="none"/>
              </w:rPr>
              <w:t>：提供购买承诺书（承诺中标后购买车辆</w:t>
            </w:r>
            <w:r>
              <w:rPr>
                <w:rFonts w:hint="eastAsia" w:ascii="宋体" w:hAnsi="宋体" w:cs="Arial"/>
                <w:color w:val="auto"/>
                <w:sz w:val="21"/>
                <w:szCs w:val="21"/>
                <w:highlight w:val="none"/>
              </w:rPr>
              <w:t>设备</w:t>
            </w:r>
            <w:r>
              <w:rPr>
                <w:rFonts w:ascii="宋体" w:hAnsi="宋体" w:cs="Arial"/>
                <w:color w:val="auto"/>
                <w:sz w:val="21"/>
                <w:szCs w:val="21"/>
                <w:highlight w:val="none"/>
              </w:rPr>
              <w:t>必须为</w:t>
            </w:r>
            <w:r>
              <w:rPr>
                <w:rFonts w:ascii="宋体" w:hAnsi="宋体" w:cs="Arial"/>
                <w:bCs/>
                <w:color w:val="auto"/>
                <w:sz w:val="21"/>
                <w:szCs w:val="21"/>
                <w:highlight w:val="none"/>
              </w:rPr>
              <w:t>全新</w:t>
            </w:r>
            <w:r>
              <w:rPr>
                <w:rFonts w:ascii="宋体" w:hAnsi="宋体" w:cs="Arial"/>
                <w:color w:val="auto"/>
                <w:sz w:val="21"/>
                <w:szCs w:val="21"/>
                <w:highlight w:val="none"/>
              </w:rPr>
              <w:t>车辆</w:t>
            </w:r>
            <w:r>
              <w:rPr>
                <w:rFonts w:hint="eastAsia" w:ascii="宋体" w:hAnsi="宋体" w:cs="Arial"/>
                <w:color w:val="auto"/>
                <w:sz w:val="21"/>
                <w:szCs w:val="21"/>
                <w:highlight w:val="none"/>
              </w:rPr>
              <w:t>设备</w:t>
            </w:r>
            <w:r>
              <w:rPr>
                <w:rFonts w:ascii="宋体" w:hAnsi="宋体" w:cs="Arial"/>
                <w:bCs/>
                <w:color w:val="auto"/>
                <w:sz w:val="21"/>
                <w:szCs w:val="21"/>
                <w:highlight w:val="none"/>
              </w:rPr>
              <w:t>）及</w:t>
            </w:r>
            <w:r>
              <w:rPr>
                <w:rFonts w:ascii="宋体" w:hAnsi="宋体" w:cs="Arial"/>
                <w:color w:val="auto"/>
                <w:sz w:val="21"/>
                <w:szCs w:val="21"/>
                <w:highlight w:val="none"/>
              </w:rPr>
              <w:t>车辆</w:t>
            </w:r>
            <w:r>
              <w:rPr>
                <w:rFonts w:hint="eastAsia" w:ascii="宋体" w:hAnsi="宋体" w:cs="Arial"/>
                <w:color w:val="auto"/>
                <w:sz w:val="21"/>
                <w:szCs w:val="21"/>
                <w:highlight w:val="none"/>
              </w:rPr>
              <w:t>设备</w:t>
            </w:r>
            <w:r>
              <w:rPr>
                <w:rFonts w:ascii="宋体" w:hAnsi="宋体" w:cs="Arial"/>
                <w:bCs/>
                <w:color w:val="auto"/>
                <w:sz w:val="21"/>
                <w:szCs w:val="21"/>
                <w:highlight w:val="none"/>
              </w:rPr>
              <w:t>全身彩色照片（注明种类）。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6" w:type="dxa"/>
            <w:noWrap w:val="0"/>
            <w:vAlign w:val="center"/>
          </w:tcPr>
          <w:p>
            <w:pPr>
              <w:widowControl/>
              <w:numPr>
                <w:ilvl w:val="0"/>
                <w:numId w:val="13"/>
              </w:numPr>
              <w:spacing w:line="300" w:lineRule="exact"/>
              <w:jc w:val="center"/>
              <w:rPr>
                <w:rFonts w:ascii="宋体" w:hAnsi="宋体" w:cs="Arial"/>
                <w:color w:val="auto"/>
                <w:sz w:val="21"/>
                <w:szCs w:val="21"/>
                <w:highlight w:val="none"/>
              </w:rPr>
            </w:pPr>
          </w:p>
        </w:tc>
        <w:tc>
          <w:tcPr>
            <w:tcW w:w="1555" w:type="dxa"/>
            <w:noWrap w:val="0"/>
            <w:vAlign w:val="center"/>
          </w:tcPr>
          <w:p>
            <w:pPr>
              <w:spacing w:line="300" w:lineRule="exact"/>
              <w:ind w:right="3"/>
              <w:jc w:val="center"/>
              <w:rPr>
                <w:rFonts w:hint="eastAsia" w:ascii="宋体" w:hAnsi="宋体" w:cs="Arial"/>
                <w:color w:val="auto"/>
                <w:sz w:val="21"/>
                <w:szCs w:val="21"/>
                <w:highlight w:val="none"/>
              </w:rPr>
            </w:pPr>
            <w:r>
              <w:rPr>
                <w:rFonts w:hint="eastAsia" w:ascii="宋体" w:hAnsi="宋体" w:cs="Arial"/>
                <w:color w:val="auto"/>
                <w:sz w:val="21"/>
                <w:szCs w:val="21"/>
                <w:highlight w:val="none"/>
              </w:rPr>
              <w:t>作业人员配置</w:t>
            </w:r>
          </w:p>
        </w:tc>
        <w:tc>
          <w:tcPr>
            <w:tcW w:w="699" w:type="dxa"/>
            <w:noWrap w:val="0"/>
            <w:vAlign w:val="center"/>
          </w:tcPr>
          <w:p>
            <w:pPr>
              <w:spacing w:line="300" w:lineRule="exact"/>
              <w:ind w:right="3"/>
              <w:jc w:val="center"/>
              <w:rPr>
                <w:rFonts w:hint="eastAsia" w:ascii="宋体" w:hAnsi="宋体" w:cs="Arial"/>
                <w:color w:val="auto"/>
                <w:sz w:val="21"/>
                <w:szCs w:val="21"/>
                <w:highlight w:val="none"/>
              </w:rPr>
            </w:pPr>
            <w:r>
              <w:rPr>
                <w:rFonts w:ascii="宋体" w:hAnsi="宋体" w:cs="Arial"/>
                <w:color w:val="auto"/>
                <w:sz w:val="21"/>
                <w:szCs w:val="21"/>
                <w:highlight w:val="none"/>
              </w:rPr>
              <w:t>3</w:t>
            </w:r>
            <w:r>
              <w:rPr>
                <w:rFonts w:hint="eastAsia" w:ascii="宋体" w:hAnsi="宋体" w:cs="Arial"/>
                <w:color w:val="auto"/>
                <w:sz w:val="21"/>
                <w:szCs w:val="21"/>
                <w:highlight w:val="none"/>
              </w:rPr>
              <w:t>分</w:t>
            </w:r>
          </w:p>
        </w:tc>
        <w:tc>
          <w:tcPr>
            <w:tcW w:w="6783" w:type="dxa"/>
            <w:noWrap w:val="0"/>
            <w:vAlign w:val="center"/>
          </w:tcPr>
          <w:p>
            <w:pPr>
              <w:widowControl/>
              <w:numPr>
                <w:ilvl w:val="0"/>
                <w:numId w:val="15"/>
              </w:numPr>
              <w:tabs>
                <w:tab w:val="left" w:pos="0"/>
                <w:tab w:val="clear" w:pos="1080"/>
              </w:tabs>
              <w:overflowPunct w:val="0"/>
              <w:autoSpaceDE w:val="0"/>
              <w:autoSpaceDN w:val="0"/>
              <w:adjustRightInd w:val="0"/>
              <w:spacing w:line="300" w:lineRule="exact"/>
              <w:ind w:left="105" w:firstLine="0"/>
              <w:jc w:val="left"/>
              <w:textAlignment w:val="baseline"/>
              <w:rPr>
                <w:rFonts w:ascii="宋体" w:hAnsi="宋体" w:cs="Arial"/>
                <w:color w:val="auto"/>
                <w:sz w:val="21"/>
                <w:szCs w:val="21"/>
                <w:highlight w:val="none"/>
              </w:rPr>
            </w:pPr>
            <w:r>
              <w:rPr>
                <w:rFonts w:hint="eastAsia" w:ascii="宋体" w:hAnsi="宋体" w:cs="Arial"/>
                <w:color w:val="auto"/>
                <w:sz w:val="21"/>
                <w:szCs w:val="21"/>
                <w:highlight w:val="none"/>
              </w:rPr>
              <w:t>提供符合本项目投入的保洁人员到位率承诺函（格式自拟）</w:t>
            </w:r>
            <w:r>
              <w:rPr>
                <w:rFonts w:hint="eastAsia" w:ascii="宋体" w:hAnsi="宋体" w:cs="Arial"/>
                <w:color w:val="auto"/>
                <w:sz w:val="21"/>
                <w:szCs w:val="21"/>
                <w:highlight w:val="none"/>
                <w:lang w:eastAsia="zh-CN"/>
              </w:rPr>
              <w:t>得</w:t>
            </w:r>
            <w:r>
              <w:rPr>
                <w:rFonts w:hint="eastAsia" w:ascii="宋体" w:hAnsi="宋体" w:cs="Arial"/>
                <w:color w:val="auto"/>
                <w:sz w:val="21"/>
                <w:szCs w:val="21"/>
                <w:highlight w:val="none"/>
                <w:lang w:val="en-US" w:eastAsia="zh-CN"/>
              </w:rPr>
              <w:t>3分</w:t>
            </w:r>
            <w:r>
              <w:rPr>
                <w:rFonts w:hint="eastAsia" w:ascii="宋体" w:hAnsi="宋体" w:cs="Arial"/>
                <w:color w:val="auto"/>
                <w:sz w:val="21"/>
                <w:szCs w:val="21"/>
                <w:highlight w:val="none"/>
              </w:rPr>
              <w:t>，不提供不得分。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6" w:type="dxa"/>
            <w:noWrap w:val="0"/>
            <w:vAlign w:val="center"/>
          </w:tcPr>
          <w:p>
            <w:pPr>
              <w:widowControl/>
              <w:numPr>
                <w:ilvl w:val="0"/>
                <w:numId w:val="13"/>
              </w:numPr>
              <w:spacing w:line="300" w:lineRule="exact"/>
              <w:jc w:val="center"/>
              <w:rPr>
                <w:rFonts w:ascii="宋体" w:hAnsi="宋体" w:cs="Arial"/>
                <w:color w:val="auto"/>
                <w:sz w:val="21"/>
                <w:szCs w:val="21"/>
                <w:highlight w:val="none"/>
              </w:rPr>
            </w:pPr>
          </w:p>
        </w:tc>
        <w:tc>
          <w:tcPr>
            <w:tcW w:w="1555" w:type="dxa"/>
            <w:noWrap w:val="0"/>
            <w:vAlign w:val="center"/>
          </w:tcPr>
          <w:p>
            <w:pPr>
              <w:spacing w:line="300" w:lineRule="exact"/>
              <w:ind w:right="3"/>
              <w:jc w:val="center"/>
              <w:rPr>
                <w:rFonts w:ascii="宋体" w:hAnsi="宋体" w:cs="Arial"/>
                <w:color w:val="auto"/>
                <w:sz w:val="21"/>
                <w:szCs w:val="21"/>
                <w:highlight w:val="none"/>
              </w:rPr>
            </w:pPr>
            <w:r>
              <w:rPr>
                <w:rFonts w:ascii="宋体" w:hAnsi="宋体" w:cs="Arial"/>
                <w:color w:val="auto"/>
                <w:sz w:val="21"/>
                <w:szCs w:val="21"/>
                <w:highlight w:val="none"/>
              </w:rPr>
              <w:t>针对</w:t>
            </w:r>
            <w:r>
              <w:rPr>
                <w:rFonts w:hint="eastAsia" w:ascii="宋体" w:hAnsi="宋体" w:cs="Arial"/>
                <w:color w:val="auto"/>
                <w:sz w:val="21"/>
                <w:szCs w:val="21"/>
                <w:highlight w:val="none"/>
              </w:rPr>
              <w:t>瑶溪街道</w:t>
            </w:r>
            <w:r>
              <w:rPr>
                <w:rFonts w:ascii="宋体" w:hAnsi="宋体" w:cs="Arial"/>
                <w:color w:val="auto"/>
                <w:sz w:val="21"/>
                <w:szCs w:val="21"/>
                <w:highlight w:val="none"/>
              </w:rPr>
              <w:t>环卫一体化现状调查、重点难点分析及解决措施</w:t>
            </w:r>
          </w:p>
        </w:tc>
        <w:tc>
          <w:tcPr>
            <w:tcW w:w="699" w:type="dxa"/>
            <w:noWrap w:val="0"/>
            <w:vAlign w:val="center"/>
          </w:tcPr>
          <w:p>
            <w:pPr>
              <w:spacing w:line="300" w:lineRule="exact"/>
              <w:ind w:right="3"/>
              <w:jc w:val="center"/>
              <w:rPr>
                <w:rFonts w:ascii="宋体" w:hAnsi="宋体" w:cs="Arial"/>
                <w:color w:val="auto"/>
                <w:sz w:val="21"/>
                <w:szCs w:val="21"/>
                <w:highlight w:val="none"/>
              </w:rPr>
            </w:pPr>
            <w:r>
              <w:rPr>
                <w:rFonts w:ascii="宋体" w:hAnsi="宋体" w:cs="Arial"/>
                <w:color w:val="auto"/>
                <w:sz w:val="21"/>
                <w:szCs w:val="21"/>
                <w:highlight w:val="none"/>
              </w:rPr>
              <w:t>3</w:t>
            </w:r>
            <w:r>
              <w:rPr>
                <w:rFonts w:hint="eastAsia" w:ascii="宋体" w:hAnsi="宋体" w:cs="Arial"/>
                <w:color w:val="auto"/>
                <w:sz w:val="21"/>
                <w:szCs w:val="21"/>
                <w:highlight w:val="none"/>
              </w:rPr>
              <w:t>分</w:t>
            </w:r>
          </w:p>
        </w:tc>
        <w:tc>
          <w:tcPr>
            <w:tcW w:w="6783" w:type="dxa"/>
            <w:noWrap w:val="0"/>
            <w:vAlign w:val="center"/>
          </w:tcPr>
          <w:p>
            <w:pPr>
              <w:adjustRightInd w:val="0"/>
              <w:snapToGrid w:val="0"/>
              <w:spacing w:line="300" w:lineRule="exact"/>
              <w:rPr>
                <w:rFonts w:ascii="宋体" w:hAnsi="宋体" w:cs="Arial"/>
                <w:color w:val="auto"/>
                <w:sz w:val="21"/>
                <w:szCs w:val="21"/>
                <w:highlight w:val="none"/>
              </w:rPr>
            </w:pPr>
            <w:r>
              <w:rPr>
                <w:rFonts w:ascii="宋体" w:hAnsi="宋体" w:cs="Arial"/>
                <w:color w:val="auto"/>
                <w:sz w:val="21"/>
                <w:szCs w:val="21"/>
                <w:highlight w:val="none"/>
              </w:rPr>
              <w:t>根据投标人对</w:t>
            </w:r>
            <w:r>
              <w:rPr>
                <w:rFonts w:hint="eastAsia" w:ascii="宋体" w:hAnsi="宋体" w:cs="Arial"/>
                <w:color w:val="auto"/>
                <w:sz w:val="21"/>
                <w:szCs w:val="21"/>
                <w:highlight w:val="none"/>
              </w:rPr>
              <w:t>瑶溪街道</w:t>
            </w:r>
            <w:r>
              <w:rPr>
                <w:rFonts w:ascii="宋体" w:hAnsi="宋体" w:cs="Arial"/>
                <w:color w:val="auto"/>
                <w:sz w:val="21"/>
                <w:szCs w:val="21"/>
                <w:highlight w:val="none"/>
              </w:rPr>
              <w:t>环卫一体化现状、保洁情况、存在的问题和清扫保洁的难点、要点等问题进行调查剖析，并针对本项目提出克服难点和要点解决方案（0-3分）</w:t>
            </w:r>
          </w:p>
          <w:p>
            <w:pPr>
              <w:widowControl/>
              <w:spacing w:line="300" w:lineRule="exact"/>
              <w:ind w:right="3"/>
              <w:jc w:val="left"/>
              <w:rPr>
                <w:rFonts w:ascii="宋体" w:hAnsi="宋体" w:cs="Arial"/>
                <w:color w:val="auto"/>
                <w:sz w:val="21"/>
                <w:szCs w:val="21"/>
                <w:highlight w:val="none"/>
              </w:rPr>
            </w:pPr>
            <w:r>
              <w:rPr>
                <w:rFonts w:ascii="宋体" w:hAnsi="宋体" w:cs="Arial"/>
                <w:color w:val="auto"/>
                <w:sz w:val="21"/>
                <w:szCs w:val="21"/>
                <w:highlight w:val="none"/>
              </w:rPr>
              <w:fldChar w:fldCharType="begin"/>
            </w:r>
            <w:r>
              <w:rPr>
                <w:rFonts w:ascii="宋体" w:hAnsi="宋体" w:cs="Arial"/>
                <w:color w:val="auto"/>
                <w:sz w:val="21"/>
                <w:szCs w:val="21"/>
                <w:highlight w:val="none"/>
              </w:rPr>
              <w:instrText xml:space="preserve"> = 1 \* GB3 \* MERGEFORMAT </w:instrText>
            </w:r>
            <w:r>
              <w:rPr>
                <w:rFonts w:ascii="宋体" w:hAnsi="宋体" w:cs="Arial"/>
                <w:color w:val="auto"/>
                <w:sz w:val="21"/>
                <w:szCs w:val="21"/>
                <w:highlight w:val="none"/>
              </w:rPr>
              <w:fldChar w:fldCharType="separate"/>
            </w:r>
            <w:r>
              <w:rPr>
                <w:rFonts w:ascii="宋体" w:hAnsi="宋体"/>
                <w:color w:val="auto"/>
                <w:sz w:val="21"/>
                <w:szCs w:val="21"/>
                <w:highlight w:val="none"/>
              </w:rPr>
              <w:t>①</w:t>
            </w:r>
            <w:r>
              <w:rPr>
                <w:rFonts w:ascii="宋体" w:hAnsi="宋体" w:cs="Arial"/>
                <w:color w:val="auto"/>
                <w:sz w:val="21"/>
                <w:szCs w:val="21"/>
                <w:highlight w:val="none"/>
              </w:rPr>
              <w:fldChar w:fldCharType="end"/>
            </w:r>
            <w:r>
              <w:rPr>
                <w:rFonts w:ascii="宋体" w:hAnsi="宋体" w:cs="Arial"/>
                <w:color w:val="auto"/>
                <w:sz w:val="21"/>
                <w:szCs w:val="21"/>
                <w:highlight w:val="none"/>
              </w:rPr>
              <w:t>现状调查详细、充分，重点难点分析及解决措施</w:t>
            </w:r>
            <w:r>
              <w:rPr>
                <w:rFonts w:hint="eastAsia" w:ascii="宋体" w:hAnsi="宋体" w:cs="Arial"/>
                <w:color w:val="auto"/>
                <w:sz w:val="21"/>
                <w:szCs w:val="21"/>
                <w:highlight w:val="none"/>
              </w:rPr>
              <w:t>切合实际的，</w:t>
            </w:r>
            <w:r>
              <w:rPr>
                <w:rFonts w:ascii="宋体" w:hAnsi="宋体" w:cs="Arial"/>
                <w:color w:val="auto"/>
                <w:sz w:val="21"/>
                <w:szCs w:val="21"/>
                <w:highlight w:val="none"/>
              </w:rPr>
              <w:t>得3分</w:t>
            </w:r>
            <w:r>
              <w:rPr>
                <w:rFonts w:hint="eastAsia" w:ascii="宋体" w:hAnsi="宋体" w:cs="Arial"/>
                <w:color w:val="auto"/>
                <w:sz w:val="21"/>
                <w:szCs w:val="21"/>
                <w:highlight w:val="none"/>
              </w:rPr>
              <w:t>；</w:t>
            </w:r>
          </w:p>
          <w:p>
            <w:pPr>
              <w:widowControl/>
              <w:spacing w:line="300" w:lineRule="exact"/>
              <w:ind w:right="3"/>
              <w:jc w:val="left"/>
              <w:rPr>
                <w:rFonts w:ascii="宋体" w:hAnsi="宋体" w:cs="Arial"/>
                <w:color w:val="auto"/>
                <w:sz w:val="21"/>
                <w:szCs w:val="21"/>
                <w:highlight w:val="none"/>
              </w:rPr>
            </w:pPr>
            <w:r>
              <w:rPr>
                <w:rFonts w:ascii="宋体" w:hAnsi="宋体" w:cs="Arial"/>
                <w:color w:val="auto"/>
                <w:sz w:val="21"/>
                <w:szCs w:val="21"/>
                <w:highlight w:val="none"/>
              </w:rPr>
              <w:fldChar w:fldCharType="begin"/>
            </w:r>
            <w:r>
              <w:rPr>
                <w:rFonts w:ascii="宋体" w:hAnsi="宋体" w:cs="Arial"/>
                <w:color w:val="auto"/>
                <w:sz w:val="21"/>
                <w:szCs w:val="21"/>
                <w:highlight w:val="none"/>
              </w:rPr>
              <w:instrText xml:space="preserve"> = 2 \* GB3 \* MERGEFORMAT </w:instrText>
            </w:r>
            <w:r>
              <w:rPr>
                <w:rFonts w:ascii="宋体" w:hAnsi="宋体" w:cs="Arial"/>
                <w:color w:val="auto"/>
                <w:sz w:val="21"/>
                <w:szCs w:val="21"/>
                <w:highlight w:val="none"/>
              </w:rPr>
              <w:fldChar w:fldCharType="separate"/>
            </w:r>
            <w:r>
              <w:rPr>
                <w:rFonts w:ascii="宋体" w:hAnsi="宋体"/>
                <w:color w:val="auto"/>
                <w:sz w:val="21"/>
                <w:szCs w:val="21"/>
                <w:highlight w:val="none"/>
              </w:rPr>
              <w:t>②</w:t>
            </w:r>
            <w:r>
              <w:rPr>
                <w:rFonts w:ascii="宋体" w:hAnsi="宋体" w:cs="Arial"/>
                <w:color w:val="auto"/>
                <w:sz w:val="21"/>
                <w:szCs w:val="21"/>
                <w:highlight w:val="none"/>
              </w:rPr>
              <w:fldChar w:fldCharType="end"/>
            </w:r>
            <w:r>
              <w:rPr>
                <w:rFonts w:ascii="宋体" w:hAnsi="宋体" w:cs="Arial"/>
                <w:color w:val="auto"/>
                <w:sz w:val="21"/>
                <w:szCs w:val="21"/>
                <w:highlight w:val="none"/>
              </w:rPr>
              <w:t>现状调查较详细，重点难点分析及解决措施较全面</w:t>
            </w:r>
            <w:r>
              <w:rPr>
                <w:rFonts w:hint="eastAsia" w:ascii="宋体" w:hAnsi="宋体" w:cs="Arial"/>
                <w:color w:val="auto"/>
                <w:sz w:val="21"/>
                <w:szCs w:val="21"/>
                <w:highlight w:val="none"/>
              </w:rPr>
              <w:t>的，</w:t>
            </w:r>
            <w:r>
              <w:rPr>
                <w:rFonts w:ascii="宋体" w:hAnsi="宋体" w:cs="Arial"/>
                <w:color w:val="auto"/>
                <w:sz w:val="21"/>
                <w:szCs w:val="21"/>
                <w:highlight w:val="none"/>
              </w:rPr>
              <w:t>得2分</w:t>
            </w:r>
            <w:r>
              <w:rPr>
                <w:rFonts w:hint="eastAsia" w:ascii="宋体" w:hAnsi="宋体" w:cs="Arial"/>
                <w:color w:val="auto"/>
                <w:sz w:val="21"/>
                <w:szCs w:val="21"/>
                <w:highlight w:val="none"/>
              </w:rPr>
              <w:t>；</w:t>
            </w:r>
          </w:p>
          <w:p>
            <w:pPr>
              <w:widowControl/>
              <w:spacing w:line="300" w:lineRule="exact"/>
              <w:ind w:right="3"/>
              <w:jc w:val="left"/>
              <w:rPr>
                <w:rFonts w:hint="eastAsia" w:ascii="宋体" w:hAnsi="宋体" w:cs="Arial"/>
                <w:color w:val="auto"/>
                <w:sz w:val="21"/>
                <w:szCs w:val="21"/>
                <w:highlight w:val="none"/>
              </w:rPr>
            </w:pPr>
            <w:r>
              <w:rPr>
                <w:rFonts w:ascii="宋体" w:hAnsi="宋体" w:cs="Arial"/>
                <w:color w:val="auto"/>
                <w:sz w:val="21"/>
                <w:szCs w:val="21"/>
                <w:highlight w:val="none"/>
              </w:rPr>
              <w:fldChar w:fldCharType="begin"/>
            </w:r>
            <w:r>
              <w:rPr>
                <w:rFonts w:ascii="宋体" w:hAnsi="宋体" w:cs="Arial"/>
                <w:color w:val="auto"/>
                <w:sz w:val="21"/>
                <w:szCs w:val="21"/>
                <w:highlight w:val="none"/>
              </w:rPr>
              <w:instrText xml:space="preserve"> = 3 \* GB3 \* MERGEFORMAT </w:instrText>
            </w:r>
            <w:r>
              <w:rPr>
                <w:rFonts w:ascii="宋体" w:hAnsi="宋体" w:cs="Arial"/>
                <w:color w:val="auto"/>
                <w:sz w:val="21"/>
                <w:szCs w:val="21"/>
                <w:highlight w:val="none"/>
              </w:rPr>
              <w:fldChar w:fldCharType="separate"/>
            </w:r>
            <w:r>
              <w:rPr>
                <w:rFonts w:ascii="宋体" w:hAnsi="宋体"/>
                <w:color w:val="auto"/>
                <w:sz w:val="21"/>
                <w:szCs w:val="21"/>
                <w:highlight w:val="none"/>
              </w:rPr>
              <w:t>③</w:t>
            </w:r>
            <w:r>
              <w:rPr>
                <w:rFonts w:ascii="宋体" w:hAnsi="宋体" w:cs="Arial"/>
                <w:color w:val="auto"/>
                <w:sz w:val="21"/>
                <w:szCs w:val="21"/>
                <w:highlight w:val="none"/>
              </w:rPr>
              <w:fldChar w:fldCharType="end"/>
            </w:r>
            <w:r>
              <w:rPr>
                <w:rFonts w:ascii="宋体" w:hAnsi="宋体" w:cs="Arial"/>
                <w:color w:val="auto"/>
                <w:sz w:val="21"/>
                <w:szCs w:val="21"/>
                <w:highlight w:val="none"/>
              </w:rPr>
              <w:t>现状调查不详细，重点难点分析及解决措施不到位</w:t>
            </w:r>
            <w:r>
              <w:rPr>
                <w:rFonts w:hint="eastAsia" w:ascii="宋体" w:hAnsi="宋体" w:cs="Arial"/>
                <w:color w:val="auto"/>
                <w:sz w:val="21"/>
                <w:szCs w:val="21"/>
                <w:highlight w:val="none"/>
              </w:rPr>
              <w:t>的，</w:t>
            </w:r>
            <w:r>
              <w:rPr>
                <w:rFonts w:ascii="宋体" w:hAnsi="宋体" w:cs="Arial"/>
                <w:color w:val="auto"/>
                <w:sz w:val="21"/>
                <w:szCs w:val="21"/>
                <w:highlight w:val="none"/>
              </w:rPr>
              <w:t>得</w:t>
            </w:r>
            <w:r>
              <w:rPr>
                <w:rFonts w:hint="eastAsia" w:ascii="宋体" w:hAnsi="宋体" w:cs="Arial"/>
                <w:color w:val="auto"/>
                <w:sz w:val="21"/>
                <w:szCs w:val="21"/>
                <w:highlight w:val="none"/>
              </w:rPr>
              <w:t>1</w:t>
            </w:r>
            <w:r>
              <w:rPr>
                <w:rFonts w:ascii="宋体" w:hAnsi="宋体" w:cs="Arial"/>
                <w:color w:val="auto"/>
                <w:sz w:val="21"/>
                <w:szCs w:val="21"/>
                <w:highlight w:val="none"/>
              </w:rPr>
              <w:t>分</w:t>
            </w:r>
            <w:r>
              <w:rPr>
                <w:rFonts w:hint="eastAsia" w:ascii="宋体" w:hAnsi="宋体" w:cs="Arial"/>
                <w:color w:val="auto"/>
                <w:sz w:val="21"/>
                <w:szCs w:val="21"/>
                <w:highlight w:val="none"/>
              </w:rPr>
              <w:t>；</w:t>
            </w:r>
          </w:p>
          <w:p>
            <w:pPr>
              <w:widowControl/>
              <w:spacing w:line="300" w:lineRule="exact"/>
              <w:ind w:right="3"/>
              <w:jc w:val="left"/>
              <w:rPr>
                <w:rFonts w:ascii="宋体" w:hAnsi="宋体" w:cs="Arial"/>
                <w:color w:val="auto"/>
                <w:sz w:val="21"/>
                <w:szCs w:val="21"/>
                <w:highlight w:val="none"/>
              </w:rPr>
            </w:pPr>
            <w:r>
              <w:rPr>
                <w:rFonts w:hint="eastAsia" w:ascii="宋体" w:hAnsi="宋体" w:cs="Arial"/>
                <w:color w:val="auto"/>
                <w:sz w:val="21"/>
                <w:szCs w:val="21"/>
                <w:highlight w:val="none"/>
              </w:rPr>
              <w:t>④未提供现状调查、重点</w:t>
            </w:r>
            <w:r>
              <w:rPr>
                <w:rFonts w:ascii="宋体" w:hAnsi="宋体" w:cs="Arial"/>
                <w:color w:val="auto"/>
                <w:sz w:val="21"/>
                <w:szCs w:val="21"/>
                <w:highlight w:val="none"/>
              </w:rPr>
              <w:t>难点分析及解决措施</w:t>
            </w:r>
            <w:r>
              <w:rPr>
                <w:rFonts w:hint="eastAsia" w:ascii="宋体" w:hAnsi="宋体" w:cs="Arial"/>
                <w:color w:val="auto"/>
                <w:sz w:val="21"/>
                <w:szCs w:val="21"/>
                <w:highlight w:val="none"/>
              </w:rPr>
              <w:t>的，得0分。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6" w:type="dxa"/>
            <w:vMerge w:val="restart"/>
            <w:noWrap w:val="0"/>
            <w:vAlign w:val="center"/>
          </w:tcPr>
          <w:p>
            <w:pPr>
              <w:widowControl/>
              <w:numPr>
                <w:ilvl w:val="0"/>
                <w:numId w:val="13"/>
              </w:numPr>
              <w:spacing w:line="300" w:lineRule="exact"/>
              <w:jc w:val="center"/>
              <w:rPr>
                <w:rFonts w:ascii="宋体" w:hAnsi="宋体" w:cs="Arial"/>
                <w:color w:val="auto"/>
                <w:sz w:val="21"/>
                <w:szCs w:val="21"/>
                <w:highlight w:val="none"/>
              </w:rPr>
            </w:pPr>
          </w:p>
        </w:tc>
        <w:tc>
          <w:tcPr>
            <w:tcW w:w="1555" w:type="dxa"/>
            <w:vMerge w:val="restart"/>
            <w:noWrap w:val="0"/>
            <w:vAlign w:val="center"/>
          </w:tcPr>
          <w:p>
            <w:pPr>
              <w:spacing w:line="300" w:lineRule="exact"/>
              <w:ind w:right="3"/>
              <w:jc w:val="center"/>
              <w:rPr>
                <w:rFonts w:ascii="宋体" w:hAnsi="宋体" w:cs="Arial"/>
                <w:color w:val="auto"/>
                <w:sz w:val="21"/>
                <w:szCs w:val="21"/>
                <w:highlight w:val="none"/>
              </w:rPr>
            </w:pPr>
            <w:r>
              <w:rPr>
                <w:rFonts w:ascii="宋体" w:hAnsi="宋体" w:cs="Arial"/>
                <w:color w:val="auto"/>
                <w:sz w:val="21"/>
                <w:szCs w:val="21"/>
                <w:highlight w:val="none"/>
              </w:rPr>
              <w:t>针对</w:t>
            </w:r>
            <w:r>
              <w:rPr>
                <w:rFonts w:hint="eastAsia" w:ascii="宋体" w:hAnsi="宋体" w:cs="Arial"/>
                <w:color w:val="auto"/>
                <w:sz w:val="21"/>
                <w:szCs w:val="21"/>
                <w:highlight w:val="none"/>
              </w:rPr>
              <w:t>瑶溪街道</w:t>
            </w:r>
            <w:r>
              <w:rPr>
                <w:rFonts w:ascii="宋体" w:hAnsi="宋体" w:cs="Arial"/>
                <w:color w:val="auto"/>
                <w:sz w:val="21"/>
                <w:szCs w:val="21"/>
                <w:highlight w:val="none"/>
              </w:rPr>
              <w:t>环卫一体化清扫保洁具体实施</w:t>
            </w:r>
            <w:r>
              <w:rPr>
                <w:rFonts w:hint="eastAsia" w:ascii="宋体" w:hAnsi="宋体" w:cs="Arial"/>
                <w:color w:val="auto"/>
                <w:sz w:val="21"/>
                <w:szCs w:val="21"/>
                <w:highlight w:val="none"/>
              </w:rPr>
              <w:t>方案，人员、机具、耗材投入计划，作业计划、排班计划，安全管理及交接方案</w:t>
            </w:r>
            <w:r>
              <w:rPr>
                <w:rFonts w:ascii="宋体" w:hAnsi="宋体" w:cs="Arial"/>
                <w:color w:val="auto"/>
                <w:sz w:val="21"/>
                <w:szCs w:val="21"/>
                <w:highlight w:val="none"/>
              </w:rPr>
              <w:t>等</w:t>
            </w:r>
          </w:p>
        </w:tc>
        <w:tc>
          <w:tcPr>
            <w:tcW w:w="699" w:type="dxa"/>
            <w:vMerge w:val="restart"/>
            <w:noWrap w:val="0"/>
            <w:vAlign w:val="center"/>
          </w:tcPr>
          <w:p>
            <w:pPr>
              <w:spacing w:line="300" w:lineRule="exact"/>
              <w:ind w:right="3"/>
              <w:jc w:val="center"/>
              <w:rPr>
                <w:rFonts w:ascii="宋体" w:hAnsi="宋体" w:cs="Arial"/>
                <w:color w:val="auto"/>
                <w:sz w:val="21"/>
                <w:szCs w:val="21"/>
                <w:highlight w:val="none"/>
              </w:rPr>
            </w:pPr>
            <w:r>
              <w:rPr>
                <w:rFonts w:ascii="宋体" w:hAnsi="宋体" w:cs="Arial"/>
                <w:color w:val="auto"/>
                <w:sz w:val="21"/>
                <w:szCs w:val="21"/>
                <w:highlight w:val="none"/>
              </w:rPr>
              <w:t>12</w:t>
            </w:r>
            <w:r>
              <w:rPr>
                <w:rFonts w:hint="eastAsia" w:ascii="宋体" w:hAnsi="宋体" w:cs="Arial"/>
                <w:color w:val="auto"/>
                <w:sz w:val="21"/>
                <w:szCs w:val="21"/>
                <w:highlight w:val="none"/>
              </w:rPr>
              <w:t>分</w:t>
            </w:r>
          </w:p>
        </w:tc>
        <w:tc>
          <w:tcPr>
            <w:tcW w:w="6783" w:type="dxa"/>
            <w:noWrap w:val="0"/>
            <w:vAlign w:val="center"/>
          </w:tcPr>
          <w:p>
            <w:pPr>
              <w:widowControl/>
              <w:spacing w:line="300" w:lineRule="exact"/>
              <w:ind w:right="3"/>
              <w:jc w:val="left"/>
              <w:rPr>
                <w:rFonts w:ascii="宋体" w:hAnsi="宋体"/>
                <w:color w:val="auto"/>
                <w:sz w:val="21"/>
                <w:szCs w:val="21"/>
                <w:highlight w:val="none"/>
              </w:rPr>
            </w:pPr>
            <w:r>
              <w:rPr>
                <w:rFonts w:hint="eastAsia" w:ascii="宋体" w:hAnsi="宋体"/>
                <w:color w:val="auto"/>
                <w:sz w:val="21"/>
                <w:szCs w:val="21"/>
                <w:highlight w:val="none"/>
              </w:rPr>
              <w:t>（1）</w:t>
            </w:r>
            <w:r>
              <w:rPr>
                <w:rFonts w:ascii="宋体" w:hAnsi="宋体"/>
                <w:color w:val="auto"/>
                <w:sz w:val="21"/>
                <w:szCs w:val="21"/>
                <w:highlight w:val="none"/>
              </w:rPr>
              <w:t>道路（含车行道和人行道</w:t>
            </w:r>
            <w:r>
              <w:rPr>
                <w:rFonts w:hint="eastAsia" w:ascii="宋体" w:hAnsi="宋体"/>
                <w:color w:val="auto"/>
                <w:sz w:val="21"/>
                <w:szCs w:val="21"/>
                <w:highlight w:val="none"/>
              </w:rPr>
              <w:t>、村居道路</w:t>
            </w:r>
            <w:r>
              <w:rPr>
                <w:rFonts w:ascii="宋体" w:hAnsi="宋体"/>
                <w:color w:val="auto"/>
                <w:sz w:val="21"/>
                <w:szCs w:val="21"/>
                <w:highlight w:val="none"/>
              </w:rPr>
              <w:t>）</w:t>
            </w:r>
            <w:r>
              <w:rPr>
                <w:rFonts w:hint="eastAsia" w:ascii="宋体" w:hAnsi="宋体"/>
                <w:color w:val="auto"/>
                <w:sz w:val="21"/>
                <w:szCs w:val="21"/>
                <w:highlight w:val="none"/>
              </w:rPr>
              <w:t>、</w:t>
            </w:r>
            <w:r>
              <w:rPr>
                <w:rFonts w:ascii="宋体" w:hAnsi="宋体"/>
                <w:color w:val="auto"/>
                <w:sz w:val="21"/>
                <w:szCs w:val="21"/>
                <w:highlight w:val="none"/>
              </w:rPr>
              <w:t>公园、广场及公共绿地保洁：（0-2分）。</w:t>
            </w:r>
          </w:p>
          <w:p>
            <w:pPr>
              <w:widowControl/>
              <w:spacing w:line="300" w:lineRule="exact"/>
              <w:ind w:right="3"/>
              <w:jc w:val="left"/>
              <w:rPr>
                <w:rFonts w:ascii="宋体" w:hAnsi="宋体"/>
                <w:color w:val="auto"/>
                <w:sz w:val="21"/>
                <w:szCs w:val="21"/>
                <w:highlight w:val="none"/>
              </w:rPr>
            </w:pPr>
            <w:r>
              <w:rPr>
                <w:rFonts w:ascii="宋体" w:hAnsi="宋体" w:cs="Arial"/>
                <w:color w:val="auto"/>
                <w:sz w:val="21"/>
                <w:szCs w:val="21"/>
                <w:highlight w:val="none"/>
              </w:rPr>
              <w:fldChar w:fldCharType="begin"/>
            </w:r>
            <w:r>
              <w:rPr>
                <w:rFonts w:ascii="宋体" w:hAnsi="宋体" w:cs="Arial"/>
                <w:color w:val="auto"/>
                <w:sz w:val="21"/>
                <w:szCs w:val="21"/>
                <w:highlight w:val="none"/>
              </w:rPr>
              <w:instrText xml:space="preserve"> = 1 \* GB3 \* MERGEFORMAT </w:instrText>
            </w:r>
            <w:r>
              <w:rPr>
                <w:rFonts w:ascii="宋体" w:hAnsi="宋体" w:cs="Arial"/>
                <w:color w:val="auto"/>
                <w:sz w:val="21"/>
                <w:szCs w:val="21"/>
                <w:highlight w:val="none"/>
              </w:rPr>
              <w:fldChar w:fldCharType="separate"/>
            </w:r>
            <w:r>
              <w:rPr>
                <w:rFonts w:ascii="宋体" w:hAnsi="宋体"/>
                <w:color w:val="auto"/>
                <w:sz w:val="21"/>
                <w:szCs w:val="21"/>
                <w:highlight w:val="none"/>
              </w:rPr>
              <w:t>①</w:t>
            </w:r>
            <w:r>
              <w:rPr>
                <w:rFonts w:ascii="宋体" w:hAnsi="宋体" w:cs="Arial"/>
                <w:color w:val="auto"/>
                <w:sz w:val="21"/>
                <w:szCs w:val="21"/>
                <w:highlight w:val="none"/>
              </w:rPr>
              <w:fldChar w:fldCharType="end"/>
            </w:r>
            <w:r>
              <w:rPr>
                <w:rFonts w:ascii="宋体" w:hAnsi="宋体"/>
                <w:color w:val="auto"/>
                <w:sz w:val="21"/>
                <w:szCs w:val="21"/>
                <w:highlight w:val="none"/>
              </w:rPr>
              <w:t>人员、机具</w:t>
            </w:r>
            <w:r>
              <w:rPr>
                <w:rFonts w:hint="eastAsia" w:ascii="宋体" w:hAnsi="宋体"/>
                <w:color w:val="auto"/>
                <w:sz w:val="21"/>
                <w:szCs w:val="21"/>
                <w:highlight w:val="none"/>
              </w:rPr>
              <w:t>、耗材</w:t>
            </w:r>
            <w:r>
              <w:rPr>
                <w:rFonts w:ascii="宋体" w:hAnsi="宋体"/>
                <w:color w:val="auto"/>
                <w:sz w:val="21"/>
                <w:szCs w:val="21"/>
                <w:highlight w:val="none"/>
              </w:rPr>
              <w:t>投入科学合理、可操作性强，</w:t>
            </w:r>
            <w:r>
              <w:rPr>
                <w:rFonts w:hint="eastAsia" w:ascii="宋体" w:hAnsi="宋体"/>
                <w:color w:val="auto"/>
                <w:sz w:val="21"/>
                <w:szCs w:val="21"/>
                <w:highlight w:val="none"/>
              </w:rPr>
              <w:t>作业计划、排班合理，能切实保障本项目作业标准及质量要求的，</w:t>
            </w:r>
            <w:r>
              <w:rPr>
                <w:rFonts w:ascii="宋体" w:hAnsi="宋体"/>
                <w:color w:val="auto"/>
                <w:sz w:val="21"/>
                <w:szCs w:val="21"/>
                <w:highlight w:val="none"/>
              </w:rPr>
              <w:t>得2分</w:t>
            </w:r>
            <w:r>
              <w:rPr>
                <w:rFonts w:hint="eastAsia" w:ascii="宋体" w:hAnsi="宋体"/>
                <w:color w:val="auto"/>
                <w:sz w:val="21"/>
                <w:szCs w:val="21"/>
                <w:highlight w:val="none"/>
              </w:rPr>
              <w:t>；</w:t>
            </w:r>
          </w:p>
          <w:p>
            <w:pPr>
              <w:widowControl/>
              <w:spacing w:line="300" w:lineRule="exact"/>
              <w:ind w:right="3"/>
              <w:jc w:val="left"/>
              <w:rPr>
                <w:rFonts w:ascii="宋体" w:hAnsi="宋体"/>
                <w:color w:val="auto"/>
                <w:sz w:val="21"/>
                <w:szCs w:val="21"/>
                <w:highlight w:val="none"/>
              </w:rPr>
            </w:pPr>
            <w:r>
              <w:rPr>
                <w:rFonts w:ascii="宋体" w:hAnsi="宋体" w:cs="Arial"/>
                <w:color w:val="auto"/>
                <w:sz w:val="21"/>
                <w:szCs w:val="21"/>
                <w:highlight w:val="none"/>
              </w:rPr>
              <w:fldChar w:fldCharType="begin"/>
            </w:r>
            <w:r>
              <w:rPr>
                <w:rFonts w:ascii="宋体" w:hAnsi="宋体" w:cs="Arial"/>
                <w:color w:val="auto"/>
                <w:sz w:val="21"/>
                <w:szCs w:val="21"/>
                <w:highlight w:val="none"/>
              </w:rPr>
              <w:instrText xml:space="preserve"> = 2 \* GB3 \* MERGEFORMAT </w:instrText>
            </w:r>
            <w:r>
              <w:rPr>
                <w:rFonts w:ascii="宋体" w:hAnsi="宋体" w:cs="Arial"/>
                <w:color w:val="auto"/>
                <w:sz w:val="21"/>
                <w:szCs w:val="21"/>
                <w:highlight w:val="none"/>
              </w:rPr>
              <w:fldChar w:fldCharType="separate"/>
            </w:r>
            <w:r>
              <w:rPr>
                <w:rFonts w:ascii="宋体" w:hAnsi="宋体"/>
                <w:color w:val="auto"/>
                <w:sz w:val="21"/>
                <w:szCs w:val="21"/>
                <w:highlight w:val="none"/>
              </w:rPr>
              <w:t>②</w:t>
            </w:r>
            <w:r>
              <w:rPr>
                <w:rFonts w:ascii="宋体" w:hAnsi="宋体" w:cs="Arial"/>
                <w:color w:val="auto"/>
                <w:sz w:val="21"/>
                <w:szCs w:val="21"/>
                <w:highlight w:val="none"/>
              </w:rPr>
              <w:fldChar w:fldCharType="end"/>
            </w:r>
            <w:r>
              <w:rPr>
                <w:rFonts w:ascii="宋体" w:hAnsi="宋体"/>
                <w:color w:val="auto"/>
                <w:sz w:val="21"/>
                <w:szCs w:val="21"/>
                <w:highlight w:val="none"/>
              </w:rPr>
              <w:t>人员、机具</w:t>
            </w:r>
            <w:r>
              <w:rPr>
                <w:rFonts w:hint="eastAsia" w:ascii="宋体" w:hAnsi="宋体"/>
                <w:color w:val="auto"/>
                <w:sz w:val="21"/>
                <w:szCs w:val="21"/>
                <w:highlight w:val="none"/>
              </w:rPr>
              <w:t>、耗材</w:t>
            </w:r>
            <w:r>
              <w:rPr>
                <w:rFonts w:ascii="宋体" w:hAnsi="宋体"/>
                <w:color w:val="auto"/>
                <w:sz w:val="21"/>
                <w:szCs w:val="21"/>
                <w:highlight w:val="none"/>
              </w:rPr>
              <w:t>投入</w:t>
            </w:r>
            <w:r>
              <w:rPr>
                <w:rFonts w:hint="eastAsia" w:ascii="宋体" w:hAnsi="宋体"/>
                <w:color w:val="auto"/>
                <w:sz w:val="21"/>
                <w:szCs w:val="21"/>
                <w:highlight w:val="none"/>
              </w:rPr>
              <w:t>较</w:t>
            </w:r>
            <w:r>
              <w:rPr>
                <w:rFonts w:ascii="宋体" w:hAnsi="宋体"/>
                <w:color w:val="auto"/>
                <w:sz w:val="21"/>
                <w:szCs w:val="21"/>
                <w:highlight w:val="none"/>
              </w:rPr>
              <w:t>科学合理、</w:t>
            </w:r>
            <w:r>
              <w:rPr>
                <w:rFonts w:hint="eastAsia" w:ascii="宋体" w:hAnsi="宋体"/>
                <w:color w:val="auto"/>
                <w:sz w:val="21"/>
                <w:szCs w:val="21"/>
                <w:highlight w:val="none"/>
              </w:rPr>
              <w:t>具备一定的可操作性</w:t>
            </w:r>
            <w:r>
              <w:rPr>
                <w:rFonts w:ascii="宋体" w:hAnsi="宋体"/>
                <w:color w:val="auto"/>
                <w:sz w:val="21"/>
                <w:szCs w:val="21"/>
                <w:highlight w:val="none"/>
              </w:rPr>
              <w:t>，</w:t>
            </w:r>
            <w:r>
              <w:rPr>
                <w:rFonts w:hint="eastAsia" w:ascii="宋体" w:hAnsi="宋体"/>
                <w:color w:val="auto"/>
                <w:sz w:val="21"/>
                <w:szCs w:val="21"/>
                <w:highlight w:val="none"/>
              </w:rPr>
              <w:t>作业计划、排班较合理</w:t>
            </w:r>
            <w:r>
              <w:rPr>
                <w:rFonts w:ascii="宋体" w:hAnsi="宋体"/>
                <w:color w:val="auto"/>
                <w:sz w:val="21"/>
                <w:szCs w:val="21"/>
                <w:highlight w:val="none"/>
              </w:rPr>
              <w:t>，基本能满足</w:t>
            </w:r>
            <w:r>
              <w:rPr>
                <w:rFonts w:hint="eastAsia" w:ascii="宋体" w:hAnsi="宋体"/>
                <w:color w:val="auto"/>
                <w:sz w:val="21"/>
                <w:szCs w:val="21"/>
                <w:highlight w:val="none"/>
              </w:rPr>
              <w:t>本项目作业标准及质量要求的，</w:t>
            </w:r>
            <w:r>
              <w:rPr>
                <w:rFonts w:ascii="宋体" w:hAnsi="宋体"/>
                <w:color w:val="auto"/>
                <w:sz w:val="21"/>
                <w:szCs w:val="21"/>
                <w:highlight w:val="none"/>
              </w:rPr>
              <w:t>得1.5分</w:t>
            </w:r>
            <w:r>
              <w:rPr>
                <w:rFonts w:hint="eastAsia" w:ascii="宋体" w:hAnsi="宋体"/>
                <w:color w:val="auto"/>
                <w:sz w:val="21"/>
                <w:szCs w:val="21"/>
                <w:highlight w:val="none"/>
              </w:rPr>
              <w:t>；</w:t>
            </w:r>
          </w:p>
          <w:p>
            <w:pPr>
              <w:widowControl/>
              <w:spacing w:line="300" w:lineRule="exact"/>
              <w:ind w:right="3"/>
              <w:jc w:val="left"/>
              <w:rPr>
                <w:rFonts w:ascii="宋体" w:hAnsi="宋体"/>
                <w:color w:val="auto"/>
                <w:sz w:val="21"/>
                <w:szCs w:val="21"/>
                <w:highlight w:val="none"/>
              </w:rPr>
            </w:pPr>
            <w:r>
              <w:rPr>
                <w:rFonts w:ascii="宋体" w:hAnsi="宋体" w:cs="Arial"/>
                <w:color w:val="auto"/>
                <w:sz w:val="21"/>
                <w:szCs w:val="21"/>
                <w:highlight w:val="none"/>
              </w:rPr>
              <w:fldChar w:fldCharType="begin"/>
            </w:r>
            <w:r>
              <w:rPr>
                <w:rFonts w:ascii="宋体" w:hAnsi="宋体" w:cs="Arial"/>
                <w:color w:val="auto"/>
                <w:sz w:val="21"/>
                <w:szCs w:val="21"/>
                <w:highlight w:val="none"/>
              </w:rPr>
              <w:instrText xml:space="preserve"> = 3 \* GB3 \* MERGEFORMAT </w:instrText>
            </w:r>
            <w:r>
              <w:rPr>
                <w:rFonts w:ascii="宋体" w:hAnsi="宋体" w:cs="Arial"/>
                <w:color w:val="auto"/>
                <w:sz w:val="21"/>
                <w:szCs w:val="21"/>
                <w:highlight w:val="none"/>
              </w:rPr>
              <w:fldChar w:fldCharType="separate"/>
            </w:r>
            <w:r>
              <w:rPr>
                <w:rFonts w:ascii="宋体" w:hAnsi="宋体"/>
                <w:color w:val="auto"/>
                <w:sz w:val="21"/>
                <w:szCs w:val="21"/>
                <w:highlight w:val="none"/>
              </w:rPr>
              <w:t>③</w:t>
            </w:r>
            <w:r>
              <w:rPr>
                <w:rFonts w:ascii="宋体" w:hAnsi="宋体" w:cs="Arial"/>
                <w:color w:val="auto"/>
                <w:sz w:val="21"/>
                <w:szCs w:val="21"/>
                <w:highlight w:val="none"/>
              </w:rPr>
              <w:fldChar w:fldCharType="end"/>
            </w:r>
            <w:r>
              <w:rPr>
                <w:rFonts w:ascii="宋体" w:hAnsi="宋体"/>
                <w:color w:val="auto"/>
                <w:sz w:val="21"/>
                <w:szCs w:val="21"/>
                <w:highlight w:val="none"/>
              </w:rPr>
              <w:t>人员、机具</w:t>
            </w:r>
            <w:r>
              <w:rPr>
                <w:rFonts w:hint="eastAsia" w:ascii="宋体" w:hAnsi="宋体"/>
                <w:color w:val="auto"/>
                <w:sz w:val="21"/>
                <w:szCs w:val="21"/>
                <w:highlight w:val="none"/>
              </w:rPr>
              <w:t>、耗材</w:t>
            </w:r>
            <w:r>
              <w:rPr>
                <w:rFonts w:ascii="宋体" w:hAnsi="宋体"/>
                <w:color w:val="auto"/>
                <w:sz w:val="21"/>
                <w:szCs w:val="21"/>
                <w:highlight w:val="none"/>
              </w:rPr>
              <w:t>投入计划不合理，</w:t>
            </w:r>
            <w:r>
              <w:rPr>
                <w:rFonts w:hint="eastAsia" w:ascii="宋体" w:hAnsi="宋体"/>
                <w:color w:val="auto"/>
                <w:sz w:val="21"/>
                <w:szCs w:val="21"/>
                <w:highlight w:val="none"/>
              </w:rPr>
              <w:t>作业计划、排班不详细</w:t>
            </w:r>
            <w:r>
              <w:rPr>
                <w:rFonts w:ascii="宋体" w:hAnsi="宋体"/>
                <w:color w:val="auto"/>
                <w:sz w:val="21"/>
                <w:szCs w:val="21"/>
                <w:highlight w:val="none"/>
              </w:rPr>
              <w:t>，</w:t>
            </w:r>
            <w:r>
              <w:rPr>
                <w:rFonts w:hint="eastAsia" w:ascii="宋体" w:hAnsi="宋体"/>
                <w:color w:val="auto"/>
                <w:sz w:val="21"/>
                <w:szCs w:val="21"/>
                <w:highlight w:val="none"/>
              </w:rPr>
              <w:t>难以实现本项目作业标准及质量要求的，</w:t>
            </w:r>
            <w:r>
              <w:rPr>
                <w:rFonts w:ascii="宋体" w:hAnsi="宋体"/>
                <w:color w:val="auto"/>
                <w:sz w:val="21"/>
                <w:szCs w:val="21"/>
                <w:highlight w:val="none"/>
              </w:rPr>
              <w:t>得1分</w:t>
            </w:r>
            <w:r>
              <w:rPr>
                <w:rFonts w:hint="eastAsia" w:ascii="宋体" w:hAnsi="宋体"/>
                <w:color w:val="auto"/>
                <w:sz w:val="21"/>
                <w:szCs w:val="21"/>
                <w:highlight w:val="none"/>
              </w:rPr>
              <w:t>；</w:t>
            </w:r>
          </w:p>
          <w:p>
            <w:pPr>
              <w:widowControl/>
              <w:spacing w:line="300" w:lineRule="exact"/>
              <w:ind w:right="3"/>
              <w:jc w:val="left"/>
              <w:rPr>
                <w:rFonts w:ascii="宋体" w:hAnsi="宋体"/>
                <w:color w:val="auto"/>
                <w:sz w:val="21"/>
                <w:szCs w:val="21"/>
                <w:highlight w:val="none"/>
              </w:rPr>
            </w:pPr>
            <w:r>
              <w:rPr>
                <w:rFonts w:hint="eastAsia" w:ascii="宋体" w:hAnsi="宋体" w:cs="Arial"/>
                <w:color w:val="auto"/>
                <w:sz w:val="21"/>
                <w:szCs w:val="21"/>
                <w:highlight w:val="none"/>
              </w:rPr>
              <w:t>④</w:t>
            </w:r>
            <w:r>
              <w:rPr>
                <w:rFonts w:hint="eastAsia" w:ascii="宋体" w:hAnsi="宋体"/>
                <w:color w:val="auto"/>
                <w:sz w:val="21"/>
                <w:szCs w:val="21"/>
                <w:highlight w:val="none"/>
              </w:rPr>
              <w:t>未提供保洁方案的，得0分。</w:t>
            </w:r>
          </w:p>
          <w:p>
            <w:pPr>
              <w:pStyle w:val="52"/>
              <w:spacing w:line="300" w:lineRule="exact"/>
              <w:rPr>
                <w:rFonts w:hint="eastAsia" w:ascii="宋体" w:hAnsi="宋体"/>
                <w:color w:val="auto"/>
                <w:szCs w:val="21"/>
                <w:highlight w:val="none"/>
              </w:rPr>
            </w:pPr>
            <w:r>
              <w:rPr>
                <w:rFonts w:hint="eastAsia" w:ascii="宋体" w:hAnsi="宋体" w:cs="Arial"/>
                <w:color w:val="auto"/>
                <w:szCs w:val="21"/>
                <w:highlight w:val="none"/>
              </w:rPr>
              <w:t>注：1.方案中应明确体现各类车型、人员具体作业模式和排班情况。2.采用表格式描述车辆、人员作业班次时间、班次有效作业时间、班次作业量。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6" w:type="dxa"/>
            <w:vMerge w:val="continue"/>
            <w:noWrap w:val="0"/>
            <w:vAlign w:val="center"/>
          </w:tcPr>
          <w:p>
            <w:pPr>
              <w:spacing w:line="300" w:lineRule="exact"/>
              <w:jc w:val="center"/>
              <w:rPr>
                <w:rFonts w:ascii="宋体" w:hAnsi="宋体" w:cs="Arial"/>
                <w:color w:val="auto"/>
                <w:sz w:val="21"/>
                <w:szCs w:val="21"/>
                <w:highlight w:val="none"/>
              </w:rPr>
            </w:pPr>
          </w:p>
        </w:tc>
        <w:tc>
          <w:tcPr>
            <w:tcW w:w="1555" w:type="dxa"/>
            <w:vMerge w:val="continue"/>
            <w:noWrap w:val="0"/>
            <w:vAlign w:val="center"/>
          </w:tcPr>
          <w:p>
            <w:pPr>
              <w:spacing w:line="300" w:lineRule="exact"/>
              <w:ind w:left="-50"/>
              <w:jc w:val="center"/>
              <w:rPr>
                <w:rFonts w:ascii="宋体" w:hAnsi="宋体" w:cs="Arial"/>
                <w:snapToGrid w:val="0"/>
                <w:color w:val="auto"/>
                <w:sz w:val="21"/>
                <w:szCs w:val="21"/>
                <w:highlight w:val="none"/>
              </w:rPr>
            </w:pPr>
          </w:p>
        </w:tc>
        <w:tc>
          <w:tcPr>
            <w:tcW w:w="699" w:type="dxa"/>
            <w:vMerge w:val="continue"/>
            <w:noWrap w:val="0"/>
            <w:vAlign w:val="center"/>
          </w:tcPr>
          <w:p>
            <w:pPr>
              <w:spacing w:line="300" w:lineRule="exact"/>
              <w:jc w:val="center"/>
              <w:rPr>
                <w:rFonts w:ascii="宋体" w:hAnsi="宋体" w:cs="Arial"/>
                <w:snapToGrid w:val="0"/>
                <w:color w:val="auto"/>
                <w:sz w:val="21"/>
                <w:szCs w:val="21"/>
                <w:highlight w:val="none"/>
              </w:rPr>
            </w:pPr>
          </w:p>
        </w:tc>
        <w:tc>
          <w:tcPr>
            <w:tcW w:w="6783" w:type="dxa"/>
            <w:noWrap w:val="0"/>
            <w:vAlign w:val="center"/>
          </w:tcPr>
          <w:p>
            <w:pPr>
              <w:widowControl/>
              <w:spacing w:line="300" w:lineRule="exact"/>
              <w:ind w:right="3"/>
              <w:jc w:val="left"/>
              <w:rPr>
                <w:rFonts w:ascii="宋体" w:hAnsi="宋体" w:cs="Arial"/>
                <w:color w:val="auto"/>
                <w:sz w:val="21"/>
                <w:szCs w:val="21"/>
                <w:highlight w:val="none"/>
              </w:rPr>
            </w:pPr>
            <w:r>
              <w:rPr>
                <w:rFonts w:hint="eastAsia" w:ascii="宋体" w:hAnsi="宋体" w:cs="Arial"/>
                <w:color w:val="auto"/>
                <w:sz w:val="21"/>
                <w:szCs w:val="21"/>
                <w:highlight w:val="none"/>
              </w:rPr>
              <w:t>（2）</w:t>
            </w:r>
            <w:r>
              <w:rPr>
                <w:rFonts w:ascii="宋体" w:hAnsi="宋体" w:cs="Arial"/>
                <w:color w:val="auto"/>
                <w:sz w:val="21"/>
                <w:szCs w:val="21"/>
                <w:highlight w:val="none"/>
              </w:rPr>
              <w:t>城市家具、市政设施</w:t>
            </w:r>
            <w:r>
              <w:rPr>
                <w:rFonts w:hint="eastAsia" w:ascii="宋体" w:hAnsi="宋体" w:cs="Arial"/>
                <w:color w:val="auto"/>
                <w:sz w:val="21"/>
                <w:szCs w:val="21"/>
                <w:highlight w:val="none"/>
              </w:rPr>
              <w:t>、</w:t>
            </w:r>
            <w:r>
              <w:rPr>
                <w:rFonts w:ascii="宋体" w:hAnsi="宋体" w:cs="Arial"/>
                <w:color w:val="auto"/>
                <w:sz w:val="21"/>
                <w:szCs w:val="21"/>
                <w:highlight w:val="none"/>
              </w:rPr>
              <w:t>环卫设施（包括果壳箱、分类垃圾桶、分类收集点、灭烟柱、垃圾收集车、多功能垃圾房等）保洁（0-2分）。</w:t>
            </w:r>
          </w:p>
          <w:p>
            <w:pPr>
              <w:widowControl/>
              <w:spacing w:line="300" w:lineRule="exact"/>
              <w:ind w:right="3"/>
              <w:jc w:val="left"/>
              <w:rPr>
                <w:rFonts w:ascii="宋体" w:hAnsi="宋体" w:cs="Arial"/>
                <w:color w:val="auto"/>
                <w:sz w:val="21"/>
                <w:szCs w:val="21"/>
                <w:highlight w:val="none"/>
              </w:rPr>
            </w:pPr>
            <w:r>
              <w:rPr>
                <w:rFonts w:ascii="宋体" w:hAnsi="宋体" w:cs="Arial"/>
                <w:color w:val="auto"/>
                <w:sz w:val="21"/>
                <w:szCs w:val="21"/>
                <w:highlight w:val="none"/>
              </w:rPr>
              <w:fldChar w:fldCharType="begin"/>
            </w:r>
            <w:r>
              <w:rPr>
                <w:rFonts w:ascii="宋体" w:hAnsi="宋体" w:cs="Arial"/>
                <w:color w:val="auto"/>
                <w:sz w:val="21"/>
                <w:szCs w:val="21"/>
                <w:highlight w:val="none"/>
              </w:rPr>
              <w:instrText xml:space="preserve"> = 1 \* GB3 \* MERGEFORMAT </w:instrText>
            </w:r>
            <w:r>
              <w:rPr>
                <w:rFonts w:ascii="宋体" w:hAnsi="宋体" w:cs="Arial"/>
                <w:color w:val="auto"/>
                <w:sz w:val="21"/>
                <w:szCs w:val="21"/>
                <w:highlight w:val="none"/>
              </w:rPr>
              <w:fldChar w:fldCharType="separate"/>
            </w:r>
            <w:r>
              <w:rPr>
                <w:rFonts w:ascii="宋体" w:hAnsi="宋体"/>
                <w:color w:val="auto"/>
                <w:sz w:val="21"/>
                <w:szCs w:val="21"/>
                <w:highlight w:val="none"/>
              </w:rPr>
              <w:t>①</w:t>
            </w:r>
            <w:r>
              <w:rPr>
                <w:rFonts w:ascii="宋体" w:hAnsi="宋体" w:cs="Arial"/>
                <w:color w:val="auto"/>
                <w:sz w:val="21"/>
                <w:szCs w:val="21"/>
                <w:highlight w:val="none"/>
              </w:rPr>
              <w:fldChar w:fldCharType="end"/>
            </w:r>
            <w:r>
              <w:rPr>
                <w:rFonts w:ascii="宋体" w:hAnsi="宋体" w:cs="Arial"/>
                <w:color w:val="auto"/>
                <w:sz w:val="21"/>
                <w:szCs w:val="21"/>
                <w:highlight w:val="none"/>
              </w:rPr>
              <w:t>人员、机具、耗材投入科学合理、可操作性强，作业计划、排班合理，能切实保障本项目作业标准及质量要求</w:t>
            </w:r>
            <w:r>
              <w:rPr>
                <w:rFonts w:hint="eastAsia" w:ascii="宋体" w:hAnsi="宋体" w:cs="Arial"/>
                <w:color w:val="auto"/>
                <w:sz w:val="21"/>
                <w:szCs w:val="21"/>
                <w:highlight w:val="none"/>
              </w:rPr>
              <w:t>的，</w:t>
            </w:r>
            <w:r>
              <w:rPr>
                <w:rFonts w:ascii="宋体" w:hAnsi="宋体" w:cs="Arial"/>
                <w:color w:val="auto"/>
                <w:sz w:val="21"/>
                <w:szCs w:val="21"/>
                <w:highlight w:val="none"/>
              </w:rPr>
              <w:t>得2分</w:t>
            </w:r>
            <w:r>
              <w:rPr>
                <w:rFonts w:hint="eastAsia" w:ascii="宋体" w:hAnsi="宋体" w:cs="Arial"/>
                <w:color w:val="auto"/>
                <w:sz w:val="21"/>
                <w:szCs w:val="21"/>
                <w:highlight w:val="none"/>
              </w:rPr>
              <w:t>；</w:t>
            </w:r>
          </w:p>
          <w:p>
            <w:pPr>
              <w:widowControl/>
              <w:spacing w:line="300" w:lineRule="exact"/>
              <w:ind w:right="3"/>
              <w:jc w:val="left"/>
              <w:rPr>
                <w:rFonts w:ascii="宋体" w:hAnsi="宋体" w:cs="Arial"/>
                <w:color w:val="auto"/>
                <w:sz w:val="21"/>
                <w:szCs w:val="21"/>
                <w:highlight w:val="none"/>
              </w:rPr>
            </w:pPr>
            <w:r>
              <w:rPr>
                <w:rFonts w:ascii="宋体" w:hAnsi="宋体" w:cs="Arial"/>
                <w:color w:val="auto"/>
                <w:sz w:val="21"/>
                <w:szCs w:val="21"/>
                <w:highlight w:val="none"/>
              </w:rPr>
              <w:fldChar w:fldCharType="begin"/>
            </w:r>
            <w:r>
              <w:rPr>
                <w:rFonts w:ascii="宋体" w:hAnsi="宋体" w:cs="Arial"/>
                <w:color w:val="auto"/>
                <w:sz w:val="21"/>
                <w:szCs w:val="21"/>
                <w:highlight w:val="none"/>
              </w:rPr>
              <w:instrText xml:space="preserve"> = 2 \* GB3 \* MERGEFORMAT </w:instrText>
            </w:r>
            <w:r>
              <w:rPr>
                <w:rFonts w:ascii="宋体" w:hAnsi="宋体" w:cs="Arial"/>
                <w:color w:val="auto"/>
                <w:sz w:val="21"/>
                <w:szCs w:val="21"/>
                <w:highlight w:val="none"/>
              </w:rPr>
              <w:fldChar w:fldCharType="separate"/>
            </w:r>
            <w:r>
              <w:rPr>
                <w:rFonts w:ascii="宋体" w:hAnsi="宋体"/>
                <w:color w:val="auto"/>
                <w:sz w:val="21"/>
                <w:szCs w:val="21"/>
                <w:highlight w:val="none"/>
              </w:rPr>
              <w:t>②</w:t>
            </w:r>
            <w:r>
              <w:rPr>
                <w:rFonts w:ascii="宋体" w:hAnsi="宋体" w:cs="Arial"/>
                <w:color w:val="auto"/>
                <w:sz w:val="21"/>
                <w:szCs w:val="21"/>
                <w:highlight w:val="none"/>
              </w:rPr>
              <w:fldChar w:fldCharType="end"/>
            </w:r>
            <w:r>
              <w:rPr>
                <w:rFonts w:ascii="宋体" w:hAnsi="宋体" w:cs="Arial"/>
                <w:color w:val="auto"/>
                <w:sz w:val="21"/>
                <w:szCs w:val="21"/>
                <w:highlight w:val="none"/>
              </w:rPr>
              <w:t>人员、机具、耗材投入较科学合理、具备一定的可操作性，作业计划、排班较合理，基本能满足本项目作业标准及质量要求</w:t>
            </w:r>
            <w:r>
              <w:rPr>
                <w:rFonts w:hint="eastAsia" w:ascii="宋体" w:hAnsi="宋体" w:cs="Arial"/>
                <w:color w:val="auto"/>
                <w:sz w:val="21"/>
                <w:szCs w:val="21"/>
                <w:highlight w:val="none"/>
              </w:rPr>
              <w:t>的，</w:t>
            </w:r>
            <w:r>
              <w:rPr>
                <w:rFonts w:ascii="宋体" w:hAnsi="宋体" w:cs="Arial"/>
                <w:color w:val="auto"/>
                <w:sz w:val="21"/>
                <w:szCs w:val="21"/>
                <w:highlight w:val="none"/>
              </w:rPr>
              <w:t>得1.5分</w:t>
            </w:r>
            <w:r>
              <w:rPr>
                <w:rFonts w:hint="eastAsia" w:ascii="宋体" w:hAnsi="宋体" w:cs="Arial"/>
                <w:color w:val="auto"/>
                <w:sz w:val="21"/>
                <w:szCs w:val="21"/>
                <w:highlight w:val="none"/>
              </w:rPr>
              <w:t>；</w:t>
            </w:r>
          </w:p>
          <w:p>
            <w:pPr>
              <w:widowControl/>
              <w:spacing w:line="300" w:lineRule="exact"/>
              <w:ind w:right="3"/>
              <w:jc w:val="left"/>
              <w:rPr>
                <w:rFonts w:ascii="宋体" w:hAnsi="宋体" w:cs="Arial"/>
                <w:color w:val="auto"/>
                <w:sz w:val="21"/>
                <w:szCs w:val="21"/>
                <w:highlight w:val="none"/>
              </w:rPr>
            </w:pPr>
            <w:r>
              <w:rPr>
                <w:rFonts w:ascii="宋体" w:hAnsi="宋体" w:cs="Arial"/>
                <w:color w:val="auto"/>
                <w:sz w:val="21"/>
                <w:szCs w:val="21"/>
                <w:highlight w:val="none"/>
              </w:rPr>
              <w:fldChar w:fldCharType="begin"/>
            </w:r>
            <w:r>
              <w:rPr>
                <w:rFonts w:ascii="宋体" w:hAnsi="宋体" w:cs="Arial"/>
                <w:color w:val="auto"/>
                <w:sz w:val="21"/>
                <w:szCs w:val="21"/>
                <w:highlight w:val="none"/>
              </w:rPr>
              <w:instrText xml:space="preserve"> = 3 \* GB3 \* MERGEFORMAT </w:instrText>
            </w:r>
            <w:r>
              <w:rPr>
                <w:rFonts w:ascii="宋体" w:hAnsi="宋体" w:cs="Arial"/>
                <w:color w:val="auto"/>
                <w:sz w:val="21"/>
                <w:szCs w:val="21"/>
                <w:highlight w:val="none"/>
              </w:rPr>
              <w:fldChar w:fldCharType="separate"/>
            </w:r>
            <w:r>
              <w:rPr>
                <w:rFonts w:ascii="宋体" w:hAnsi="宋体"/>
                <w:color w:val="auto"/>
                <w:sz w:val="21"/>
                <w:szCs w:val="21"/>
                <w:highlight w:val="none"/>
              </w:rPr>
              <w:t>③</w:t>
            </w:r>
            <w:r>
              <w:rPr>
                <w:rFonts w:ascii="宋体" w:hAnsi="宋体" w:cs="Arial"/>
                <w:color w:val="auto"/>
                <w:sz w:val="21"/>
                <w:szCs w:val="21"/>
                <w:highlight w:val="none"/>
              </w:rPr>
              <w:fldChar w:fldCharType="end"/>
            </w:r>
            <w:r>
              <w:rPr>
                <w:rFonts w:ascii="宋体" w:hAnsi="宋体" w:cs="Arial"/>
                <w:color w:val="auto"/>
                <w:sz w:val="21"/>
                <w:szCs w:val="21"/>
                <w:highlight w:val="none"/>
              </w:rPr>
              <w:t>人员、机具、耗材投入计划不合理，作业计划、排班不详细，难以实现本项目作业标准及质量要求</w:t>
            </w:r>
            <w:r>
              <w:rPr>
                <w:rFonts w:hint="eastAsia" w:ascii="宋体" w:hAnsi="宋体" w:cs="Arial"/>
                <w:color w:val="auto"/>
                <w:sz w:val="21"/>
                <w:szCs w:val="21"/>
                <w:highlight w:val="none"/>
              </w:rPr>
              <w:t>的，</w:t>
            </w:r>
            <w:r>
              <w:rPr>
                <w:rFonts w:ascii="宋体" w:hAnsi="宋体" w:cs="Arial"/>
                <w:color w:val="auto"/>
                <w:sz w:val="21"/>
                <w:szCs w:val="21"/>
                <w:highlight w:val="none"/>
              </w:rPr>
              <w:t>得</w:t>
            </w:r>
            <w:r>
              <w:rPr>
                <w:rFonts w:hint="eastAsia" w:ascii="宋体" w:hAnsi="宋体" w:cs="Arial"/>
                <w:color w:val="auto"/>
                <w:sz w:val="21"/>
                <w:szCs w:val="21"/>
                <w:highlight w:val="none"/>
              </w:rPr>
              <w:t>1</w:t>
            </w:r>
            <w:r>
              <w:rPr>
                <w:rFonts w:ascii="宋体" w:hAnsi="宋体" w:cs="Arial"/>
                <w:color w:val="auto"/>
                <w:sz w:val="21"/>
                <w:szCs w:val="21"/>
                <w:highlight w:val="none"/>
              </w:rPr>
              <w:t>分</w:t>
            </w:r>
            <w:r>
              <w:rPr>
                <w:rFonts w:hint="eastAsia" w:ascii="宋体" w:hAnsi="宋体" w:cs="Arial"/>
                <w:color w:val="auto"/>
                <w:sz w:val="21"/>
                <w:szCs w:val="21"/>
                <w:highlight w:val="none"/>
              </w:rPr>
              <w:t>；</w:t>
            </w:r>
          </w:p>
          <w:p>
            <w:pPr>
              <w:widowControl/>
              <w:spacing w:line="300" w:lineRule="exact"/>
              <w:ind w:right="3"/>
              <w:jc w:val="left"/>
              <w:rPr>
                <w:rFonts w:ascii="宋体" w:hAnsi="宋体" w:cs="Arial"/>
                <w:color w:val="auto"/>
                <w:sz w:val="21"/>
                <w:szCs w:val="21"/>
                <w:highlight w:val="none"/>
              </w:rPr>
            </w:pPr>
            <w:r>
              <w:rPr>
                <w:rFonts w:hint="eastAsia" w:ascii="宋体" w:hAnsi="宋体" w:cs="Arial"/>
                <w:color w:val="auto"/>
                <w:sz w:val="21"/>
                <w:szCs w:val="21"/>
                <w:highlight w:val="none"/>
              </w:rPr>
              <w:t>④未提供保洁方案的，得0分。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6" w:type="dxa"/>
            <w:vMerge w:val="continue"/>
            <w:noWrap w:val="0"/>
            <w:vAlign w:val="center"/>
          </w:tcPr>
          <w:p>
            <w:pPr>
              <w:spacing w:line="300" w:lineRule="exact"/>
              <w:jc w:val="center"/>
              <w:rPr>
                <w:rFonts w:ascii="宋体" w:hAnsi="宋体" w:cs="Arial"/>
                <w:color w:val="auto"/>
                <w:sz w:val="21"/>
                <w:szCs w:val="21"/>
                <w:highlight w:val="none"/>
              </w:rPr>
            </w:pPr>
          </w:p>
        </w:tc>
        <w:tc>
          <w:tcPr>
            <w:tcW w:w="1555" w:type="dxa"/>
            <w:vMerge w:val="continue"/>
            <w:noWrap w:val="0"/>
            <w:vAlign w:val="center"/>
          </w:tcPr>
          <w:p>
            <w:pPr>
              <w:spacing w:line="300" w:lineRule="exact"/>
              <w:ind w:left="-50"/>
              <w:jc w:val="center"/>
              <w:rPr>
                <w:rFonts w:ascii="宋体" w:hAnsi="宋体" w:cs="Arial"/>
                <w:snapToGrid w:val="0"/>
                <w:color w:val="auto"/>
                <w:sz w:val="21"/>
                <w:szCs w:val="21"/>
                <w:highlight w:val="none"/>
              </w:rPr>
            </w:pPr>
          </w:p>
        </w:tc>
        <w:tc>
          <w:tcPr>
            <w:tcW w:w="699" w:type="dxa"/>
            <w:vMerge w:val="continue"/>
            <w:noWrap w:val="0"/>
            <w:vAlign w:val="center"/>
          </w:tcPr>
          <w:p>
            <w:pPr>
              <w:spacing w:line="300" w:lineRule="exact"/>
              <w:jc w:val="center"/>
              <w:rPr>
                <w:rFonts w:ascii="宋体" w:hAnsi="宋体" w:cs="Arial"/>
                <w:snapToGrid w:val="0"/>
                <w:color w:val="auto"/>
                <w:sz w:val="21"/>
                <w:szCs w:val="21"/>
                <w:highlight w:val="none"/>
              </w:rPr>
            </w:pPr>
          </w:p>
        </w:tc>
        <w:tc>
          <w:tcPr>
            <w:tcW w:w="6783" w:type="dxa"/>
            <w:noWrap w:val="0"/>
            <w:vAlign w:val="center"/>
          </w:tcPr>
          <w:p>
            <w:pPr>
              <w:widowControl/>
              <w:spacing w:line="300" w:lineRule="exact"/>
              <w:ind w:right="3"/>
              <w:jc w:val="left"/>
              <w:rPr>
                <w:rFonts w:ascii="宋体" w:hAnsi="宋体" w:cs="Arial"/>
                <w:color w:val="auto"/>
                <w:sz w:val="21"/>
                <w:szCs w:val="21"/>
                <w:highlight w:val="none"/>
              </w:rPr>
            </w:pPr>
            <w:r>
              <w:rPr>
                <w:rFonts w:hint="eastAsia" w:ascii="宋体" w:hAnsi="宋体" w:cs="Arial"/>
                <w:color w:val="auto"/>
                <w:sz w:val="21"/>
                <w:szCs w:val="21"/>
                <w:highlight w:val="none"/>
              </w:rPr>
              <w:t>（3）</w:t>
            </w:r>
            <w:r>
              <w:rPr>
                <w:rFonts w:ascii="宋体" w:hAnsi="宋体" w:cs="Arial"/>
                <w:color w:val="auto"/>
                <w:sz w:val="21"/>
                <w:szCs w:val="21"/>
                <w:highlight w:val="none"/>
              </w:rPr>
              <w:t>河道保洁（0-2分）。</w:t>
            </w:r>
          </w:p>
          <w:p>
            <w:pPr>
              <w:widowControl/>
              <w:spacing w:line="300" w:lineRule="exact"/>
              <w:ind w:right="3"/>
              <w:jc w:val="left"/>
              <w:rPr>
                <w:rFonts w:ascii="宋体" w:hAnsi="宋体" w:cs="Arial"/>
                <w:color w:val="auto"/>
                <w:sz w:val="21"/>
                <w:szCs w:val="21"/>
                <w:highlight w:val="none"/>
              </w:rPr>
            </w:pPr>
            <w:r>
              <w:rPr>
                <w:rFonts w:ascii="宋体" w:hAnsi="宋体" w:cs="Arial"/>
                <w:color w:val="auto"/>
                <w:sz w:val="21"/>
                <w:szCs w:val="21"/>
                <w:highlight w:val="none"/>
              </w:rPr>
              <w:fldChar w:fldCharType="begin"/>
            </w:r>
            <w:r>
              <w:rPr>
                <w:rFonts w:ascii="宋体" w:hAnsi="宋体" w:cs="Arial"/>
                <w:color w:val="auto"/>
                <w:sz w:val="21"/>
                <w:szCs w:val="21"/>
                <w:highlight w:val="none"/>
              </w:rPr>
              <w:instrText xml:space="preserve"> = 1 \* GB3 \* MERGEFORMAT </w:instrText>
            </w:r>
            <w:r>
              <w:rPr>
                <w:rFonts w:ascii="宋体" w:hAnsi="宋体" w:cs="Arial"/>
                <w:color w:val="auto"/>
                <w:sz w:val="21"/>
                <w:szCs w:val="21"/>
                <w:highlight w:val="none"/>
              </w:rPr>
              <w:fldChar w:fldCharType="separate"/>
            </w:r>
            <w:r>
              <w:rPr>
                <w:rFonts w:ascii="宋体" w:hAnsi="宋体"/>
                <w:color w:val="auto"/>
                <w:sz w:val="21"/>
                <w:szCs w:val="21"/>
                <w:highlight w:val="none"/>
              </w:rPr>
              <w:t>①</w:t>
            </w:r>
            <w:r>
              <w:rPr>
                <w:rFonts w:ascii="宋体" w:hAnsi="宋体" w:cs="Arial"/>
                <w:color w:val="auto"/>
                <w:sz w:val="21"/>
                <w:szCs w:val="21"/>
                <w:highlight w:val="none"/>
              </w:rPr>
              <w:fldChar w:fldCharType="end"/>
            </w:r>
            <w:r>
              <w:rPr>
                <w:rFonts w:ascii="宋体" w:hAnsi="宋体" w:cs="Arial"/>
                <w:color w:val="auto"/>
                <w:sz w:val="21"/>
                <w:szCs w:val="21"/>
                <w:highlight w:val="none"/>
              </w:rPr>
              <w:t>人员、机具、耗材投入科学合理、可操作性强，作业计划、排班合理，能切实保障本项目作业标准及质量要求</w:t>
            </w:r>
            <w:r>
              <w:rPr>
                <w:rFonts w:hint="eastAsia" w:ascii="宋体" w:hAnsi="宋体" w:cs="Arial"/>
                <w:color w:val="auto"/>
                <w:sz w:val="21"/>
                <w:szCs w:val="21"/>
                <w:highlight w:val="none"/>
              </w:rPr>
              <w:t>的，</w:t>
            </w:r>
            <w:r>
              <w:rPr>
                <w:rFonts w:ascii="宋体" w:hAnsi="宋体" w:cs="Arial"/>
                <w:color w:val="auto"/>
                <w:sz w:val="21"/>
                <w:szCs w:val="21"/>
                <w:highlight w:val="none"/>
              </w:rPr>
              <w:t>得2分</w:t>
            </w:r>
            <w:r>
              <w:rPr>
                <w:rFonts w:hint="eastAsia" w:ascii="宋体" w:hAnsi="宋体" w:cs="Arial"/>
                <w:color w:val="auto"/>
                <w:sz w:val="21"/>
                <w:szCs w:val="21"/>
                <w:highlight w:val="none"/>
              </w:rPr>
              <w:t>；</w:t>
            </w:r>
          </w:p>
          <w:p>
            <w:pPr>
              <w:widowControl/>
              <w:spacing w:line="300" w:lineRule="exact"/>
              <w:ind w:right="3"/>
              <w:jc w:val="left"/>
              <w:rPr>
                <w:rFonts w:ascii="宋体" w:hAnsi="宋体" w:cs="Arial"/>
                <w:color w:val="auto"/>
                <w:sz w:val="21"/>
                <w:szCs w:val="21"/>
                <w:highlight w:val="none"/>
              </w:rPr>
            </w:pPr>
            <w:r>
              <w:rPr>
                <w:rFonts w:ascii="宋体" w:hAnsi="宋体" w:cs="Arial"/>
                <w:color w:val="auto"/>
                <w:sz w:val="21"/>
                <w:szCs w:val="21"/>
                <w:highlight w:val="none"/>
              </w:rPr>
              <w:fldChar w:fldCharType="begin"/>
            </w:r>
            <w:r>
              <w:rPr>
                <w:rFonts w:ascii="宋体" w:hAnsi="宋体" w:cs="Arial"/>
                <w:color w:val="auto"/>
                <w:sz w:val="21"/>
                <w:szCs w:val="21"/>
                <w:highlight w:val="none"/>
              </w:rPr>
              <w:instrText xml:space="preserve"> = 2 \* GB3 \* MERGEFORMAT </w:instrText>
            </w:r>
            <w:r>
              <w:rPr>
                <w:rFonts w:ascii="宋体" w:hAnsi="宋体" w:cs="Arial"/>
                <w:color w:val="auto"/>
                <w:sz w:val="21"/>
                <w:szCs w:val="21"/>
                <w:highlight w:val="none"/>
              </w:rPr>
              <w:fldChar w:fldCharType="separate"/>
            </w:r>
            <w:r>
              <w:rPr>
                <w:rFonts w:ascii="宋体" w:hAnsi="宋体"/>
                <w:color w:val="auto"/>
                <w:sz w:val="21"/>
                <w:szCs w:val="21"/>
                <w:highlight w:val="none"/>
              </w:rPr>
              <w:t>②</w:t>
            </w:r>
            <w:r>
              <w:rPr>
                <w:rFonts w:ascii="宋体" w:hAnsi="宋体" w:cs="Arial"/>
                <w:color w:val="auto"/>
                <w:sz w:val="21"/>
                <w:szCs w:val="21"/>
                <w:highlight w:val="none"/>
              </w:rPr>
              <w:fldChar w:fldCharType="end"/>
            </w:r>
            <w:r>
              <w:rPr>
                <w:rFonts w:ascii="宋体" w:hAnsi="宋体" w:cs="Arial"/>
                <w:color w:val="auto"/>
                <w:sz w:val="21"/>
                <w:szCs w:val="21"/>
                <w:highlight w:val="none"/>
              </w:rPr>
              <w:t>人员、机具、耗材投入较科学合理、具备一定的可操作性，作业计划、排班较合理，基本能满足本项目作业标准及质量要求</w:t>
            </w:r>
            <w:r>
              <w:rPr>
                <w:rFonts w:hint="eastAsia" w:ascii="宋体" w:hAnsi="宋体" w:cs="Arial"/>
                <w:color w:val="auto"/>
                <w:sz w:val="21"/>
                <w:szCs w:val="21"/>
                <w:highlight w:val="none"/>
              </w:rPr>
              <w:t>的，</w:t>
            </w:r>
            <w:r>
              <w:rPr>
                <w:rFonts w:ascii="宋体" w:hAnsi="宋体" w:cs="Arial"/>
                <w:color w:val="auto"/>
                <w:sz w:val="21"/>
                <w:szCs w:val="21"/>
                <w:highlight w:val="none"/>
              </w:rPr>
              <w:t>得1.5分</w:t>
            </w:r>
            <w:r>
              <w:rPr>
                <w:rFonts w:hint="eastAsia" w:ascii="宋体" w:hAnsi="宋体" w:cs="Arial"/>
                <w:color w:val="auto"/>
                <w:sz w:val="21"/>
                <w:szCs w:val="21"/>
                <w:highlight w:val="none"/>
              </w:rPr>
              <w:t>；</w:t>
            </w:r>
          </w:p>
          <w:p>
            <w:pPr>
              <w:widowControl/>
              <w:spacing w:line="300" w:lineRule="exact"/>
              <w:ind w:right="3"/>
              <w:jc w:val="left"/>
              <w:rPr>
                <w:rFonts w:ascii="宋体" w:hAnsi="宋体" w:cs="Arial"/>
                <w:color w:val="auto"/>
                <w:sz w:val="21"/>
                <w:szCs w:val="21"/>
                <w:highlight w:val="none"/>
              </w:rPr>
            </w:pPr>
            <w:r>
              <w:rPr>
                <w:rFonts w:ascii="宋体" w:hAnsi="宋体" w:cs="Arial"/>
                <w:color w:val="auto"/>
                <w:sz w:val="21"/>
                <w:szCs w:val="21"/>
                <w:highlight w:val="none"/>
              </w:rPr>
              <w:fldChar w:fldCharType="begin"/>
            </w:r>
            <w:r>
              <w:rPr>
                <w:rFonts w:ascii="宋体" w:hAnsi="宋体" w:cs="Arial"/>
                <w:color w:val="auto"/>
                <w:sz w:val="21"/>
                <w:szCs w:val="21"/>
                <w:highlight w:val="none"/>
              </w:rPr>
              <w:instrText xml:space="preserve"> = 3 \* GB3 \* MERGEFORMAT </w:instrText>
            </w:r>
            <w:r>
              <w:rPr>
                <w:rFonts w:ascii="宋体" w:hAnsi="宋体" w:cs="Arial"/>
                <w:color w:val="auto"/>
                <w:sz w:val="21"/>
                <w:szCs w:val="21"/>
                <w:highlight w:val="none"/>
              </w:rPr>
              <w:fldChar w:fldCharType="separate"/>
            </w:r>
            <w:r>
              <w:rPr>
                <w:rFonts w:ascii="宋体" w:hAnsi="宋体"/>
                <w:color w:val="auto"/>
                <w:sz w:val="21"/>
                <w:szCs w:val="21"/>
                <w:highlight w:val="none"/>
              </w:rPr>
              <w:t>③</w:t>
            </w:r>
            <w:r>
              <w:rPr>
                <w:rFonts w:ascii="宋体" w:hAnsi="宋体" w:cs="Arial"/>
                <w:color w:val="auto"/>
                <w:sz w:val="21"/>
                <w:szCs w:val="21"/>
                <w:highlight w:val="none"/>
              </w:rPr>
              <w:fldChar w:fldCharType="end"/>
            </w:r>
            <w:r>
              <w:rPr>
                <w:rFonts w:ascii="宋体" w:hAnsi="宋体" w:cs="Arial"/>
                <w:color w:val="auto"/>
                <w:sz w:val="21"/>
                <w:szCs w:val="21"/>
                <w:highlight w:val="none"/>
              </w:rPr>
              <w:t>人员、机具、耗材投入计划不合理，作业计划、排班不详细，难以实现本项目作业标准及质量要求</w:t>
            </w:r>
            <w:r>
              <w:rPr>
                <w:rFonts w:hint="eastAsia" w:ascii="宋体" w:hAnsi="宋体" w:cs="Arial"/>
                <w:color w:val="auto"/>
                <w:sz w:val="21"/>
                <w:szCs w:val="21"/>
                <w:highlight w:val="none"/>
              </w:rPr>
              <w:t>的，</w:t>
            </w:r>
            <w:r>
              <w:rPr>
                <w:rFonts w:ascii="宋体" w:hAnsi="宋体" w:cs="Arial"/>
                <w:color w:val="auto"/>
                <w:sz w:val="21"/>
                <w:szCs w:val="21"/>
                <w:highlight w:val="none"/>
              </w:rPr>
              <w:t>得1分</w:t>
            </w:r>
            <w:r>
              <w:rPr>
                <w:rFonts w:hint="eastAsia" w:ascii="宋体" w:hAnsi="宋体" w:cs="Arial"/>
                <w:color w:val="auto"/>
                <w:sz w:val="21"/>
                <w:szCs w:val="21"/>
                <w:highlight w:val="none"/>
              </w:rPr>
              <w:t>；</w:t>
            </w:r>
          </w:p>
          <w:p>
            <w:pPr>
              <w:widowControl/>
              <w:spacing w:line="300" w:lineRule="exact"/>
              <w:ind w:right="3"/>
              <w:jc w:val="left"/>
              <w:rPr>
                <w:rFonts w:ascii="宋体" w:hAnsi="宋体" w:cs="Arial"/>
                <w:color w:val="auto"/>
                <w:sz w:val="21"/>
                <w:szCs w:val="21"/>
                <w:highlight w:val="none"/>
              </w:rPr>
            </w:pPr>
            <w:r>
              <w:rPr>
                <w:rFonts w:hint="eastAsia" w:ascii="宋体" w:hAnsi="宋体" w:cs="Arial"/>
                <w:color w:val="auto"/>
                <w:sz w:val="21"/>
                <w:szCs w:val="21"/>
                <w:highlight w:val="none"/>
              </w:rPr>
              <w:t>④未提供保洁方案的，得0分。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6" w:type="dxa"/>
            <w:vMerge w:val="continue"/>
            <w:noWrap w:val="0"/>
            <w:vAlign w:val="center"/>
          </w:tcPr>
          <w:p>
            <w:pPr>
              <w:spacing w:line="300" w:lineRule="exact"/>
              <w:jc w:val="center"/>
              <w:rPr>
                <w:rFonts w:ascii="宋体" w:hAnsi="宋体" w:cs="Arial"/>
                <w:color w:val="auto"/>
                <w:sz w:val="21"/>
                <w:szCs w:val="21"/>
                <w:highlight w:val="none"/>
              </w:rPr>
            </w:pPr>
          </w:p>
        </w:tc>
        <w:tc>
          <w:tcPr>
            <w:tcW w:w="1555" w:type="dxa"/>
            <w:vMerge w:val="continue"/>
            <w:noWrap w:val="0"/>
            <w:vAlign w:val="center"/>
          </w:tcPr>
          <w:p>
            <w:pPr>
              <w:spacing w:line="300" w:lineRule="exact"/>
              <w:ind w:left="-50"/>
              <w:jc w:val="center"/>
              <w:rPr>
                <w:rFonts w:ascii="宋体" w:hAnsi="宋体" w:cs="Arial"/>
                <w:snapToGrid w:val="0"/>
                <w:color w:val="auto"/>
                <w:sz w:val="21"/>
                <w:szCs w:val="21"/>
                <w:highlight w:val="none"/>
              </w:rPr>
            </w:pPr>
          </w:p>
        </w:tc>
        <w:tc>
          <w:tcPr>
            <w:tcW w:w="699" w:type="dxa"/>
            <w:vMerge w:val="continue"/>
            <w:noWrap w:val="0"/>
            <w:vAlign w:val="center"/>
          </w:tcPr>
          <w:p>
            <w:pPr>
              <w:spacing w:line="300" w:lineRule="exact"/>
              <w:jc w:val="center"/>
              <w:rPr>
                <w:rFonts w:ascii="宋体" w:hAnsi="宋体" w:cs="Arial"/>
                <w:snapToGrid w:val="0"/>
                <w:color w:val="auto"/>
                <w:sz w:val="21"/>
                <w:szCs w:val="21"/>
                <w:highlight w:val="none"/>
              </w:rPr>
            </w:pPr>
          </w:p>
        </w:tc>
        <w:tc>
          <w:tcPr>
            <w:tcW w:w="6783" w:type="dxa"/>
            <w:noWrap w:val="0"/>
            <w:vAlign w:val="center"/>
          </w:tcPr>
          <w:p>
            <w:pPr>
              <w:widowControl/>
              <w:spacing w:line="300" w:lineRule="exact"/>
              <w:ind w:right="3"/>
              <w:jc w:val="left"/>
              <w:rPr>
                <w:rFonts w:ascii="宋体" w:hAnsi="宋体"/>
                <w:color w:val="auto"/>
                <w:sz w:val="21"/>
                <w:szCs w:val="21"/>
                <w:highlight w:val="none"/>
              </w:rPr>
            </w:pPr>
            <w:r>
              <w:rPr>
                <w:rFonts w:hint="eastAsia" w:ascii="宋体" w:hAnsi="宋体"/>
                <w:color w:val="auto"/>
                <w:sz w:val="21"/>
                <w:szCs w:val="21"/>
                <w:highlight w:val="none"/>
              </w:rPr>
              <w:t>（4）</w:t>
            </w:r>
            <w:r>
              <w:rPr>
                <w:rFonts w:ascii="宋体" w:hAnsi="宋体"/>
                <w:color w:val="auto"/>
                <w:sz w:val="21"/>
                <w:szCs w:val="21"/>
                <w:highlight w:val="none"/>
              </w:rPr>
              <w:t>公厕保洁（含除臭设施）（0-2分）。</w:t>
            </w:r>
          </w:p>
          <w:p>
            <w:pPr>
              <w:widowControl/>
              <w:spacing w:line="300" w:lineRule="exact"/>
              <w:ind w:right="3"/>
              <w:jc w:val="left"/>
              <w:rPr>
                <w:rFonts w:hint="eastAsia" w:ascii="宋体" w:hAnsi="宋体"/>
                <w:color w:val="auto"/>
                <w:sz w:val="21"/>
                <w:szCs w:val="21"/>
                <w:highlight w:val="none"/>
              </w:rPr>
            </w:pPr>
            <w:r>
              <w:rPr>
                <w:rFonts w:ascii="宋体" w:hAnsi="宋体" w:cs="Arial"/>
                <w:color w:val="auto"/>
                <w:sz w:val="21"/>
                <w:szCs w:val="21"/>
                <w:highlight w:val="none"/>
              </w:rPr>
              <w:fldChar w:fldCharType="begin"/>
            </w:r>
            <w:r>
              <w:rPr>
                <w:rFonts w:ascii="宋体" w:hAnsi="宋体" w:cs="Arial"/>
                <w:color w:val="auto"/>
                <w:sz w:val="21"/>
                <w:szCs w:val="21"/>
                <w:highlight w:val="none"/>
              </w:rPr>
              <w:instrText xml:space="preserve"> = 1 \* GB3 \* MERGEFORMAT </w:instrText>
            </w:r>
            <w:r>
              <w:rPr>
                <w:rFonts w:ascii="宋体" w:hAnsi="宋体" w:cs="Arial"/>
                <w:color w:val="auto"/>
                <w:sz w:val="21"/>
                <w:szCs w:val="21"/>
                <w:highlight w:val="none"/>
              </w:rPr>
              <w:fldChar w:fldCharType="separate"/>
            </w:r>
            <w:r>
              <w:rPr>
                <w:rFonts w:ascii="宋体" w:hAnsi="宋体"/>
                <w:color w:val="auto"/>
                <w:sz w:val="21"/>
                <w:szCs w:val="21"/>
                <w:highlight w:val="none"/>
              </w:rPr>
              <w:t>①</w:t>
            </w:r>
            <w:r>
              <w:rPr>
                <w:rFonts w:ascii="宋体" w:hAnsi="宋体" w:cs="Arial"/>
                <w:color w:val="auto"/>
                <w:sz w:val="21"/>
                <w:szCs w:val="21"/>
                <w:highlight w:val="none"/>
              </w:rPr>
              <w:fldChar w:fldCharType="end"/>
            </w:r>
            <w:r>
              <w:rPr>
                <w:rFonts w:ascii="宋体" w:hAnsi="宋体"/>
                <w:color w:val="auto"/>
                <w:sz w:val="21"/>
                <w:szCs w:val="21"/>
                <w:highlight w:val="none"/>
              </w:rPr>
              <w:t>人员、机具、耗材投入科学合理、可操作性强，作业计划、排班合理，能切实保障本项目作业标准及质量要求</w:t>
            </w:r>
            <w:r>
              <w:rPr>
                <w:rFonts w:hint="eastAsia" w:ascii="宋体" w:hAnsi="宋体"/>
                <w:color w:val="auto"/>
                <w:sz w:val="21"/>
                <w:szCs w:val="21"/>
                <w:highlight w:val="none"/>
              </w:rPr>
              <w:t>，</w:t>
            </w:r>
            <w:r>
              <w:rPr>
                <w:rFonts w:ascii="宋体" w:hAnsi="宋体"/>
                <w:color w:val="auto"/>
                <w:sz w:val="21"/>
                <w:szCs w:val="21"/>
                <w:highlight w:val="none"/>
              </w:rPr>
              <w:t>得2分</w:t>
            </w:r>
            <w:r>
              <w:rPr>
                <w:rFonts w:hint="eastAsia" w:ascii="宋体" w:hAnsi="宋体"/>
                <w:color w:val="auto"/>
                <w:sz w:val="21"/>
                <w:szCs w:val="21"/>
                <w:highlight w:val="none"/>
              </w:rPr>
              <w:t>；</w:t>
            </w:r>
          </w:p>
          <w:p>
            <w:pPr>
              <w:widowControl/>
              <w:spacing w:line="300" w:lineRule="exact"/>
              <w:ind w:right="3"/>
              <w:jc w:val="left"/>
              <w:rPr>
                <w:rFonts w:hint="eastAsia" w:ascii="宋体" w:hAnsi="宋体"/>
                <w:color w:val="auto"/>
                <w:sz w:val="21"/>
                <w:szCs w:val="21"/>
                <w:highlight w:val="none"/>
              </w:rPr>
            </w:pPr>
            <w:r>
              <w:rPr>
                <w:rFonts w:ascii="宋体" w:hAnsi="宋体" w:cs="Arial"/>
                <w:color w:val="auto"/>
                <w:sz w:val="21"/>
                <w:szCs w:val="21"/>
                <w:highlight w:val="none"/>
              </w:rPr>
              <w:fldChar w:fldCharType="begin"/>
            </w:r>
            <w:r>
              <w:rPr>
                <w:rFonts w:ascii="宋体" w:hAnsi="宋体" w:cs="Arial"/>
                <w:color w:val="auto"/>
                <w:sz w:val="21"/>
                <w:szCs w:val="21"/>
                <w:highlight w:val="none"/>
              </w:rPr>
              <w:instrText xml:space="preserve"> = 2 \* GB3 \* MERGEFORMAT </w:instrText>
            </w:r>
            <w:r>
              <w:rPr>
                <w:rFonts w:ascii="宋体" w:hAnsi="宋体" w:cs="Arial"/>
                <w:color w:val="auto"/>
                <w:sz w:val="21"/>
                <w:szCs w:val="21"/>
                <w:highlight w:val="none"/>
              </w:rPr>
              <w:fldChar w:fldCharType="separate"/>
            </w:r>
            <w:r>
              <w:rPr>
                <w:rFonts w:ascii="宋体" w:hAnsi="宋体"/>
                <w:color w:val="auto"/>
                <w:sz w:val="21"/>
                <w:szCs w:val="21"/>
                <w:highlight w:val="none"/>
              </w:rPr>
              <w:t>②</w:t>
            </w:r>
            <w:r>
              <w:rPr>
                <w:rFonts w:ascii="宋体" w:hAnsi="宋体" w:cs="Arial"/>
                <w:color w:val="auto"/>
                <w:sz w:val="21"/>
                <w:szCs w:val="21"/>
                <w:highlight w:val="none"/>
              </w:rPr>
              <w:fldChar w:fldCharType="end"/>
            </w:r>
            <w:r>
              <w:rPr>
                <w:rFonts w:ascii="宋体" w:hAnsi="宋体"/>
                <w:color w:val="auto"/>
                <w:sz w:val="21"/>
                <w:szCs w:val="21"/>
                <w:highlight w:val="none"/>
              </w:rPr>
              <w:t>人员、机具、耗材投入较科学合理、具备一定的可操作性，作业计划、排班较合理，基本能满足本项目作业标准及质量要求</w:t>
            </w:r>
            <w:r>
              <w:rPr>
                <w:rFonts w:hint="eastAsia" w:ascii="宋体" w:hAnsi="宋体"/>
                <w:color w:val="auto"/>
                <w:sz w:val="21"/>
                <w:szCs w:val="21"/>
                <w:highlight w:val="none"/>
              </w:rPr>
              <w:t>，</w:t>
            </w:r>
            <w:r>
              <w:rPr>
                <w:rFonts w:ascii="宋体" w:hAnsi="宋体"/>
                <w:color w:val="auto"/>
                <w:sz w:val="21"/>
                <w:szCs w:val="21"/>
                <w:highlight w:val="none"/>
              </w:rPr>
              <w:t>得1.5分</w:t>
            </w:r>
            <w:r>
              <w:rPr>
                <w:rFonts w:hint="eastAsia" w:ascii="宋体" w:hAnsi="宋体"/>
                <w:color w:val="auto"/>
                <w:sz w:val="21"/>
                <w:szCs w:val="21"/>
                <w:highlight w:val="none"/>
              </w:rPr>
              <w:t>；</w:t>
            </w:r>
          </w:p>
          <w:p>
            <w:pPr>
              <w:widowControl/>
              <w:spacing w:line="300" w:lineRule="exact"/>
              <w:ind w:right="3"/>
              <w:jc w:val="left"/>
              <w:rPr>
                <w:rFonts w:ascii="宋体" w:hAnsi="宋体"/>
                <w:color w:val="auto"/>
                <w:sz w:val="21"/>
                <w:szCs w:val="21"/>
                <w:highlight w:val="none"/>
              </w:rPr>
            </w:pPr>
            <w:r>
              <w:rPr>
                <w:rFonts w:ascii="宋体" w:hAnsi="宋体" w:cs="Arial"/>
                <w:color w:val="auto"/>
                <w:sz w:val="21"/>
                <w:szCs w:val="21"/>
                <w:highlight w:val="none"/>
              </w:rPr>
              <w:fldChar w:fldCharType="begin"/>
            </w:r>
            <w:r>
              <w:rPr>
                <w:rFonts w:ascii="宋体" w:hAnsi="宋体" w:cs="Arial"/>
                <w:color w:val="auto"/>
                <w:sz w:val="21"/>
                <w:szCs w:val="21"/>
                <w:highlight w:val="none"/>
              </w:rPr>
              <w:instrText xml:space="preserve"> = 3 \* GB3 \* MERGEFORMAT </w:instrText>
            </w:r>
            <w:r>
              <w:rPr>
                <w:rFonts w:ascii="宋体" w:hAnsi="宋体" w:cs="Arial"/>
                <w:color w:val="auto"/>
                <w:sz w:val="21"/>
                <w:szCs w:val="21"/>
                <w:highlight w:val="none"/>
              </w:rPr>
              <w:fldChar w:fldCharType="separate"/>
            </w:r>
            <w:r>
              <w:rPr>
                <w:rFonts w:ascii="宋体" w:hAnsi="宋体"/>
                <w:color w:val="auto"/>
                <w:sz w:val="21"/>
                <w:szCs w:val="21"/>
                <w:highlight w:val="none"/>
              </w:rPr>
              <w:t>③</w:t>
            </w:r>
            <w:r>
              <w:rPr>
                <w:rFonts w:ascii="宋体" w:hAnsi="宋体" w:cs="Arial"/>
                <w:color w:val="auto"/>
                <w:sz w:val="21"/>
                <w:szCs w:val="21"/>
                <w:highlight w:val="none"/>
              </w:rPr>
              <w:fldChar w:fldCharType="end"/>
            </w:r>
            <w:r>
              <w:rPr>
                <w:rFonts w:ascii="宋体" w:hAnsi="宋体"/>
                <w:color w:val="auto"/>
                <w:sz w:val="21"/>
                <w:szCs w:val="21"/>
                <w:highlight w:val="none"/>
              </w:rPr>
              <w:t>人员、机具、耗材投入计划不合理，作业计划、排班不详细，难以实现本项目作业标准及质量要求</w:t>
            </w:r>
            <w:r>
              <w:rPr>
                <w:rFonts w:hint="eastAsia" w:ascii="宋体" w:hAnsi="宋体"/>
                <w:color w:val="auto"/>
                <w:sz w:val="21"/>
                <w:szCs w:val="21"/>
                <w:highlight w:val="none"/>
              </w:rPr>
              <w:t>，</w:t>
            </w:r>
            <w:r>
              <w:rPr>
                <w:rFonts w:ascii="宋体" w:hAnsi="宋体"/>
                <w:color w:val="auto"/>
                <w:sz w:val="21"/>
                <w:szCs w:val="21"/>
                <w:highlight w:val="none"/>
              </w:rPr>
              <w:t>得</w:t>
            </w:r>
            <w:r>
              <w:rPr>
                <w:rFonts w:hint="eastAsia" w:ascii="宋体" w:hAnsi="宋体"/>
                <w:color w:val="auto"/>
                <w:sz w:val="21"/>
                <w:szCs w:val="21"/>
                <w:highlight w:val="none"/>
              </w:rPr>
              <w:t>1</w:t>
            </w:r>
            <w:r>
              <w:rPr>
                <w:rFonts w:ascii="宋体" w:hAnsi="宋体"/>
                <w:color w:val="auto"/>
                <w:sz w:val="21"/>
                <w:szCs w:val="21"/>
                <w:highlight w:val="none"/>
              </w:rPr>
              <w:t>分</w:t>
            </w:r>
            <w:r>
              <w:rPr>
                <w:rFonts w:hint="eastAsia" w:ascii="宋体" w:hAnsi="宋体"/>
                <w:color w:val="auto"/>
                <w:sz w:val="21"/>
                <w:szCs w:val="21"/>
                <w:highlight w:val="none"/>
              </w:rPr>
              <w:t>；</w:t>
            </w:r>
          </w:p>
          <w:p>
            <w:pPr>
              <w:widowControl/>
              <w:spacing w:line="300" w:lineRule="exact"/>
              <w:ind w:right="3"/>
              <w:jc w:val="left"/>
              <w:rPr>
                <w:rFonts w:ascii="宋体" w:hAnsi="宋体"/>
                <w:color w:val="auto"/>
                <w:sz w:val="21"/>
                <w:szCs w:val="21"/>
                <w:highlight w:val="none"/>
              </w:rPr>
            </w:pPr>
            <w:r>
              <w:rPr>
                <w:rFonts w:hint="eastAsia" w:ascii="宋体" w:hAnsi="宋体" w:cs="Arial"/>
                <w:color w:val="auto"/>
                <w:sz w:val="21"/>
                <w:szCs w:val="21"/>
                <w:highlight w:val="none"/>
              </w:rPr>
              <w:t>④</w:t>
            </w:r>
            <w:r>
              <w:rPr>
                <w:rFonts w:hint="eastAsia" w:ascii="宋体" w:hAnsi="宋体"/>
                <w:color w:val="auto"/>
                <w:sz w:val="21"/>
                <w:szCs w:val="21"/>
                <w:highlight w:val="none"/>
              </w:rPr>
              <w:t>未提供保洁方案的，得0分。</w:t>
            </w:r>
          </w:p>
          <w:p>
            <w:pPr>
              <w:pStyle w:val="52"/>
              <w:spacing w:line="300" w:lineRule="exact"/>
              <w:rPr>
                <w:rFonts w:hint="eastAsia" w:ascii="宋体" w:hAnsi="宋体"/>
                <w:color w:val="auto"/>
                <w:szCs w:val="21"/>
                <w:highlight w:val="none"/>
              </w:rPr>
            </w:pPr>
            <w:r>
              <w:rPr>
                <w:rFonts w:hint="eastAsia" w:ascii="宋体" w:hAnsi="宋体" w:cs="Arial"/>
                <w:color w:val="auto"/>
                <w:szCs w:val="21"/>
                <w:highlight w:val="none"/>
              </w:rPr>
              <w:t>注：一、二级公厕要求专人定岗保洁，三级至四级公厕可专人巡回保洁。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6" w:type="dxa"/>
            <w:vMerge w:val="continue"/>
            <w:noWrap w:val="0"/>
            <w:vAlign w:val="center"/>
          </w:tcPr>
          <w:p>
            <w:pPr>
              <w:spacing w:line="300" w:lineRule="exact"/>
              <w:jc w:val="center"/>
              <w:rPr>
                <w:rFonts w:ascii="宋体" w:hAnsi="宋体" w:cs="Arial"/>
                <w:color w:val="auto"/>
                <w:sz w:val="21"/>
                <w:szCs w:val="21"/>
                <w:highlight w:val="none"/>
              </w:rPr>
            </w:pPr>
          </w:p>
        </w:tc>
        <w:tc>
          <w:tcPr>
            <w:tcW w:w="1555" w:type="dxa"/>
            <w:vMerge w:val="continue"/>
            <w:noWrap w:val="0"/>
            <w:vAlign w:val="center"/>
          </w:tcPr>
          <w:p>
            <w:pPr>
              <w:spacing w:line="300" w:lineRule="exact"/>
              <w:ind w:left="-50"/>
              <w:jc w:val="center"/>
              <w:rPr>
                <w:rFonts w:ascii="宋体" w:hAnsi="宋体" w:cs="Arial"/>
                <w:snapToGrid w:val="0"/>
                <w:color w:val="auto"/>
                <w:sz w:val="21"/>
                <w:szCs w:val="21"/>
                <w:highlight w:val="none"/>
              </w:rPr>
            </w:pPr>
          </w:p>
        </w:tc>
        <w:tc>
          <w:tcPr>
            <w:tcW w:w="699" w:type="dxa"/>
            <w:vMerge w:val="continue"/>
            <w:noWrap w:val="0"/>
            <w:vAlign w:val="center"/>
          </w:tcPr>
          <w:p>
            <w:pPr>
              <w:spacing w:line="300" w:lineRule="exact"/>
              <w:jc w:val="center"/>
              <w:rPr>
                <w:rFonts w:ascii="宋体" w:hAnsi="宋体" w:cs="Arial"/>
                <w:snapToGrid w:val="0"/>
                <w:color w:val="auto"/>
                <w:sz w:val="21"/>
                <w:szCs w:val="21"/>
                <w:highlight w:val="none"/>
              </w:rPr>
            </w:pPr>
          </w:p>
        </w:tc>
        <w:tc>
          <w:tcPr>
            <w:tcW w:w="6783" w:type="dxa"/>
            <w:noWrap w:val="0"/>
            <w:vAlign w:val="center"/>
          </w:tcPr>
          <w:p>
            <w:pPr>
              <w:widowControl/>
              <w:spacing w:line="300" w:lineRule="exact"/>
              <w:ind w:right="3"/>
              <w:jc w:val="left"/>
              <w:rPr>
                <w:rFonts w:ascii="宋体" w:hAnsi="宋体" w:cs="Arial"/>
                <w:color w:val="auto"/>
                <w:sz w:val="21"/>
                <w:szCs w:val="21"/>
                <w:highlight w:val="none"/>
              </w:rPr>
            </w:pPr>
            <w:r>
              <w:rPr>
                <w:rFonts w:hint="eastAsia" w:ascii="宋体" w:hAnsi="宋体" w:cs="Arial"/>
                <w:color w:val="auto"/>
                <w:sz w:val="21"/>
                <w:szCs w:val="21"/>
                <w:highlight w:val="none"/>
              </w:rPr>
              <w:t>（5）</w:t>
            </w:r>
            <w:r>
              <w:rPr>
                <w:rFonts w:ascii="宋体" w:hAnsi="宋体" w:cs="Arial"/>
                <w:color w:val="auto"/>
                <w:sz w:val="21"/>
                <w:szCs w:val="21"/>
                <w:highlight w:val="none"/>
              </w:rPr>
              <w:t>垃圾分类方案</w:t>
            </w:r>
            <w:r>
              <w:rPr>
                <w:rFonts w:hint="eastAsia" w:ascii="宋体" w:hAnsi="宋体" w:cs="Arial"/>
                <w:color w:val="auto"/>
                <w:sz w:val="21"/>
                <w:szCs w:val="21"/>
                <w:highlight w:val="none"/>
              </w:rPr>
              <w:t>，包括：</w:t>
            </w:r>
            <w:r>
              <w:rPr>
                <w:rFonts w:ascii="宋体" w:hAnsi="宋体" w:cs="Arial"/>
                <w:color w:val="auto"/>
                <w:sz w:val="21"/>
                <w:szCs w:val="21"/>
                <w:highlight w:val="none"/>
              </w:rPr>
              <w:t>以桶换桶运输方案</w:t>
            </w:r>
            <w:r>
              <w:rPr>
                <w:rFonts w:hint="eastAsia" w:ascii="宋体" w:hAnsi="宋体" w:cs="Arial"/>
                <w:color w:val="auto"/>
                <w:sz w:val="21"/>
                <w:szCs w:val="21"/>
                <w:highlight w:val="none"/>
              </w:rPr>
              <w:t>、</w:t>
            </w:r>
            <w:r>
              <w:rPr>
                <w:rFonts w:ascii="宋体" w:hAnsi="宋体" w:cs="Arial"/>
                <w:color w:val="auto"/>
                <w:sz w:val="21"/>
                <w:szCs w:val="21"/>
                <w:highlight w:val="none"/>
              </w:rPr>
              <w:t>劝导方案</w:t>
            </w:r>
            <w:r>
              <w:rPr>
                <w:rFonts w:hint="eastAsia" w:ascii="宋体" w:hAnsi="宋体" w:cs="Arial"/>
                <w:color w:val="auto"/>
                <w:sz w:val="21"/>
                <w:szCs w:val="21"/>
                <w:highlight w:val="none"/>
              </w:rPr>
              <w:t>、</w:t>
            </w:r>
            <w:r>
              <w:rPr>
                <w:rFonts w:ascii="宋体" w:hAnsi="宋体" w:cs="Arial"/>
                <w:color w:val="auto"/>
                <w:sz w:val="21"/>
                <w:szCs w:val="21"/>
                <w:highlight w:val="none"/>
              </w:rPr>
              <w:t>垃圾收集及清运（沿街店铺上门收集方案）</w:t>
            </w:r>
            <w:r>
              <w:rPr>
                <w:rFonts w:hint="eastAsia" w:ascii="宋体" w:hAnsi="宋体" w:cs="Arial"/>
                <w:color w:val="auto"/>
                <w:sz w:val="21"/>
                <w:szCs w:val="21"/>
                <w:highlight w:val="none"/>
              </w:rPr>
              <w:t>、</w:t>
            </w:r>
            <w:r>
              <w:rPr>
                <w:rFonts w:ascii="宋体" w:hAnsi="宋体" w:cs="Arial"/>
                <w:color w:val="auto"/>
                <w:sz w:val="21"/>
                <w:szCs w:val="21"/>
                <w:highlight w:val="none"/>
              </w:rPr>
              <w:t>无主建筑</w:t>
            </w:r>
            <w:r>
              <w:rPr>
                <w:rFonts w:hint="eastAsia" w:ascii="宋体" w:hAnsi="宋体" w:cs="Arial"/>
                <w:color w:val="auto"/>
                <w:sz w:val="21"/>
                <w:szCs w:val="21"/>
                <w:highlight w:val="none"/>
              </w:rPr>
              <w:t>装修</w:t>
            </w:r>
            <w:r>
              <w:rPr>
                <w:rFonts w:ascii="宋体" w:hAnsi="宋体" w:cs="Arial"/>
                <w:color w:val="auto"/>
                <w:sz w:val="21"/>
                <w:szCs w:val="21"/>
                <w:highlight w:val="none"/>
              </w:rPr>
              <w:t>垃圾、大件垃圾、</w:t>
            </w:r>
            <w:r>
              <w:rPr>
                <w:rFonts w:hint="eastAsia" w:ascii="宋体" w:hAnsi="宋体" w:cs="Arial"/>
                <w:color w:val="auto"/>
                <w:sz w:val="21"/>
                <w:szCs w:val="21"/>
                <w:highlight w:val="none"/>
              </w:rPr>
              <w:t>等</w:t>
            </w:r>
            <w:r>
              <w:rPr>
                <w:rFonts w:ascii="宋体" w:hAnsi="宋体" w:cs="Arial"/>
                <w:color w:val="auto"/>
                <w:sz w:val="21"/>
                <w:szCs w:val="21"/>
                <w:highlight w:val="none"/>
              </w:rPr>
              <w:t>（0-2分）。</w:t>
            </w:r>
          </w:p>
          <w:p>
            <w:pPr>
              <w:widowControl/>
              <w:spacing w:line="300" w:lineRule="exact"/>
              <w:ind w:right="3"/>
              <w:jc w:val="left"/>
              <w:rPr>
                <w:rFonts w:ascii="宋体" w:hAnsi="宋体" w:cs="Arial"/>
                <w:color w:val="auto"/>
                <w:sz w:val="21"/>
                <w:szCs w:val="21"/>
                <w:highlight w:val="none"/>
              </w:rPr>
            </w:pPr>
            <w:r>
              <w:rPr>
                <w:rFonts w:ascii="宋体" w:hAnsi="宋体" w:cs="Arial"/>
                <w:color w:val="auto"/>
                <w:sz w:val="21"/>
                <w:szCs w:val="21"/>
                <w:highlight w:val="none"/>
              </w:rPr>
              <w:fldChar w:fldCharType="begin"/>
            </w:r>
            <w:r>
              <w:rPr>
                <w:rFonts w:ascii="宋体" w:hAnsi="宋体" w:cs="Arial"/>
                <w:color w:val="auto"/>
                <w:sz w:val="21"/>
                <w:szCs w:val="21"/>
                <w:highlight w:val="none"/>
              </w:rPr>
              <w:instrText xml:space="preserve"> = 1 \* GB3 \* MERGEFORMAT </w:instrText>
            </w:r>
            <w:r>
              <w:rPr>
                <w:rFonts w:ascii="宋体" w:hAnsi="宋体" w:cs="Arial"/>
                <w:color w:val="auto"/>
                <w:sz w:val="21"/>
                <w:szCs w:val="21"/>
                <w:highlight w:val="none"/>
              </w:rPr>
              <w:fldChar w:fldCharType="separate"/>
            </w:r>
            <w:r>
              <w:rPr>
                <w:rFonts w:ascii="宋体" w:hAnsi="宋体"/>
                <w:color w:val="auto"/>
                <w:sz w:val="21"/>
                <w:szCs w:val="21"/>
                <w:highlight w:val="none"/>
              </w:rPr>
              <w:t>①</w:t>
            </w:r>
            <w:r>
              <w:rPr>
                <w:rFonts w:ascii="宋体" w:hAnsi="宋体" w:cs="Arial"/>
                <w:color w:val="auto"/>
                <w:sz w:val="21"/>
                <w:szCs w:val="21"/>
                <w:highlight w:val="none"/>
              </w:rPr>
              <w:fldChar w:fldCharType="end"/>
            </w:r>
            <w:r>
              <w:rPr>
                <w:rFonts w:ascii="宋体" w:hAnsi="宋体" w:cs="Arial"/>
                <w:color w:val="auto"/>
                <w:sz w:val="21"/>
                <w:szCs w:val="21"/>
                <w:highlight w:val="none"/>
              </w:rPr>
              <w:t>人员、机具、耗材投入科学合理、可操作性强，作业计划、排班合理，能切实保障本项目作业标准及质量要求</w:t>
            </w:r>
            <w:r>
              <w:rPr>
                <w:rFonts w:hint="eastAsia" w:ascii="宋体" w:hAnsi="宋体" w:cs="Arial"/>
                <w:color w:val="auto"/>
                <w:sz w:val="21"/>
                <w:szCs w:val="21"/>
                <w:highlight w:val="none"/>
              </w:rPr>
              <w:t>，</w:t>
            </w:r>
            <w:r>
              <w:rPr>
                <w:rFonts w:ascii="宋体" w:hAnsi="宋体" w:cs="Arial"/>
                <w:color w:val="auto"/>
                <w:sz w:val="21"/>
                <w:szCs w:val="21"/>
                <w:highlight w:val="none"/>
              </w:rPr>
              <w:t>得2分</w:t>
            </w:r>
            <w:r>
              <w:rPr>
                <w:rFonts w:hint="eastAsia" w:ascii="宋体" w:hAnsi="宋体" w:cs="Arial"/>
                <w:color w:val="auto"/>
                <w:sz w:val="21"/>
                <w:szCs w:val="21"/>
                <w:highlight w:val="none"/>
              </w:rPr>
              <w:t>；</w:t>
            </w:r>
          </w:p>
          <w:p>
            <w:pPr>
              <w:widowControl/>
              <w:spacing w:line="300" w:lineRule="exact"/>
              <w:ind w:right="3"/>
              <w:jc w:val="left"/>
              <w:rPr>
                <w:rFonts w:ascii="宋体" w:hAnsi="宋体" w:cs="Arial"/>
                <w:color w:val="auto"/>
                <w:sz w:val="21"/>
                <w:szCs w:val="21"/>
                <w:highlight w:val="none"/>
              </w:rPr>
            </w:pPr>
            <w:r>
              <w:rPr>
                <w:rFonts w:ascii="宋体" w:hAnsi="宋体" w:cs="Arial"/>
                <w:color w:val="auto"/>
                <w:sz w:val="21"/>
                <w:szCs w:val="21"/>
                <w:highlight w:val="none"/>
              </w:rPr>
              <w:fldChar w:fldCharType="begin"/>
            </w:r>
            <w:r>
              <w:rPr>
                <w:rFonts w:ascii="宋体" w:hAnsi="宋体" w:cs="Arial"/>
                <w:color w:val="auto"/>
                <w:sz w:val="21"/>
                <w:szCs w:val="21"/>
                <w:highlight w:val="none"/>
              </w:rPr>
              <w:instrText xml:space="preserve"> = 2 \* GB3 \* MERGEFORMAT </w:instrText>
            </w:r>
            <w:r>
              <w:rPr>
                <w:rFonts w:ascii="宋体" w:hAnsi="宋体" w:cs="Arial"/>
                <w:color w:val="auto"/>
                <w:sz w:val="21"/>
                <w:szCs w:val="21"/>
                <w:highlight w:val="none"/>
              </w:rPr>
              <w:fldChar w:fldCharType="separate"/>
            </w:r>
            <w:r>
              <w:rPr>
                <w:rFonts w:ascii="宋体" w:hAnsi="宋体"/>
                <w:color w:val="auto"/>
                <w:sz w:val="21"/>
                <w:szCs w:val="21"/>
                <w:highlight w:val="none"/>
              </w:rPr>
              <w:t>②</w:t>
            </w:r>
            <w:r>
              <w:rPr>
                <w:rFonts w:ascii="宋体" w:hAnsi="宋体" w:cs="Arial"/>
                <w:color w:val="auto"/>
                <w:sz w:val="21"/>
                <w:szCs w:val="21"/>
                <w:highlight w:val="none"/>
              </w:rPr>
              <w:fldChar w:fldCharType="end"/>
            </w:r>
            <w:r>
              <w:rPr>
                <w:rFonts w:ascii="宋体" w:hAnsi="宋体" w:cs="Arial"/>
                <w:color w:val="auto"/>
                <w:sz w:val="21"/>
                <w:szCs w:val="21"/>
                <w:highlight w:val="none"/>
              </w:rPr>
              <w:t>人员、机具、耗材投入较科学合理、具备一定的可操作性，作业计划、排班较合理，基本能满足本项目作业标准及质量要求</w:t>
            </w:r>
            <w:r>
              <w:rPr>
                <w:rFonts w:hint="eastAsia" w:ascii="宋体" w:hAnsi="宋体" w:cs="Arial"/>
                <w:color w:val="auto"/>
                <w:sz w:val="21"/>
                <w:szCs w:val="21"/>
                <w:highlight w:val="none"/>
              </w:rPr>
              <w:t>，</w:t>
            </w:r>
            <w:r>
              <w:rPr>
                <w:rFonts w:ascii="宋体" w:hAnsi="宋体" w:cs="Arial"/>
                <w:color w:val="auto"/>
                <w:sz w:val="21"/>
                <w:szCs w:val="21"/>
                <w:highlight w:val="none"/>
              </w:rPr>
              <w:t>得1.5分</w:t>
            </w:r>
            <w:r>
              <w:rPr>
                <w:rFonts w:hint="eastAsia" w:ascii="宋体" w:hAnsi="宋体" w:cs="Arial"/>
                <w:color w:val="auto"/>
                <w:sz w:val="21"/>
                <w:szCs w:val="21"/>
                <w:highlight w:val="none"/>
              </w:rPr>
              <w:t>；</w:t>
            </w:r>
          </w:p>
          <w:p>
            <w:pPr>
              <w:widowControl/>
              <w:spacing w:line="300" w:lineRule="exact"/>
              <w:ind w:right="3"/>
              <w:jc w:val="left"/>
              <w:rPr>
                <w:rFonts w:ascii="宋体" w:hAnsi="宋体" w:cs="Arial"/>
                <w:color w:val="auto"/>
                <w:sz w:val="21"/>
                <w:szCs w:val="21"/>
                <w:highlight w:val="none"/>
              </w:rPr>
            </w:pPr>
            <w:r>
              <w:rPr>
                <w:rFonts w:ascii="宋体" w:hAnsi="宋体" w:cs="Arial"/>
                <w:color w:val="auto"/>
                <w:sz w:val="21"/>
                <w:szCs w:val="21"/>
                <w:highlight w:val="none"/>
              </w:rPr>
              <w:fldChar w:fldCharType="begin"/>
            </w:r>
            <w:r>
              <w:rPr>
                <w:rFonts w:ascii="宋体" w:hAnsi="宋体" w:cs="Arial"/>
                <w:color w:val="auto"/>
                <w:sz w:val="21"/>
                <w:szCs w:val="21"/>
                <w:highlight w:val="none"/>
              </w:rPr>
              <w:instrText xml:space="preserve"> = 3 \* GB3 \* MERGEFORMAT </w:instrText>
            </w:r>
            <w:r>
              <w:rPr>
                <w:rFonts w:ascii="宋体" w:hAnsi="宋体" w:cs="Arial"/>
                <w:color w:val="auto"/>
                <w:sz w:val="21"/>
                <w:szCs w:val="21"/>
                <w:highlight w:val="none"/>
              </w:rPr>
              <w:fldChar w:fldCharType="separate"/>
            </w:r>
            <w:r>
              <w:rPr>
                <w:rFonts w:ascii="宋体" w:hAnsi="宋体"/>
                <w:color w:val="auto"/>
                <w:sz w:val="21"/>
                <w:szCs w:val="21"/>
                <w:highlight w:val="none"/>
              </w:rPr>
              <w:t>③</w:t>
            </w:r>
            <w:r>
              <w:rPr>
                <w:rFonts w:ascii="宋体" w:hAnsi="宋体" w:cs="Arial"/>
                <w:color w:val="auto"/>
                <w:sz w:val="21"/>
                <w:szCs w:val="21"/>
                <w:highlight w:val="none"/>
              </w:rPr>
              <w:fldChar w:fldCharType="end"/>
            </w:r>
            <w:r>
              <w:rPr>
                <w:rFonts w:ascii="宋体" w:hAnsi="宋体" w:cs="Arial"/>
                <w:color w:val="auto"/>
                <w:sz w:val="21"/>
                <w:szCs w:val="21"/>
                <w:highlight w:val="none"/>
              </w:rPr>
              <w:t>人员、机具、耗材投入计划不合理，作业计划、排班不详细，难以实现本项目作业标准及质量要求</w:t>
            </w:r>
            <w:r>
              <w:rPr>
                <w:rFonts w:hint="eastAsia" w:ascii="宋体" w:hAnsi="宋体" w:cs="Arial"/>
                <w:color w:val="auto"/>
                <w:sz w:val="21"/>
                <w:szCs w:val="21"/>
                <w:highlight w:val="none"/>
              </w:rPr>
              <w:t>，</w:t>
            </w:r>
            <w:r>
              <w:rPr>
                <w:rFonts w:ascii="宋体" w:hAnsi="宋体" w:cs="Arial"/>
                <w:color w:val="auto"/>
                <w:sz w:val="21"/>
                <w:szCs w:val="21"/>
                <w:highlight w:val="none"/>
              </w:rPr>
              <w:t>得</w:t>
            </w:r>
            <w:r>
              <w:rPr>
                <w:rFonts w:hint="eastAsia" w:ascii="宋体" w:hAnsi="宋体" w:cs="Arial"/>
                <w:color w:val="auto"/>
                <w:sz w:val="21"/>
                <w:szCs w:val="21"/>
                <w:highlight w:val="none"/>
              </w:rPr>
              <w:t>1</w:t>
            </w:r>
            <w:r>
              <w:rPr>
                <w:rFonts w:ascii="宋体" w:hAnsi="宋体" w:cs="Arial"/>
                <w:color w:val="auto"/>
                <w:sz w:val="21"/>
                <w:szCs w:val="21"/>
                <w:highlight w:val="none"/>
              </w:rPr>
              <w:t>分</w:t>
            </w:r>
            <w:r>
              <w:rPr>
                <w:rFonts w:hint="eastAsia" w:ascii="宋体" w:hAnsi="宋体" w:cs="Arial"/>
                <w:color w:val="auto"/>
                <w:sz w:val="21"/>
                <w:szCs w:val="21"/>
                <w:highlight w:val="none"/>
              </w:rPr>
              <w:t>；</w:t>
            </w:r>
          </w:p>
          <w:p>
            <w:pPr>
              <w:widowControl/>
              <w:numPr>
                <w:ilvl w:val="0"/>
                <w:numId w:val="16"/>
              </w:numPr>
              <w:spacing w:line="300" w:lineRule="exact"/>
              <w:ind w:right="3"/>
              <w:jc w:val="left"/>
              <w:rPr>
                <w:rFonts w:ascii="宋体" w:hAnsi="宋体" w:cs="Arial"/>
                <w:color w:val="auto"/>
                <w:sz w:val="21"/>
                <w:szCs w:val="21"/>
                <w:highlight w:val="none"/>
              </w:rPr>
            </w:pPr>
            <w:r>
              <w:rPr>
                <w:rFonts w:hint="eastAsia" w:ascii="宋体" w:hAnsi="宋体" w:cs="Arial"/>
                <w:color w:val="auto"/>
                <w:sz w:val="21"/>
                <w:szCs w:val="21"/>
                <w:highlight w:val="none"/>
              </w:rPr>
              <w:t>未提供保洁方案的，得0分。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6" w:type="dxa"/>
            <w:vMerge w:val="continue"/>
            <w:tcBorders>
              <w:bottom w:val="single" w:color="auto" w:sz="4" w:space="0"/>
            </w:tcBorders>
            <w:noWrap w:val="0"/>
            <w:vAlign w:val="center"/>
          </w:tcPr>
          <w:p>
            <w:pPr>
              <w:spacing w:line="300" w:lineRule="exact"/>
              <w:jc w:val="center"/>
              <w:rPr>
                <w:rFonts w:ascii="宋体" w:hAnsi="宋体" w:cs="Arial"/>
                <w:color w:val="auto"/>
                <w:sz w:val="21"/>
                <w:szCs w:val="21"/>
                <w:highlight w:val="none"/>
              </w:rPr>
            </w:pPr>
          </w:p>
        </w:tc>
        <w:tc>
          <w:tcPr>
            <w:tcW w:w="1555" w:type="dxa"/>
            <w:vMerge w:val="continue"/>
            <w:tcBorders>
              <w:bottom w:val="single" w:color="auto" w:sz="4" w:space="0"/>
            </w:tcBorders>
            <w:noWrap w:val="0"/>
            <w:vAlign w:val="center"/>
          </w:tcPr>
          <w:p>
            <w:pPr>
              <w:spacing w:line="300" w:lineRule="exact"/>
              <w:ind w:left="-50"/>
              <w:jc w:val="center"/>
              <w:rPr>
                <w:rFonts w:ascii="宋体" w:hAnsi="宋体" w:cs="Arial"/>
                <w:snapToGrid w:val="0"/>
                <w:color w:val="auto"/>
                <w:sz w:val="21"/>
                <w:szCs w:val="21"/>
                <w:highlight w:val="none"/>
              </w:rPr>
            </w:pPr>
          </w:p>
        </w:tc>
        <w:tc>
          <w:tcPr>
            <w:tcW w:w="699" w:type="dxa"/>
            <w:vMerge w:val="continue"/>
            <w:tcBorders>
              <w:bottom w:val="single" w:color="auto" w:sz="4" w:space="0"/>
            </w:tcBorders>
            <w:noWrap w:val="0"/>
            <w:vAlign w:val="center"/>
          </w:tcPr>
          <w:p>
            <w:pPr>
              <w:spacing w:line="300" w:lineRule="exact"/>
              <w:jc w:val="center"/>
              <w:rPr>
                <w:rFonts w:ascii="宋体" w:hAnsi="宋体" w:cs="Arial"/>
                <w:snapToGrid w:val="0"/>
                <w:color w:val="auto"/>
                <w:sz w:val="21"/>
                <w:szCs w:val="21"/>
                <w:highlight w:val="none"/>
              </w:rPr>
            </w:pPr>
          </w:p>
        </w:tc>
        <w:tc>
          <w:tcPr>
            <w:tcW w:w="6783" w:type="dxa"/>
            <w:tcBorders>
              <w:bottom w:val="single" w:color="auto" w:sz="4" w:space="0"/>
            </w:tcBorders>
            <w:noWrap w:val="0"/>
            <w:vAlign w:val="center"/>
          </w:tcPr>
          <w:p>
            <w:pPr>
              <w:widowControl/>
              <w:spacing w:line="300" w:lineRule="exact"/>
              <w:ind w:right="3"/>
              <w:jc w:val="left"/>
              <w:rPr>
                <w:rFonts w:ascii="宋体" w:hAnsi="宋体"/>
                <w:color w:val="auto"/>
                <w:sz w:val="21"/>
                <w:szCs w:val="21"/>
                <w:highlight w:val="none"/>
              </w:rPr>
            </w:pPr>
            <w:r>
              <w:rPr>
                <w:rFonts w:hint="eastAsia" w:ascii="宋体" w:hAnsi="宋体"/>
                <w:color w:val="auto"/>
                <w:sz w:val="21"/>
                <w:szCs w:val="21"/>
                <w:highlight w:val="none"/>
              </w:rPr>
              <w:t>（6）</w:t>
            </w:r>
            <w:r>
              <w:rPr>
                <w:rFonts w:ascii="宋体" w:hAnsi="宋体"/>
                <w:color w:val="auto"/>
                <w:sz w:val="21"/>
                <w:szCs w:val="21"/>
                <w:highlight w:val="none"/>
              </w:rPr>
              <w:t>小广告</w:t>
            </w:r>
            <w:r>
              <w:rPr>
                <w:rFonts w:hint="eastAsia" w:ascii="宋体" w:hAnsi="宋体"/>
                <w:color w:val="auto"/>
                <w:sz w:val="21"/>
                <w:szCs w:val="21"/>
                <w:highlight w:val="none"/>
              </w:rPr>
              <w:t>清理</w:t>
            </w:r>
            <w:r>
              <w:rPr>
                <w:rFonts w:ascii="宋体" w:hAnsi="宋体"/>
                <w:color w:val="auto"/>
                <w:sz w:val="21"/>
                <w:szCs w:val="21"/>
                <w:highlight w:val="none"/>
              </w:rPr>
              <w:t>（0</w:t>
            </w:r>
            <w:r>
              <w:rPr>
                <w:rFonts w:hint="eastAsia" w:ascii="宋体" w:hAnsi="宋体"/>
                <w:color w:val="auto"/>
                <w:sz w:val="21"/>
                <w:szCs w:val="21"/>
                <w:highlight w:val="none"/>
              </w:rPr>
              <w:t>-</w:t>
            </w:r>
            <w:r>
              <w:rPr>
                <w:rFonts w:ascii="宋体" w:hAnsi="宋体"/>
                <w:color w:val="auto"/>
                <w:sz w:val="21"/>
                <w:szCs w:val="21"/>
                <w:highlight w:val="none"/>
              </w:rPr>
              <w:t>2分）。</w:t>
            </w:r>
          </w:p>
          <w:p>
            <w:pPr>
              <w:widowControl/>
              <w:spacing w:line="300" w:lineRule="exact"/>
              <w:ind w:right="3"/>
              <w:jc w:val="left"/>
              <w:rPr>
                <w:rFonts w:ascii="宋体" w:hAnsi="宋体"/>
                <w:color w:val="auto"/>
                <w:sz w:val="21"/>
                <w:szCs w:val="21"/>
                <w:highlight w:val="none"/>
              </w:rPr>
            </w:pPr>
            <w:r>
              <w:rPr>
                <w:rFonts w:ascii="宋体" w:hAnsi="宋体" w:cs="Arial"/>
                <w:color w:val="auto"/>
                <w:sz w:val="21"/>
                <w:szCs w:val="21"/>
                <w:highlight w:val="none"/>
              </w:rPr>
              <w:fldChar w:fldCharType="begin"/>
            </w:r>
            <w:r>
              <w:rPr>
                <w:rFonts w:ascii="宋体" w:hAnsi="宋体" w:cs="Arial"/>
                <w:color w:val="auto"/>
                <w:sz w:val="21"/>
                <w:szCs w:val="21"/>
                <w:highlight w:val="none"/>
              </w:rPr>
              <w:instrText xml:space="preserve"> = 1 \* GB3 \* MERGEFORMAT </w:instrText>
            </w:r>
            <w:r>
              <w:rPr>
                <w:rFonts w:ascii="宋体" w:hAnsi="宋体" w:cs="Arial"/>
                <w:color w:val="auto"/>
                <w:sz w:val="21"/>
                <w:szCs w:val="21"/>
                <w:highlight w:val="none"/>
              </w:rPr>
              <w:fldChar w:fldCharType="separate"/>
            </w:r>
            <w:r>
              <w:rPr>
                <w:rFonts w:ascii="宋体" w:hAnsi="宋体"/>
                <w:color w:val="auto"/>
                <w:sz w:val="21"/>
                <w:szCs w:val="21"/>
                <w:highlight w:val="none"/>
              </w:rPr>
              <w:t>①</w:t>
            </w:r>
            <w:r>
              <w:rPr>
                <w:rFonts w:ascii="宋体" w:hAnsi="宋体" w:cs="Arial"/>
                <w:color w:val="auto"/>
                <w:sz w:val="21"/>
                <w:szCs w:val="21"/>
                <w:highlight w:val="none"/>
              </w:rPr>
              <w:fldChar w:fldCharType="end"/>
            </w:r>
            <w:r>
              <w:rPr>
                <w:rFonts w:ascii="宋体" w:hAnsi="宋体"/>
                <w:color w:val="auto"/>
                <w:sz w:val="21"/>
                <w:szCs w:val="21"/>
                <w:highlight w:val="none"/>
              </w:rPr>
              <w:t>人员、机具、耗材投入科学合理、可操作性强，作业计划、排班合理，能切实保障本项目作业标准及质量要求</w:t>
            </w:r>
            <w:r>
              <w:rPr>
                <w:rFonts w:hint="eastAsia" w:ascii="宋体" w:hAnsi="宋体"/>
                <w:color w:val="auto"/>
                <w:sz w:val="21"/>
                <w:szCs w:val="21"/>
                <w:highlight w:val="none"/>
              </w:rPr>
              <w:t>，</w:t>
            </w:r>
            <w:r>
              <w:rPr>
                <w:rFonts w:ascii="宋体" w:hAnsi="宋体"/>
                <w:color w:val="auto"/>
                <w:sz w:val="21"/>
                <w:szCs w:val="21"/>
                <w:highlight w:val="none"/>
              </w:rPr>
              <w:t>得</w:t>
            </w:r>
            <w:r>
              <w:rPr>
                <w:rFonts w:hint="eastAsia" w:ascii="宋体" w:hAnsi="宋体"/>
                <w:color w:val="auto"/>
                <w:sz w:val="21"/>
                <w:szCs w:val="21"/>
                <w:highlight w:val="none"/>
              </w:rPr>
              <w:t>2</w:t>
            </w:r>
            <w:r>
              <w:rPr>
                <w:rFonts w:ascii="宋体" w:hAnsi="宋体"/>
                <w:color w:val="auto"/>
                <w:sz w:val="21"/>
                <w:szCs w:val="21"/>
                <w:highlight w:val="none"/>
              </w:rPr>
              <w:t>分</w:t>
            </w:r>
            <w:r>
              <w:rPr>
                <w:rFonts w:hint="eastAsia" w:ascii="宋体" w:hAnsi="宋体"/>
                <w:color w:val="auto"/>
                <w:sz w:val="21"/>
                <w:szCs w:val="21"/>
                <w:highlight w:val="none"/>
              </w:rPr>
              <w:t>；</w:t>
            </w:r>
          </w:p>
          <w:p>
            <w:pPr>
              <w:widowControl/>
              <w:spacing w:line="300" w:lineRule="exact"/>
              <w:ind w:right="3"/>
              <w:jc w:val="left"/>
              <w:rPr>
                <w:rFonts w:ascii="宋体" w:hAnsi="宋体"/>
                <w:color w:val="auto"/>
                <w:sz w:val="21"/>
                <w:szCs w:val="21"/>
                <w:highlight w:val="none"/>
              </w:rPr>
            </w:pPr>
            <w:r>
              <w:rPr>
                <w:rFonts w:ascii="宋体" w:hAnsi="宋体" w:cs="Arial"/>
                <w:color w:val="auto"/>
                <w:sz w:val="21"/>
                <w:szCs w:val="21"/>
                <w:highlight w:val="none"/>
              </w:rPr>
              <w:fldChar w:fldCharType="begin"/>
            </w:r>
            <w:r>
              <w:rPr>
                <w:rFonts w:ascii="宋体" w:hAnsi="宋体" w:cs="Arial"/>
                <w:color w:val="auto"/>
                <w:sz w:val="21"/>
                <w:szCs w:val="21"/>
                <w:highlight w:val="none"/>
              </w:rPr>
              <w:instrText xml:space="preserve"> = 2 \* GB3 \* MERGEFORMAT </w:instrText>
            </w:r>
            <w:r>
              <w:rPr>
                <w:rFonts w:ascii="宋体" w:hAnsi="宋体" w:cs="Arial"/>
                <w:color w:val="auto"/>
                <w:sz w:val="21"/>
                <w:szCs w:val="21"/>
                <w:highlight w:val="none"/>
              </w:rPr>
              <w:fldChar w:fldCharType="separate"/>
            </w:r>
            <w:r>
              <w:rPr>
                <w:rFonts w:ascii="宋体" w:hAnsi="宋体"/>
                <w:color w:val="auto"/>
                <w:sz w:val="21"/>
                <w:szCs w:val="21"/>
                <w:highlight w:val="none"/>
              </w:rPr>
              <w:t>②</w:t>
            </w:r>
            <w:r>
              <w:rPr>
                <w:rFonts w:ascii="宋体" w:hAnsi="宋体" w:cs="Arial"/>
                <w:color w:val="auto"/>
                <w:sz w:val="21"/>
                <w:szCs w:val="21"/>
                <w:highlight w:val="none"/>
              </w:rPr>
              <w:fldChar w:fldCharType="end"/>
            </w:r>
            <w:r>
              <w:rPr>
                <w:rFonts w:ascii="宋体" w:hAnsi="宋体"/>
                <w:color w:val="auto"/>
                <w:sz w:val="21"/>
                <w:szCs w:val="21"/>
                <w:highlight w:val="none"/>
              </w:rPr>
              <w:t>人员、机具、耗材投入较科学合理、具备一定的可操作性，作业计划、排班较合理，基本能满足本项目作业标准及质量要求</w:t>
            </w:r>
            <w:r>
              <w:rPr>
                <w:rFonts w:hint="eastAsia" w:ascii="宋体" w:hAnsi="宋体"/>
                <w:color w:val="auto"/>
                <w:sz w:val="21"/>
                <w:szCs w:val="21"/>
                <w:highlight w:val="none"/>
              </w:rPr>
              <w:t>，</w:t>
            </w:r>
            <w:r>
              <w:rPr>
                <w:rFonts w:ascii="宋体" w:hAnsi="宋体"/>
                <w:color w:val="auto"/>
                <w:sz w:val="21"/>
                <w:szCs w:val="21"/>
                <w:highlight w:val="none"/>
              </w:rPr>
              <w:t>得1.5分</w:t>
            </w:r>
            <w:r>
              <w:rPr>
                <w:rFonts w:hint="eastAsia" w:ascii="宋体" w:hAnsi="宋体"/>
                <w:color w:val="auto"/>
                <w:sz w:val="21"/>
                <w:szCs w:val="21"/>
                <w:highlight w:val="none"/>
              </w:rPr>
              <w:t>；</w:t>
            </w:r>
          </w:p>
          <w:p>
            <w:pPr>
              <w:widowControl/>
              <w:spacing w:line="300" w:lineRule="exact"/>
              <w:ind w:right="3"/>
              <w:jc w:val="left"/>
              <w:rPr>
                <w:rFonts w:ascii="宋体" w:hAnsi="宋体" w:cs="宋体"/>
                <w:color w:val="auto"/>
                <w:sz w:val="21"/>
                <w:szCs w:val="21"/>
                <w:highlight w:val="none"/>
              </w:rPr>
            </w:pPr>
            <w:r>
              <w:rPr>
                <w:rFonts w:ascii="宋体" w:hAnsi="宋体" w:cs="Arial"/>
                <w:color w:val="auto"/>
                <w:sz w:val="21"/>
                <w:szCs w:val="21"/>
                <w:highlight w:val="none"/>
              </w:rPr>
              <w:fldChar w:fldCharType="begin"/>
            </w:r>
            <w:r>
              <w:rPr>
                <w:rFonts w:ascii="宋体" w:hAnsi="宋体" w:cs="Arial"/>
                <w:color w:val="auto"/>
                <w:sz w:val="21"/>
                <w:szCs w:val="21"/>
                <w:highlight w:val="none"/>
              </w:rPr>
              <w:instrText xml:space="preserve"> = 3 \* GB3 \* MERGEFORMAT </w:instrText>
            </w:r>
            <w:r>
              <w:rPr>
                <w:rFonts w:ascii="宋体" w:hAnsi="宋体" w:cs="Arial"/>
                <w:color w:val="auto"/>
                <w:sz w:val="21"/>
                <w:szCs w:val="21"/>
                <w:highlight w:val="none"/>
              </w:rPr>
              <w:fldChar w:fldCharType="separate"/>
            </w:r>
            <w:r>
              <w:rPr>
                <w:rFonts w:ascii="宋体" w:hAnsi="宋体"/>
                <w:color w:val="auto"/>
                <w:sz w:val="21"/>
                <w:szCs w:val="21"/>
                <w:highlight w:val="none"/>
              </w:rPr>
              <w:t>③</w:t>
            </w:r>
            <w:r>
              <w:rPr>
                <w:rFonts w:ascii="宋体" w:hAnsi="宋体" w:cs="Arial"/>
                <w:color w:val="auto"/>
                <w:sz w:val="21"/>
                <w:szCs w:val="21"/>
                <w:highlight w:val="none"/>
              </w:rPr>
              <w:fldChar w:fldCharType="end"/>
            </w:r>
            <w:r>
              <w:rPr>
                <w:rFonts w:ascii="宋体" w:hAnsi="宋体"/>
                <w:color w:val="auto"/>
                <w:sz w:val="21"/>
                <w:szCs w:val="21"/>
                <w:highlight w:val="none"/>
              </w:rPr>
              <w:t>人员、机具、耗材投入计划不合理，作业计划、排班不详细，难以实现本项目作业标准及质量要求</w:t>
            </w:r>
            <w:r>
              <w:rPr>
                <w:rFonts w:hint="eastAsia" w:ascii="宋体" w:hAnsi="宋体"/>
                <w:color w:val="auto"/>
                <w:sz w:val="21"/>
                <w:szCs w:val="21"/>
                <w:highlight w:val="none"/>
              </w:rPr>
              <w:t>，</w:t>
            </w:r>
            <w:r>
              <w:rPr>
                <w:rFonts w:ascii="宋体" w:hAnsi="宋体"/>
                <w:color w:val="auto"/>
                <w:sz w:val="21"/>
                <w:szCs w:val="21"/>
                <w:highlight w:val="none"/>
              </w:rPr>
              <w:t>得</w:t>
            </w:r>
            <w:r>
              <w:rPr>
                <w:rFonts w:hint="eastAsia" w:ascii="宋体" w:hAnsi="宋体"/>
                <w:color w:val="auto"/>
                <w:sz w:val="21"/>
                <w:szCs w:val="21"/>
                <w:highlight w:val="none"/>
              </w:rPr>
              <w:t>1</w:t>
            </w:r>
            <w:r>
              <w:rPr>
                <w:rFonts w:ascii="宋体" w:hAnsi="宋体"/>
                <w:color w:val="auto"/>
                <w:sz w:val="21"/>
                <w:szCs w:val="21"/>
                <w:highlight w:val="none"/>
              </w:rPr>
              <w:t>分</w:t>
            </w:r>
            <w:r>
              <w:rPr>
                <w:rFonts w:hint="eastAsia" w:ascii="宋体" w:hAnsi="宋体"/>
                <w:color w:val="auto"/>
                <w:sz w:val="21"/>
                <w:szCs w:val="21"/>
                <w:highlight w:val="none"/>
              </w:rPr>
              <w:t>；</w:t>
            </w:r>
          </w:p>
          <w:p>
            <w:pPr>
              <w:widowControl/>
              <w:spacing w:line="300" w:lineRule="exact"/>
              <w:ind w:right="3"/>
              <w:jc w:val="left"/>
              <w:rPr>
                <w:rFonts w:ascii="宋体" w:hAnsi="宋体" w:cs="宋体"/>
                <w:color w:val="auto"/>
                <w:sz w:val="21"/>
                <w:szCs w:val="21"/>
                <w:highlight w:val="none"/>
              </w:rPr>
            </w:pPr>
            <w:r>
              <w:rPr>
                <w:rFonts w:hint="eastAsia" w:ascii="宋体" w:hAnsi="宋体" w:cs="Arial"/>
                <w:color w:val="auto"/>
                <w:sz w:val="21"/>
                <w:szCs w:val="21"/>
                <w:highlight w:val="none"/>
              </w:rPr>
              <w:t>④未提供保洁方案的，得0分。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6" w:type="dxa"/>
            <w:vMerge w:val="restart"/>
            <w:tcBorders>
              <w:top w:val="single" w:color="auto" w:sz="4" w:space="0"/>
            </w:tcBorders>
            <w:noWrap w:val="0"/>
            <w:vAlign w:val="center"/>
          </w:tcPr>
          <w:p>
            <w:pPr>
              <w:spacing w:line="300" w:lineRule="exact"/>
              <w:jc w:val="center"/>
              <w:rPr>
                <w:rFonts w:ascii="宋体" w:hAnsi="宋体" w:cs="Arial"/>
                <w:color w:val="auto"/>
                <w:sz w:val="21"/>
                <w:szCs w:val="21"/>
                <w:highlight w:val="none"/>
              </w:rPr>
            </w:pPr>
            <w:r>
              <w:rPr>
                <w:rFonts w:ascii="宋体" w:hAnsi="宋体" w:cs="Arial"/>
                <w:color w:val="auto"/>
                <w:sz w:val="21"/>
                <w:szCs w:val="21"/>
                <w:highlight w:val="none"/>
              </w:rPr>
              <w:t>8</w:t>
            </w:r>
            <w:r>
              <w:rPr>
                <w:rFonts w:hint="eastAsia" w:ascii="宋体" w:hAnsi="宋体" w:cs="Arial"/>
                <w:color w:val="auto"/>
                <w:sz w:val="21"/>
                <w:szCs w:val="21"/>
                <w:highlight w:val="none"/>
              </w:rPr>
              <w:t>.</w:t>
            </w:r>
          </w:p>
        </w:tc>
        <w:tc>
          <w:tcPr>
            <w:tcW w:w="1555" w:type="dxa"/>
            <w:vMerge w:val="restart"/>
            <w:tcBorders>
              <w:top w:val="single" w:color="auto" w:sz="4" w:space="0"/>
            </w:tcBorders>
            <w:noWrap w:val="0"/>
            <w:vAlign w:val="center"/>
          </w:tcPr>
          <w:p>
            <w:pPr>
              <w:spacing w:line="300" w:lineRule="exact"/>
              <w:ind w:left="-50"/>
              <w:jc w:val="center"/>
              <w:rPr>
                <w:rFonts w:hint="eastAsia" w:ascii="宋体" w:hAnsi="宋体" w:cs="Arial"/>
                <w:snapToGrid w:val="0"/>
                <w:color w:val="auto"/>
                <w:sz w:val="21"/>
                <w:szCs w:val="21"/>
                <w:highlight w:val="none"/>
              </w:rPr>
            </w:pPr>
            <w:r>
              <w:rPr>
                <w:rFonts w:hint="eastAsia" w:ascii="宋体" w:hAnsi="宋体" w:cs="Arial"/>
                <w:snapToGrid w:val="0"/>
                <w:color w:val="auto"/>
                <w:sz w:val="21"/>
                <w:szCs w:val="21"/>
                <w:highlight w:val="none"/>
              </w:rPr>
              <w:t>企业各项管理措施及制度</w:t>
            </w:r>
          </w:p>
        </w:tc>
        <w:tc>
          <w:tcPr>
            <w:tcW w:w="699" w:type="dxa"/>
            <w:vMerge w:val="restart"/>
            <w:tcBorders>
              <w:top w:val="single" w:color="auto" w:sz="4" w:space="0"/>
            </w:tcBorders>
            <w:noWrap w:val="0"/>
            <w:vAlign w:val="center"/>
          </w:tcPr>
          <w:p>
            <w:pPr>
              <w:spacing w:line="300" w:lineRule="exact"/>
              <w:jc w:val="center"/>
              <w:rPr>
                <w:rFonts w:hint="eastAsia" w:ascii="宋体" w:hAnsi="宋体" w:cs="Arial"/>
                <w:snapToGrid w:val="0"/>
                <w:color w:val="auto"/>
                <w:sz w:val="21"/>
                <w:szCs w:val="21"/>
                <w:highlight w:val="none"/>
              </w:rPr>
            </w:pPr>
            <w:r>
              <w:rPr>
                <w:rFonts w:ascii="宋体" w:hAnsi="宋体" w:cs="Arial"/>
                <w:snapToGrid w:val="0"/>
                <w:color w:val="auto"/>
                <w:sz w:val="21"/>
                <w:szCs w:val="21"/>
                <w:highlight w:val="none"/>
              </w:rPr>
              <w:t>4</w:t>
            </w:r>
            <w:r>
              <w:rPr>
                <w:rFonts w:hint="eastAsia" w:ascii="宋体" w:hAnsi="宋体" w:cs="Arial"/>
                <w:snapToGrid w:val="0"/>
                <w:color w:val="auto"/>
                <w:sz w:val="21"/>
                <w:szCs w:val="21"/>
                <w:highlight w:val="none"/>
              </w:rPr>
              <w:t>分</w:t>
            </w:r>
          </w:p>
        </w:tc>
        <w:tc>
          <w:tcPr>
            <w:tcW w:w="6783" w:type="dxa"/>
            <w:tcBorders>
              <w:top w:val="single" w:color="auto" w:sz="4" w:space="0"/>
            </w:tcBorders>
            <w:noWrap w:val="0"/>
            <w:vAlign w:val="center"/>
          </w:tcPr>
          <w:p>
            <w:pPr>
              <w:widowControl/>
              <w:spacing w:line="300" w:lineRule="exact"/>
              <w:ind w:right="3"/>
              <w:jc w:val="left"/>
              <w:rPr>
                <w:rFonts w:ascii="宋体" w:hAnsi="宋体" w:cs="Arial"/>
                <w:color w:val="auto"/>
                <w:sz w:val="21"/>
                <w:szCs w:val="21"/>
                <w:highlight w:val="none"/>
              </w:rPr>
            </w:pPr>
            <w:r>
              <w:rPr>
                <w:rFonts w:hint="eastAsia" w:ascii="宋体" w:hAnsi="宋体" w:cs="Arial"/>
                <w:color w:val="auto"/>
                <w:sz w:val="21"/>
                <w:szCs w:val="21"/>
                <w:highlight w:val="none"/>
              </w:rPr>
              <w:t>（1）</w:t>
            </w:r>
            <w:r>
              <w:rPr>
                <w:rFonts w:ascii="宋体" w:hAnsi="宋体" w:cs="Arial"/>
                <w:color w:val="auto"/>
                <w:sz w:val="21"/>
                <w:szCs w:val="21"/>
                <w:highlight w:val="none"/>
              </w:rPr>
              <w:t>清扫保洁规范管理措施及保障（0-</w:t>
            </w:r>
            <w:r>
              <w:rPr>
                <w:rFonts w:hint="eastAsia" w:ascii="宋体" w:hAnsi="宋体" w:cs="Arial"/>
                <w:color w:val="auto"/>
                <w:sz w:val="21"/>
                <w:szCs w:val="21"/>
                <w:highlight w:val="none"/>
              </w:rPr>
              <w:t>2</w:t>
            </w:r>
            <w:r>
              <w:rPr>
                <w:rFonts w:ascii="宋体" w:hAnsi="宋体" w:cs="Arial"/>
                <w:color w:val="auto"/>
                <w:sz w:val="21"/>
                <w:szCs w:val="21"/>
                <w:highlight w:val="none"/>
              </w:rPr>
              <w:t>分）。</w:t>
            </w:r>
          </w:p>
          <w:p>
            <w:pPr>
              <w:spacing w:line="300" w:lineRule="exact"/>
              <w:ind w:right="3"/>
              <w:rPr>
                <w:rFonts w:ascii="宋体" w:hAnsi="宋体" w:cs="Arial"/>
                <w:color w:val="auto"/>
                <w:sz w:val="21"/>
                <w:szCs w:val="21"/>
                <w:highlight w:val="none"/>
              </w:rPr>
            </w:pPr>
            <w:r>
              <w:rPr>
                <w:rFonts w:ascii="宋体" w:hAnsi="宋体" w:cs="Arial"/>
                <w:color w:val="auto"/>
                <w:sz w:val="21"/>
                <w:szCs w:val="21"/>
                <w:highlight w:val="none"/>
              </w:rPr>
              <w:fldChar w:fldCharType="begin"/>
            </w:r>
            <w:r>
              <w:rPr>
                <w:rFonts w:ascii="宋体" w:hAnsi="宋体" w:cs="Arial"/>
                <w:color w:val="auto"/>
                <w:sz w:val="21"/>
                <w:szCs w:val="21"/>
                <w:highlight w:val="none"/>
              </w:rPr>
              <w:instrText xml:space="preserve"> = 1 \* GB3 \* MERGEFORMAT </w:instrText>
            </w:r>
            <w:r>
              <w:rPr>
                <w:rFonts w:ascii="宋体" w:hAnsi="宋体" w:cs="Arial"/>
                <w:color w:val="auto"/>
                <w:sz w:val="21"/>
                <w:szCs w:val="21"/>
                <w:highlight w:val="none"/>
              </w:rPr>
              <w:fldChar w:fldCharType="separate"/>
            </w:r>
            <w:r>
              <w:rPr>
                <w:rFonts w:ascii="宋体" w:hAnsi="宋体"/>
                <w:color w:val="auto"/>
                <w:sz w:val="21"/>
                <w:szCs w:val="21"/>
                <w:highlight w:val="none"/>
              </w:rPr>
              <w:t>①</w:t>
            </w:r>
            <w:r>
              <w:rPr>
                <w:rFonts w:ascii="宋体" w:hAnsi="宋体" w:cs="Arial"/>
                <w:color w:val="auto"/>
                <w:sz w:val="21"/>
                <w:szCs w:val="21"/>
                <w:highlight w:val="none"/>
              </w:rPr>
              <w:fldChar w:fldCharType="end"/>
            </w:r>
            <w:r>
              <w:rPr>
                <w:rFonts w:hint="eastAsia" w:ascii="宋体" w:hAnsi="宋体" w:cs="Arial"/>
                <w:color w:val="auto"/>
                <w:sz w:val="21"/>
                <w:szCs w:val="21"/>
                <w:highlight w:val="none"/>
              </w:rPr>
              <w:t>清扫保洁规范管理措施及保障</w:t>
            </w:r>
            <w:r>
              <w:rPr>
                <w:rFonts w:hint="eastAsia" w:ascii="宋体" w:hAnsi="宋体"/>
                <w:color w:val="auto"/>
                <w:sz w:val="21"/>
                <w:szCs w:val="21"/>
                <w:highlight w:val="none"/>
              </w:rPr>
              <w:t>科学、合理、可行的，</w:t>
            </w:r>
            <w:r>
              <w:rPr>
                <w:rFonts w:ascii="宋体" w:hAnsi="宋体" w:cs="Arial"/>
                <w:color w:val="auto"/>
                <w:sz w:val="21"/>
                <w:szCs w:val="21"/>
                <w:highlight w:val="none"/>
              </w:rPr>
              <w:t>得</w:t>
            </w:r>
            <w:r>
              <w:rPr>
                <w:rFonts w:hint="eastAsia" w:ascii="宋体" w:hAnsi="宋体" w:cs="Arial"/>
                <w:color w:val="auto"/>
                <w:sz w:val="21"/>
                <w:szCs w:val="21"/>
                <w:highlight w:val="none"/>
              </w:rPr>
              <w:t>2</w:t>
            </w:r>
            <w:r>
              <w:rPr>
                <w:rFonts w:ascii="宋体" w:hAnsi="宋体" w:cs="Arial"/>
                <w:color w:val="auto"/>
                <w:sz w:val="21"/>
                <w:szCs w:val="21"/>
                <w:highlight w:val="none"/>
              </w:rPr>
              <w:t>分</w:t>
            </w:r>
            <w:r>
              <w:rPr>
                <w:rFonts w:hint="eastAsia" w:ascii="宋体" w:hAnsi="宋体" w:cs="Arial"/>
                <w:color w:val="auto"/>
                <w:sz w:val="21"/>
                <w:szCs w:val="21"/>
                <w:highlight w:val="none"/>
              </w:rPr>
              <w:t>；</w:t>
            </w:r>
          </w:p>
          <w:p>
            <w:pPr>
              <w:spacing w:line="300" w:lineRule="exact"/>
              <w:ind w:right="3"/>
              <w:rPr>
                <w:rFonts w:ascii="宋体" w:hAnsi="宋体" w:cs="Arial"/>
                <w:color w:val="auto"/>
                <w:sz w:val="21"/>
                <w:szCs w:val="21"/>
                <w:highlight w:val="none"/>
              </w:rPr>
            </w:pPr>
            <w:r>
              <w:rPr>
                <w:rFonts w:ascii="宋体" w:hAnsi="宋体" w:cs="Arial"/>
                <w:color w:val="auto"/>
                <w:sz w:val="21"/>
                <w:szCs w:val="21"/>
                <w:highlight w:val="none"/>
              </w:rPr>
              <w:fldChar w:fldCharType="begin"/>
            </w:r>
            <w:r>
              <w:rPr>
                <w:rFonts w:ascii="宋体" w:hAnsi="宋体" w:cs="Arial"/>
                <w:color w:val="auto"/>
                <w:sz w:val="21"/>
                <w:szCs w:val="21"/>
                <w:highlight w:val="none"/>
              </w:rPr>
              <w:instrText xml:space="preserve"> = 2 \* GB3 \* MERGEFORMAT </w:instrText>
            </w:r>
            <w:r>
              <w:rPr>
                <w:rFonts w:ascii="宋体" w:hAnsi="宋体" w:cs="Arial"/>
                <w:color w:val="auto"/>
                <w:sz w:val="21"/>
                <w:szCs w:val="21"/>
                <w:highlight w:val="none"/>
              </w:rPr>
              <w:fldChar w:fldCharType="separate"/>
            </w:r>
            <w:r>
              <w:rPr>
                <w:rFonts w:ascii="宋体" w:hAnsi="宋体"/>
                <w:color w:val="auto"/>
                <w:sz w:val="21"/>
                <w:szCs w:val="21"/>
                <w:highlight w:val="none"/>
              </w:rPr>
              <w:t>②</w:t>
            </w:r>
            <w:r>
              <w:rPr>
                <w:rFonts w:ascii="宋体" w:hAnsi="宋体" w:cs="Arial"/>
                <w:color w:val="auto"/>
                <w:sz w:val="21"/>
                <w:szCs w:val="21"/>
                <w:highlight w:val="none"/>
              </w:rPr>
              <w:fldChar w:fldCharType="end"/>
            </w:r>
            <w:r>
              <w:rPr>
                <w:rFonts w:hint="eastAsia" w:ascii="宋体" w:hAnsi="宋体" w:cs="Arial"/>
                <w:color w:val="auto"/>
                <w:sz w:val="21"/>
                <w:szCs w:val="21"/>
                <w:highlight w:val="none"/>
              </w:rPr>
              <w:t>清扫保洁规范管理措施及保障基本</w:t>
            </w:r>
            <w:r>
              <w:rPr>
                <w:rFonts w:hint="eastAsia" w:ascii="宋体" w:hAnsi="宋体"/>
                <w:color w:val="auto"/>
                <w:sz w:val="21"/>
                <w:szCs w:val="21"/>
                <w:highlight w:val="none"/>
              </w:rPr>
              <w:t>合理、可行的，</w:t>
            </w:r>
            <w:r>
              <w:rPr>
                <w:rFonts w:ascii="宋体" w:hAnsi="宋体" w:cs="Arial"/>
                <w:color w:val="auto"/>
                <w:sz w:val="21"/>
                <w:szCs w:val="21"/>
                <w:highlight w:val="none"/>
              </w:rPr>
              <w:t>得</w:t>
            </w:r>
            <w:r>
              <w:rPr>
                <w:rFonts w:hint="eastAsia" w:ascii="宋体" w:hAnsi="宋体" w:cs="Arial"/>
                <w:color w:val="auto"/>
                <w:sz w:val="21"/>
                <w:szCs w:val="21"/>
                <w:highlight w:val="none"/>
              </w:rPr>
              <w:t>1.5</w:t>
            </w:r>
            <w:r>
              <w:rPr>
                <w:rFonts w:ascii="宋体" w:hAnsi="宋体" w:cs="Arial"/>
                <w:color w:val="auto"/>
                <w:sz w:val="21"/>
                <w:szCs w:val="21"/>
                <w:highlight w:val="none"/>
              </w:rPr>
              <w:t>分</w:t>
            </w:r>
            <w:r>
              <w:rPr>
                <w:rFonts w:hint="eastAsia" w:ascii="宋体" w:hAnsi="宋体" w:cs="Arial"/>
                <w:color w:val="auto"/>
                <w:sz w:val="21"/>
                <w:szCs w:val="21"/>
                <w:highlight w:val="none"/>
              </w:rPr>
              <w:t>；</w:t>
            </w:r>
          </w:p>
          <w:p>
            <w:pPr>
              <w:spacing w:line="300" w:lineRule="exact"/>
              <w:ind w:right="3"/>
              <w:rPr>
                <w:rFonts w:ascii="宋体" w:hAnsi="宋体" w:cs="Arial"/>
                <w:color w:val="auto"/>
                <w:sz w:val="21"/>
                <w:szCs w:val="21"/>
                <w:highlight w:val="none"/>
              </w:rPr>
            </w:pPr>
            <w:r>
              <w:rPr>
                <w:rFonts w:ascii="宋体" w:hAnsi="宋体" w:cs="Arial"/>
                <w:color w:val="auto"/>
                <w:sz w:val="21"/>
                <w:szCs w:val="21"/>
                <w:highlight w:val="none"/>
              </w:rPr>
              <w:fldChar w:fldCharType="begin"/>
            </w:r>
            <w:r>
              <w:rPr>
                <w:rFonts w:ascii="宋体" w:hAnsi="宋体" w:cs="Arial"/>
                <w:color w:val="auto"/>
                <w:sz w:val="21"/>
                <w:szCs w:val="21"/>
                <w:highlight w:val="none"/>
              </w:rPr>
              <w:instrText xml:space="preserve"> = 3 \* GB3 \* MERGEFORMAT </w:instrText>
            </w:r>
            <w:r>
              <w:rPr>
                <w:rFonts w:ascii="宋体" w:hAnsi="宋体" w:cs="Arial"/>
                <w:color w:val="auto"/>
                <w:sz w:val="21"/>
                <w:szCs w:val="21"/>
                <w:highlight w:val="none"/>
              </w:rPr>
              <w:fldChar w:fldCharType="separate"/>
            </w:r>
            <w:r>
              <w:rPr>
                <w:rFonts w:ascii="宋体" w:hAnsi="宋体"/>
                <w:color w:val="auto"/>
                <w:sz w:val="21"/>
                <w:szCs w:val="21"/>
                <w:highlight w:val="none"/>
              </w:rPr>
              <w:t>③</w:t>
            </w:r>
            <w:r>
              <w:rPr>
                <w:rFonts w:ascii="宋体" w:hAnsi="宋体" w:cs="Arial"/>
                <w:color w:val="auto"/>
                <w:sz w:val="21"/>
                <w:szCs w:val="21"/>
                <w:highlight w:val="none"/>
              </w:rPr>
              <w:fldChar w:fldCharType="end"/>
            </w:r>
            <w:r>
              <w:rPr>
                <w:rFonts w:hint="eastAsia" w:ascii="宋体" w:hAnsi="宋体" w:cs="Arial"/>
                <w:color w:val="auto"/>
                <w:sz w:val="21"/>
                <w:szCs w:val="21"/>
                <w:highlight w:val="none"/>
              </w:rPr>
              <w:t>清扫保洁规范管理措施及保障不</w:t>
            </w:r>
            <w:r>
              <w:rPr>
                <w:rFonts w:hint="eastAsia" w:ascii="宋体" w:hAnsi="宋体"/>
                <w:color w:val="auto"/>
                <w:sz w:val="21"/>
                <w:szCs w:val="21"/>
                <w:highlight w:val="none"/>
              </w:rPr>
              <w:t>合理、部分可行</w:t>
            </w:r>
            <w:r>
              <w:rPr>
                <w:rFonts w:hint="eastAsia" w:ascii="宋体" w:hAnsi="宋体" w:cs="Arial"/>
                <w:color w:val="auto"/>
                <w:sz w:val="21"/>
                <w:szCs w:val="21"/>
                <w:highlight w:val="none"/>
              </w:rPr>
              <w:t>的，</w:t>
            </w:r>
            <w:r>
              <w:rPr>
                <w:rFonts w:ascii="宋体" w:hAnsi="宋体" w:cs="Arial"/>
                <w:color w:val="auto"/>
                <w:sz w:val="21"/>
                <w:szCs w:val="21"/>
                <w:highlight w:val="none"/>
              </w:rPr>
              <w:t>得</w:t>
            </w:r>
            <w:r>
              <w:rPr>
                <w:rFonts w:hint="eastAsia" w:ascii="宋体" w:hAnsi="宋体" w:cs="Arial"/>
                <w:color w:val="auto"/>
                <w:sz w:val="21"/>
                <w:szCs w:val="21"/>
                <w:highlight w:val="none"/>
              </w:rPr>
              <w:t>1</w:t>
            </w:r>
            <w:r>
              <w:rPr>
                <w:rFonts w:ascii="宋体" w:hAnsi="宋体" w:cs="Arial"/>
                <w:color w:val="auto"/>
                <w:sz w:val="21"/>
                <w:szCs w:val="21"/>
                <w:highlight w:val="none"/>
              </w:rPr>
              <w:t>分</w:t>
            </w:r>
            <w:r>
              <w:rPr>
                <w:rFonts w:hint="eastAsia" w:ascii="宋体" w:hAnsi="宋体" w:cs="Arial"/>
                <w:color w:val="auto"/>
                <w:sz w:val="21"/>
                <w:szCs w:val="21"/>
                <w:highlight w:val="none"/>
              </w:rPr>
              <w:t>；</w:t>
            </w:r>
          </w:p>
          <w:p>
            <w:pPr>
              <w:pStyle w:val="52"/>
              <w:spacing w:line="300" w:lineRule="exact"/>
              <w:rPr>
                <w:rFonts w:ascii="宋体" w:hAnsi="宋体" w:cs="Arial"/>
                <w:color w:val="auto"/>
                <w:szCs w:val="21"/>
                <w:highlight w:val="none"/>
              </w:rPr>
            </w:pPr>
            <w:r>
              <w:rPr>
                <w:rFonts w:hint="eastAsia" w:ascii="宋体" w:hAnsi="宋体" w:cs="Arial"/>
                <w:color w:val="auto"/>
                <w:szCs w:val="21"/>
                <w:highlight w:val="none"/>
              </w:rPr>
              <w:fldChar w:fldCharType="begin"/>
            </w:r>
            <w:r>
              <w:rPr>
                <w:rFonts w:hint="eastAsia" w:ascii="宋体" w:hAnsi="宋体" w:cs="Arial"/>
                <w:color w:val="auto"/>
                <w:szCs w:val="21"/>
                <w:highlight w:val="none"/>
              </w:rPr>
              <w:instrText xml:space="preserve"> = 4 \* GB3 \* MERGEFORMAT </w:instrText>
            </w:r>
            <w:r>
              <w:rPr>
                <w:rFonts w:hint="eastAsia" w:ascii="宋体" w:hAnsi="宋体" w:cs="Arial"/>
                <w:color w:val="auto"/>
                <w:szCs w:val="21"/>
                <w:highlight w:val="none"/>
              </w:rPr>
              <w:fldChar w:fldCharType="separate"/>
            </w:r>
            <w:r>
              <w:rPr>
                <w:rFonts w:ascii="宋体" w:hAnsi="宋体"/>
                <w:color w:val="auto"/>
                <w:szCs w:val="21"/>
                <w:highlight w:val="none"/>
              </w:rPr>
              <w:t>④</w:t>
            </w:r>
            <w:r>
              <w:rPr>
                <w:rFonts w:hint="eastAsia" w:ascii="宋体" w:hAnsi="宋体" w:cs="Arial"/>
                <w:color w:val="auto"/>
                <w:szCs w:val="21"/>
                <w:highlight w:val="none"/>
              </w:rPr>
              <w:fldChar w:fldCharType="end"/>
            </w:r>
            <w:r>
              <w:rPr>
                <w:rFonts w:hint="eastAsia" w:ascii="宋体" w:hAnsi="宋体" w:cs="Arial"/>
                <w:color w:val="auto"/>
                <w:szCs w:val="21"/>
                <w:highlight w:val="none"/>
              </w:rPr>
              <w:t>未提供规范管理措施及保障的，得0分。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6" w:type="dxa"/>
            <w:vMerge w:val="continue"/>
            <w:noWrap w:val="0"/>
            <w:vAlign w:val="center"/>
          </w:tcPr>
          <w:p>
            <w:pPr>
              <w:spacing w:line="300" w:lineRule="exact"/>
              <w:jc w:val="center"/>
              <w:rPr>
                <w:rFonts w:ascii="宋体" w:hAnsi="宋体" w:cs="Arial"/>
                <w:color w:val="auto"/>
                <w:sz w:val="21"/>
                <w:szCs w:val="21"/>
                <w:highlight w:val="none"/>
              </w:rPr>
            </w:pPr>
          </w:p>
        </w:tc>
        <w:tc>
          <w:tcPr>
            <w:tcW w:w="1555" w:type="dxa"/>
            <w:vMerge w:val="continue"/>
            <w:noWrap w:val="0"/>
            <w:vAlign w:val="center"/>
          </w:tcPr>
          <w:p>
            <w:pPr>
              <w:spacing w:line="300" w:lineRule="exact"/>
              <w:ind w:left="-50"/>
              <w:jc w:val="center"/>
              <w:rPr>
                <w:rFonts w:ascii="宋体" w:hAnsi="宋体" w:cs="Arial"/>
                <w:snapToGrid w:val="0"/>
                <w:color w:val="auto"/>
                <w:sz w:val="21"/>
                <w:szCs w:val="21"/>
                <w:highlight w:val="none"/>
              </w:rPr>
            </w:pPr>
          </w:p>
        </w:tc>
        <w:tc>
          <w:tcPr>
            <w:tcW w:w="699" w:type="dxa"/>
            <w:vMerge w:val="continue"/>
            <w:noWrap w:val="0"/>
            <w:vAlign w:val="center"/>
          </w:tcPr>
          <w:p>
            <w:pPr>
              <w:spacing w:line="300" w:lineRule="exact"/>
              <w:jc w:val="center"/>
              <w:rPr>
                <w:rFonts w:ascii="宋体" w:hAnsi="宋体" w:cs="Arial"/>
                <w:snapToGrid w:val="0"/>
                <w:color w:val="auto"/>
                <w:sz w:val="21"/>
                <w:szCs w:val="21"/>
                <w:highlight w:val="none"/>
              </w:rPr>
            </w:pPr>
          </w:p>
        </w:tc>
        <w:tc>
          <w:tcPr>
            <w:tcW w:w="6783" w:type="dxa"/>
            <w:noWrap w:val="0"/>
            <w:vAlign w:val="center"/>
          </w:tcPr>
          <w:p>
            <w:pPr>
              <w:widowControl/>
              <w:spacing w:line="300" w:lineRule="exact"/>
              <w:ind w:right="3"/>
              <w:jc w:val="left"/>
              <w:rPr>
                <w:rFonts w:ascii="宋体" w:hAnsi="宋体" w:cs="Arial"/>
                <w:color w:val="auto"/>
                <w:sz w:val="21"/>
                <w:szCs w:val="21"/>
                <w:highlight w:val="none"/>
              </w:rPr>
            </w:pPr>
            <w:r>
              <w:rPr>
                <w:rFonts w:hint="eastAsia" w:ascii="宋体" w:hAnsi="宋体" w:cs="Arial"/>
                <w:color w:val="auto"/>
                <w:sz w:val="21"/>
                <w:szCs w:val="21"/>
                <w:highlight w:val="none"/>
              </w:rPr>
              <w:t>（2）</w:t>
            </w:r>
            <w:r>
              <w:rPr>
                <w:rFonts w:ascii="宋体" w:hAnsi="宋体" w:cs="Arial"/>
                <w:color w:val="auto"/>
                <w:sz w:val="21"/>
                <w:szCs w:val="21"/>
                <w:highlight w:val="none"/>
              </w:rPr>
              <w:t>安全生产（0-2分）。</w:t>
            </w:r>
          </w:p>
          <w:p>
            <w:pPr>
              <w:spacing w:line="300" w:lineRule="exact"/>
              <w:ind w:right="3"/>
              <w:rPr>
                <w:rFonts w:ascii="宋体" w:hAnsi="宋体" w:cs="Arial"/>
                <w:color w:val="auto"/>
                <w:sz w:val="21"/>
                <w:szCs w:val="21"/>
                <w:highlight w:val="none"/>
              </w:rPr>
            </w:pPr>
            <w:r>
              <w:rPr>
                <w:rFonts w:ascii="宋体" w:hAnsi="宋体" w:cs="Arial"/>
                <w:color w:val="auto"/>
                <w:sz w:val="21"/>
                <w:szCs w:val="21"/>
                <w:highlight w:val="none"/>
              </w:rPr>
              <w:fldChar w:fldCharType="begin"/>
            </w:r>
            <w:r>
              <w:rPr>
                <w:rFonts w:ascii="宋体" w:hAnsi="宋体" w:cs="Arial"/>
                <w:color w:val="auto"/>
                <w:sz w:val="21"/>
                <w:szCs w:val="21"/>
                <w:highlight w:val="none"/>
              </w:rPr>
              <w:instrText xml:space="preserve"> = 1 \* GB3 \* MERGEFORMAT </w:instrText>
            </w:r>
            <w:r>
              <w:rPr>
                <w:rFonts w:ascii="宋体" w:hAnsi="宋体" w:cs="Arial"/>
                <w:color w:val="auto"/>
                <w:sz w:val="21"/>
                <w:szCs w:val="21"/>
                <w:highlight w:val="none"/>
              </w:rPr>
              <w:fldChar w:fldCharType="separate"/>
            </w:r>
            <w:r>
              <w:rPr>
                <w:rFonts w:ascii="宋体" w:hAnsi="宋体" w:cs="Arial"/>
                <w:color w:val="auto"/>
                <w:sz w:val="21"/>
                <w:szCs w:val="21"/>
                <w:highlight w:val="none"/>
              </w:rPr>
              <w:t>①</w:t>
            </w:r>
            <w:r>
              <w:rPr>
                <w:rFonts w:ascii="宋体" w:hAnsi="宋体" w:cs="Arial"/>
                <w:color w:val="auto"/>
                <w:sz w:val="21"/>
                <w:szCs w:val="21"/>
                <w:highlight w:val="none"/>
              </w:rPr>
              <w:fldChar w:fldCharType="end"/>
            </w:r>
            <w:r>
              <w:rPr>
                <w:rFonts w:ascii="宋体" w:hAnsi="宋体" w:cs="Arial"/>
                <w:color w:val="auto"/>
                <w:sz w:val="21"/>
                <w:szCs w:val="21"/>
                <w:highlight w:val="none"/>
              </w:rPr>
              <w:t>安全生产</w:t>
            </w:r>
            <w:r>
              <w:rPr>
                <w:rFonts w:hint="eastAsia" w:ascii="宋体" w:hAnsi="宋体" w:cs="Arial"/>
                <w:color w:val="auto"/>
                <w:sz w:val="21"/>
                <w:szCs w:val="21"/>
                <w:highlight w:val="none"/>
              </w:rPr>
              <w:t>制度规范、合理、可行的，</w:t>
            </w:r>
            <w:r>
              <w:rPr>
                <w:rFonts w:ascii="宋体" w:hAnsi="宋体" w:cs="Arial"/>
                <w:color w:val="auto"/>
                <w:sz w:val="21"/>
                <w:szCs w:val="21"/>
                <w:highlight w:val="none"/>
              </w:rPr>
              <w:t>得2分</w:t>
            </w:r>
            <w:r>
              <w:rPr>
                <w:rFonts w:hint="eastAsia" w:ascii="宋体" w:hAnsi="宋体" w:cs="Arial"/>
                <w:color w:val="auto"/>
                <w:sz w:val="21"/>
                <w:szCs w:val="21"/>
                <w:highlight w:val="none"/>
              </w:rPr>
              <w:t>；</w:t>
            </w:r>
          </w:p>
          <w:p>
            <w:pPr>
              <w:spacing w:line="300" w:lineRule="exact"/>
              <w:ind w:right="3"/>
              <w:rPr>
                <w:rFonts w:ascii="宋体" w:hAnsi="宋体" w:cs="Arial"/>
                <w:color w:val="auto"/>
                <w:sz w:val="21"/>
                <w:szCs w:val="21"/>
                <w:highlight w:val="none"/>
              </w:rPr>
            </w:pPr>
            <w:r>
              <w:rPr>
                <w:rFonts w:ascii="宋体" w:hAnsi="宋体" w:cs="Arial"/>
                <w:color w:val="auto"/>
                <w:sz w:val="21"/>
                <w:szCs w:val="21"/>
                <w:highlight w:val="none"/>
              </w:rPr>
              <w:fldChar w:fldCharType="begin"/>
            </w:r>
            <w:r>
              <w:rPr>
                <w:rFonts w:ascii="宋体" w:hAnsi="宋体" w:cs="Arial"/>
                <w:color w:val="auto"/>
                <w:sz w:val="21"/>
                <w:szCs w:val="21"/>
                <w:highlight w:val="none"/>
              </w:rPr>
              <w:instrText xml:space="preserve"> = 2 \* GB3 \* MERGEFORMAT </w:instrText>
            </w:r>
            <w:r>
              <w:rPr>
                <w:rFonts w:ascii="宋体" w:hAnsi="宋体" w:cs="Arial"/>
                <w:color w:val="auto"/>
                <w:sz w:val="21"/>
                <w:szCs w:val="21"/>
                <w:highlight w:val="none"/>
              </w:rPr>
              <w:fldChar w:fldCharType="separate"/>
            </w:r>
            <w:r>
              <w:rPr>
                <w:rFonts w:ascii="宋体" w:hAnsi="宋体" w:cs="Arial"/>
                <w:color w:val="auto"/>
                <w:sz w:val="21"/>
                <w:szCs w:val="21"/>
                <w:highlight w:val="none"/>
              </w:rPr>
              <w:t>②</w:t>
            </w:r>
            <w:r>
              <w:rPr>
                <w:rFonts w:ascii="宋体" w:hAnsi="宋体" w:cs="Arial"/>
                <w:color w:val="auto"/>
                <w:sz w:val="21"/>
                <w:szCs w:val="21"/>
                <w:highlight w:val="none"/>
              </w:rPr>
              <w:fldChar w:fldCharType="end"/>
            </w:r>
            <w:r>
              <w:rPr>
                <w:rFonts w:ascii="宋体" w:hAnsi="宋体" w:cs="Arial"/>
                <w:color w:val="auto"/>
                <w:sz w:val="21"/>
                <w:szCs w:val="21"/>
                <w:highlight w:val="none"/>
              </w:rPr>
              <w:t>安全生产</w:t>
            </w:r>
            <w:r>
              <w:rPr>
                <w:rFonts w:hint="eastAsia" w:ascii="宋体" w:hAnsi="宋体" w:cs="Arial"/>
                <w:color w:val="auto"/>
                <w:sz w:val="21"/>
                <w:szCs w:val="21"/>
                <w:highlight w:val="none"/>
              </w:rPr>
              <w:t>制度基本合理、可行的，</w:t>
            </w:r>
            <w:r>
              <w:rPr>
                <w:rFonts w:ascii="宋体" w:hAnsi="宋体" w:cs="Arial"/>
                <w:color w:val="auto"/>
                <w:sz w:val="21"/>
                <w:szCs w:val="21"/>
                <w:highlight w:val="none"/>
              </w:rPr>
              <w:t>得1.5分</w:t>
            </w:r>
            <w:r>
              <w:rPr>
                <w:rFonts w:hint="eastAsia" w:ascii="宋体" w:hAnsi="宋体" w:cs="Arial"/>
                <w:color w:val="auto"/>
                <w:sz w:val="21"/>
                <w:szCs w:val="21"/>
                <w:highlight w:val="none"/>
              </w:rPr>
              <w:t>；</w:t>
            </w:r>
          </w:p>
          <w:p>
            <w:pPr>
              <w:spacing w:line="300" w:lineRule="exact"/>
              <w:ind w:right="3"/>
              <w:rPr>
                <w:rFonts w:hint="eastAsia" w:ascii="宋体" w:hAnsi="宋体" w:cs="Arial"/>
                <w:color w:val="auto"/>
                <w:sz w:val="21"/>
                <w:szCs w:val="21"/>
                <w:highlight w:val="none"/>
              </w:rPr>
            </w:pPr>
            <w:r>
              <w:rPr>
                <w:rFonts w:ascii="宋体" w:hAnsi="宋体" w:cs="Arial"/>
                <w:color w:val="auto"/>
                <w:sz w:val="21"/>
                <w:szCs w:val="21"/>
                <w:highlight w:val="none"/>
              </w:rPr>
              <w:fldChar w:fldCharType="begin"/>
            </w:r>
            <w:r>
              <w:rPr>
                <w:rFonts w:ascii="宋体" w:hAnsi="宋体" w:cs="Arial"/>
                <w:color w:val="auto"/>
                <w:sz w:val="21"/>
                <w:szCs w:val="21"/>
                <w:highlight w:val="none"/>
              </w:rPr>
              <w:instrText xml:space="preserve"> = 3 \* GB3 \* MERGEFORMAT </w:instrText>
            </w:r>
            <w:r>
              <w:rPr>
                <w:rFonts w:ascii="宋体" w:hAnsi="宋体" w:cs="Arial"/>
                <w:color w:val="auto"/>
                <w:sz w:val="21"/>
                <w:szCs w:val="21"/>
                <w:highlight w:val="none"/>
              </w:rPr>
              <w:fldChar w:fldCharType="separate"/>
            </w:r>
            <w:r>
              <w:rPr>
                <w:rFonts w:ascii="宋体" w:hAnsi="宋体" w:cs="Arial"/>
                <w:color w:val="auto"/>
                <w:sz w:val="21"/>
                <w:szCs w:val="21"/>
                <w:highlight w:val="none"/>
              </w:rPr>
              <w:t>③</w:t>
            </w:r>
            <w:r>
              <w:rPr>
                <w:rFonts w:ascii="宋体" w:hAnsi="宋体" w:cs="Arial"/>
                <w:color w:val="auto"/>
                <w:sz w:val="21"/>
                <w:szCs w:val="21"/>
                <w:highlight w:val="none"/>
              </w:rPr>
              <w:fldChar w:fldCharType="end"/>
            </w:r>
            <w:r>
              <w:rPr>
                <w:rFonts w:ascii="宋体" w:hAnsi="宋体" w:cs="Arial"/>
                <w:color w:val="auto"/>
                <w:sz w:val="21"/>
                <w:szCs w:val="21"/>
                <w:highlight w:val="none"/>
              </w:rPr>
              <w:t>安全生产</w:t>
            </w:r>
            <w:r>
              <w:rPr>
                <w:rFonts w:hint="eastAsia" w:ascii="宋体" w:hAnsi="宋体" w:cs="Arial"/>
                <w:color w:val="auto"/>
                <w:sz w:val="21"/>
                <w:szCs w:val="21"/>
                <w:highlight w:val="none"/>
              </w:rPr>
              <w:t>制度不</w:t>
            </w:r>
            <w:r>
              <w:rPr>
                <w:rFonts w:hint="eastAsia" w:ascii="宋体" w:hAnsi="宋体"/>
                <w:color w:val="auto"/>
                <w:sz w:val="21"/>
                <w:szCs w:val="21"/>
                <w:highlight w:val="none"/>
              </w:rPr>
              <w:t>合理、部分可行</w:t>
            </w:r>
            <w:r>
              <w:rPr>
                <w:rFonts w:hint="eastAsia" w:ascii="宋体" w:hAnsi="宋体" w:cs="Arial"/>
                <w:color w:val="auto"/>
                <w:sz w:val="21"/>
                <w:szCs w:val="21"/>
                <w:highlight w:val="none"/>
              </w:rPr>
              <w:t>的，</w:t>
            </w:r>
            <w:r>
              <w:rPr>
                <w:rFonts w:ascii="宋体" w:hAnsi="宋体" w:cs="Arial"/>
                <w:color w:val="auto"/>
                <w:sz w:val="21"/>
                <w:szCs w:val="21"/>
                <w:highlight w:val="none"/>
              </w:rPr>
              <w:t>得</w:t>
            </w:r>
            <w:r>
              <w:rPr>
                <w:rFonts w:hint="eastAsia" w:ascii="宋体" w:hAnsi="宋体" w:cs="Arial"/>
                <w:color w:val="auto"/>
                <w:sz w:val="21"/>
                <w:szCs w:val="21"/>
                <w:highlight w:val="none"/>
              </w:rPr>
              <w:t>1</w:t>
            </w:r>
            <w:r>
              <w:rPr>
                <w:rFonts w:ascii="宋体" w:hAnsi="宋体" w:cs="Arial"/>
                <w:color w:val="auto"/>
                <w:sz w:val="21"/>
                <w:szCs w:val="21"/>
                <w:highlight w:val="none"/>
              </w:rPr>
              <w:t>分</w:t>
            </w:r>
            <w:r>
              <w:rPr>
                <w:rFonts w:hint="eastAsia" w:ascii="宋体" w:hAnsi="宋体" w:cs="Arial"/>
                <w:color w:val="auto"/>
                <w:sz w:val="21"/>
                <w:szCs w:val="21"/>
                <w:highlight w:val="none"/>
              </w:rPr>
              <w:t>；</w:t>
            </w:r>
          </w:p>
          <w:p>
            <w:pPr>
              <w:spacing w:line="300" w:lineRule="exact"/>
              <w:ind w:right="3"/>
              <w:rPr>
                <w:rFonts w:ascii="宋体" w:hAnsi="宋体" w:cs="Arial"/>
                <w:color w:val="auto"/>
                <w:sz w:val="21"/>
                <w:szCs w:val="21"/>
                <w:highlight w:val="none"/>
              </w:rPr>
            </w:pPr>
            <w:r>
              <w:rPr>
                <w:rFonts w:hint="eastAsia" w:ascii="宋体" w:hAnsi="宋体" w:cs="Arial"/>
                <w:color w:val="auto"/>
                <w:sz w:val="21"/>
                <w:szCs w:val="21"/>
                <w:highlight w:val="none"/>
              </w:rPr>
              <w:fldChar w:fldCharType="begin"/>
            </w:r>
            <w:r>
              <w:rPr>
                <w:rFonts w:hint="eastAsia" w:ascii="宋体" w:hAnsi="宋体" w:cs="Arial"/>
                <w:color w:val="auto"/>
                <w:sz w:val="21"/>
                <w:szCs w:val="21"/>
                <w:highlight w:val="none"/>
              </w:rPr>
              <w:instrText xml:space="preserve"> = 4 \* GB3 \* MERGEFORMAT </w:instrText>
            </w:r>
            <w:r>
              <w:rPr>
                <w:rFonts w:hint="eastAsia" w:ascii="宋体" w:hAnsi="宋体" w:cs="Arial"/>
                <w:color w:val="auto"/>
                <w:sz w:val="21"/>
                <w:szCs w:val="21"/>
                <w:highlight w:val="none"/>
              </w:rPr>
              <w:fldChar w:fldCharType="separate"/>
            </w:r>
            <w:r>
              <w:rPr>
                <w:rFonts w:ascii="宋体" w:hAnsi="宋体" w:cs="Arial"/>
                <w:color w:val="auto"/>
                <w:sz w:val="21"/>
                <w:szCs w:val="21"/>
                <w:highlight w:val="none"/>
              </w:rPr>
              <w:t>④</w:t>
            </w:r>
            <w:r>
              <w:rPr>
                <w:rFonts w:hint="eastAsia" w:ascii="宋体" w:hAnsi="宋体" w:cs="Arial"/>
                <w:color w:val="auto"/>
                <w:sz w:val="21"/>
                <w:szCs w:val="21"/>
                <w:highlight w:val="none"/>
              </w:rPr>
              <w:fldChar w:fldCharType="end"/>
            </w:r>
            <w:r>
              <w:rPr>
                <w:rFonts w:hint="eastAsia" w:ascii="宋体" w:hAnsi="宋体" w:cs="Arial"/>
                <w:color w:val="auto"/>
                <w:sz w:val="21"/>
                <w:szCs w:val="21"/>
                <w:highlight w:val="none"/>
              </w:rPr>
              <w:t>未制订安全生产制度的，得0分。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6" w:type="dxa"/>
            <w:noWrap w:val="0"/>
            <w:vAlign w:val="center"/>
          </w:tcPr>
          <w:p>
            <w:pPr>
              <w:spacing w:line="300" w:lineRule="exact"/>
              <w:jc w:val="center"/>
              <w:rPr>
                <w:rFonts w:ascii="宋体" w:hAnsi="宋体" w:cs="Arial"/>
                <w:color w:val="auto"/>
                <w:sz w:val="21"/>
                <w:szCs w:val="21"/>
                <w:highlight w:val="none"/>
              </w:rPr>
            </w:pPr>
            <w:r>
              <w:rPr>
                <w:rFonts w:ascii="宋体" w:hAnsi="宋体" w:cs="Arial"/>
                <w:color w:val="auto"/>
                <w:sz w:val="21"/>
                <w:szCs w:val="21"/>
                <w:highlight w:val="none"/>
              </w:rPr>
              <w:t>9</w:t>
            </w:r>
            <w:r>
              <w:rPr>
                <w:rFonts w:hint="eastAsia" w:ascii="宋体" w:hAnsi="宋体" w:cs="Arial"/>
                <w:color w:val="auto"/>
                <w:sz w:val="21"/>
                <w:szCs w:val="21"/>
                <w:highlight w:val="none"/>
              </w:rPr>
              <w:t>.</w:t>
            </w:r>
          </w:p>
        </w:tc>
        <w:tc>
          <w:tcPr>
            <w:tcW w:w="1555" w:type="dxa"/>
            <w:noWrap w:val="0"/>
            <w:vAlign w:val="center"/>
          </w:tcPr>
          <w:p>
            <w:pPr>
              <w:spacing w:line="300" w:lineRule="exact"/>
              <w:ind w:right="3"/>
              <w:jc w:val="center"/>
              <w:rPr>
                <w:rFonts w:ascii="宋体" w:hAnsi="宋体" w:cs="Arial"/>
                <w:color w:val="auto"/>
                <w:sz w:val="21"/>
                <w:szCs w:val="21"/>
                <w:highlight w:val="none"/>
              </w:rPr>
            </w:pPr>
            <w:r>
              <w:rPr>
                <w:rFonts w:ascii="宋体" w:hAnsi="宋体" w:cs="Arial"/>
                <w:color w:val="auto"/>
                <w:sz w:val="21"/>
                <w:szCs w:val="21"/>
                <w:highlight w:val="none"/>
              </w:rPr>
              <w:t>针对</w:t>
            </w:r>
            <w:r>
              <w:rPr>
                <w:rFonts w:hint="eastAsia" w:ascii="宋体" w:hAnsi="宋体" w:cs="Arial"/>
                <w:color w:val="auto"/>
                <w:sz w:val="21"/>
                <w:szCs w:val="21"/>
                <w:highlight w:val="none"/>
              </w:rPr>
              <w:t>瑶溪街道</w:t>
            </w:r>
            <w:r>
              <w:rPr>
                <w:rFonts w:ascii="宋体" w:hAnsi="宋体" w:cs="Arial"/>
                <w:color w:val="auto"/>
                <w:sz w:val="21"/>
                <w:szCs w:val="21"/>
                <w:highlight w:val="none"/>
              </w:rPr>
              <w:t>环卫一体化项目突发事件的响应、处理方案及处理能力</w:t>
            </w:r>
          </w:p>
        </w:tc>
        <w:tc>
          <w:tcPr>
            <w:tcW w:w="699" w:type="dxa"/>
            <w:noWrap w:val="0"/>
            <w:vAlign w:val="center"/>
          </w:tcPr>
          <w:p>
            <w:pPr>
              <w:spacing w:line="300" w:lineRule="exact"/>
              <w:ind w:right="3"/>
              <w:jc w:val="center"/>
              <w:rPr>
                <w:rFonts w:hint="eastAsia" w:ascii="宋体" w:hAnsi="宋体" w:cs="Arial"/>
                <w:color w:val="auto"/>
                <w:sz w:val="21"/>
                <w:szCs w:val="21"/>
                <w:highlight w:val="none"/>
              </w:rPr>
            </w:pPr>
            <w:r>
              <w:rPr>
                <w:rFonts w:hint="eastAsia" w:ascii="宋体" w:hAnsi="宋体" w:cs="Arial"/>
                <w:color w:val="auto"/>
                <w:sz w:val="21"/>
                <w:szCs w:val="21"/>
                <w:highlight w:val="none"/>
              </w:rPr>
              <w:t>3</w:t>
            </w:r>
          </w:p>
        </w:tc>
        <w:tc>
          <w:tcPr>
            <w:tcW w:w="6783" w:type="dxa"/>
            <w:noWrap w:val="0"/>
            <w:vAlign w:val="center"/>
          </w:tcPr>
          <w:p>
            <w:pPr>
              <w:spacing w:line="300" w:lineRule="exact"/>
              <w:ind w:right="3" w:hanging="37"/>
              <w:rPr>
                <w:rFonts w:ascii="宋体" w:hAnsi="宋体" w:cs="Arial"/>
                <w:color w:val="auto"/>
                <w:sz w:val="21"/>
                <w:szCs w:val="21"/>
                <w:highlight w:val="none"/>
              </w:rPr>
            </w:pPr>
            <w:r>
              <w:rPr>
                <w:rFonts w:ascii="宋体" w:hAnsi="宋体" w:cs="Arial"/>
                <w:color w:val="auto"/>
                <w:sz w:val="21"/>
                <w:szCs w:val="21"/>
                <w:highlight w:val="none"/>
              </w:rPr>
              <w:t>具备重大活动应急管理经验，应对突发事情（包括但不限于重大活动、公共卫生突发事件、自然灾害、重大安全事故等）的响应及处理方案的科学性、合理性、可操作性及高效性</w:t>
            </w:r>
            <w:r>
              <w:rPr>
                <w:rFonts w:hint="eastAsia" w:ascii="宋体" w:hAnsi="宋体" w:cs="Arial"/>
                <w:color w:val="auto"/>
                <w:sz w:val="21"/>
                <w:szCs w:val="21"/>
                <w:highlight w:val="none"/>
              </w:rPr>
              <w:t>，具备一定的处理能力及经验</w:t>
            </w:r>
            <w:r>
              <w:rPr>
                <w:rFonts w:ascii="宋体" w:hAnsi="宋体" w:cs="Arial"/>
                <w:color w:val="auto"/>
                <w:sz w:val="21"/>
                <w:szCs w:val="21"/>
                <w:highlight w:val="none"/>
              </w:rPr>
              <w:t>（0-</w:t>
            </w:r>
            <w:r>
              <w:rPr>
                <w:rFonts w:hint="eastAsia" w:ascii="宋体" w:hAnsi="宋体" w:cs="Arial"/>
                <w:color w:val="auto"/>
                <w:sz w:val="21"/>
                <w:szCs w:val="21"/>
                <w:highlight w:val="none"/>
              </w:rPr>
              <w:t>3</w:t>
            </w:r>
            <w:r>
              <w:rPr>
                <w:rFonts w:ascii="宋体" w:hAnsi="宋体" w:cs="Arial"/>
                <w:color w:val="auto"/>
                <w:sz w:val="21"/>
                <w:szCs w:val="21"/>
                <w:highlight w:val="none"/>
              </w:rPr>
              <w:t>分）。</w:t>
            </w:r>
          </w:p>
          <w:p>
            <w:pPr>
              <w:widowControl/>
              <w:spacing w:line="300" w:lineRule="exact"/>
              <w:ind w:right="3"/>
              <w:jc w:val="left"/>
              <w:rPr>
                <w:rFonts w:ascii="宋体" w:hAnsi="宋体" w:cs="Arial"/>
                <w:color w:val="auto"/>
                <w:sz w:val="21"/>
                <w:szCs w:val="21"/>
                <w:highlight w:val="none"/>
              </w:rPr>
            </w:pPr>
            <w:r>
              <w:rPr>
                <w:rFonts w:ascii="宋体" w:hAnsi="宋体" w:cs="Arial"/>
                <w:color w:val="auto"/>
                <w:sz w:val="21"/>
                <w:szCs w:val="21"/>
                <w:highlight w:val="none"/>
              </w:rPr>
              <w:fldChar w:fldCharType="begin"/>
            </w:r>
            <w:r>
              <w:rPr>
                <w:rFonts w:ascii="宋体" w:hAnsi="宋体" w:cs="Arial"/>
                <w:color w:val="auto"/>
                <w:sz w:val="21"/>
                <w:szCs w:val="21"/>
                <w:highlight w:val="none"/>
              </w:rPr>
              <w:instrText xml:space="preserve"> = 1 \* GB3 \* MERGEFORMAT </w:instrText>
            </w:r>
            <w:r>
              <w:rPr>
                <w:rFonts w:ascii="宋体" w:hAnsi="宋体" w:cs="Arial"/>
                <w:color w:val="auto"/>
                <w:sz w:val="21"/>
                <w:szCs w:val="21"/>
                <w:highlight w:val="none"/>
              </w:rPr>
              <w:fldChar w:fldCharType="separate"/>
            </w:r>
            <w:r>
              <w:rPr>
                <w:rFonts w:ascii="宋体" w:hAnsi="宋体" w:cs="Arial"/>
                <w:color w:val="auto"/>
                <w:sz w:val="21"/>
                <w:szCs w:val="21"/>
                <w:highlight w:val="none"/>
              </w:rPr>
              <w:t>①</w:t>
            </w:r>
            <w:r>
              <w:rPr>
                <w:rFonts w:ascii="宋体" w:hAnsi="宋体" w:cs="Arial"/>
                <w:color w:val="auto"/>
                <w:sz w:val="21"/>
                <w:szCs w:val="21"/>
                <w:highlight w:val="none"/>
              </w:rPr>
              <w:fldChar w:fldCharType="end"/>
            </w:r>
            <w:r>
              <w:rPr>
                <w:rFonts w:ascii="宋体" w:hAnsi="宋体" w:cs="Arial"/>
                <w:color w:val="auto"/>
                <w:sz w:val="21"/>
                <w:szCs w:val="21"/>
                <w:highlight w:val="none"/>
              </w:rPr>
              <w:t>应对突发事件的响应、处理方案</w:t>
            </w:r>
            <w:r>
              <w:rPr>
                <w:rFonts w:hint="eastAsia" w:ascii="宋体" w:hAnsi="宋体" w:cs="Arial"/>
                <w:color w:val="auto"/>
                <w:sz w:val="21"/>
                <w:szCs w:val="21"/>
                <w:highlight w:val="none"/>
              </w:rPr>
              <w:t>编制完善，具备较强的</w:t>
            </w:r>
            <w:r>
              <w:rPr>
                <w:rFonts w:ascii="宋体" w:hAnsi="宋体" w:cs="Arial"/>
                <w:color w:val="auto"/>
                <w:sz w:val="21"/>
                <w:szCs w:val="21"/>
                <w:highlight w:val="none"/>
              </w:rPr>
              <w:t>应对突发事情</w:t>
            </w:r>
            <w:r>
              <w:rPr>
                <w:rFonts w:hint="eastAsia" w:ascii="宋体" w:hAnsi="宋体" w:cs="Arial"/>
                <w:color w:val="auto"/>
                <w:sz w:val="21"/>
                <w:szCs w:val="21"/>
                <w:highlight w:val="none"/>
              </w:rPr>
              <w:t>处理能力及</w:t>
            </w:r>
            <w:r>
              <w:rPr>
                <w:rFonts w:ascii="宋体" w:hAnsi="宋体" w:cs="Arial"/>
                <w:color w:val="auto"/>
                <w:sz w:val="21"/>
                <w:szCs w:val="21"/>
                <w:highlight w:val="none"/>
              </w:rPr>
              <w:t>经验，</w:t>
            </w:r>
            <w:r>
              <w:rPr>
                <w:rFonts w:hint="eastAsia" w:ascii="宋体" w:hAnsi="宋体" w:cs="Arial"/>
                <w:color w:val="auto"/>
                <w:sz w:val="21"/>
                <w:szCs w:val="21"/>
                <w:highlight w:val="none"/>
              </w:rPr>
              <w:t>能切实保障本项目作业要求的，</w:t>
            </w:r>
            <w:r>
              <w:rPr>
                <w:rFonts w:ascii="宋体" w:hAnsi="宋体" w:cs="Arial"/>
                <w:color w:val="auto"/>
                <w:sz w:val="21"/>
                <w:szCs w:val="21"/>
                <w:highlight w:val="none"/>
              </w:rPr>
              <w:t>得</w:t>
            </w:r>
            <w:r>
              <w:rPr>
                <w:rFonts w:hint="eastAsia" w:ascii="宋体" w:hAnsi="宋体" w:cs="Arial"/>
                <w:color w:val="auto"/>
                <w:sz w:val="21"/>
                <w:szCs w:val="21"/>
                <w:highlight w:val="none"/>
              </w:rPr>
              <w:t>3</w:t>
            </w:r>
            <w:r>
              <w:rPr>
                <w:rFonts w:ascii="宋体" w:hAnsi="宋体" w:cs="Arial"/>
                <w:color w:val="auto"/>
                <w:sz w:val="21"/>
                <w:szCs w:val="21"/>
                <w:highlight w:val="none"/>
              </w:rPr>
              <w:t>分</w:t>
            </w:r>
            <w:r>
              <w:rPr>
                <w:rFonts w:hint="eastAsia" w:ascii="宋体" w:hAnsi="宋体" w:cs="Arial"/>
                <w:color w:val="auto"/>
                <w:sz w:val="21"/>
                <w:szCs w:val="21"/>
                <w:highlight w:val="none"/>
              </w:rPr>
              <w:t>；</w:t>
            </w:r>
          </w:p>
          <w:p>
            <w:pPr>
              <w:widowControl/>
              <w:spacing w:line="300" w:lineRule="exact"/>
              <w:ind w:right="3"/>
              <w:jc w:val="left"/>
              <w:rPr>
                <w:rFonts w:ascii="宋体" w:hAnsi="宋体" w:cs="Arial"/>
                <w:color w:val="auto"/>
                <w:sz w:val="21"/>
                <w:szCs w:val="21"/>
                <w:highlight w:val="none"/>
              </w:rPr>
            </w:pPr>
            <w:r>
              <w:rPr>
                <w:rFonts w:ascii="宋体" w:hAnsi="宋体" w:cs="Arial"/>
                <w:color w:val="auto"/>
                <w:sz w:val="21"/>
                <w:szCs w:val="21"/>
                <w:highlight w:val="none"/>
              </w:rPr>
              <w:fldChar w:fldCharType="begin"/>
            </w:r>
            <w:r>
              <w:rPr>
                <w:rFonts w:ascii="宋体" w:hAnsi="宋体" w:cs="Arial"/>
                <w:color w:val="auto"/>
                <w:sz w:val="21"/>
                <w:szCs w:val="21"/>
                <w:highlight w:val="none"/>
              </w:rPr>
              <w:instrText xml:space="preserve"> = 2 \* GB3 \* MERGEFORMAT </w:instrText>
            </w:r>
            <w:r>
              <w:rPr>
                <w:rFonts w:ascii="宋体" w:hAnsi="宋体" w:cs="Arial"/>
                <w:color w:val="auto"/>
                <w:sz w:val="21"/>
                <w:szCs w:val="21"/>
                <w:highlight w:val="none"/>
              </w:rPr>
              <w:fldChar w:fldCharType="separate"/>
            </w:r>
            <w:r>
              <w:rPr>
                <w:rFonts w:ascii="宋体" w:hAnsi="宋体" w:cs="Arial"/>
                <w:color w:val="auto"/>
                <w:sz w:val="21"/>
                <w:szCs w:val="21"/>
                <w:highlight w:val="none"/>
              </w:rPr>
              <w:t>②</w:t>
            </w:r>
            <w:r>
              <w:rPr>
                <w:rFonts w:ascii="宋体" w:hAnsi="宋体" w:cs="Arial"/>
                <w:color w:val="auto"/>
                <w:sz w:val="21"/>
                <w:szCs w:val="21"/>
                <w:highlight w:val="none"/>
              </w:rPr>
              <w:fldChar w:fldCharType="end"/>
            </w:r>
            <w:r>
              <w:rPr>
                <w:rFonts w:ascii="宋体" w:hAnsi="宋体" w:cs="Arial"/>
                <w:color w:val="auto"/>
                <w:sz w:val="21"/>
                <w:szCs w:val="21"/>
                <w:highlight w:val="none"/>
              </w:rPr>
              <w:t>应对突发事件的响应、处理方案</w:t>
            </w:r>
            <w:r>
              <w:rPr>
                <w:rFonts w:hint="eastAsia" w:ascii="宋体" w:hAnsi="宋体" w:cs="Arial"/>
                <w:color w:val="auto"/>
                <w:sz w:val="21"/>
                <w:szCs w:val="21"/>
                <w:highlight w:val="none"/>
              </w:rPr>
              <w:t>编制较完善，具备一定的</w:t>
            </w:r>
            <w:r>
              <w:rPr>
                <w:rFonts w:ascii="宋体" w:hAnsi="宋体" w:cs="Arial"/>
                <w:color w:val="auto"/>
                <w:sz w:val="21"/>
                <w:szCs w:val="21"/>
                <w:highlight w:val="none"/>
              </w:rPr>
              <w:t>应对突发事情</w:t>
            </w:r>
            <w:r>
              <w:rPr>
                <w:rFonts w:hint="eastAsia" w:ascii="宋体" w:hAnsi="宋体" w:cs="Arial"/>
                <w:color w:val="auto"/>
                <w:sz w:val="21"/>
                <w:szCs w:val="21"/>
                <w:highlight w:val="none"/>
              </w:rPr>
              <w:t>处理能力及</w:t>
            </w:r>
            <w:r>
              <w:rPr>
                <w:rFonts w:ascii="宋体" w:hAnsi="宋体" w:cs="Arial"/>
                <w:color w:val="auto"/>
                <w:sz w:val="21"/>
                <w:szCs w:val="21"/>
                <w:highlight w:val="none"/>
              </w:rPr>
              <w:t>经验，</w:t>
            </w:r>
            <w:r>
              <w:rPr>
                <w:rFonts w:hint="eastAsia" w:ascii="宋体" w:hAnsi="宋体" w:cs="Arial"/>
                <w:color w:val="auto"/>
                <w:sz w:val="21"/>
                <w:szCs w:val="21"/>
                <w:highlight w:val="none"/>
              </w:rPr>
              <w:t>基本能满足本项目作业要求的，</w:t>
            </w:r>
            <w:r>
              <w:rPr>
                <w:rFonts w:ascii="宋体" w:hAnsi="宋体" w:cs="Arial"/>
                <w:color w:val="auto"/>
                <w:sz w:val="21"/>
                <w:szCs w:val="21"/>
                <w:highlight w:val="none"/>
              </w:rPr>
              <w:t>得</w:t>
            </w:r>
            <w:r>
              <w:rPr>
                <w:rFonts w:hint="eastAsia" w:ascii="宋体" w:hAnsi="宋体" w:cs="Arial"/>
                <w:color w:val="auto"/>
                <w:sz w:val="21"/>
                <w:szCs w:val="21"/>
                <w:highlight w:val="none"/>
              </w:rPr>
              <w:t>2</w:t>
            </w:r>
            <w:r>
              <w:rPr>
                <w:rFonts w:ascii="宋体" w:hAnsi="宋体" w:cs="Arial"/>
                <w:color w:val="auto"/>
                <w:sz w:val="21"/>
                <w:szCs w:val="21"/>
                <w:highlight w:val="none"/>
              </w:rPr>
              <w:t>分</w:t>
            </w:r>
            <w:r>
              <w:rPr>
                <w:rFonts w:hint="eastAsia" w:ascii="宋体" w:hAnsi="宋体" w:cs="Arial"/>
                <w:color w:val="auto"/>
                <w:sz w:val="21"/>
                <w:szCs w:val="21"/>
                <w:highlight w:val="none"/>
              </w:rPr>
              <w:t>；</w:t>
            </w:r>
          </w:p>
          <w:p>
            <w:pPr>
              <w:widowControl/>
              <w:spacing w:line="300" w:lineRule="exact"/>
              <w:ind w:right="3"/>
              <w:jc w:val="left"/>
              <w:rPr>
                <w:rFonts w:ascii="宋体" w:hAnsi="宋体" w:cs="Arial"/>
                <w:color w:val="auto"/>
                <w:sz w:val="21"/>
                <w:szCs w:val="21"/>
                <w:highlight w:val="none"/>
              </w:rPr>
            </w:pPr>
            <w:r>
              <w:rPr>
                <w:rFonts w:ascii="宋体" w:hAnsi="宋体" w:cs="Arial"/>
                <w:color w:val="auto"/>
                <w:sz w:val="21"/>
                <w:szCs w:val="21"/>
                <w:highlight w:val="none"/>
              </w:rPr>
              <w:fldChar w:fldCharType="begin"/>
            </w:r>
            <w:r>
              <w:rPr>
                <w:rFonts w:ascii="宋体" w:hAnsi="宋体" w:cs="Arial"/>
                <w:color w:val="auto"/>
                <w:sz w:val="21"/>
                <w:szCs w:val="21"/>
                <w:highlight w:val="none"/>
              </w:rPr>
              <w:instrText xml:space="preserve"> = 3 \* GB3 \* MERGEFORMAT </w:instrText>
            </w:r>
            <w:r>
              <w:rPr>
                <w:rFonts w:ascii="宋体" w:hAnsi="宋体" w:cs="Arial"/>
                <w:color w:val="auto"/>
                <w:sz w:val="21"/>
                <w:szCs w:val="21"/>
                <w:highlight w:val="none"/>
              </w:rPr>
              <w:fldChar w:fldCharType="separate"/>
            </w:r>
            <w:r>
              <w:rPr>
                <w:rFonts w:ascii="宋体" w:hAnsi="宋体" w:cs="Arial"/>
                <w:color w:val="auto"/>
                <w:sz w:val="21"/>
                <w:szCs w:val="21"/>
                <w:highlight w:val="none"/>
              </w:rPr>
              <w:t>③</w:t>
            </w:r>
            <w:r>
              <w:rPr>
                <w:rFonts w:ascii="宋体" w:hAnsi="宋体" w:cs="Arial"/>
                <w:color w:val="auto"/>
                <w:sz w:val="21"/>
                <w:szCs w:val="21"/>
                <w:highlight w:val="none"/>
              </w:rPr>
              <w:fldChar w:fldCharType="end"/>
            </w:r>
            <w:r>
              <w:rPr>
                <w:rFonts w:ascii="宋体" w:hAnsi="宋体" w:cs="Arial"/>
                <w:color w:val="auto"/>
                <w:sz w:val="21"/>
                <w:szCs w:val="21"/>
                <w:highlight w:val="none"/>
              </w:rPr>
              <w:t>应对突发事件的响应、处理方案</w:t>
            </w:r>
            <w:r>
              <w:rPr>
                <w:rFonts w:hint="eastAsia" w:ascii="宋体" w:hAnsi="宋体" w:cs="Arial"/>
                <w:color w:val="auto"/>
                <w:sz w:val="21"/>
                <w:szCs w:val="21"/>
                <w:highlight w:val="none"/>
              </w:rPr>
              <w:t>编制不完善，没有</w:t>
            </w:r>
            <w:r>
              <w:rPr>
                <w:rFonts w:ascii="宋体" w:hAnsi="宋体" w:cs="Arial"/>
                <w:color w:val="auto"/>
                <w:sz w:val="21"/>
                <w:szCs w:val="21"/>
                <w:highlight w:val="none"/>
              </w:rPr>
              <w:t>应对突发事情</w:t>
            </w:r>
            <w:r>
              <w:rPr>
                <w:rFonts w:hint="eastAsia" w:ascii="宋体" w:hAnsi="宋体" w:cs="Arial"/>
                <w:color w:val="auto"/>
                <w:sz w:val="21"/>
                <w:szCs w:val="21"/>
                <w:highlight w:val="none"/>
              </w:rPr>
              <w:t>处理能力及</w:t>
            </w:r>
            <w:r>
              <w:rPr>
                <w:rFonts w:ascii="宋体" w:hAnsi="宋体" w:cs="Arial"/>
                <w:color w:val="auto"/>
                <w:sz w:val="21"/>
                <w:szCs w:val="21"/>
                <w:highlight w:val="none"/>
              </w:rPr>
              <w:t>经验，</w:t>
            </w:r>
            <w:r>
              <w:rPr>
                <w:rFonts w:hint="eastAsia" w:ascii="宋体" w:hAnsi="宋体" w:cs="Arial"/>
                <w:color w:val="auto"/>
                <w:sz w:val="21"/>
                <w:szCs w:val="21"/>
                <w:highlight w:val="none"/>
              </w:rPr>
              <w:t>难以实现本项目作业要求的，得1分；</w:t>
            </w:r>
          </w:p>
          <w:p>
            <w:pPr>
              <w:widowControl/>
              <w:spacing w:line="300" w:lineRule="exact"/>
              <w:ind w:right="3"/>
              <w:jc w:val="left"/>
              <w:rPr>
                <w:rFonts w:ascii="宋体" w:hAnsi="宋体" w:cs="Arial"/>
                <w:color w:val="auto"/>
                <w:sz w:val="21"/>
                <w:szCs w:val="21"/>
                <w:highlight w:val="none"/>
              </w:rPr>
            </w:pPr>
            <w:r>
              <w:rPr>
                <w:rFonts w:hint="eastAsia" w:ascii="宋体" w:hAnsi="宋体" w:cs="Arial"/>
                <w:color w:val="auto"/>
                <w:sz w:val="21"/>
                <w:szCs w:val="21"/>
                <w:highlight w:val="none"/>
              </w:rPr>
              <w:fldChar w:fldCharType="begin"/>
            </w:r>
            <w:r>
              <w:rPr>
                <w:rFonts w:hint="eastAsia" w:ascii="宋体" w:hAnsi="宋体" w:cs="Arial"/>
                <w:color w:val="auto"/>
                <w:sz w:val="21"/>
                <w:szCs w:val="21"/>
                <w:highlight w:val="none"/>
              </w:rPr>
              <w:instrText xml:space="preserve"> = 4 \* GB3 \* MERGEFORMAT </w:instrText>
            </w:r>
            <w:r>
              <w:rPr>
                <w:rFonts w:hint="eastAsia" w:ascii="宋体" w:hAnsi="宋体" w:cs="Arial"/>
                <w:color w:val="auto"/>
                <w:sz w:val="21"/>
                <w:szCs w:val="21"/>
                <w:highlight w:val="none"/>
              </w:rPr>
              <w:fldChar w:fldCharType="separate"/>
            </w:r>
            <w:r>
              <w:rPr>
                <w:rFonts w:ascii="宋体" w:hAnsi="宋体" w:cs="Arial"/>
                <w:color w:val="auto"/>
                <w:sz w:val="21"/>
                <w:szCs w:val="21"/>
                <w:highlight w:val="none"/>
              </w:rPr>
              <w:t>④</w:t>
            </w:r>
            <w:r>
              <w:rPr>
                <w:rFonts w:hint="eastAsia" w:ascii="宋体" w:hAnsi="宋体" w:cs="Arial"/>
                <w:color w:val="auto"/>
                <w:sz w:val="21"/>
                <w:szCs w:val="21"/>
                <w:highlight w:val="none"/>
              </w:rPr>
              <w:fldChar w:fldCharType="end"/>
            </w:r>
            <w:r>
              <w:rPr>
                <w:rFonts w:hint="eastAsia" w:ascii="宋体" w:hAnsi="宋体" w:cs="Arial"/>
                <w:color w:val="auto"/>
                <w:sz w:val="21"/>
                <w:szCs w:val="21"/>
                <w:highlight w:val="none"/>
              </w:rPr>
              <w:t>未提供突发事件的响应、处理方案的，得0分。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6" w:type="dxa"/>
            <w:noWrap w:val="0"/>
            <w:vAlign w:val="center"/>
          </w:tcPr>
          <w:p>
            <w:pPr>
              <w:spacing w:line="300" w:lineRule="exact"/>
              <w:rPr>
                <w:rFonts w:ascii="宋体" w:hAnsi="宋体" w:cs="Arial"/>
                <w:color w:val="auto"/>
                <w:sz w:val="21"/>
                <w:szCs w:val="21"/>
                <w:highlight w:val="none"/>
              </w:rPr>
            </w:pPr>
            <w:r>
              <w:rPr>
                <w:rFonts w:ascii="宋体" w:hAnsi="宋体" w:cs="Arial"/>
                <w:color w:val="auto"/>
                <w:sz w:val="21"/>
                <w:szCs w:val="21"/>
                <w:highlight w:val="none"/>
              </w:rPr>
              <w:t>10</w:t>
            </w:r>
            <w:r>
              <w:rPr>
                <w:rFonts w:hint="eastAsia" w:ascii="宋体" w:hAnsi="宋体" w:cs="Arial"/>
                <w:color w:val="auto"/>
                <w:sz w:val="21"/>
                <w:szCs w:val="21"/>
                <w:highlight w:val="none"/>
              </w:rPr>
              <w:t>.</w:t>
            </w:r>
          </w:p>
        </w:tc>
        <w:tc>
          <w:tcPr>
            <w:tcW w:w="1555" w:type="dxa"/>
            <w:noWrap w:val="0"/>
            <w:vAlign w:val="center"/>
          </w:tcPr>
          <w:p>
            <w:pPr>
              <w:spacing w:line="300" w:lineRule="exact"/>
              <w:ind w:right="3"/>
              <w:jc w:val="center"/>
              <w:rPr>
                <w:rFonts w:ascii="宋体" w:hAnsi="宋体" w:cs="Arial"/>
                <w:color w:val="auto"/>
                <w:sz w:val="21"/>
                <w:szCs w:val="21"/>
                <w:highlight w:val="none"/>
              </w:rPr>
            </w:pPr>
            <w:r>
              <w:rPr>
                <w:rFonts w:ascii="宋体" w:hAnsi="宋体" w:cs="Arial"/>
                <w:color w:val="auto"/>
                <w:sz w:val="21"/>
                <w:szCs w:val="21"/>
                <w:highlight w:val="none"/>
              </w:rPr>
              <w:t>后勤服务保障</w:t>
            </w:r>
          </w:p>
        </w:tc>
        <w:tc>
          <w:tcPr>
            <w:tcW w:w="699" w:type="dxa"/>
            <w:noWrap w:val="0"/>
            <w:vAlign w:val="center"/>
          </w:tcPr>
          <w:p>
            <w:pPr>
              <w:spacing w:line="300" w:lineRule="exact"/>
              <w:ind w:right="3"/>
              <w:jc w:val="center"/>
              <w:rPr>
                <w:rFonts w:ascii="宋体" w:hAnsi="宋体" w:cs="Arial"/>
                <w:b w:val="0"/>
                <w:bCs w:val="0"/>
                <w:color w:val="auto"/>
                <w:sz w:val="21"/>
                <w:szCs w:val="21"/>
                <w:highlight w:val="none"/>
              </w:rPr>
            </w:pPr>
            <w:r>
              <w:rPr>
                <w:rFonts w:hint="eastAsia" w:ascii="宋体" w:hAnsi="宋体" w:cs="Arial"/>
                <w:b w:val="0"/>
                <w:bCs w:val="0"/>
                <w:color w:val="auto"/>
                <w:sz w:val="21"/>
                <w:szCs w:val="21"/>
                <w:highlight w:val="none"/>
              </w:rPr>
              <w:t>3</w:t>
            </w:r>
          </w:p>
        </w:tc>
        <w:tc>
          <w:tcPr>
            <w:tcW w:w="6783" w:type="dxa"/>
            <w:noWrap w:val="0"/>
            <w:vAlign w:val="center"/>
          </w:tcPr>
          <w:p>
            <w:pPr>
              <w:spacing w:line="300" w:lineRule="exact"/>
              <w:ind w:right="3"/>
              <w:rPr>
                <w:rFonts w:ascii="宋体" w:hAnsi="宋体" w:cs="Arial"/>
                <w:b w:val="0"/>
                <w:bCs w:val="0"/>
                <w:color w:val="auto"/>
                <w:sz w:val="21"/>
                <w:szCs w:val="21"/>
                <w:highlight w:val="none"/>
              </w:rPr>
            </w:pPr>
            <w:r>
              <w:rPr>
                <w:rFonts w:ascii="宋体" w:hAnsi="宋体" w:cs="Arial"/>
                <w:b w:val="0"/>
                <w:bCs w:val="0"/>
                <w:color w:val="auto"/>
                <w:sz w:val="21"/>
                <w:szCs w:val="21"/>
                <w:highlight w:val="none"/>
              </w:rPr>
              <w:t>根据投标人针对本项目的后勤服务保障情况（</w:t>
            </w:r>
            <w:r>
              <w:rPr>
                <w:rFonts w:hint="eastAsia" w:ascii="宋体" w:hAnsi="宋体" w:cs="Arial"/>
                <w:b w:val="0"/>
                <w:bCs w:val="0"/>
                <w:color w:val="auto"/>
                <w:sz w:val="21"/>
                <w:szCs w:val="21"/>
                <w:highlight w:val="none"/>
                <w:lang w:val="en-US" w:eastAsia="zh-CN"/>
              </w:rPr>
              <w:t>3</w:t>
            </w:r>
            <w:r>
              <w:rPr>
                <w:rFonts w:ascii="宋体" w:hAnsi="宋体" w:cs="Arial"/>
                <w:b w:val="0"/>
                <w:bCs w:val="0"/>
                <w:color w:val="auto"/>
                <w:sz w:val="21"/>
                <w:szCs w:val="21"/>
                <w:highlight w:val="none"/>
              </w:rPr>
              <w:t>分）。</w:t>
            </w:r>
          </w:p>
          <w:p>
            <w:pPr>
              <w:widowControl/>
              <w:spacing w:line="300" w:lineRule="exact"/>
              <w:ind w:right="3"/>
              <w:jc w:val="left"/>
              <w:rPr>
                <w:rFonts w:hint="default" w:ascii="宋体" w:hAnsi="宋体" w:eastAsia="宋体" w:cs="Arial"/>
                <w:b w:val="0"/>
                <w:bCs w:val="0"/>
                <w:color w:val="auto"/>
                <w:sz w:val="21"/>
                <w:szCs w:val="21"/>
                <w:highlight w:val="none"/>
                <w:lang w:val="en-US" w:eastAsia="zh-CN"/>
              </w:rPr>
            </w:pPr>
            <w:r>
              <w:rPr>
                <w:rFonts w:hint="eastAsia" w:ascii="宋体" w:hAnsi="宋体" w:cs="Arial"/>
                <w:b w:val="0"/>
                <w:bCs w:val="0"/>
                <w:color w:val="auto"/>
                <w:sz w:val="21"/>
                <w:szCs w:val="21"/>
                <w:highlight w:val="none"/>
                <w:lang w:val="en-US" w:eastAsia="zh-CN"/>
              </w:rPr>
              <w:t>1、</w:t>
            </w:r>
            <w:r>
              <w:rPr>
                <w:rFonts w:hint="eastAsia" w:ascii="宋体" w:hAnsi="宋体" w:cs="Arial"/>
                <w:b w:val="0"/>
                <w:bCs w:val="0"/>
                <w:color w:val="auto"/>
                <w:sz w:val="21"/>
                <w:szCs w:val="21"/>
                <w:highlight w:val="none"/>
              </w:rPr>
              <w:t>投</w:t>
            </w:r>
            <w:r>
              <w:rPr>
                <w:rFonts w:hint="eastAsia" w:ascii="宋体" w:hAnsi="宋体" w:eastAsia="宋体" w:cs="Arial"/>
                <w:b w:val="0"/>
                <w:bCs w:val="0"/>
                <w:color w:val="auto"/>
                <w:sz w:val="21"/>
                <w:szCs w:val="21"/>
                <w:highlight w:val="none"/>
              </w:rPr>
              <w:t>标人提供龙湾办公场所（租赁或自有）或提供中标</w:t>
            </w:r>
            <w:r>
              <w:rPr>
                <w:rFonts w:hint="eastAsia" w:ascii="宋体" w:hAnsi="宋体" w:eastAsia="宋体" w:cs="Arial"/>
                <w:b w:val="0"/>
                <w:bCs w:val="0"/>
                <w:color w:val="auto"/>
                <w:sz w:val="21"/>
                <w:szCs w:val="21"/>
                <w:highlight w:val="none"/>
                <w:lang w:eastAsia="zh-CN"/>
              </w:rPr>
              <w:t>后</w:t>
            </w:r>
            <w:r>
              <w:rPr>
                <w:rFonts w:hint="eastAsia" w:ascii="宋体" w:hAnsi="宋体" w:eastAsia="宋体" w:cs="Arial"/>
                <w:b w:val="0"/>
                <w:bCs w:val="0"/>
                <w:color w:val="auto"/>
                <w:sz w:val="21"/>
                <w:szCs w:val="21"/>
                <w:highlight w:val="none"/>
              </w:rPr>
              <w:t>设立龙湾分公司承诺书盖章，原件扫描件上传（格式自拟）</w:t>
            </w:r>
            <w:r>
              <w:rPr>
                <w:rFonts w:hint="eastAsia" w:ascii="宋体" w:hAnsi="宋体" w:eastAsia="宋体" w:cs="Arial"/>
                <w:b w:val="0"/>
                <w:bCs w:val="0"/>
                <w:color w:val="auto"/>
                <w:sz w:val="21"/>
                <w:szCs w:val="21"/>
                <w:highlight w:val="none"/>
                <w:lang w:eastAsia="zh-CN"/>
              </w:rPr>
              <w:t>得</w:t>
            </w:r>
            <w:r>
              <w:rPr>
                <w:rFonts w:hint="eastAsia" w:ascii="宋体" w:hAnsi="宋体" w:eastAsia="宋体" w:cs="Arial"/>
                <w:b w:val="0"/>
                <w:bCs w:val="0"/>
                <w:color w:val="auto"/>
                <w:sz w:val="21"/>
                <w:szCs w:val="21"/>
                <w:highlight w:val="none"/>
                <w:lang w:val="en-US" w:eastAsia="zh-CN"/>
              </w:rPr>
              <w:t>3分。</w:t>
            </w:r>
          </w:p>
          <w:p>
            <w:pPr>
              <w:widowControl/>
              <w:spacing w:line="300" w:lineRule="exact"/>
              <w:ind w:right="3"/>
              <w:jc w:val="left"/>
              <w:rPr>
                <w:rFonts w:hint="default" w:ascii="宋体" w:hAnsi="宋体" w:eastAsia="宋体" w:cs="Arial"/>
                <w:b w:val="0"/>
                <w:bCs w:val="0"/>
                <w:color w:val="auto"/>
                <w:sz w:val="21"/>
                <w:szCs w:val="21"/>
                <w:highlight w:val="none"/>
                <w:lang w:val="en-US" w:eastAsia="zh-CN"/>
              </w:rPr>
            </w:pPr>
            <w:r>
              <w:rPr>
                <w:rFonts w:hint="eastAsia" w:ascii="宋体" w:hAnsi="宋体" w:eastAsia="宋体" w:cs="Arial"/>
                <w:b w:val="0"/>
                <w:bCs w:val="0"/>
                <w:color w:val="auto"/>
                <w:sz w:val="21"/>
                <w:szCs w:val="21"/>
                <w:highlight w:val="none"/>
                <w:lang w:val="en-US" w:eastAsia="zh-CN"/>
              </w:rPr>
              <w:t>2、不提供不得分。</w:t>
            </w:r>
          </w:p>
          <w:p>
            <w:pPr>
              <w:widowControl/>
              <w:spacing w:line="300" w:lineRule="exact"/>
              <w:ind w:right="3"/>
              <w:jc w:val="left"/>
              <w:rPr>
                <w:rFonts w:ascii="宋体" w:hAnsi="宋体" w:cs="Arial"/>
                <w:b w:val="0"/>
                <w:bCs w:val="0"/>
                <w:color w:val="auto"/>
                <w:sz w:val="21"/>
                <w:szCs w:val="21"/>
                <w:highlight w:val="none"/>
              </w:rPr>
            </w:pPr>
            <w:r>
              <w:rPr>
                <w:rFonts w:hint="eastAsia" w:ascii="宋体" w:hAnsi="宋体" w:eastAsia="宋体" w:cs="Arial"/>
                <w:b w:val="0"/>
                <w:bCs w:val="0"/>
                <w:color w:val="auto"/>
                <w:sz w:val="21"/>
                <w:szCs w:val="21"/>
                <w:highlight w:val="none"/>
              </w:rPr>
              <w:t>备注：如自有的需提供产权证明扫描件，如租赁的，需提供租赁合同扫描件，承诺函提供原件盖章上传。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61" w:hRule="atLeast"/>
          <w:jc w:val="center"/>
        </w:trPr>
        <w:tc>
          <w:tcPr>
            <w:tcW w:w="646" w:type="dxa"/>
            <w:noWrap w:val="0"/>
            <w:vAlign w:val="center"/>
          </w:tcPr>
          <w:p>
            <w:pPr>
              <w:spacing w:line="300" w:lineRule="exact"/>
              <w:rPr>
                <w:rFonts w:ascii="宋体" w:hAnsi="宋体" w:cs="Arial"/>
                <w:color w:val="auto"/>
                <w:sz w:val="21"/>
                <w:szCs w:val="21"/>
                <w:highlight w:val="none"/>
              </w:rPr>
            </w:pPr>
            <w:r>
              <w:rPr>
                <w:rFonts w:hint="eastAsia" w:ascii="宋体" w:hAnsi="宋体" w:cs="Arial"/>
                <w:color w:val="auto"/>
                <w:sz w:val="21"/>
                <w:szCs w:val="21"/>
                <w:highlight w:val="none"/>
              </w:rPr>
              <w:t>1</w:t>
            </w:r>
            <w:r>
              <w:rPr>
                <w:rFonts w:ascii="宋体" w:hAnsi="宋体" w:cs="Arial"/>
                <w:color w:val="auto"/>
                <w:sz w:val="21"/>
                <w:szCs w:val="21"/>
                <w:highlight w:val="none"/>
              </w:rPr>
              <w:t>1.</w:t>
            </w:r>
          </w:p>
        </w:tc>
        <w:tc>
          <w:tcPr>
            <w:tcW w:w="1555" w:type="dxa"/>
            <w:noWrap w:val="0"/>
            <w:vAlign w:val="center"/>
          </w:tcPr>
          <w:p>
            <w:pPr>
              <w:spacing w:line="300" w:lineRule="exact"/>
              <w:ind w:right="3"/>
              <w:jc w:val="center"/>
              <w:rPr>
                <w:rFonts w:ascii="宋体" w:hAnsi="宋体" w:cs="Arial"/>
                <w:color w:val="auto"/>
                <w:sz w:val="21"/>
                <w:szCs w:val="21"/>
                <w:highlight w:val="none"/>
              </w:rPr>
            </w:pPr>
            <w:r>
              <w:rPr>
                <w:rFonts w:hint="eastAsia" w:ascii="宋体" w:hAnsi="宋体" w:cs="Arial"/>
                <w:color w:val="auto"/>
                <w:sz w:val="21"/>
                <w:szCs w:val="21"/>
                <w:highlight w:val="none"/>
              </w:rPr>
              <w:t>进场交接方案</w:t>
            </w:r>
          </w:p>
        </w:tc>
        <w:tc>
          <w:tcPr>
            <w:tcW w:w="699" w:type="dxa"/>
            <w:noWrap w:val="0"/>
            <w:vAlign w:val="center"/>
          </w:tcPr>
          <w:p>
            <w:pPr>
              <w:spacing w:line="300" w:lineRule="exact"/>
              <w:ind w:right="3"/>
              <w:jc w:val="center"/>
              <w:rPr>
                <w:rFonts w:hint="eastAsia" w:ascii="宋体" w:hAnsi="宋体" w:cs="Arial"/>
                <w:color w:val="auto"/>
                <w:sz w:val="21"/>
                <w:szCs w:val="21"/>
                <w:highlight w:val="none"/>
              </w:rPr>
            </w:pPr>
            <w:r>
              <w:rPr>
                <w:rFonts w:hint="eastAsia" w:ascii="宋体" w:hAnsi="宋体" w:cs="Arial"/>
                <w:color w:val="auto"/>
                <w:sz w:val="21"/>
                <w:szCs w:val="21"/>
                <w:highlight w:val="none"/>
              </w:rPr>
              <w:t>5</w:t>
            </w:r>
          </w:p>
        </w:tc>
        <w:tc>
          <w:tcPr>
            <w:tcW w:w="6783" w:type="dxa"/>
            <w:noWrap w:val="0"/>
            <w:vAlign w:val="center"/>
          </w:tcPr>
          <w:p>
            <w:pPr>
              <w:numPr>
                <w:ilvl w:val="0"/>
                <w:numId w:val="0"/>
              </w:numPr>
              <w:spacing w:line="300" w:lineRule="exact"/>
              <w:ind w:leftChars="0" w:right="3" w:rightChars="0"/>
              <w:rPr>
                <w:rFonts w:ascii="宋体" w:hAnsi="宋体" w:eastAsia="宋体" w:cs="Arial"/>
                <w:color w:val="auto"/>
                <w:sz w:val="21"/>
                <w:szCs w:val="21"/>
                <w:highlight w:val="none"/>
              </w:rPr>
            </w:pPr>
            <w:r>
              <w:rPr>
                <w:rFonts w:hint="eastAsia" w:ascii="宋体" w:hAnsi="宋体" w:eastAsia="宋体" w:cs="Arial"/>
                <w:color w:val="auto"/>
                <w:sz w:val="21"/>
                <w:szCs w:val="21"/>
                <w:highlight w:val="none"/>
                <w:lang w:val="en-US" w:eastAsia="zh-CN"/>
              </w:rPr>
              <w:t>1、</w:t>
            </w:r>
            <w:r>
              <w:rPr>
                <w:rFonts w:hint="eastAsia" w:ascii="宋体" w:hAnsi="宋体" w:eastAsia="宋体" w:cs="Arial"/>
                <w:color w:val="auto"/>
                <w:sz w:val="21"/>
                <w:szCs w:val="21"/>
                <w:highlight w:val="none"/>
              </w:rPr>
              <w:t>方案</w:t>
            </w:r>
            <w:r>
              <w:rPr>
                <w:rFonts w:ascii="宋体" w:hAnsi="宋体" w:eastAsia="宋体" w:cs="Arial"/>
                <w:color w:val="auto"/>
                <w:sz w:val="21"/>
                <w:szCs w:val="21"/>
                <w:highlight w:val="none"/>
              </w:rPr>
              <w:t>科学合理、可操作性强，作业计划、排班合理，能切实保障本项目作业标准及质量要求</w:t>
            </w:r>
            <w:r>
              <w:rPr>
                <w:rFonts w:hint="eastAsia" w:ascii="宋体" w:hAnsi="宋体" w:eastAsia="宋体" w:cs="Arial"/>
                <w:color w:val="auto"/>
                <w:sz w:val="21"/>
                <w:szCs w:val="21"/>
                <w:highlight w:val="none"/>
              </w:rPr>
              <w:t>，</w:t>
            </w:r>
            <w:r>
              <w:rPr>
                <w:rFonts w:ascii="宋体" w:hAnsi="宋体" w:eastAsia="宋体" w:cs="Arial"/>
                <w:color w:val="auto"/>
                <w:sz w:val="21"/>
                <w:szCs w:val="21"/>
                <w:highlight w:val="none"/>
              </w:rPr>
              <w:t>得5分</w:t>
            </w:r>
            <w:r>
              <w:rPr>
                <w:rFonts w:hint="eastAsia" w:ascii="宋体" w:hAnsi="宋体" w:eastAsia="宋体" w:cs="Arial"/>
                <w:color w:val="auto"/>
                <w:sz w:val="21"/>
                <w:szCs w:val="21"/>
                <w:highlight w:val="none"/>
              </w:rPr>
              <w:t>。</w:t>
            </w:r>
          </w:p>
          <w:p>
            <w:pPr>
              <w:numPr>
                <w:ilvl w:val="0"/>
                <w:numId w:val="0"/>
              </w:numPr>
              <w:spacing w:line="300" w:lineRule="exact"/>
              <w:ind w:leftChars="0" w:right="3" w:rightChars="0"/>
              <w:rPr>
                <w:rFonts w:ascii="宋体" w:hAnsi="宋体" w:eastAsia="宋体" w:cs="Arial"/>
                <w:color w:val="auto"/>
                <w:sz w:val="21"/>
                <w:szCs w:val="21"/>
                <w:highlight w:val="none"/>
              </w:rPr>
            </w:pPr>
            <w:r>
              <w:rPr>
                <w:rFonts w:hint="eastAsia" w:ascii="宋体" w:hAnsi="宋体" w:eastAsia="宋体" w:cs="Arial"/>
                <w:color w:val="auto"/>
                <w:sz w:val="21"/>
                <w:szCs w:val="21"/>
                <w:highlight w:val="none"/>
                <w:lang w:val="en-US" w:eastAsia="zh-CN"/>
              </w:rPr>
              <w:t>2、</w:t>
            </w:r>
            <w:r>
              <w:rPr>
                <w:rFonts w:hint="eastAsia" w:ascii="宋体" w:hAnsi="宋体" w:eastAsia="宋体" w:cs="Arial"/>
                <w:color w:val="auto"/>
                <w:sz w:val="21"/>
                <w:szCs w:val="21"/>
                <w:highlight w:val="none"/>
              </w:rPr>
              <w:t>方案</w:t>
            </w:r>
            <w:r>
              <w:rPr>
                <w:rFonts w:ascii="宋体" w:hAnsi="宋体" w:eastAsia="宋体" w:cs="Arial"/>
                <w:color w:val="auto"/>
                <w:sz w:val="21"/>
                <w:szCs w:val="21"/>
                <w:highlight w:val="none"/>
              </w:rPr>
              <w:t>较科学合理、具备一定的可操作性，作业计划、排班较合理，基本能满足本项目作业标准及质量要求</w:t>
            </w:r>
            <w:r>
              <w:rPr>
                <w:rFonts w:hint="eastAsia" w:ascii="宋体" w:hAnsi="宋体" w:eastAsia="宋体" w:cs="Arial"/>
                <w:color w:val="auto"/>
                <w:sz w:val="21"/>
                <w:szCs w:val="21"/>
                <w:highlight w:val="none"/>
              </w:rPr>
              <w:t>，</w:t>
            </w:r>
            <w:r>
              <w:rPr>
                <w:rFonts w:ascii="宋体" w:hAnsi="宋体" w:eastAsia="宋体" w:cs="Arial"/>
                <w:color w:val="auto"/>
                <w:sz w:val="21"/>
                <w:szCs w:val="21"/>
                <w:highlight w:val="none"/>
              </w:rPr>
              <w:t>得</w:t>
            </w:r>
            <w:r>
              <w:rPr>
                <w:rFonts w:hint="eastAsia" w:ascii="宋体" w:hAnsi="宋体" w:eastAsia="宋体" w:cs="Arial"/>
                <w:color w:val="auto"/>
                <w:sz w:val="21"/>
                <w:szCs w:val="21"/>
                <w:highlight w:val="none"/>
                <w:lang w:val="en-US" w:eastAsia="zh-CN"/>
              </w:rPr>
              <w:t>4</w:t>
            </w:r>
            <w:r>
              <w:rPr>
                <w:rFonts w:ascii="宋体" w:hAnsi="宋体" w:eastAsia="宋体" w:cs="Arial"/>
                <w:color w:val="auto"/>
                <w:sz w:val="21"/>
                <w:szCs w:val="21"/>
                <w:highlight w:val="none"/>
              </w:rPr>
              <w:t>分</w:t>
            </w:r>
            <w:r>
              <w:rPr>
                <w:rFonts w:hint="eastAsia" w:ascii="宋体" w:hAnsi="宋体" w:eastAsia="宋体" w:cs="Arial"/>
                <w:color w:val="auto"/>
                <w:sz w:val="21"/>
                <w:szCs w:val="21"/>
                <w:highlight w:val="none"/>
              </w:rPr>
              <w:t>；</w:t>
            </w:r>
          </w:p>
          <w:p>
            <w:pPr>
              <w:numPr>
                <w:ilvl w:val="0"/>
                <w:numId w:val="0"/>
              </w:numPr>
              <w:spacing w:line="300" w:lineRule="exact"/>
              <w:ind w:leftChars="0" w:right="3" w:rightChars="0"/>
              <w:rPr>
                <w:rFonts w:hint="default" w:ascii="宋体" w:hAnsi="宋体" w:eastAsia="宋体" w:cs="Arial"/>
                <w:color w:val="auto"/>
                <w:sz w:val="21"/>
                <w:szCs w:val="21"/>
                <w:highlight w:val="none"/>
                <w:lang w:val="en-US" w:eastAsia="zh-CN"/>
              </w:rPr>
            </w:pPr>
            <w:r>
              <w:rPr>
                <w:rFonts w:hint="eastAsia" w:ascii="宋体" w:hAnsi="宋体" w:eastAsia="宋体" w:cs="Arial"/>
                <w:color w:val="auto"/>
                <w:sz w:val="21"/>
                <w:szCs w:val="21"/>
                <w:highlight w:val="none"/>
                <w:lang w:val="en-US" w:eastAsia="zh-CN"/>
              </w:rPr>
              <w:t>3、方案科学还算合理，但可操作性一般，不能较好的实施作业计划，得3分。</w:t>
            </w:r>
          </w:p>
          <w:p>
            <w:pPr>
              <w:numPr>
                <w:ilvl w:val="0"/>
                <w:numId w:val="0"/>
              </w:numPr>
              <w:spacing w:line="300" w:lineRule="exact"/>
              <w:ind w:leftChars="0" w:right="3" w:rightChars="0"/>
              <w:rPr>
                <w:rFonts w:ascii="宋体" w:hAnsi="宋体" w:eastAsia="宋体" w:cs="Arial"/>
                <w:color w:val="auto"/>
                <w:sz w:val="21"/>
                <w:szCs w:val="21"/>
                <w:highlight w:val="none"/>
              </w:rPr>
            </w:pPr>
            <w:r>
              <w:rPr>
                <w:rFonts w:hint="eastAsia" w:ascii="宋体" w:hAnsi="宋体" w:eastAsia="宋体" w:cs="Arial"/>
                <w:color w:val="auto"/>
                <w:sz w:val="21"/>
                <w:szCs w:val="21"/>
                <w:highlight w:val="none"/>
                <w:lang w:val="en-US" w:eastAsia="zh-CN"/>
              </w:rPr>
              <w:t>4</w:t>
            </w:r>
            <w:r>
              <w:rPr>
                <w:rFonts w:hint="eastAsia" w:ascii="宋体" w:hAnsi="宋体" w:eastAsia="宋体" w:cs="Arial"/>
                <w:color w:val="auto"/>
                <w:sz w:val="21"/>
                <w:szCs w:val="21"/>
                <w:highlight w:val="none"/>
              </w:rPr>
              <w:t>、方案</w:t>
            </w:r>
            <w:r>
              <w:rPr>
                <w:rFonts w:ascii="宋体" w:hAnsi="宋体" w:eastAsia="宋体" w:cs="Arial"/>
                <w:color w:val="auto"/>
                <w:sz w:val="21"/>
                <w:szCs w:val="21"/>
                <w:highlight w:val="none"/>
              </w:rPr>
              <w:t>不合理，作业计划、排班不详细，难以实现本项目作业标准及质量要求</w:t>
            </w:r>
            <w:r>
              <w:rPr>
                <w:rFonts w:hint="eastAsia" w:ascii="宋体" w:hAnsi="宋体" w:eastAsia="宋体" w:cs="Arial"/>
                <w:color w:val="auto"/>
                <w:sz w:val="21"/>
                <w:szCs w:val="21"/>
                <w:highlight w:val="none"/>
              </w:rPr>
              <w:t>，</w:t>
            </w:r>
            <w:r>
              <w:rPr>
                <w:rFonts w:ascii="宋体" w:hAnsi="宋体" w:eastAsia="宋体" w:cs="Arial"/>
                <w:color w:val="auto"/>
                <w:sz w:val="21"/>
                <w:szCs w:val="21"/>
                <w:highlight w:val="none"/>
              </w:rPr>
              <w:t>得</w:t>
            </w:r>
            <w:r>
              <w:rPr>
                <w:rFonts w:hint="eastAsia" w:ascii="宋体" w:hAnsi="宋体" w:eastAsia="宋体" w:cs="Arial"/>
                <w:color w:val="auto"/>
                <w:sz w:val="21"/>
                <w:szCs w:val="21"/>
                <w:highlight w:val="none"/>
              </w:rPr>
              <w:t>1</w:t>
            </w:r>
            <w:r>
              <w:rPr>
                <w:rFonts w:ascii="宋体" w:hAnsi="宋体" w:eastAsia="宋体" w:cs="Arial"/>
                <w:color w:val="auto"/>
                <w:sz w:val="21"/>
                <w:szCs w:val="21"/>
                <w:highlight w:val="none"/>
              </w:rPr>
              <w:t>分</w:t>
            </w:r>
            <w:r>
              <w:rPr>
                <w:rFonts w:hint="eastAsia" w:ascii="宋体" w:hAnsi="宋体" w:eastAsia="宋体" w:cs="Arial"/>
                <w:color w:val="auto"/>
                <w:sz w:val="21"/>
                <w:szCs w:val="21"/>
                <w:highlight w:val="none"/>
              </w:rPr>
              <w:t>；</w:t>
            </w:r>
          </w:p>
          <w:p>
            <w:pPr>
              <w:numPr>
                <w:ilvl w:val="0"/>
                <w:numId w:val="0"/>
              </w:numPr>
              <w:spacing w:line="300" w:lineRule="exact"/>
              <w:ind w:leftChars="0" w:right="3" w:rightChars="0"/>
              <w:rPr>
                <w:rFonts w:hint="eastAsia" w:ascii="宋体" w:hAnsi="宋体" w:cs="Arial"/>
                <w:color w:val="auto"/>
                <w:sz w:val="21"/>
                <w:szCs w:val="21"/>
                <w:highlight w:val="none"/>
              </w:rPr>
            </w:pPr>
            <w:r>
              <w:rPr>
                <w:rFonts w:hint="eastAsia" w:ascii="宋体" w:hAnsi="宋体" w:eastAsia="宋体" w:cs="Arial"/>
                <w:color w:val="auto"/>
                <w:sz w:val="21"/>
                <w:szCs w:val="21"/>
                <w:highlight w:val="none"/>
                <w:lang w:val="en-US" w:eastAsia="zh-CN"/>
              </w:rPr>
              <w:t>5</w:t>
            </w:r>
            <w:r>
              <w:rPr>
                <w:rFonts w:hint="eastAsia" w:ascii="宋体" w:hAnsi="宋体" w:eastAsia="宋体" w:cs="Arial"/>
                <w:color w:val="auto"/>
                <w:sz w:val="21"/>
                <w:szCs w:val="21"/>
                <w:highlight w:val="none"/>
              </w:rPr>
              <w:t>、不提供不得分。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61" w:hRule="atLeast"/>
          <w:jc w:val="center"/>
        </w:trPr>
        <w:tc>
          <w:tcPr>
            <w:tcW w:w="646" w:type="dxa"/>
            <w:noWrap w:val="0"/>
            <w:vAlign w:val="center"/>
          </w:tcPr>
          <w:p>
            <w:pPr>
              <w:spacing w:line="300" w:lineRule="exact"/>
              <w:rPr>
                <w:rFonts w:hint="eastAsia" w:ascii="宋体" w:hAnsi="宋体" w:cs="Arial"/>
                <w:color w:val="auto"/>
                <w:sz w:val="21"/>
                <w:szCs w:val="21"/>
                <w:highlight w:val="none"/>
              </w:rPr>
            </w:pPr>
            <w:r>
              <w:rPr>
                <w:rFonts w:hint="eastAsia" w:ascii="宋体" w:hAnsi="宋体" w:cs="Arial"/>
                <w:color w:val="auto"/>
                <w:sz w:val="21"/>
                <w:szCs w:val="21"/>
                <w:highlight w:val="none"/>
              </w:rPr>
              <w:t>1</w:t>
            </w:r>
            <w:r>
              <w:rPr>
                <w:rFonts w:ascii="宋体" w:hAnsi="宋体" w:cs="Arial"/>
                <w:color w:val="auto"/>
                <w:sz w:val="21"/>
                <w:szCs w:val="21"/>
                <w:highlight w:val="none"/>
              </w:rPr>
              <w:t>2</w:t>
            </w:r>
          </w:p>
        </w:tc>
        <w:tc>
          <w:tcPr>
            <w:tcW w:w="1555" w:type="dxa"/>
            <w:noWrap w:val="0"/>
            <w:vAlign w:val="center"/>
          </w:tcPr>
          <w:p>
            <w:pPr>
              <w:spacing w:line="300" w:lineRule="exact"/>
              <w:ind w:right="3"/>
              <w:jc w:val="center"/>
              <w:rPr>
                <w:rFonts w:hint="eastAsia" w:ascii="宋体" w:hAnsi="宋体" w:cs="Arial"/>
                <w:color w:val="auto"/>
                <w:sz w:val="21"/>
                <w:szCs w:val="21"/>
                <w:highlight w:val="none"/>
              </w:rPr>
            </w:pPr>
            <w:r>
              <w:rPr>
                <w:rFonts w:hint="eastAsia" w:ascii="宋体" w:hAnsi="宋体" w:cs="Arial"/>
                <w:color w:val="auto"/>
                <w:sz w:val="21"/>
                <w:szCs w:val="21"/>
                <w:highlight w:val="none"/>
              </w:rPr>
              <w:t>优惠条件方案</w:t>
            </w:r>
          </w:p>
        </w:tc>
        <w:tc>
          <w:tcPr>
            <w:tcW w:w="699" w:type="dxa"/>
            <w:noWrap w:val="0"/>
            <w:vAlign w:val="center"/>
          </w:tcPr>
          <w:p>
            <w:pPr>
              <w:spacing w:line="300" w:lineRule="exact"/>
              <w:ind w:right="3"/>
              <w:jc w:val="center"/>
              <w:rPr>
                <w:rFonts w:hint="eastAsia" w:ascii="宋体" w:hAnsi="宋体" w:cs="Arial"/>
                <w:color w:val="auto"/>
                <w:sz w:val="21"/>
                <w:szCs w:val="21"/>
                <w:highlight w:val="none"/>
              </w:rPr>
            </w:pPr>
            <w:r>
              <w:rPr>
                <w:rFonts w:hint="eastAsia" w:ascii="宋体" w:hAnsi="宋体" w:cs="Arial"/>
                <w:color w:val="auto"/>
                <w:sz w:val="21"/>
                <w:szCs w:val="21"/>
                <w:highlight w:val="none"/>
              </w:rPr>
              <w:t>5</w:t>
            </w:r>
          </w:p>
        </w:tc>
        <w:tc>
          <w:tcPr>
            <w:tcW w:w="6783" w:type="dxa"/>
            <w:noWrap w:val="0"/>
            <w:vAlign w:val="center"/>
          </w:tcPr>
          <w:p>
            <w:pPr>
              <w:spacing w:line="300" w:lineRule="exact"/>
              <w:ind w:right="3"/>
              <w:rPr>
                <w:rFonts w:hint="eastAsia" w:ascii="宋体" w:hAnsi="宋体" w:eastAsia="宋体" w:cs="Arial"/>
                <w:color w:val="auto"/>
                <w:sz w:val="21"/>
                <w:szCs w:val="21"/>
                <w:highlight w:val="none"/>
              </w:rPr>
            </w:pPr>
            <w:r>
              <w:rPr>
                <w:rFonts w:hint="eastAsia" w:ascii="宋体" w:hAnsi="宋体" w:eastAsia="宋体" w:cs="Arial"/>
                <w:color w:val="auto"/>
                <w:sz w:val="21"/>
                <w:szCs w:val="21"/>
                <w:highlight w:val="none"/>
                <w:lang w:eastAsia="zh-CN"/>
              </w:rPr>
              <w:t>优惠方案中能体现</w:t>
            </w:r>
            <w:r>
              <w:rPr>
                <w:rFonts w:hint="eastAsia" w:ascii="宋体" w:hAnsi="宋体" w:eastAsia="宋体" w:cs="Arial"/>
                <w:color w:val="auto"/>
                <w:sz w:val="21"/>
                <w:szCs w:val="21"/>
                <w:highlight w:val="none"/>
              </w:rPr>
              <w:t>员工的工会福利、组织人员积极参于配合业主组织的活动、</w:t>
            </w:r>
            <w:r>
              <w:rPr>
                <w:rFonts w:hint="eastAsia" w:ascii="宋体" w:hAnsi="宋体" w:eastAsia="宋体" w:cs="Arial"/>
                <w:color w:val="auto"/>
                <w:sz w:val="21"/>
                <w:szCs w:val="21"/>
                <w:highlight w:val="none"/>
                <w:lang w:eastAsia="zh-CN"/>
              </w:rPr>
              <w:t>公益</w:t>
            </w:r>
            <w:r>
              <w:rPr>
                <w:rFonts w:hint="eastAsia" w:ascii="宋体" w:hAnsi="宋体" w:eastAsia="宋体" w:cs="Arial"/>
                <w:color w:val="auto"/>
                <w:sz w:val="21"/>
                <w:szCs w:val="21"/>
                <w:highlight w:val="none"/>
              </w:rPr>
              <w:t>慈善等承诺</w:t>
            </w:r>
            <w:r>
              <w:rPr>
                <w:rFonts w:hint="eastAsia" w:ascii="宋体" w:hAnsi="宋体" w:eastAsia="宋体" w:cs="Arial"/>
                <w:color w:val="auto"/>
                <w:sz w:val="21"/>
                <w:szCs w:val="21"/>
                <w:highlight w:val="none"/>
                <w:lang w:eastAsia="zh-CN"/>
              </w:rPr>
              <w:t>打分</w:t>
            </w:r>
            <w:r>
              <w:rPr>
                <w:rFonts w:hint="eastAsia" w:ascii="宋体" w:hAnsi="宋体" w:eastAsia="宋体" w:cs="Arial"/>
                <w:color w:val="auto"/>
                <w:sz w:val="21"/>
                <w:szCs w:val="21"/>
                <w:highlight w:val="none"/>
              </w:rPr>
              <w:t>，作出的优惠条件</w:t>
            </w:r>
            <w:r>
              <w:rPr>
                <w:rFonts w:hint="eastAsia" w:ascii="宋体" w:hAnsi="宋体" w:eastAsia="宋体" w:cs="Arial"/>
                <w:color w:val="auto"/>
                <w:sz w:val="21"/>
                <w:szCs w:val="21"/>
                <w:highlight w:val="none"/>
                <w:lang w:eastAsia="zh-CN"/>
              </w:rPr>
              <w:t>将</w:t>
            </w:r>
            <w:r>
              <w:rPr>
                <w:rFonts w:hint="eastAsia" w:ascii="宋体" w:hAnsi="宋体" w:eastAsia="宋体" w:cs="Arial"/>
                <w:color w:val="auto"/>
                <w:sz w:val="21"/>
                <w:szCs w:val="21"/>
                <w:highlight w:val="none"/>
              </w:rPr>
              <w:t>列入合同的履行职责内。</w:t>
            </w:r>
          </w:p>
          <w:p>
            <w:pPr>
              <w:spacing w:line="300" w:lineRule="exact"/>
              <w:ind w:right="3"/>
              <w:rPr>
                <w:rFonts w:hint="eastAsia" w:ascii="宋体" w:hAnsi="宋体" w:eastAsia="宋体" w:cs="Arial"/>
                <w:color w:val="auto"/>
                <w:sz w:val="21"/>
                <w:szCs w:val="21"/>
                <w:highlight w:val="none"/>
              </w:rPr>
            </w:pPr>
            <w:r>
              <w:rPr>
                <w:rFonts w:hint="eastAsia" w:ascii="宋体" w:hAnsi="宋体" w:eastAsia="宋体" w:cs="Arial"/>
                <w:color w:val="auto"/>
                <w:sz w:val="21"/>
                <w:szCs w:val="21"/>
                <w:highlight w:val="none"/>
                <w:lang w:val="en-US" w:eastAsia="zh-CN"/>
              </w:rPr>
              <w:t>1、</w:t>
            </w:r>
            <w:r>
              <w:rPr>
                <w:rFonts w:hint="eastAsia" w:ascii="宋体" w:hAnsi="宋体" w:eastAsia="宋体" w:cs="Arial"/>
                <w:color w:val="auto"/>
                <w:sz w:val="21"/>
                <w:szCs w:val="21"/>
                <w:highlight w:val="none"/>
              </w:rPr>
              <w:t>方案科学合理、</w:t>
            </w:r>
            <w:r>
              <w:rPr>
                <w:rFonts w:hint="eastAsia" w:ascii="宋体" w:hAnsi="宋体" w:eastAsia="宋体" w:cs="Arial"/>
                <w:color w:val="auto"/>
                <w:sz w:val="21"/>
                <w:szCs w:val="21"/>
                <w:highlight w:val="none"/>
                <w:lang w:eastAsia="zh-CN"/>
              </w:rPr>
              <w:t>非常适用、</w:t>
            </w:r>
            <w:r>
              <w:rPr>
                <w:rFonts w:hint="eastAsia" w:ascii="宋体" w:hAnsi="宋体" w:eastAsia="宋体" w:cs="Arial"/>
                <w:color w:val="auto"/>
                <w:sz w:val="21"/>
                <w:szCs w:val="21"/>
                <w:highlight w:val="none"/>
              </w:rPr>
              <w:t>可操作性强得5分。</w:t>
            </w:r>
          </w:p>
          <w:p>
            <w:pPr>
              <w:spacing w:line="300" w:lineRule="exact"/>
              <w:ind w:right="3"/>
              <w:rPr>
                <w:rFonts w:hint="eastAsia" w:ascii="宋体" w:hAnsi="宋体" w:eastAsia="宋体" w:cs="Arial"/>
                <w:color w:val="auto"/>
                <w:sz w:val="21"/>
                <w:szCs w:val="21"/>
                <w:highlight w:val="none"/>
              </w:rPr>
            </w:pPr>
            <w:r>
              <w:rPr>
                <w:rFonts w:hint="eastAsia" w:ascii="宋体" w:hAnsi="宋体" w:eastAsia="宋体" w:cs="Arial"/>
                <w:color w:val="auto"/>
                <w:sz w:val="21"/>
                <w:szCs w:val="21"/>
                <w:highlight w:val="none"/>
                <w:lang w:val="en-US" w:eastAsia="zh-CN"/>
              </w:rPr>
              <w:t>2、</w:t>
            </w:r>
            <w:r>
              <w:rPr>
                <w:rFonts w:hint="eastAsia" w:ascii="宋体" w:hAnsi="宋体" w:eastAsia="宋体" w:cs="Arial"/>
                <w:color w:val="auto"/>
                <w:sz w:val="21"/>
                <w:szCs w:val="21"/>
                <w:highlight w:val="none"/>
              </w:rPr>
              <w:t>方案较合理、</w:t>
            </w:r>
            <w:r>
              <w:rPr>
                <w:rFonts w:hint="eastAsia" w:ascii="宋体" w:hAnsi="宋体" w:eastAsia="宋体" w:cs="Arial"/>
                <w:color w:val="auto"/>
                <w:sz w:val="21"/>
                <w:szCs w:val="21"/>
                <w:highlight w:val="none"/>
                <w:lang w:eastAsia="zh-CN"/>
              </w:rPr>
              <w:t>比较适用、</w:t>
            </w:r>
            <w:r>
              <w:rPr>
                <w:rFonts w:hint="eastAsia" w:ascii="宋体" w:hAnsi="宋体" w:eastAsia="宋体" w:cs="Arial"/>
                <w:color w:val="auto"/>
                <w:sz w:val="21"/>
                <w:szCs w:val="21"/>
                <w:highlight w:val="none"/>
              </w:rPr>
              <w:t>具备可操作性的得3分。</w:t>
            </w:r>
          </w:p>
          <w:p>
            <w:pPr>
              <w:spacing w:line="300" w:lineRule="exact"/>
              <w:ind w:right="3"/>
              <w:rPr>
                <w:rFonts w:hint="eastAsia" w:ascii="宋体" w:hAnsi="宋体" w:eastAsia="宋体" w:cs="Arial"/>
                <w:color w:val="auto"/>
                <w:sz w:val="21"/>
                <w:szCs w:val="21"/>
                <w:highlight w:val="none"/>
              </w:rPr>
            </w:pPr>
            <w:r>
              <w:rPr>
                <w:rFonts w:hint="eastAsia" w:ascii="宋体" w:hAnsi="宋体" w:eastAsia="宋体" w:cs="Arial"/>
                <w:color w:val="auto"/>
                <w:sz w:val="21"/>
                <w:szCs w:val="21"/>
                <w:highlight w:val="none"/>
                <w:lang w:val="en-US" w:eastAsia="zh-CN"/>
              </w:rPr>
              <w:t>3、</w:t>
            </w:r>
            <w:r>
              <w:rPr>
                <w:rFonts w:hint="eastAsia" w:ascii="宋体" w:hAnsi="宋体" w:eastAsia="宋体" w:cs="Arial"/>
                <w:color w:val="auto"/>
                <w:sz w:val="21"/>
                <w:szCs w:val="21"/>
                <w:highlight w:val="none"/>
              </w:rPr>
              <w:t>方案不切实际，难操作的得1分。</w:t>
            </w:r>
          </w:p>
          <w:p>
            <w:pPr>
              <w:spacing w:line="300" w:lineRule="exact"/>
              <w:ind w:right="3"/>
              <w:rPr>
                <w:rFonts w:hint="eastAsia"/>
                <w:color w:val="auto"/>
                <w:highlight w:val="none"/>
              </w:rPr>
            </w:pPr>
            <w:r>
              <w:rPr>
                <w:rFonts w:hint="eastAsia" w:ascii="宋体" w:hAnsi="宋体" w:eastAsia="宋体" w:cs="Arial"/>
                <w:color w:val="auto"/>
                <w:sz w:val="21"/>
                <w:szCs w:val="21"/>
                <w:highlight w:val="none"/>
                <w:lang w:val="en-US" w:eastAsia="zh-CN"/>
              </w:rPr>
              <w:t>4、</w:t>
            </w:r>
            <w:r>
              <w:rPr>
                <w:rFonts w:hint="eastAsia" w:ascii="宋体" w:hAnsi="宋体" w:eastAsia="宋体" w:cs="Arial"/>
                <w:color w:val="auto"/>
                <w:sz w:val="21"/>
                <w:szCs w:val="21"/>
                <w:highlight w:val="none"/>
              </w:rPr>
              <w:t>不提供不得分。</w:t>
            </w:r>
          </w:p>
        </w:tc>
      </w:tr>
    </w:tbl>
    <w:p>
      <w:pPr>
        <w:spacing w:line="360" w:lineRule="exact"/>
        <w:ind w:firstLine="422" w:firstLineChars="200"/>
        <w:rPr>
          <w:rFonts w:ascii="宋体" w:hAnsi="宋体" w:cs="宋体"/>
          <w:b/>
          <w:color w:val="auto"/>
          <w:sz w:val="21"/>
          <w:szCs w:val="21"/>
          <w:highlight w:val="none"/>
        </w:rPr>
      </w:pPr>
      <w:r>
        <w:rPr>
          <w:rFonts w:hint="eastAsia" w:ascii="宋体" w:hAnsi="宋体" w:cs="宋体"/>
          <w:b/>
          <w:color w:val="auto"/>
          <w:sz w:val="21"/>
          <w:szCs w:val="21"/>
          <w:highlight w:val="none"/>
        </w:rPr>
        <w:t>2、价格分（30分）</w:t>
      </w:r>
    </w:p>
    <w:p>
      <w:pPr>
        <w:spacing w:line="360" w:lineRule="exact"/>
        <w:ind w:firstLine="420" w:firstLineChars="200"/>
        <w:rPr>
          <w:rFonts w:ascii="宋体" w:hAnsi="宋体"/>
          <w:bCs/>
          <w:color w:val="auto"/>
          <w:sz w:val="21"/>
          <w:szCs w:val="21"/>
          <w:highlight w:val="none"/>
        </w:rPr>
      </w:pPr>
      <w:bookmarkStart w:id="355" w:name="_Toc221356966"/>
      <w:bookmarkStart w:id="356" w:name="_Toc221356903"/>
      <w:r>
        <w:rPr>
          <w:rFonts w:hint="eastAsia" w:ascii="宋体" w:hAnsi="宋体"/>
          <w:bCs/>
          <w:color w:val="auto"/>
          <w:sz w:val="21"/>
          <w:szCs w:val="21"/>
          <w:highlight w:val="none"/>
        </w:rPr>
        <w:t>1）价格分采用低价优先法计算，即满足招标文件要求且投标价格最低的投标报价为评标基准价，其价格分为满分。其他投标人的价格分按照下列公式计算：</w:t>
      </w:r>
    </w:p>
    <w:p>
      <w:pPr>
        <w:spacing w:line="360" w:lineRule="exact"/>
        <w:ind w:firstLine="420" w:firstLineChars="200"/>
        <w:rPr>
          <w:rFonts w:ascii="宋体" w:hAnsi="宋体"/>
          <w:bCs/>
          <w:color w:val="auto"/>
          <w:sz w:val="21"/>
          <w:szCs w:val="21"/>
          <w:highlight w:val="none"/>
        </w:rPr>
      </w:pPr>
      <w:r>
        <w:rPr>
          <w:rFonts w:hint="eastAsia" w:ascii="宋体" w:hAnsi="宋体"/>
          <w:bCs/>
          <w:color w:val="auto"/>
          <w:sz w:val="21"/>
          <w:szCs w:val="21"/>
          <w:highlight w:val="none"/>
        </w:rPr>
        <w:t>投标报价得分=（评标基准价/投标报价）×30%×100</w:t>
      </w:r>
    </w:p>
    <w:p>
      <w:pPr>
        <w:spacing w:line="360" w:lineRule="exact"/>
        <w:ind w:firstLine="420" w:firstLineChars="200"/>
        <w:rPr>
          <w:rFonts w:hint="eastAsia" w:ascii="宋体" w:hAnsi="宋体"/>
          <w:bCs/>
          <w:color w:val="auto"/>
          <w:sz w:val="21"/>
          <w:szCs w:val="21"/>
          <w:highlight w:val="none"/>
        </w:rPr>
      </w:pPr>
      <w:r>
        <w:rPr>
          <w:rFonts w:hint="eastAsia" w:ascii="宋体" w:hAnsi="宋体"/>
          <w:bCs/>
          <w:color w:val="auto"/>
          <w:sz w:val="21"/>
          <w:szCs w:val="21"/>
          <w:highlight w:val="none"/>
        </w:rPr>
        <w:t>2）投标人投标价格超出采购预算或最高限价（</w:t>
      </w:r>
      <w:r>
        <w:rPr>
          <w:rFonts w:hint="eastAsia" w:ascii="宋体" w:hAnsi="宋体"/>
          <w:b/>
          <w:bCs/>
          <w:color w:val="auto"/>
          <w:sz w:val="21"/>
          <w:szCs w:val="21"/>
          <w:highlight w:val="none"/>
        </w:rPr>
        <w:t>采购预算67613231</w:t>
      </w:r>
      <w:r>
        <w:rPr>
          <w:rFonts w:hint="eastAsia" w:ascii="宋体" w:hAnsi="宋体"/>
          <w:bCs/>
          <w:color w:val="auto"/>
          <w:sz w:val="21"/>
          <w:szCs w:val="21"/>
          <w:highlight w:val="none"/>
        </w:rPr>
        <w:t>），其投标文件作无效标处理。</w:t>
      </w:r>
    </w:p>
    <w:p>
      <w:pPr>
        <w:pStyle w:val="19"/>
        <w:spacing w:line="360" w:lineRule="exact"/>
        <w:ind w:firstLine="404" w:firstLineChars="200"/>
        <w:jc w:val="left"/>
        <w:rPr>
          <w:rFonts w:hAnsi="宋体"/>
          <w:color w:val="auto"/>
          <w:sz w:val="21"/>
          <w:szCs w:val="21"/>
          <w:highlight w:val="none"/>
        </w:rPr>
      </w:pPr>
    </w:p>
    <w:p>
      <w:pPr>
        <w:pStyle w:val="6"/>
        <w:spacing w:before="120" w:beforeLines="50" w:after="0" w:line="360" w:lineRule="auto"/>
        <w:jc w:val="center"/>
        <w:rPr>
          <w:rFonts w:ascii="宋体" w:hAnsi="宋体" w:cs="宋体"/>
          <w:color w:val="auto"/>
          <w:sz w:val="21"/>
          <w:szCs w:val="21"/>
          <w:highlight w:val="none"/>
        </w:rPr>
      </w:pPr>
      <w:bookmarkStart w:id="357" w:name="_Toc105438841"/>
      <w:bookmarkStart w:id="358" w:name="_Toc105435555"/>
      <w:bookmarkStart w:id="359" w:name="_Toc105435683"/>
      <w:bookmarkStart w:id="360" w:name="_Toc105435741"/>
      <w:r>
        <w:rPr>
          <w:rFonts w:hint="eastAsia" w:ascii="宋体" w:hAnsi="宋体" w:cs="宋体"/>
          <w:color w:val="auto"/>
          <w:sz w:val="21"/>
          <w:szCs w:val="21"/>
          <w:highlight w:val="none"/>
        </w:rPr>
        <w:t>六、确定中标单位</w:t>
      </w:r>
      <w:bookmarkEnd w:id="355"/>
      <w:bookmarkEnd w:id="356"/>
      <w:bookmarkEnd w:id="357"/>
      <w:bookmarkEnd w:id="358"/>
      <w:bookmarkEnd w:id="359"/>
      <w:bookmarkEnd w:id="360"/>
    </w:p>
    <w:p>
      <w:pPr>
        <w:spacing w:line="360" w:lineRule="exact"/>
        <w:ind w:firstLine="420" w:firstLineChars="200"/>
        <w:rPr>
          <w:rFonts w:hint="eastAsia" w:ascii="宋体" w:hAnsi="宋体" w:cs="宋体"/>
          <w:color w:val="auto"/>
          <w:sz w:val="21"/>
          <w:szCs w:val="21"/>
          <w:highlight w:val="none"/>
        </w:rPr>
      </w:pPr>
      <w:bookmarkStart w:id="361" w:name="_Toc221356967"/>
      <w:bookmarkStart w:id="362" w:name="_Toc221356904"/>
      <w:r>
        <w:rPr>
          <w:rFonts w:hint="eastAsia" w:ascii="宋体" w:hAnsi="宋体" w:cs="宋体"/>
          <w:color w:val="auto"/>
          <w:sz w:val="21"/>
          <w:szCs w:val="21"/>
          <w:highlight w:val="none"/>
        </w:rPr>
        <w:t>采购人根据评标委员会推荐的中标候选人确定中标单位。中标单位确定后，中标结果在指定的信息发布媒体上公告，在发布中标公告的同时，采购人和采购代理机构将向中标单位发出中标通知书。中标通知书对采购人和中标单位具有同等法律效力。</w:t>
      </w:r>
    </w:p>
    <w:p>
      <w:pPr>
        <w:pStyle w:val="2"/>
        <w:ind w:firstLine="280"/>
        <w:rPr>
          <w:color w:val="auto"/>
          <w:highlight w:val="none"/>
        </w:rPr>
      </w:pPr>
    </w:p>
    <w:p>
      <w:pPr>
        <w:pStyle w:val="6"/>
        <w:spacing w:before="120" w:beforeLines="50" w:after="0" w:line="360" w:lineRule="auto"/>
        <w:jc w:val="center"/>
        <w:rPr>
          <w:rFonts w:hint="eastAsia" w:ascii="宋体" w:hAnsi="宋体" w:cs="宋体"/>
          <w:color w:val="auto"/>
          <w:sz w:val="21"/>
          <w:szCs w:val="21"/>
          <w:highlight w:val="none"/>
        </w:rPr>
      </w:pPr>
      <w:bookmarkStart w:id="363" w:name="_Toc105435556"/>
      <w:bookmarkStart w:id="364" w:name="_Toc105435684"/>
      <w:bookmarkStart w:id="365" w:name="_Toc105435742"/>
      <w:bookmarkStart w:id="366" w:name="_Toc105438842"/>
      <w:r>
        <w:rPr>
          <w:rFonts w:hint="eastAsia" w:ascii="宋体" w:hAnsi="宋体" w:cs="宋体"/>
          <w:color w:val="auto"/>
          <w:sz w:val="21"/>
          <w:szCs w:val="21"/>
          <w:highlight w:val="none"/>
        </w:rPr>
        <w:t>七、</w:t>
      </w:r>
      <w:bookmarkEnd w:id="361"/>
      <w:bookmarkEnd w:id="362"/>
      <w:r>
        <w:rPr>
          <w:rFonts w:hint="eastAsia" w:ascii="宋体" w:hAnsi="宋体" w:cs="宋体"/>
          <w:color w:val="auto"/>
          <w:sz w:val="21"/>
          <w:szCs w:val="21"/>
          <w:highlight w:val="none"/>
        </w:rPr>
        <w:t>定标办法</w:t>
      </w:r>
      <w:bookmarkEnd w:id="363"/>
      <w:bookmarkEnd w:id="364"/>
      <w:bookmarkEnd w:id="365"/>
      <w:bookmarkEnd w:id="366"/>
    </w:p>
    <w:p>
      <w:pPr>
        <w:snapToGrid w:val="0"/>
        <w:spacing w:line="360" w:lineRule="exact"/>
        <w:ind w:firstLine="420" w:firstLineChars="200"/>
        <w:jc w:val="left"/>
        <w:rPr>
          <w:rFonts w:ascii="宋体" w:hAnsi="宋体" w:cs="hakuyoxingshu7000"/>
          <w:color w:val="auto"/>
          <w:sz w:val="21"/>
          <w:szCs w:val="21"/>
          <w:highlight w:val="none"/>
        </w:rPr>
      </w:pPr>
      <w:r>
        <w:rPr>
          <w:rFonts w:hint="eastAsia" w:ascii="宋体" w:hAnsi="宋体" w:cs="hakuyoxingshu7000"/>
          <w:color w:val="auto"/>
          <w:sz w:val="21"/>
          <w:szCs w:val="21"/>
          <w:highlight w:val="none"/>
        </w:rPr>
        <w:t>如中标单位放弃中标；因不可抗力或自身原因提出不能履行合同；或者招标文件规定或合同约定应当提交履约保证金而在规定的期限内未能提交的；或未能在规定时间内与采购人签订合同的；或在规定时间内借故否认已经承诺的条件而拒签合同的；或已签合同却拒绝按合同约定履约的；或者经质疑，采购人审查后，确因中标单位在本次采购活动中存在违法违规行为或其他原因使质疑成立的，采购人可视具体情况，可以按照评标报告推荐的中标候选人名单排序，确定下一候选人为中标，也可以重新开展政府采购活动。</w:t>
      </w:r>
    </w:p>
    <w:p>
      <w:pPr>
        <w:rPr>
          <w:color w:val="auto"/>
          <w:highlight w:val="none"/>
        </w:rPr>
      </w:pPr>
    </w:p>
    <w:p>
      <w:pPr>
        <w:pStyle w:val="6"/>
        <w:spacing w:before="120" w:beforeLines="50" w:after="0" w:line="360" w:lineRule="auto"/>
        <w:jc w:val="center"/>
        <w:rPr>
          <w:rFonts w:ascii="宋体" w:hAnsi="宋体" w:cs="宋体"/>
          <w:color w:val="auto"/>
          <w:sz w:val="21"/>
          <w:szCs w:val="21"/>
          <w:highlight w:val="none"/>
        </w:rPr>
      </w:pPr>
      <w:bookmarkStart w:id="367" w:name="_Toc105435743"/>
      <w:bookmarkStart w:id="368" w:name="_Toc221356905"/>
      <w:bookmarkStart w:id="369" w:name="_Toc105435685"/>
      <w:bookmarkStart w:id="370" w:name="_Toc105438843"/>
      <w:bookmarkStart w:id="371" w:name="_Toc221356968"/>
      <w:bookmarkStart w:id="372" w:name="_Toc105435557"/>
      <w:r>
        <w:rPr>
          <w:rFonts w:hint="eastAsia" w:ascii="宋体" w:hAnsi="宋体" w:cs="宋体"/>
          <w:color w:val="auto"/>
          <w:sz w:val="21"/>
          <w:szCs w:val="21"/>
          <w:highlight w:val="none"/>
        </w:rPr>
        <w:t>八、投标人义务</w:t>
      </w:r>
      <w:bookmarkEnd w:id="367"/>
      <w:bookmarkEnd w:id="368"/>
      <w:bookmarkEnd w:id="369"/>
      <w:bookmarkEnd w:id="370"/>
      <w:bookmarkEnd w:id="371"/>
      <w:bookmarkEnd w:id="372"/>
    </w:p>
    <w:p>
      <w:pPr>
        <w:spacing w:line="360" w:lineRule="exact"/>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投标人应随时接受评标委员会的询标，解答包括有关的商务、技术问题等。评标结束，所有评标资料存招标机构备查。</w:t>
      </w:r>
    </w:p>
    <w:p>
      <w:pPr>
        <w:pStyle w:val="6"/>
        <w:spacing w:before="0" w:after="0" w:line="480" w:lineRule="auto"/>
        <w:jc w:val="center"/>
        <w:rPr>
          <w:rStyle w:val="139"/>
          <w:b/>
          <w:color w:val="auto"/>
          <w:highlight w:val="none"/>
        </w:rPr>
      </w:pPr>
      <w:r>
        <w:rPr>
          <w:rFonts w:ascii="宋体" w:hAnsi="宋体"/>
          <w:color w:val="auto"/>
          <w:sz w:val="21"/>
          <w:szCs w:val="21"/>
          <w:highlight w:val="none"/>
        </w:rPr>
        <w:br w:type="page"/>
      </w:r>
      <w:bookmarkStart w:id="373" w:name="_Toc105438844"/>
      <w:bookmarkStart w:id="374" w:name="_Toc105435558"/>
      <w:r>
        <w:rPr>
          <w:rStyle w:val="139"/>
          <w:rFonts w:hint="eastAsia"/>
          <w:b/>
          <w:color w:val="auto"/>
          <w:highlight w:val="none"/>
        </w:rPr>
        <w:t>第五章  拟签订的合同文本</w:t>
      </w:r>
      <w:bookmarkEnd w:id="373"/>
      <w:bookmarkEnd w:id="374"/>
    </w:p>
    <w:p>
      <w:pPr>
        <w:spacing w:line="360" w:lineRule="auto"/>
        <w:jc w:val="center"/>
        <w:rPr>
          <w:rFonts w:ascii="Arial" w:hAnsi="Arial" w:cs="Arial"/>
          <w:b/>
          <w:bCs w:val="0"/>
          <w:color w:val="auto"/>
          <w:sz w:val="36"/>
          <w:szCs w:val="36"/>
          <w:highlight w:val="none"/>
        </w:rPr>
      </w:pPr>
      <w:r>
        <w:rPr>
          <w:rFonts w:ascii="Arial" w:hAnsi="Arial" w:cs="Arial"/>
          <w:b/>
          <w:bCs w:val="0"/>
          <w:color w:val="auto"/>
          <w:sz w:val="36"/>
          <w:szCs w:val="36"/>
          <w:highlight w:val="none"/>
          <w:u w:val="single"/>
        </w:rPr>
        <w:t xml:space="preserve">              </w:t>
      </w:r>
      <w:r>
        <w:rPr>
          <w:rFonts w:ascii="Arial" w:hAnsi="Arial" w:cs="Arial"/>
          <w:b/>
          <w:bCs w:val="0"/>
          <w:color w:val="auto"/>
          <w:sz w:val="36"/>
          <w:szCs w:val="36"/>
          <w:highlight w:val="none"/>
        </w:rPr>
        <w:t>服务承包合同</w:t>
      </w:r>
    </w:p>
    <w:p>
      <w:pPr>
        <w:keepNext w:val="0"/>
        <w:keepLines w:val="0"/>
        <w:widowControl/>
        <w:suppressLineNumbers w:val="0"/>
        <w:ind w:firstLine="442" w:firstLineChars="200"/>
        <w:jc w:val="left"/>
        <w:rPr>
          <w:rFonts w:ascii="宋体" w:hAnsi="宋体" w:cs="Arial"/>
          <w:b/>
          <w:bCs w:val="0"/>
          <w:color w:val="auto"/>
          <w:sz w:val="21"/>
          <w:szCs w:val="21"/>
          <w:highlight w:val="none"/>
        </w:rPr>
      </w:pPr>
      <w:r>
        <w:rPr>
          <w:rFonts w:hint="eastAsia" w:ascii="宋体" w:hAnsi="宋体" w:eastAsia="宋体" w:cs="宋体"/>
          <w:b/>
          <w:bCs w:val="0"/>
          <w:color w:val="auto"/>
          <w:kern w:val="0"/>
          <w:sz w:val="22"/>
          <w:szCs w:val="22"/>
          <w:highlight w:val="none"/>
          <w:lang w:val="en-US" w:eastAsia="zh-CN" w:bidi="ar"/>
        </w:rPr>
        <w:t xml:space="preserve">本项目由温州市龙湾区瑶溪街道人民政府办事处授权温州市龙湾区城市管理服务有限公司进行采购，项目 日常管理、考核等事宜由温州市龙湾区瑶溪街道人民政府办事处代表采购人负责项目实施，中标人必须无条 件接受温州市龙湾区瑶溪街道人民政府办事处指导、监督、检查、考核等，否则采购人有权无责解除合同。 </w:t>
      </w:r>
    </w:p>
    <w:p>
      <w:pPr>
        <w:spacing w:line="400" w:lineRule="exact"/>
        <w:ind w:firstLine="420" w:firstLineChars="200"/>
        <w:jc w:val="left"/>
        <w:rPr>
          <w:rFonts w:ascii="宋体" w:hAnsi="宋体" w:cs="Arial"/>
          <w:color w:val="auto"/>
          <w:sz w:val="21"/>
          <w:szCs w:val="21"/>
          <w:highlight w:val="none"/>
        </w:rPr>
      </w:pPr>
      <w:r>
        <w:rPr>
          <w:rFonts w:ascii="宋体" w:hAnsi="宋体" w:cs="Arial"/>
          <w:color w:val="auto"/>
          <w:sz w:val="21"/>
          <w:szCs w:val="21"/>
          <w:highlight w:val="none"/>
        </w:rPr>
        <w:t xml:space="preserve">甲方： </w:t>
      </w:r>
      <w:r>
        <w:rPr>
          <w:rFonts w:ascii="宋体" w:hAnsi="宋体" w:cs="Arial"/>
          <w:color w:val="auto"/>
          <w:sz w:val="21"/>
          <w:szCs w:val="21"/>
          <w:highlight w:val="none"/>
          <w:u w:val="single"/>
        </w:rPr>
        <w:t xml:space="preserve">   </w:t>
      </w:r>
      <w:r>
        <w:rPr>
          <w:rFonts w:hint="eastAsia" w:ascii="宋体" w:hAnsi="宋体" w:cs="Arial"/>
          <w:color w:val="auto"/>
          <w:sz w:val="21"/>
          <w:szCs w:val="21"/>
          <w:highlight w:val="none"/>
          <w:u w:val="single"/>
        </w:rPr>
        <w:t>(采购人)</w:t>
      </w:r>
      <w:r>
        <w:rPr>
          <w:rFonts w:ascii="宋体" w:hAnsi="宋体" w:cs="Arial"/>
          <w:color w:val="auto"/>
          <w:sz w:val="21"/>
          <w:szCs w:val="21"/>
          <w:highlight w:val="none"/>
          <w:u w:val="single"/>
        </w:rPr>
        <w:t xml:space="preserve">                                            </w:t>
      </w:r>
    </w:p>
    <w:p>
      <w:pPr>
        <w:spacing w:line="400" w:lineRule="exact"/>
        <w:ind w:firstLine="420" w:firstLineChars="200"/>
        <w:jc w:val="left"/>
        <w:rPr>
          <w:rFonts w:ascii="宋体" w:hAnsi="宋体" w:cs="Arial"/>
          <w:color w:val="auto"/>
          <w:sz w:val="21"/>
          <w:szCs w:val="21"/>
          <w:highlight w:val="none"/>
        </w:rPr>
      </w:pPr>
      <w:r>
        <w:rPr>
          <w:rFonts w:ascii="宋体" w:hAnsi="宋体" w:cs="Arial"/>
          <w:color w:val="auto"/>
          <w:sz w:val="21"/>
          <w:szCs w:val="21"/>
          <w:highlight w:val="none"/>
        </w:rPr>
        <w:t>乙方：</w:t>
      </w:r>
      <w:r>
        <w:rPr>
          <w:rFonts w:ascii="宋体" w:hAnsi="宋体" w:cs="Arial"/>
          <w:b/>
          <w:color w:val="auto"/>
          <w:sz w:val="21"/>
          <w:szCs w:val="21"/>
          <w:highlight w:val="none"/>
        </w:rPr>
        <w:t xml:space="preserve"> </w:t>
      </w:r>
      <w:r>
        <w:rPr>
          <w:rFonts w:ascii="宋体" w:hAnsi="宋体" w:cs="Arial"/>
          <w:color w:val="auto"/>
          <w:sz w:val="21"/>
          <w:szCs w:val="21"/>
          <w:highlight w:val="none"/>
          <w:u w:val="single"/>
        </w:rPr>
        <w:t xml:space="preserve">   </w:t>
      </w:r>
      <w:r>
        <w:rPr>
          <w:rFonts w:hint="eastAsia" w:ascii="宋体" w:hAnsi="宋体" w:cs="Arial"/>
          <w:color w:val="auto"/>
          <w:sz w:val="21"/>
          <w:szCs w:val="21"/>
          <w:highlight w:val="none"/>
          <w:u w:val="single"/>
        </w:rPr>
        <w:t xml:space="preserve">（中标单位）                                           </w:t>
      </w:r>
    </w:p>
    <w:p>
      <w:pPr>
        <w:spacing w:line="400" w:lineRule="exact"/>
        <w:ind w:firstLine="420" w:firstLineChars="200"/>
        <w:jc w:val="left"/>
        <w:rPr>
          <w:rFonts w:ascii="宋体" w:hAnsi="宋体" w:cs="Arial"/>
          <w:color w:val="auto"/>
          <w:sz w:val="21"/>
          <w:szCs w:val="21"/>
          <w:highlight w:val="none"/>
        </w:rPr>
      </w:pPr>
      <w:r>
        <w:rPr>
          <w:rFonts w:ascii="宋体" w:hAnsi="宋体" w:cs="Arial"/>
          <w:color w:val="auto"/>
          <w:sz w:val="21"/>
          <w:szCs w:val="21"/>
          <w:highlight w:val="none"/>
        </w:rPr>
        <w:t>签约日期：</w:t>
      </w:r>
    </w:p>
    <w:p>
      <w:pPr>
        <w:pStyle w:val="52"/>
        <w:spacing w:line="400" w:lineRule="exact"/>
        <w:ind w:firstLine="280"/>
        <w:rPr>
          <w:rFonts w:ascii="宋体" w:hAnsi="宋体" w:cs="Arial"/>
          <w:color w:val="auto"/>
          <w:szCs w:val="21"/>
          <w:highlight w:val="none"/>
        </w:rPr>
      </w:pPr>
    </w:p>
    <w:p>
      <w:pPr>
        <w:pStyle w:val="23"/>
        <w:tabs>
          <w:tab w:val="left" w:pos="1651"/>
          <w:tab w:val="left" w:pos="3828"/>
        </w:tabs>
        <w:spacing w:beforeLines="0" w:afterLines="0" w:line="400" w:lineRule="exact"/>
        <w:ind w:firstLine="424" w:firstLineChars="202"/>
        <w:jc w:val="left"/>
        <w:rPr>
          <w:rFonts w:hAnsi="宋体" w:cs="Arial"/>
          <w:color w:val="auto"/>
          <w:sz w:val="21"/>
          <w:szCs w:val="21"/>
          <w:highlight w:val="none"/>
        </w:rPr>
      </w:pPr>
      <w:bookmarkStart w:id="375" w:name="_Toc246"/>
      <w:bookmarkStart w:id="376" w:name="_Toc72407444"/>
      <w:bookmarkStart w:id="377" w:name="_Hlk497461925"/>
      <w:r>
        <w:rPr>
          <w:rFonts w:hint="eastAsia" w:hAnsi="宋体" w:cs="Arial"/>
          <w:color w:val="auto"/>
          <w:sz w:val="21"/>
          <w:szCs w:val="21"/>
          <w:highlight w:val="none"/>
          <w:u w:val="single"/>
        </w:rPr>
        <w:t xml:space="preserve">（项目名称）               </w:t>
      </w:r>
      <w:r>
        <w:rPr>
          <w:rFonts w:hAnsi="宋体" w:cs="Arial"/>
          <w:color w:val="auto"/>
          <w:sz w:val="21"/>
          <w:szCs w:val="21"/>
          <w:highlight w:val="none"/>
        </w:rPr>
        <w:t>（项目编号：           ）通过公开招标方式采购，中标供应商为</w:t>
      </w:r>
      <w:r>
        <w:rPr>
          <w:rFonts w:hAnsi="宋体" w:cs="Arial"/>
          <w:color w:val="auto"/>
          <w:sz w:val="21"/>
          <w:szCs w:val="21"/>
          <w:highlight w:val="none"/>
          <w:u w:val="single"/>
        </w:rPr>
        <w:t xml:space="preserve">                </w:t>
      </w:r>
      <w:r>
        <w:rPr>
          <w:rFonts w:hAnsi="宋体" w:cs="Arial"/>
          <w:color w:val="auto"/>
          <w:sz w:val="21"/>
          <w:szCs w:val="21"/>
          <w:highlight w:val="none"/>
        </w:rPr>
        <w:t>。甲乙双方根据《中华人民共和国民法典》等有关法律法规和本合同的招标文件、投标文件及相关承诺，经双方友好协商，同意签订本合同，共同遵守。</w:t>
      </w:r>
    </w:p>
    <w:p>
      <w:pPr>
        <w:spacing w:line="400" w:lineRule="exact"/>
        <w:jc w:val="left"/>
        <w:rPr>
          <w:b/>
          <w:color w:val="auto"/>
          <w:sz w:val="21"/>
          <w:szCs w:val="21"/>
          <w:highlight w:val="none"/>
        </w:rPr>
      </w:pPr>
      <w:bookmarkStart w:id="378" w:name="_Toc30295"/>
      <w:bookmarkStart w:id="379" w:name="_Toc104190741"/>
      <w:bookmarkStart w:id="380" w:name="_Toc21783"/>
      <w:bookmarkStart w:id="381" w:name="_Toc10045"/>
      <w:bookmarkStart w:id="382" w:name="_Toc20987"/>
      <w:bookmarkStart w:id="383" w:name="_Toc28203"/>
      <w:bookmarkStart w:id="384" w:name="_Toc72407428"/>
      <w:r>
        <w:rPr>
          <w:b/>
          <w:color w:val="auto"/>
          <w:sz w:val="21"/>
          <w:szCs w:val="21"/>
          <w:highlight w:val="none"/>
        </w:rPr>
        <w:t>第一条  合同文件</w:t>
      </w:r>
      <w:bookmarkEnd w:id="378"/>
      <w:bookmarkEnd w:id="379"/>
    </w:p>
    <w:p>
      <w:pPr>
        <w:pStyle w:val="23"/>
        <w:tabs>
          <w:tab w:val="left" w:pos="1651"/>
          <w:tab w:val="left" w:pos="3828"/>
        </w:tabs>
        <w:spacing w:beforeLines="0" w:afterLines="0" w:line="400" w:lineRule="exact"/>
        <w:ind w:firstLine="420" w:firstLineChars="200"/>
        <w:jc w:val="left"/>
        <w:rPr>
          <w:rFonts w:hAnsi="宋体" w:cs="Arial"/>
          <w:color w:val="auto"/>
          <w:sz w:val="21"/>
          <w:szCs w:val="21"/>
          <w:highlight w:val="none"/>
        </w:rPr>
      </w:pPr>
      <w:r>
        <w:rPr>
          <w:rFonts w:hAnsi="宋体" w:cs="Arial"/>
          <w:color w:val="auto"/>
          <w:sz w:val="21"/>
          <w:szCs w:val="21"/>
          <w:highlight w:val="none"/>
        </w:rPr>
        <w:t>下列文件构成本合同的组成部分：</w:t>
      </w:r>
      <w:bookmarkEnd w:id="380"/>
      <w:bookmarkEnd w:id="381"/>
      <w:bookmarkEnd w:id="382"/>
      <w:bookmarkEnd w:id="383"/>
      <w:bookmarkEnd w:id="384"/>
    </w:p>
    <w:p>
      <w:pPr>
        <w:adjustRightInd w:val="0"/>
        <w:snapToGrid w:val="0"/>
        <w:spacing w:line="400" w:lineRule="exact"/>
        <w:ind w:firstLine="630"/>
        <w:jc w:val="left"/>
        <w:rPr>
          <w:rFonts w:ascii="宋体" w:hAnsi="宋体" w:cs="Arial"/>
          <w:snapToGrid w:val="0"/>
          <w:color w:val="auto"/>
          <w:sz w:val="21"/>
          <w:szCs w:val="21"/>
          <w:highlight w:val="none"/>
        </w:rPr>
      </w:pPr>
      <w:r>
        <w:rPr>
          <w:rFonts w:ascii="宋体" w:hAnsi="宋体" w:cs="Arial"/>
          <w:snapToGrid w:val="0"/>
          <w:color w:val="auto"/>
          <w:sz w:val="21"/>
          <w:szCs w:val="21"/>
          <w:highlight w:val="none"/>
        </w:rPr>
        <w:t>a. 合同补充条款或说明</w:t>
      </w:r>
    </w:p>
    <w:p>
      <w:pPr>
        <w:adjustRightInd w:val="0"/>
        <w:snapToGrid w:val="0"/>
        <w:spacing w:line="400" w:lineRule="exact"/>
        <w:ind w:firstLine="630"/>
        <w:jc w:val="left"/>
        <w:rPr>
          <w:rFonts w:ascii="宋体" w:hAnsi="宋体" w:cs="Arial"/>
          <w:snapToGrid w:val="0"/>
          <w:color w:val="auto"/>
          <w:sz w:val="21"/>
          <w:szCs w:val="21"/>
          <w:highlight w:val="none"/>
        </w:rPr>
      </w:pPr>
      <w:r>
        <w:rPr>
          <w:rFonts w:ascii="宋体" w:hAnsi="宋体" w:cs="Arial"/>
          <w:snapToGrid w:val="0"/>
          <w:color w:val="auto"/>
          <w:sz w:val="21"/>
          <w:szCs w:val="21"/>
          <w:highlight w:val="none"/>
        </w:rPr>
        <w:t xml:space="preserve">b. </w:t>
      </w:r>
      <w:r>
        <w:rPr>
          <w:rFonts w:hint="eastAsia" w:ascii="宋体" w:hAnsi="宋体" w:cs="Arial"/>
          <w:snapToGrid w:val="0"/>
          <w:color w:val="auto"/>
          <w:sz w:val="21"/>
          <w:szCs w:val="21"/>
          <w:highlight w:val="none"/>
        </w:rPr>
        <w:t>合同文本</w:t>
      </w:r>
    </w:p>
    <w:p>
      <w:pPr>
        <w:adjustRightInd w:val="0"/>
        <w:snapToGrid w:val="0"/>
        <w:spacing w:line="400" w:lineRule="exact"/>
        <w:ind w:firstLine="630"/>
        <w:jc w:val="left"/>
        <w:rPr>
          <w:rFonts w:ascii="宋体" w:hAnsi="宋体" w:cs="Arial"/>
          <w:snapToGrid w:val="0"/>
          <w:color w:val="auto"/>
          <w:sz w:val="21"/>
          <w:szCs w:val="21"/>
          <w:highlight w:val="none"/>
        </w:rPr>
      </w:pPr>
      <w:r>
        <w:rPr>
          <w:rFonts w:ascii="宋体" w:hAnsi="宋体" w:cs="Arial"/>
          <w:snapToGrid w:val="0"/>
          <w:color w:val="auto"/>
          <w:sz w:val="21"/>
          <w:szCs w:val="21"/>
          <w:highlight w:val="none"/>
        </w:rPr>
        <w:t>c. 中标通知书</w:t>
      </w:r>
    </w:p>
    <w:p>
      <w:pPr>
        <w:adjustRightInd w:val="0"/>
        <w:snapToGrid w:val="0"/>
        <w:spacing w:line="400" w:lineRule="exact"/>
        <w:ind w:firstLine="630"/>
        <w:jc w:val="left"/>
        <w:rPr>
          <w:rFonts w:ascii="宋体" w:hAnsi="宋体" w:cs="Arial"/>
          <w:snapToGrid w:val="0"/>
          <w:color w:val="auto"/>
          <w:sz w:val="21"/>
          <w:szCs w:val="21"/>
          <w:highlight w:val="none"/>
        </w:rPr>
      </w:pPr>
      <w:r>
        <w:rPr>
          <w:rFonts w:ascii="宋体" w:hAnsi="宋体" w:cs="Arial"/>
          <w:snapToGrid w:val="0"/>
          <w:color w:val="auto"/>
          <w:sz w:val="21"/>
          <w:szCs w:val="21"/>
          <w:highlight w:val="none"/>
        </w:rPr>
        <w:t>d. 招标文件</w:t>
      </w:r>
    </w:p>
    <w:p>
      <w:pPr>
        <w:adjustRightInd w:val="0"/>
        <w:snapToGrid w:val="0"/>
        <w:spacing w:line="400" w:lineRule="exact"/>
        <w:ind w:firstLine="630"/>
        <w:jc w:val="left"/>
        <w:rPr>
          <w:rFonts w:ascii="宋体" w:hAnsi="宋体" w:cs="Arial"/>
          <w:snapToGrid w:val="0"/>
          <w:color w:val="auto"/>
          <w:sz w:val="21"/>
          <w:szCs w:val="21"/>
          <w:highlight w:val="none"/>
        </w:rPr>
      </w:pPr>
      <w:r>
        <w:rPr>
          <w:rFonts w:ascii="宋体" w:hAnsi="宋体" w:cs="Arial"/>
          <w:snapToGrid w:val="0"/>
          <w:color w:val="auto"/>
          <w:sz w:val="21"/>
          <w:szCs w:val="21"/>
          <w:highlight w:val="none"/>
        </w:rPr>
        <w:t>e. 承诺书</w:t>
      </w:r>
    </w:p>
    <w:p>
      <w:pPr>
        <w:adjustRightInd w:val="0"/>
        <w:snapToGrid w:val="0"/>
        <w:spacing w:line="400" w:lineRule="exact"/>
        <w:ind w:firstLine="630"/>
        <w:jc w:val="left"/>
        <w:rPr>
          <w:rFonts w:ascii="宋体" w:hAnsi="宋体" w:cs="Arial"/>
          <w:snapToGrid w:val="0"/>
          <w:color w:val="auto"/>
          <w:sz w:val="21"/>
          <w:szCs w:val="21"/>
          <w:highlight w:val="none"/>
        </w:rPr>
      </w:pPr>
      <w:r>
        <w:rPr>
          <w:rFonts w:ascii="宋体" w:hAnsi="宋体" w:cs="Arial"/>
          <w:snapToGrid w:val="0"/>
          <w:color w:val="auto"/>
          <w:sz w:val="21"/>
          <w:szCs w:val="21"/>
          <w:highlight w:val="none"/>
        </w:rPr>
        <w:t>f. 投标文件</w:t>
      </w:r>
    </w:p>
    <w:p>
      <w:pPr>
        <w:adjustRightInd w:val="0"/>
        <w:snapToGrid w:val="0"/>
        <w:spacing w:line="400" w:lineRule="exact"/>
        <w:ind w:firstLine="630"/>
        <w:jc w:val="left"/>
        <w:rPr>
          <w:rFonts w:hint="eastAsia" w:ascii="宋体" w:hAnsi="宋体" w:cs="Arial"/>
          <w:snapToGrid w:val="0"/>
          <w:color w:val="auto"/>
          <w:sz w:val="21"/>
          <w:szCs w:val="21"/>
          <w:highlight w:val="none"/>
        </w:rPr>
      </w:pPr>
      <w:r>
        <w:rPr>
          <w:rFonts w:ascii="宋体" w:hAnsi="宋体" w:cs="Arial"/>
          <w:snapToGrid w:val="0"/>
          <w:color w:val="auto"/>
          <w:sz w:val="21"/>
          <w:szCs w:val="21"/>
          <w:highlight w:val="none"/>
        </w:rPr>
        <w:t>g. 履约保证金</w:t>
      </w:r>
    </w:p>
    <w:p>
      <w:pPr>
        <w:adjustRightInd w:val="0"/>
        <w:snapToGrid w:val="0"/>
        <w:spacing w:line="400" w:lineRule="exact"/>
        <w:ind w:firstLine="630"/>
        <w:jc w:val="left"/>
        <w:rPr>
          <w:rFonts w:hint="eastAsia" w:ascii="宋体" w:hAnsi="宋体" w:cs="Arial"/>
          <w:snapToGrid w:val="0"/>
          <w:color w:val="auto"/>
          <w:sz w:val="21"/>
          <w:szCs w:val="21"/>
          <w:highlight w:val="none"/>
        </w:rPr>
      </w:pPr>
      <w:r>
        <w:rPr>
          <w:rFonts w:hint="eastAsia" w:ascii="宋体" w:hAnsi="宋体" w:cs="Arial"/>
          <w:snapToGrid w:val="0"/>
          <w:color w:val="auto"/>
          <w:sz w:val="21"/>
          <w:szCs w:val="21"/>
          <w:highlight w:val="none"/>
        </w:rPr>
        <w:t>h.</w:t>
      </w:r>
      <w:r>
        <w:rPr>
          <w:rFonts w:ascii="宋体" w:hAnsi="宋体" w:cs="Arial"/>
          <w:snapToGrid w:val="0"/>
          <w:color w:val="auto"/>
          <w:sz w:val="21"/>
          <w:szCs w:val="21"/>
          <w:highlight w:val="none"/>
        </w:rPr>
        <w:t xml:space="preserve"> </w:t>
      </w:r>
      <w:r>
        <w:rPr>
          <w:rFonts w:hint="eastAsia" w:ascii="宋体" w:hAnsi="宋体" w:cs="Arial"/>
          <w:snapToGrid w:val="0"/>
          <w:color w:val="auto"/>
          <w:sz w:val="21"/>
          <w:szCs w:val="21"/>
          <w:highlight w:val="none"/>
        </w:rPr>
        <w:t>环卫保洁服务廉政责任书</w:t>
      </w:r>
    </w:p>
    <w:p>
      <w:pPr>
        <w:adjustRightInd w:val="0"/>
        <w:snapToGrid w:val="0"/>
        <w:spacing w:line="400" w:lineRule="exact"/>
        <w:ind w:firstLine="630"/>
        <w:jc w:val="left"/>
        <w:rPr>
          <w:rFonts w:hint="eastAsia" w:ascii="宋体" w:hAnsi="宋体" w:cs="Arial"/>
          <w:snapToGrid w:val="0"/>
          <w:color w:val="auto"/>
          <w:sz w:val="21"/>
          <w:szCs w:val="21"/>
          <w:highlight w:val="none"/>
        </w:rPr>
      </w:pPr>
      <w:r>
        <w:rPr>
          <w:rFonts w:hint="eastAsia" w:ascii="宋体" w:hAnsi="宋体" w:cs="Arial"/>
          <w:snapToGrid w:val="0"/>
          <w:color w:val="auto"/>
          <w:sz w:val="21"/>
          <w:szCs w:val="21"/>
          <w:highlight w:val="none"/>
        </w:rPr>
        <w:t>i. 环卫作业质量考核办法</w:t>
      </w:r>
    </w:p>
    <w:p>
      <w:pPr>
        <w:pStyle w:val="23"/>
        <w:spacing w:beforeLines="0" w:afterLines="0" w:line="400" w:lineRule="exact"/>
        <w:ind w:firstLine="420" w:firstLineChars="200"/>
        <w:jc w:val="left"/>
        <w:rPr>
          <w:rFonts w:hAnsi="宋体" w:cs="Arial"/>
          <w:color w:val="auto"/>
          <w:sz w:val="21"/>
          <w:szCs w:val="21"/>
          <w:highlight w:val="none"/>
        </w:rPr>
      </w:pPr>
      <w:r>
        <w:rPr>
          <w:rFonts w:hAnsi="宋体" w:cs="Arial"/>
          <w:color w:val="auto"/>
          <w:sz w:val="21"/>
          <w:szCs w:val="21"/>
          <w:highlight w:val="none"/>
        </w:rPr>
        <w:t>合同条款以上述条款的先后顺序作为依据。</w:t>
      </w:r>
    </w:p>
    <w:p>
      <w:pPr>
        <w:spacing w:line="400" w:lineRule="exact"/>
        <w:jc w:val="left"/>
        <w:rPr>
          <w:b/>
          <w:color w:val="auto"/>
          <w:sz w:val="21"/>
          <w:szCs w:val="21"/>
          <w:highlight w:val="none"/>
        </w:rPr>
      </w:pPr>
      <w:bookmarkStart w:id="385" w:name="_Toc11139"/>
      <w:bookmarkStart w:id="386" w:name="_Toc31400"/>
      <w:bookmarkStart w:id="387" w:name="_Toc104190742"/>
      <w:bookmarkStart w:id="388" w:name="_Toc10869"/>
      <w:bookmarkStart w:id="389" w:name="_Toc72407429"/>
      <w:bookmarkStart w:id="390" w:name="_Toc6145"/>
      <w:r>
        <w:rPr>
          <w:b/>
          <w:color w:val="auto"/>
          <w:sz w:val="21"/>
          <w:szCs w:val="21"/>
          <w:highlight w:val="none"/>
        </w:rPr>
        <w:t>第二条  合同名称</w:t>
      </w:r>
      <w:bookmarkEnd w:id="385"/>
      <w:bookmarkEnd w:id="386"/>
      <w:bookmarkEnd w:id="387"/>
      <w:bookmarkEnd w:id="388"/>
      <w:bookmarkEnd w:id="389"/>
      <w:bookmarkEnd w:id="390"/>
    </w:p>
    <w:p>
      <w:pPr>
        <w:pStyle w:val="23"/>
        <w:tabs>
          <w:tab w:val="left" w:pos="1651"/>
          <w:tab w:val="left" w:pos="3828"/>
        </w:tabs>
        <w:spacing w:beforeLines="0" w:afterLines="0" w:line="400" w:lineRule="exact"/>
        <w:ind w:firstLine="420" w:firstLineChars="200"/>
        <w:jc w:val="left"/>
        <w:rPr>
          <w:rFonts w:hAnsi="宋体" w:cs="Arial"/>
          <w:color w:val="auto"/>
          <w:sz w:val="21"/>
          <w:szCs w:val="21"/>
          <w:highlight w:val="none"/>
        </w:rPr>
      </w:pPr>
      <w:r>
        <w:rPr>
          <w:rFonts w:hint="eastAsia" w:hAnsi="宋体" w:cs="Arial"/>
          <w:color w:val="auto"/>
          <w:sz w:val="21"/>
          <w:szCs w:val="21"/>
          <w:highlight w:val="none"/>
        </w:rPr>
        <w:t>龙湾区</w:t>
      </w:r>
      <w:r>
        <w:rPr>
          <w:rFonts w:hint="eastAsia" w:hAnsi="宋体" w:cs="Arial"/>
          <w:color w:val="auto"/>
          <w:sz w:val="21"/>
          <w:szCs w:val="21"/>
          <w:highlight w:val="none"/>
          <w:u w:val="single"/>
        </w:rPr>
        <w:t xml:space="preserve">             </w:t>
      </w:r>
      <w:r>
        <w:rPr>
          <w:rFonts w:hAnsi="宋体" w:cs="Arial"/>
          <w:color w:val="auto"/>
          <w:sz w:val="21"/>
          <w:szCs w:val="21"/>
          <w:highlight w:val="none"/>
        </w:rPr>
        <w:t>项目服务业务承包合同</w:t>
      </w:r>
    </w:p>
    <w:p>
      <w:pPr>
        <w:spacing w:line="400" w:lineRule="exact"/>
        <w:jc w:val="left"/>
        <w:rPr>
          <w:b/>
          <w:color w:val="auto"/>
          <w:sz w:val="21"/>
          <w:szCs w:val="21"/>
          <w:highlight w:val="none"/>
        </w:rPr>
      </w:pPr>
      <w:bookmarkStart w:id="391" w:name="_Toc18784"/>
      <w:bookmarkStart w:id="392" w:name="_Toc104190743"/>
      <w:bookmarkStart w:id="393" w:name="_Toc10691"/>
      <w:bookmarkStart w:id="394" w:name="_Toc4572"/>
      <w:bookmarkStart w:id="395" w:name="_Toc72407430"/>
      <w:bookmarkStart w:id="396" w:name="_Toc1827"/>
      <w:r>
        <w:rPr>
          <w:b/>
          <w:color w:val="auto"/>
          <w:sz w:val="21"/>
          <w:szCs w:val="21"/>
          <w:highlight w:val="none"/>
        </w:rPr>
        <w:t>第三条  承包内容和要求</w:t>
      </w:r>
      <w:bookmarkEnd w:id="391"/>
      <w:bookmarkEnd w:id="392"/>
      <w:bookmarkEnd w:id="393"/>
      <w:bookmarkEnd w:id="394"/>
      <w:bookmarkEnd w:id="395"/>
      <w:bookmarkEnd w:id="396"/>
    </w:p>
    <w:p>
      <w:pPr>
        <w:pStyle w:val="23"/>
        <w:tabs>
          <w:tab w:val="left" w:pos="1651"/>
          <w:tab w:val="left" w:pos="3828"/>
        </w:tabs>
        <w:spacing w:beforeLines="0" w:afterLines="0" w:line="400" w:lineRule="exact"/>
        <w:ind w:firstLine="420" w:firstLineChars="200"/>
        <w:jc w:val="left"/>
        <w:rPr>
          <w:rFonts w:hAnsi="宋体" w:cs="Arial"/>
          <w:color w:val="auto"/>
          <w:sz w:val="21"/>
          <w:szCs w:val="21"/>
          <w:highlight w:val="none"/>
        </w:rPr>
      </w:pPr>
      <w:r>
        <w:rPr>
          <w:rFonts w:hAnsi="宋体" w:cs="Arial"/>
          <w:color w:val="auto"/>
          <w:sz w:val="21"/>
          <w:szCs w:val="21"/>
          <w:highlight w:val="none"/>
        </w:rPr>
        <w:t>1、承包内容和要求见招标文件</w:t>
      </w:r>
      <w:r>
        <w:rPr>
          <w:rFonts w:hint="eastAsia" w:hAnsi="宋体" w:cs="Arial"/>
          <w:color w:val="auto"/>
          <w:sz w:val="21"/>
          <w:szCs w:val="21"/>
          <w:highlight w:val="none"/>
        </w:rPr>
        <w:t>第二章</w:t>
      </w:r>
      <w:r>
        <w:rPr>
          <w:rFonts w:hAnsi="宋体" w:cs="Arial"/>
          <w:color w:val="auto"/>
          <w:sz w:val="21"/>
          <w:szCs w:val="21"/>
          <w:highlight w:val="none"/>
        </w:rPr>
        <w:t>（含招标文件更正、补充文件）。</w:t>
      </w:r>
    </w:p>
    <w:p>
      <w:pPr>
        <w:pStyle w:val="23"/>
        <w:tabs>
          <w:tab w:val="left" w:pos="1651"/>
          <w:tab w:val="left" w:pos="3828"/>
        </w:tabs>
        <w:spacing w:beforeLines="0" w:afterLines="0" w:line="400" w:lineRule="exact"/>
        <w:ind w:firstLine="420" w:firstLineChars="200"/>
        <w:jc w:val="left"/>
        <w:rPr>
          <w:rFonts w:hAnsi="宋体" w:cs="Arial"/>
          <w:color w:val="auto"/>
          <w:sz w:val="21"/>
          <w:szCs w:val="21"/>
          <w:highlight w:val="none"/>
        </w:rPr>
      </w:pPr>
      <w:r>
        <w:rPr>
          <w:rFonts w:hAnsi="宋体" w:cs="Arial"/>
          <w:color w:val="auto"/>
          <w:sz w:val="21"/>
          <w:szCs w:val="21"/>
          <w:highlight w:val="none"/>
        </w:rPr>
        <w:t>2、本项目提供的城市道路、绿化、河道、水体、公园、广场等保洁面积为参考数据，合同执行过程保洁面积以实际面积为准，乙方须现场踏勘，以求得准确的报价依据，并自行承担投标报价风险，具体按招标文件要求执行。</w:t>
      </w:r>
      <w:bookmarkStart w:id="502" w:name="_GoBack"/>
      <w:bookmarkEnd w:id="502"/>
    </w:p>
    <w:p>
      <w:pPr>
        <w:spacing w:line="400" w:lineRule="exact"/>
        <w:jc w:val="left"/>
        <w:rPr>
          <w:b/>
          <w:color w:val="auto"/>
          <w:sz w:val="21"/>
          <w:szCs w:val="21"/>
          <w:highlight w:val="none"/>
        </w:rPr>
      </w:pPr>
      <w:bookmarkStart w:id="397" w:name="_Toc22475"/>
      <w:bookmarkStart w:id="398" w:name="_Toc3738"/>
      <w:bookmarkStart w:id="399" w:name="_Toc72407431"/>
      <w:bookmarkStart w:id="400" w:name="_Toc104190744"/>
      <w:bookmarkStart w:id="401" w:name="_Toc3742"/>
      <w:bookmarkStart w:id="402" w:name="_Toc30054"/>
      <w:r>
        <w:rPr>
          <w:b/>
          <w:color w:val="auto"/>
          <w:sz w:val="21"/>
          <w:szCs w:val="21"/>
          <w:highlight w:val="none"/>
        </w:rPr>
        <w:t>第四条  承包期限</w:t>
      </w:r>
      <w:bookmarkEnd w:id="397"/>
      <w:bookmarkEnd w:id="398"/>
      <w:bookmarkEnd w:id="399"/>
      <w:bookmarkEnd w:id="400"/>
      <w:bookmarkEnd w:id="401"/>
      <w:bookmarkEnd w:id="402"/>
    </w:p>
    <w:p>
      <w:pPr>
        <w:pStyle w:val="23"/>
        <w:tabs>
          <w:tab w:val="left" w:pos="1651"/>
          <w:tab w:val="left" w:pos="3828"/>
        </w:tabs>
        <w:spacing w:beforeLines="0" w:afterLines="0" w:line="400" w:lineRule="exact"/>
        <w:ind w:firstLine="420" w:firstLineChars="200"/>
        <w:jc w:val="left"/>
        <w:rPr>
          <w:rFonts w:hAnsi="宋体" w:cs="Arial"/>
          <w:color w:val="auto"/>
          <w:sz w:val="21"/>
          <w:szCs w:val="21"/>
          <w:highlight w:val="none"/>
        </w:rPr>
      </w:pPr>
      <w:r>
        <w:rPr>
          <w:rFonts w:hAnsi="宋体" w:cs="Arial"/>
          <w:color w:val="auto"/>
          <w:sz w:val="21"/>
          <w:szCs w:val="21"/>
          <w:highlight w:val="none"/>
        </w:rPr>
        <w:t>本项目承包期限为</w:t>
      </w:r>
      <w:r>
        <w:rPr>
          <w:rFonts w:hint="eastAsia" w:hAnsi="宋体" w:cs="Arial"/>
          <w:color w:val="auto"/>
          <w:sz w:val="21"/>
          <w:szCs w:val="21"/>
          <w:highlight w:val="none"/>
        </w:rPr>
        <w:t>两年</w:t>
      </w:r>
      <w:r>
        <w:rPr>
          <w:rFonts w:hint="eastAsia" w:hAnsi="宋体" w:cs="Arial"/>
          <w:color w:val="auto"/>
          <w:sz w:val="21"/>
          <w:szCs w:val="21"/>
          <w:highlight w:val="none"/>
          <w:lang w:eastAsia="zh-CN"/>
        </w:rPr>
        <w:t>，合同</w:t>
      </w:r>
      <w:r>
        <w:rPr>
          <w:rFonts w:hint="eastAsia" w:hAnsi="宋体" w:cs="Arial"/>
          <w:color w:val="auto"/>
          <w:sz w:val="21"/>
          <w:szCs w:val="21"/>
          <w:highlight w:val="none"/>
          <w:lang w:val="en-US" w:eastAsia="zh-CN"/>
        </w:rPr>
        <w:t>1年1签，第一年</w:t>
      </w:r>
      <w:r>
        <w:rPr>
          <w:rFonts w:hAnsi="宋体" w:cs="Arial"/>
          <w:color w:val="auto"/>
          <w:sz w:val="21"/>
          <w:szCs w:val="21"/>
          <w:highlight w:val="none"/>
        </w:rPr>
        <w:t>合同期限为202</w:t>
      </w:r>
      <w:r>
        <w:rPr>
          <w:rFonts w:hint="eastAsia" w:hAnsi="宋体" w:cs="Arial"/>
          <w:color w:val="auto"/>
          <w:sz w:val="21"/>
          <w:szCs w:val="21"/>
          <w:highlight w:val="none"/>
        </w:rPr>
        <w:t>2</w:t>
      </w:r>
      <w:r>
        <w:rPr>
          <w:rFonts w:hAnsi="宋体" w:cs="Arial"/>
          <w:color w:val="auto"/>
          <w:sz w:val="21"/>
          <w:szCs w:val="21"/>
          <w:highlight w:val="none"/>
        </w:rPr>
        <w:t>年  月  日至20</w:t>
      </w:r>
      <w:r>
        <w:rPr>
          <w:rFonts w:hint="eastAsia" w:hAnsi="宋体" w:cs="Arial"/>
          <w:color w:val="auto"/>
          <w:sz w:val="21"/>
          <w:szCs w:val="21"/>
          <w:highlight w:val="none"/>
        </w:rPr>
        <w:t>23</w:t>
      </w:r>
      <w:r>
        <w:rPr>
          <w:rFonts w:hAnsi="宋体" w:cs="Arial"/>
          <w:color w:val="auto"/>
          <w:sz w:val="21"/>
          <w:szCs w:val="21"/>
          <w:highlight w:val="none"/>
        </w:rPr>
        <w:t>年  月  日，合同1年期满后，若甲方对乙方的考核结果为合格且未触发招标文件约定不续签或终止合同条件的，可以续签下年合同，否则甲方有权按招标文件、合同约定，或按考核办法单方面解除合同或不续签下一年合同。</w:t>
      </w:r>
    </w:p>
    <w:p>
      <w:pPr>
        <w:spacing w:line="400" w:lineRule="exact"/>
        <w:jc w:val="left"/>
        <w:rPr>
          <w:rFonts w:hint="eastAsia"/>
          <w:b/>
          <w:color w:val="auto"/>
          <w:sz w:val="21"/>
          <w:szCs w:val="21"/>
          <w:highlight w:val="none"/>
        </w:rPr>
      </w:pPr>
      <w:bookmarkStart w:id="403" w:name="_Toc19640"/>
      <w:bookmarkStart w:id="404" w:name="_Toc72407432"/>
      <w:bookmarkStart w:id="405" w:name="_Toc258"/>
      <w:bookmarkStart w:id="406" w:name="_Toc8120"/>
      <w:bookmarkStart w:id="407" w:name="_Toc7555"/>
      <w:bookmarkStart w:id="408" w:name="_Toc104190745"/>
      <w:r>
        <w:rPr>
          <w:b/>
          <w:color w:val="auto"/>
          <w:sz w:val="21"/>
          <w:szCs w:val="21"/>
          <w:highlight w:val="none"/>
        </w:rPr>
        <w:t>第五条  承包经费</w:t>
      </w:r>
      <w:bookmarkEnd w:id="403"/>
      <w:bookmarkEnd w:id="404"/>
      <w:bookmarkEnd w:id="405"/>
      <w:bookmarkEnd w:id="406"/>
      <w:bookmarkEnd w:id="407"/>
      <w:r>
        <w:rPr>
          <w:rFonts w:hint="eastAsia"/>
          <w:b/>
          <w:color w:val="auto"/>
          <w:sz w:val="21"/>
          <w:szCs w:val="21"/>
          <w:highlight w:val="none"/>
        </w:rPr>
        <w:t>及结算</w:t>
      </w:r>
      <w:bookmarkEnd w:id="408"/>
    </w:p>
    <w:p>
      <w:pPr>
        <w:pStyle w:val="23"/>
        <w:tabs>
          <w:tab w:val="left" w:pos="1651"/>
          <w:tab w:val="left" w:pos="3828"/>
        </w:tabs>
        <w:spacing w:beforeLines="0" w:afterLines="0" w:line="400" w:lineRule="exact"/>
        <w:ind w:firstLine="420" w:firstLineChars="200"/>
        <w:jc w:val="left"/>
        <w:rPr>
          <w:rFonts w:hAnsi="宋体" w:cs="Arial"/>
          <w:color w:val="auto"/>
          <w:sz w:val="21"/>
          <w:szCs w:val="21"/>
          <w:highlight w:val="none"/>
        </w:rPr>
      </w:pPr>
      <w:r>
        <w:rPr>
          <w:rFonts w:hAnsi="宋体" w:cs="Arial"/>
          <w:color w:val="auto"/>
          <w:sz w:val="21"/>
          <w:szCs w:val="21"/>
          <w:highlight w:val="none"/>
        </w:rPr>
        <w:t>（一）承包经费</w:t>
      </w:r>
    </w:p>
    <w:p>
      <w:pPr>
        <w:pStyle w:val="23"/>
        <w:tabs>
          <w:tab w:val="left" w:pos="1651"/>
          <w:tab w:val="left" w:pos="3828"/>
        </w:tabs>
        <w:spacing w:beforeLines="0" w:afterLines="0" w:line="400" w:lineRule="exact"/>
        <w:ind w:firstLine="420" w:firstLineChars="200"/>
        <w:jc w:val="left"/>
        <w:rPr>
          <w:rFonts w:hAnsi="宋体" w:cs="Arial"/>
          <w:color w:val="auto"/>
          <w:sz w:val="21"/>
          <w:szCs w:val="21"/>
          <w:highlight w:val="none"/>
        </w:rPr>
      </w:pPr>
      <w:r>
        <w:rPr>
          <w:rFonts w:hAnsi="宋体" w:cs="Arial"/>
          <w:color w:val="auto"/>
          <w:sz w:val="21"/>
          <w:szCs w:val="21"/>
          <w:highlight w:val="none"/>
        </w:rPr>
        <w:t>1、</w:t>
      </w:r>
      <w:r>
        <w:rPr>
          <w:rFonts w:hint="eastAsia" w:hAnsi="宋体" w:cs="Arial"/>
          <w:color w:val="auto"/>
          <w:sz w:val="21"/>
          <w:szCs w:val="21"/>
          <w:highlight w:val="none"/>
        </w:rPr>
        <w:t>两年</w:t>
      </w:r>
      <w:r>
        <w:rPr>
          <w:rFonts w:hAnsi="宋体" w:cs="Arial"/>
          <w:color w:val="auto"/>
          <w:sz w:val="21"/>
          <w:szCs w:val="21"/>
          <w:highlight w:val="none"/>
        </w:rPr>
        <w:t>中标总价：</w:t>
      </w:r>
      <w:r>
        <w:rPr>
          <w:rFonts w:hAnsi="宋体" w:cs="Arial"/>
          <w:color w:val="auto"/>
          <w:sz w:val="21"/>
          <w:szCs w:val="21"/>
          <w:highlight w:val="none"/>
          <w:u w:val="single"/>
        </w:rPr>
        <w:t xml:space="preserve">￥：    </w:t>
      </w:r>
      <w:r>
        <w:rPr>
          <w:rFonts w:hint="eastAsia" w:hAnsi="宋体" w:cs="Arial"/>
          <w:color w:val="auto"/>
          <w:sz w:val="21"/>
          <w:szCs w:val="21"/>
          <w:highlight w:val="none"/>
          <w:u w:val="single"/>
        </w:rPr>
        <w:t xml:space="preserve">      </w:t>
      </w:r>
      <w:r>
        <w:rPr>
          <w:rFonts w:hAnsi="宋体" w:cs="Arial"/>
          <w:color w:val="auto"/>
          <w:sz w:val="21"/>
          <w:szCs w:val="21"/>
          <w:highlight w:val="none"/>
          <w:u w:val="single"/>
        </w:rPr>
        <w:t xml:space="preserve">  元（人民币大写：     ）（</w:t>
      </w:r>
      <w:r>
        <w:rPr>
          <w:rFonts w:hint="eastAsia" w:hAnsi="宋体" w:cs="Arial"/>
          <w:color w:val="auto"/>
          <w:sz w:val="21"/>
          <w:szCs w:val="21"/>
          <w:highlight w:val="none"/>
          <w:u w:val="single"/>
        </w:rPr>
        <w:t>两年</w:t>
      </w:r>
      <w:r>
        <w:rPr>
          <w:rFonts w:hAnsi="宋体" w:cs="Arial"/>
          <w:color w:val="auto"/>
          <w:sz w:val="21"/>
          <w:szCs w:val="21"/>
          <w:highlight w:val="none"/>
          <w:u w:val="single"/>
        </w:rPr>
        <w:t>总价）</w:t>
      </w:r>
      <w:r>
        <w:rPr>
          <w:rFonts w:hAnsi="宋体" w:cs="Arial"/>
          <w:color w:val="auto"/>
          <w:sz w:val="21"/>
          <w:szCs w:val="21"/>
          <w:highlight w:val="none"/>
        </w:rPr>
        <w:t>。</w:t>
      </w:r>
    </w:p>
    <w:p>
      <w:pPr>
        <w:pStyle w:val="23"/>
        <w:tabs>
          <w:tab w:val="left" w:pos="1651"/>
          <w:tab w:val="left" w:pos="3828"/>
        </w:tabs>
        <w:spacing w:beforeLines="0" w:afterLines="0" w:line="400" w:lineRule="exact"/>
        <w:ind w:firstLine="420" w:firstLineChars="200"/>
        <w:jc w:val="left"/>
        <w:rPr>
          <w:rFonts w:hAnsi="宋体" w:cs="Arial"/>
          <w:color w:val="auto"/>
          <w:sz w:val="21"/>
          <w:szCs w:val="21"/>
          <w:highlight w:val="none"/>
        </w:rPr>
      </w:pPr>
      <w:r>
        <w:rPr>
          <w:rFonts w:hAnsi="宋体" w:cs="Arial"/>
          <w:color w:val="auto"/>
          <w:sz w:val="21"/>
          <w:szCs w:val="21"/>
          <w:highlight w:val="none"/>
        </w:rPr>
        <w:t>2、本次合同经费为：</w:t>
      </w:r>
      <w:r>
        <w:rPr>
          <w:rFonts w:hAnsi="宋体" w:cs="Arial"/>
          <w:color w:val="auto"/>
          <w:sz w:val="21"/>
          <w:szCs w:val="21"/>
          <w:highlight w:val="none"/>
          <w:u w:val="single"/>
        </w:rPr>
        <w:t xml:space="preserve">￥：    </w:t>
      </w:r>
      <w:r>
        <w:rPr>
          <w:rFonts w:hint="eastAsia" w:hAnsi="宋体" w:cs="Arial"/>
          <w:color w:val="auto"/>
          <w:sz w:val="21"/>
          <w:szCs w:val="21"/>
          <w:highlight w:val="none"/>
          <w:u w:val="single"/>
        </w:rPr>
        <w:t xml:space="preserve">     </w:t>
      </w:r>
      <w:r>
        <w:rPr>
          <w:rFonts w:hAnsi="宋体" w:cs="Arial"/>
          <w:color w:val="auto"/>
          <w:sz w:val="21"/>
          <w:szCs w:val="21"/>
          <w:highlight w:val="none"/>
          <w:u w:val="single"/>
        </w:rPr>
        <w:t xml:space="preserve">  元（人民币大写：     ）（一年总价）</w:t>
      </w:r>
      <w:r>
        <w:rPr>
          <w:rFonts w:hAnsi="宋体" w:cs="Arial"/>
          <w:color w:val="auto"/>
          <w:sz w:val="21"/>
          <w:szCs w:val="21"/>
          <w:highlight w:val="none"/>
        </w:rPr>
        <w:t>。</w:t>
      </w:r>
    </w:p>
    <w:p>
      <w:pPr>
        <w:pStyle w:val="23"/>
        <w:tabs>
          <w:tab w:val="left" w:pos="1651"/>
          <w:tab w:val="left" w:pos="3828"/>
        </w:tabs>
        <w:spacing w:beforeLines="0" w:afterLines="0" w:line="400" w:lineRule="exact"/>
        <w:ind w:firstLine="420" w:firstLineChars="200"/>
        <w:jc w:val="left"/>
        <w:rPr>
          <w:rFonts w:hAnsi="宋体" w:cs="Arial"/>
          <w:color w:val="auto"/>
          <w:sz w:val="21"/>
          <w:szCs w:val="21"/>
          <w:highlight w:val="none"/>
        </w:rPr>
      </w:pPr>
      <w:r>
        <w:rPr>
          <w:rFonts w:hAnsi="宋体" w:cs="Arial"/>
          <w:color w:val="auto"/>
          <w:sz w:val="21"/>
          <w:szCs w:val="21"/>
          <w:highlight w:val="none"/>
        </w:rPr>
        <w:t>（二）承包经费按项目进度、检查验收结果和资金到账情况分次核拨，由乙方按甲方业务要求支配使用。</w:t>
      </w:r>
    </w:p>
    <w:p>
      <w:pPr>
        <w:pStyle w:val="23"/>
        <w:tabs>
          <w:tab w:val="left" w:pos="1651"/>
          <w:tab w:val="left" w:pos="3828"/>
        </w:tabs>
        <w:spacing w:beforeLines="0" w:afterLines="0" w:line="400" w:lineRule="exact"/>
        <w:ind w:firstLine="420" w:firstLineChars="200"/>
        <w:jc w:val="left"/>
        <w:rPr>
          <w:rFonts w:hint="eastAsia" w:hAnsi="宋体" w:cs="Arial"/>
          <w:color w:val="auto"/>
          <w:sz w:val="21"/>
          <w:szCs w:val="21"/>
          <w:highlight w:val="none"/>
        </w:rPr>
      </w:pPr>
      <w:r>
        <w:rPr>
          <w:rFonts w:hAnsi="宋体" w:cs="Arial"/>
          <w:color w:val="auto"/>
          <w:sz w:val="21"/>
          <w:szCs w:val="21"/>
          <w:highlight w:val="none"/>
        </w:rPr>
        <w:t>（三）承包经费最终结算价依据中标通知书、投标文件、验收考核等要求计算。</w:t>
      </w:r>
    </w:p>
    <w:p>
      <w:pPr>
        <w:pStyle w:val="23"/>
        <w:tabs>
          <w:tab w:val="left" w:pos="1651"/>
          <w:tab w:val="left" w:pos="3828"/>
        </w:tabs>
        <w:spacing w:beforeLines="0" w:afterLines="0" w:line="400" w:lineRule="exact"/>
        <w:ind w:firstLine="422" w:firstLineChars="200"/>
        <w:jc w:val="left"/>
        <w:rPr>
          <w:rFonts w:hint="eastAsia" w:hAnsi="宋体" w:cs="Arial"/>
          <w:b/>
          <w:color w:val="auto"/>
          <w:sz w:val="21"/>
          <w:szCs w:val="21"/>
          <w:highlight w:val="none"/>
        </w:rPr>
      </w:pPr>
      <w:r>
        <w:rPr>
          <w:rFonts w:hint="eastAsia" w:hAnsi="宋体" w:cs="Arial"/>
          <w:b/>
          <w:color w:val="auto"/>
          <w:sz w:val="21"/>
          <w:szCs w:val="21"/>
          <w:highlight w:val="none"/>
        </w:rPr>
        <w:t>（四）承包期内，如工作量有增减，增减部分按投标单价计算。</w:t>
      </w:r>
    </w:p>
    <w:p>
      <w:pPr>
        <w:pStyle w:val="23"/>
        <w:tabs>
          <w:tab w:val="left" w:pos="1651"/>
          <w:tab w:val="left" w:pos="3828"/>
        </w:tabs>
        <w:spacing w:beforeLines="0" w:afterLines="0" w:line="400" w:lineRule="exact"/>
        <w:ind w:firstLine="422" w:firstLineChars="200"/>
        <w:jc w:val="left"/>
        <w:rPr>
          <w:rFonts w:hint="eastAsia" w:hAnsi="宋体" w:cs="Arial"/>
          <w:b/>
          <w:color w:val="auto"/>
          <w:sz w:val="21"/>
          <w:szCs w:val="21"/>
          <w:highlight w:val="none"/>
        </w:rPr>
      </w:pPr>
      <w:r>
        <w:rPr>
          <w:rFonts w:hint="eastAsia" w:hAnsi="宋体" w:cs="Arial"/>
          <w:b/>
          <w:color w:val="auto"/>
          <w:sz w:val="21"/>
          <w:szCs w:val="21"/>
          <w:highlight w:val="none"/>
        </w:rPr>
        <w:t>新建、改扩建道路、环卫基础设施实际投入使用后，移交属地街道纳入保洁一体化项目管理，并向区综合行政执法局（区城管办）报备，按实际移交保洁时间和中标价格调整合同总价；因拆迁、施工等原因造成保洁范围减少或环卫设施报废、暂停使用的，按实核减保洁经费。</w:t>
      </w:r>
    </w:p>
    <w:p>
      <w:pPr>
        <w:spacing w:line="400" w:lineRule="exact"/>
        <w:jc w:val="left"/>
        <w:rPr>
          <w:b/>
          <w:color w:val="auto"/>
          <w:sz w:val="21"/>
          <w:szCs w:val="21"/>
          <w:highlight w:val="none"/>
        </w:rPr>
      </w:pPr>
      <w:bookmarkStart w:id="409" w:name="_Toc21736"/>
      <w:bookmarkStart w:id="410" w:name="_Toc104190746"/>
      <w:bookmarkStart w:id="411" w:name="_Toc12259"/>
      <w:bookmarkStart w:id="412" w:name="_Toc1460"/>
      <w:bookmarkStart w:id="413" w:name="_Toc11118"/>
      <w:bookmarkStart w:id="414" w:name="_Toc72407433"/>
      <w:r>
        <w:rPr>
          <w:b/>
          <w:color w:val="auto"/>
          <w:sz w:val="21"/>
          <w:szCs w:val="21"/>
          <w:highlight w:val="none"/>
        </w:rPr>
        <w:t>第六条  付款方式</w:t>
      </w:r>
      <w:bookmarkEnd w:id="409"/>
      <w:bookmarkEnd w:id="410"/>
      <w:bookmarkEnd w:id="411"/>
      <w:bookmarkEnd w:id="412"/>
      <w:bookmarkEnd w:id="413"/>
      <w:bookmarkEnd w:id="414"/>
    </w:p>
    <w:p>
      <w:pPr>
        <w:pStyle w:val="23"/>
        <w:tabs>
          <w:tab w:val="left" w:pos="1651"/>
          <w:tab w:val="left" w:pos="3828"/>
        </w:tabs>
        <w:spacing w:beforeLines="0" w:afterLines="0" w:line="400" w:lineRule="exact"/>
        <w:ind w:firstLine="422" w:firstLineChars="200"/>
        <w:jc w:val="left"/>
        <w:rPr>
          <w:rFonts w:hint="eastAsia" w:hAnsi="宋体" w:cs="Arial"/>
          <w:b/>
          <w:bCs/>
          <w:color w:val="auto"/>
          <w:sz w:val="21"/>
          <w:szCs w:val="21"/>
          <w:highlight w:val="none"/>
          <w:lang w:val="en-US" w:eastAsia="zh-CN"/>
        </w:rPr>
      </w:pPr>
      <w:r>
        <w:rPr>
          <w:rFonts w:hAnsi="宋体" w:cs="Arial"/>
          <w:b/>
          <w:bCs/>
          <w:color w:val="auto"/>
          <w:sz w:val="21"/>
          <w:szCs w:val="21"/>
          <w:highlight w:val="none"/>
        </w:rPr>
        <w:t>（</w:t>
      </w:r>
      <w:r>
        <w:rPr>
          <w:rFonts w:hint="eastAsia" w:hAnsi="宋体" w:cs="Arial"/>
          <w:b/>
          <w:bCs/>
          <w:color w:val="auto"/>
          <w:sz w:val="21"/>
          <w:szCs w:val="21"/>
          <w:highlight w:val="none"/>
        </w:rPr>
        <w:t>1</w:t>
      </w:r>
      <w:r>
        <w:rPr>
          <w:rFonts w:hAnsi="宋体" w:cs="Arial"/>
          <w:b/>
          <w:bCs/>
          <w:color w:val="auto"/>
          <w:sz w:val="21"/>
          <w:szCs w:val="21"/>
          <w:highlight w:val="none"/>
        </w:rPr>
        <w:t>）付款方式为先保洁后支付</w:t>
      </w:r>
      <w:r>
        <w:rPr>
          <w:rFonts w:hint="eastAsia" w:hAnsi="宋体" w:cs="Arial"/>
          <w:b/>
          <w:bCs/>
          <w:color w:val="auto"/>
          <w:sz w:val="21"/>
          <w:szCs w:val="21"/>
          <w:highlight w:val="none"/>
          <w:lang w:eastAsia="zh-CN"/>
        </w:rPr>
        <w:t>，</w:t>
      </w:r>
      <w:r>
        <w:rPr>
          <w:rFonts w:hAnsi="宋体" w:cs="Arial"/>
          <w:b/>
          <w:bCs/>
          <w:color w:val="auto"/>
          <w:sz w:val="21"/>
          <w:szCs w:val="21"/>
          <w:highlight w:val="none"/>
        </w:rPr>
        <w:t>由甲方根据考核结果，</w:t>
      </w:r>
      <w:r>
        <w:rPr>
          <w:rFonts w:hint="eastAsia" w:hAnsi="宋体" w:cs="Arial"/>
          <w:b/>
          <w:bCs/>
          <w:color w:val="auto"/>
          <w:sz w:val="21"/>
          <w:szCs w:val="21"/>
          <w:highlight w:val="none"/>
        </w:rPr>
        <w:t>结前一个月的承包经费（遇节假日顺延）。甲方在收到乙方开具的</w:t>
      </w:r>
      <w:r>
        <w:rPr>
          <w:rFonts w:hint="eastAsia" w:hAnsi="宋体" w:cs="Arial"/>
          <w:b/>
          <w:bCs/>
          <w:color w:val="auto"/>
          <w:sz w:val="21"/>
          <w:szCs w:val="21"/>
          <w:highlight w:val="none"/>
          <w:lang w:val="en-US" w:eastAsia="zh-CN"/>
        </w:rPr>
        <w:t>一般纳税人增值税专用发票等结账资料，采购人于中标人提交完整的结账资料后支付相应费用,纳税税点不少于六个点。</w:t>
      </w:r>
    </w:p>
    <w:p>
      <w:pPr>
        <w:pStyle w:val="23"/>
        <w:tabs>
          <w:tab w:val="left" w:pos="1651"/>
          <w:tab w:val="left" w:pos="3828"/>
        </w:tabs>
        <w:spacing w:beforeLines="0" w:afterLines="0" w:line="400" w:lineRule="exact"/>
        <w:ind w:firstLine="422" w:firstLineChars="200"/>
        <w:jc w:val="left"/>
        <w:rPr>
          <w:rFonts w:hAnsi="宋体" w:cs="Arial"/>
          <w:b/>
          <w:bCs/>
          <w:color w:val="auto"/>
          <w:sz w:val="21"/>
          <w:szCs w:val="21"/>
          <w:highlight w:val="none"/>
        </w:rPr>
      </w:pPr>
      <w:r>
        <w:rPr>
          <w:rFonts w:hAnsi="宋体" w:cs="Arial"/>
          <w:b/>
          <w:bCs/>
          <w:color w:val="auto"/>
          <w:sz w:val="21"/>
          <w:szCs w:val="21"/>
          <w:highlight w:val="none"/>
        </w:rPr>
        <w:t>（</w:t>
      </w:r>
      <w:r>
        <w:rPr>
          <w:rFonts w:hint="eastAsia" w:hAnsi="宋体" w:cs="Arial"/>
          <w:b/>
          <w:bCs/>
          <w:color w:val="auto"/>
          <w:sz w:val="21"/>
          <w:szCs w:val="21"/>
          <w:highlight w:val="none"/>
        </w:rPr>
        <w:t>2</w:t>
      </w:r>
      <w:r>
        <w:rPr>
          <w:rFonts w:hAnsi="宋体" w:cs="Arial"/>
          <w:b/>
          <w:bCs/>
          <w:color w:val="auto"/>
          <w:sz w:val="21"/>
          <w:szCs w:val="21"/>
          <w:highlight w:val="none"/>
        </w:rPr>
        <w:t>）环境卫生质量考核按招标文件规定的考核办法及温州市、</w:t>
      </w:r>
      <w:r>
        <w:rPr>
          <w:rFonts w:hint="eastAsia" w:hAnsi="宋体" w:cs="Arial"/>
          <w:b/>
          <w:bCs/>
          <w:color w:val="auto"/>
          <w:sz w:val="21"/>
          <w:szCs w:val="21"/>
          <w:highlight w:val="none"/>
        </w:rPr>
        <w:t>龙湾区</w:t>
      </w:r>
      <w:r>
        <w:rPr>
          <w:rFonts w:hAnsi="宋体" w:cs="Arial"/>
          <w:b/>
          <w:bCs/>
          <w:color w:val="auto"/>
          <w:sz w:val="21"/>
          <w:szCs w:val="21"/>
          <w:highlight w:val="none"/>
        </w:rPr>
        <w:t>的相关规定执行。</w:t>
      </w:r>
    </w:p>
    <w:p>
      <w:pPr>
        <w:pStyle w:val="23"/>
        <w:tabs>
          <w:tab w:val="left" w:pos="1651"/>
          <w:tab w:val="left" w:pos="3828"/>
        </w:tabs>
        <w:spacing w:beforeLines="0" w:afterLines="0" w:line="400" w:lineRule="exact"/>
        <w:ind w:firstLine="422" w:firstLineChars="200"/>
        <w:jc w:val="left"/>
        <w:rPr>
          <w:rFonts w:hAnsi="宋体" w:cs="Arial"/>
          <w:b/>
          <w:bCs/>
          <w:color w:val="auto"/>
          <w:sz w:val="21"/>
          <w:szCs w:val="21"/>
          <w:highlight w:val="none"/>
        </w:rPr>
      </w:pPr>
      <w:r>
        <w:rPr>
          <w:rFonts w:hAnsi="宋体" w:cs="Arial"/>
          <w:b/>
          <w:bCs/>
          <w:color w:val="auto"/>
          <w:sz w:val="21"/>
          <w:szCs w:val="21"/>
          <w:highlight w:val="none"/>
        </w:rPr>
        <w:t>（</w:t>
      </w:r>
      <w:r>
        <w:rPr>
          <w:rFonts w:hint="eastAsia" w:hAnsi="宋体" w:cs="Arial"/>
          <w:b/>
          <w:bCs/>
          <w:color w:val="auto"/>
          <w:sz w:val="21"/>
          <w:szCs w:val="21"/>
          <w:highlight w:val="none"/>
        </w:rPr>
        <w:t>3</w:t>
      </w:r>
      <w:r>
        <w:rPr>
          <w:rFonts w:hAnsi="宋体" w:cs="Arial"/>
          <w:b/>
          <w:bCs/>
          <w:color w:val="auto"/>
          <w:sz w:val="21"/>
          <w:szCs w:val="21"/>
          <w:highlight w:val="none"/>
        </w:rPr>
        <w:t>）甲方每月作出的考核结果，汇总考核结算清单，并告知乙方。</w:t>
      </w:r>
      <w:r>
        <w:rPr>
          <w:rFonts w:hint="eastAsia" w:hAnsi="宋体" w:cs="Arial"/>
          <w:b/>
          <w:bCs/>
          <w:color w:val="auto"/>
          <w:sz w:val="21"/>
          <w:szCs w:val="21"/>
          <w:highlight w:val="none"/>
        </w:rPr>
        <w:t>扣款</w:t>
      </w:r>
      <w:r>
        <w:rPr>
          <w:rFonts w:hAnsi="宋体" w:cs="Arial"/>
          <w:b/>
          <w:bCs/>
          <w:color w:val="auto"/>
          <w:sz w:val="21"/>
          <w:szCs w:val="21"/>
          <w:highlight w:val="none"/>
        </w:rPr>
        <w:t>金额按月直接在付款额中扣除。承包到期后根据考核结果将余款一次付清。</w:t>
      </w:r>
    </w:p>
    <w:p>
      <w:pPr>
        <w:spacing w:line="400" w:lineRule="exact"/>
        <w:jc w:val="left"/>
        <w:rPr>
          <w:b/>
          <w:color w:val="auto"/>
          <w:sz w:val="21"/>
          <w:szCs w:val="21"/>
          <w:highlight w:val="none"/>
        </w:rPr>
      </w:pPr>
      <w:bookmarkStart w:id="415" w:name="_Toc104190747"/>
      <w:bookmarkStart w:id="416" w:name="_Toc14828"/>
      <w:bookmarkStart w:id="417" w:name="_Toc17074"/>
      <w:bookmarkStart w:id="418" w:name="_Toc6182"/>
      <w:bookmarkStart w:id="419" w:name="_Toc72407434"/>
      <w:bookmarkStart w:id="420" w:name="_Toc15915"/>
      <w:r>
        <w:rPr>
          <w:b/>
          <w:color w:val="auto"/>
          <w:sz w:val="21"/>
          <w:szCs w:val="21"/>
          <w:highlight w:val="none"/>
        </w:rPr>
        <w:t>第七条  承包方式</w:t>
      </w:r>
      <w:bookmarkEnd w:id="415"/>
      <w:bookmarkEnd w:id="416"/>
      <w:bookmarkEnd w:id="417"/>
      <w:bookmarkEnd w:id="418"/>
      <w:bookmarkEnd w:id="419"/>
      <w:bookmarkEnd w:id="420"/>
    </w:p>
    <w:p>
      <w:pPr>
        <w:pStyle w:val="23"/>
        <w:tabs>
          <w:tab w:val="left" w:pos="1651"/>
          <w:tab w:val="left" w:pos="3828"/>
        </w:tabs>
        <w:spacing w:beforeLines="0" w:afterLines="0" w:line="400" w:lineRule="exact"/>
        <w:ind w:firstLine="420" w:firstLineChars="200"/>
        <w:jc w:val="left"/>
        <w:rPr>
          <w:rFonts w:hAnsi="宋体" w:cs="Arial"/>
          <w:color w:val="auto"/>
          <w:sz w:val="21"/>
          <w:szCs w:val="21"/>
          <w:highlight w:val="none"/>
        </w:rPr>
      </w:pPr>
      <w:r>
        <w:rPr>
          <w:rFonts w:hAnsi="宋体" w:cs="Arial"/>
          <w:color w:val="auto"/>
          <w:sz w:val="21"/>
          <w:szCs w:val="21"/>
          <w:highlight w:val="none"/>
        </w:rPr>
        <w:t>采用全包干形式，即业务包干、经费包干、安全责任包干方式。甲方将清扫保洁业务及相应的经费交给乙方，乙方按甲方的管理要求和标准组织清扫保洁工作，负责作业安全，并接受甲方的指导、监督和检查验收。</w:t>
      </w:r>
    </w:p>
    <w:p>
      <w:pPr>
        <w:spacing w:line="400" w:lineRule="exact"/>
        <w:jc w:val="left"/>
        <w:rPr>
          <w:b/>
          <w:color w:val="auto"/>
          <w:sz w:val="21"/>
          <w:szCs w:val="21"/>
          <w:highlight w:val="none"/>
        </w:rPr>
      </w:pPr>
      <w:bookmarkStart w:id="421" w:name="_Toc23184"/>
      <w:bookmarkStart w:id="422" w:name="_Toc72407435"/>
      <w:bookmarkStart w:id="423" w:name="_Toc15577"/>
      <w:bookmarkStart w:id="424" w:name="_Toc27934"/>
      <w:bookmarkStart w:id="425" w:name="_Toc21101"/>
      <w:bookmarkStart w:id="426" w:name="_Toc104190748"/>
      <w:r>
        <w:rPr>
          <w:b/>
          <w:color w:val="auto"/>
          <w:sz w:val="21"/>
          <w:szCs w:val="21"/>
          <w:highlight w:val="none"/>
        </w:rPr>
        <w:t>第八条  保洁质量</w:t>
      </w:r>
      <w:bookmarkEnd w:id="421"/>
      <w:bookmarkEnd w:id="422"/>
      <w:bookmarkEnd w:id="423"/>
      <w:bookmarkEnd w:id="424"/>
      <w:bookmarkEnd w:id="425"/>
      <w:bookmarkEnd w:id="426"/>
    </w:p>
    <w:p>
      <w:pPr>
        <w:pStyle w:val="23"/>
        <w:tabs>
          <w:tab w:val="left" w:pos="1651"/>
          <w:tab w:val="left" w:pos="3828"/>
        </w:tabs>
        <w:spacing w:beforeLines="0" w:afterLines="0" w:line="400" w:lineRule="exact"/>
        <w:ind w:firstLine="420" w:firstLineChars="200"/>
        <w:jc w:val="left"/>
        <w:rPr>
          <w:rFonts w:hint="eastAsia" w:hAnsi="宋体" w:cs="Arial"/>
          <w:color w:val="auto"/>
          <w:sz w:val="21"/>
          <w:szCs w:val="21"/>
          <w:highlight w:val="none"/>
        </w:rPr>
      </w:pPr>
      <w:r>
        <w:rPr>
          <w:rFonts w:hint="eastAsia" w:hAnsi="宋体" w:cs="Arial"/>
          <w:color w:val="auto"/>
          <w:sz w:val="21"/>
          <w:szCs w:val="21"/>
          <w:highlight w:val="none"/>
        </w:rPr>
        <w:t>清扫保洁各项具体工作的质量标准和作业规范按甲方具体要求及甲方《采购文件》中规定，乙方《投标文件》承诺的措施、方案、投入的人力、机械设备车辆船只，严格执行。</w:t>
      </w:r>
    </w:p>
    <w:p>
      <w:pPr>
        <w:pStyle w:val="23"/>
        <w:tabs>
          <w:tab w:val="left" w:pos="1651"/>
          <w:tab w:val="left" w:pos="3828"/>
        </w:tabs>
        <w:spacing w:beforeLines="0" w:afterLines="0" w:line="400" w:lineRule="exact"/>
        <w:ind w:firstLine="420" w:firstLineChars="200"/>
        <w:jc w:val="left"/>
        <w:rPr>
          <w:rFonts w:hAnsi="宋体" w:cs="Arial"/>
          <w:color w:val="auto"/>
          <w:sz w:val="21"/>
          <w:szCs w:val="21"/>
          <w:highlight w:val="none"/>
        </w:rPr>
      </w:pPr>
      <w:r>
        <w:rPr>
          <w:rFonts w:hint="eastAsia" w:hAnsi="宋体" w:cs="Arial"/>
          <w:color w:val="auto"/>
          <w:sz w:val="21"/>
          <w:szCs w:val="21"/>
          <w:highlight w:val="none"/>
        </w:rPr>
        <w:t>乙方中标后采用优于投标车辆品牌及规格参数的车辆，以新换旧、以优换次替换投标车辆的，经</w:t>
      </w:r>
      <w:r>
        <w:rPr>
          <w:rFonts w:hint="eastAsia" w:hAnsi="宋体" w:cs="Arial"/>
          <w:color w:val="auto"/>
          <w:sz w:val="21"/>
          <w:szCs w:val="21"/>
          <w:highlight w:val="none"/>
          <w:lang w:eastAsia="zh-CN"/>
        </w:rPr>
        <w:t>瑶溪街道</w:t>
      </w:r>
      <w:r>
        <w:rPr>
          <w:rFonts w:hint="eastAsia" w:hAnsi="宋体" w:cs="Arial"/>
          <w:color w:val="auto"/>
          <w:sz w:val="21"/>
          <w:szCs w:val="21"/>
          <w:highlight w:val="none"/>
        </w:rPr>
        <w:t>审核同意，可以予以更换。但最终进场车辆(最低配置车辆）必须保证专车专用，只用于本项目</w:t>
      </w:r>
      <w:r>
        <w:rPr>
          <w:rFonts w:hAnsi="宋体" w:cs="Arial"/>
          <w:color w:val="auto"/>
          <w:sz w:val="21"/>
          <w:szCs w:val="21"/>
          <w:highlight w:val="none"/>
        </w:rPr>
        <w:t>。</w:t>
      </w:r>
    </w:p>
    <w:p>
      <w:pPr>
        <w:spacing w:line="400" w:lineRule="exact"/>
        <w:jc w:val="left"/>
        <w:rPr>
          <w:b/>
          <w:color w:val="auto"/>
          <w:sz w:val="21"/>
          <w:szCs w:val="21"/>
          <w:highlight w:val="none"/>
        </w:rPr>
      </w:pPr>
      <w:bookmarkStart w:id="427" w:name="_Toc4416"/>
      <w:bookmarkStart w:id="428" w:name="_Toc24501"/>
      <w:bookmarkStart w:id="429" w:name="_Toc25860"/>
      <w:bookmarkStart w:id="430" w:name="_Toc72407436"/>
      <w:bookmarkStart w:id="431" w:name="_Toc104190749"/>
      <w:bookmarkStart w:id="432" w:name="_Toc17797"/>
      <w:r>
        <w:rPr>
          <w:b/>
          <w:color w:val="auto"/>
          <w:sz w:val="21"/>
          <w:szCs w:val="21"/>
          <w:highlight w:val="none"/>
        </w:rPr>
        <w:t>第九条  检查考评办法</w:t>
      </w:r>
      <w:bookmarkEnd w:id="427"/>
      <w:bookmarkEnd w:id="428"/>
      <w:bookmarkEnd w:id="429"/>
      <w:bookmarkEnd w:id="430"/>
      <w:bookmarkEnd w:id="431"/>
      <w:bookmarkEnd w:id="432"/>
    </w:p>
    <w:p>
      <w:pPr>
        <w:pStyle w:val="23"/>
        <w:tabs>
          <w:tab w:val="left" w:pos="1651"/>
          <w:tab w:val="left" w:pos="3828"/>
        </w:tabs>
        <w:spacing w:beforeLines="0" w:afterLines="0" w:line="400" w:lineRule="exact"/>
        <w:ind w:firstLine="420" w:firstLineChars="200"/>
        <w:jc w:val="left"/>
        <w:rPr>
          <w:rFonts w:hAnsi="宋体" w:cs="Arial"/>
          <w:color w:val="auto"/>
          <w:sz w:val="21"/>
          <w:szCs w:val="21"/>
          <w:highlight w:val="none"/>
        </w:rPr>
      </w:pPr>
      <w:r>
        <w:rPr>
          <w:rFonts w:hAnsi="宋体" w:cs="Arial"/>
          <w:color w:val="auto"/>
          <w:sz w:val="21"/>
          <w:szCs w:val="21"/>
          <w:highlight w:val="none"/>
        </w:rPr>
        <w:t>乙方应严格按照甲方具体要求及《招标文件》的规定，以及乙方《投标文件》承诺，对承包区域进行清扫保洁。</w:t>
      </w:r>
    </w:p>
    <w:p>
      <w:pPr>
        <w:spacing w:line="400" w:lineRule="exact"/>
        <w:jc w:val="left"/>
        <w:rPr>
          <w:b/>
          <w:color w:val="auto"/>
          <w:sz w:val="21"/>
          <w:szCs w:val="21"/>
          <w:highlight w:val="none"/>
        </w:rPr>
      </w:pPr>
      <w:bookmarkStart w:id="433" w:name="_Toc10975"/>
      <w:bookmarkStart w:id="434" w:name="_Toc104190750"/>
      <w:bookmarkStart w:id="435" w:name="_Toc16649"/>
      <w:bookmarkStart w:id="436" w:name="_Toc29144"/>
      <w:bookmarkStart w:id="437" w:name="_Toc72407437"/>
      <w:bookmarkStart w:id="438" w:name="_Toc22807"/>
      <w:r>
        <w:rPr>
          <w:b/>
          <w:color w:val="auto"/>
          <w:sz w:val="21"/>
          <w:szCs w:val="21"/>
          <w:highlight w:val="none"/>
        </w:rPr>
        <w:t>第十条  履约保证金</w:t>
      </w:r>
      <w:bookmarkEnd w:id="433"/>
      <w:bookmarkEnd w:id="434"/>
      <w:bookmarkEnd w:id="435"/>
      <w:bookmarkEnd w:id="436"/>
      <w:bookmarkEnd w:id="437"/>
      <w:bookmarkEnd w:id="438"/>
    </w:p>
    <w:p>
      <w:pPr>
        <w:spacing w:line="400" w:lineRule="exact"/>
        <w:ind w:firstLine="420" w:firstLineChars="200"/>
        <w:jc w:val="left"/>
        <w:rPr>
          <w:rFonts w:hint="eastAsia" w:ascii="宋体" w:hAnsi="宋体" w:cs="Arial"/>
          <w:b/>
          <w:bCs/>
          <w:color w:val="auto"/>
          <w:sz w:val="21"/>
          <w:szCs w:val="21"/>
          <w:highlight w:val="none"/>
          <w:u w:val="single"/>
          <w:lang w:val="en-US" w:eastAsia="zh-CN"/>
        </w:rPr>
      </w:pPr>
      <w:bookmarkStart w:id="439" w:name="_Toc104190751"/>
      <w:bookmarkStart w:id="440" w:name="_Toc1731"/>
      <w:bookmarkStart w:id="441" w:name="_Toc19011"/>
      <w:bookmarkStart w:id="442" w:name="_Toc23825"/>
      <w:bookmarkStart w:id="443" w:name="_Toc27529"/>
      <w:bookmarkStart w:id="444" w:name="_Toc72407438"/>
      <w:r>
        <w:rPr>
          <w:rFonts w:ascii="宋体" w:hAnsi="宋体" w:cs="Arial"/>
          <w:color w:val="auto"/>
          <w:sz w:val="21"/>
          <w:szCs w:val="21"/>
          <w:highlight w:val="none"/>
        </w:rPr>
        <w:t>中标单位履约保证金采用</w:t>
      </w:r>
      <w:r>
        <w:rPr>
          <w:rFonts w:ascii="宋体" w:hAnsi="宋体" w:cs="Arial"/>
          <w:b/>
          <w:bCs/>
          <w:color w:val="auto"/>
          <w:sz w:val="21"/>
          <w:szCs w:val="21"/>
          <w:highlight w:val="none"/>
          <w:u w:val="single"/>
        </w:rPr>
        <w:t>银行</w:t>
      </w:r>
      <w:r>
        <w:rPr>
          <w:rFonts w:hint="eastAsia" w:ascii="宋体" w:hAnsi="宋体" w:cs="Arial"/>
          <w:b/>
          <w:bCs/>
          <w:color w:val="auto"/>
          <w:sz w:val="21"/>
          <w:szCs w:val="21"/>
          <w:highlight w:val="none"/>
          <w:u w:val="single"/>
          <w:lang w:eastAsia="zh-CN"/>
        </w:rPr>
        <w:t>转账，</w:t>
      </w:r>
      <w:r>
        <w:rPr>
          <w:rFonts w:hint="eastAsia" w:ascii="宋体" w:hAnsi="宋体" w:cs="Arial"/>
          <w:b/>
          <w:bCs/>
          <w:color w:val="auto"/>
          <w:sz w:val="21"/>
          <w:szCs w:val="21"/>
          <w:highlight w:val="none"/>
          <w:u w:val="single"/>
          <w:lang w:val="en-US" w:eastAsia="zh-CN"/>
        </w:rPr>
        <w:t xml:space="preserve">中标后需向采购人提供合同价的1%的履约保证金，待服务期限结束后，无息退还。 </w:t>
      </w:r>
    </w:p>
    <w:p>
      <w:pPr>
        <w:spacing w:line="400" w:lineRule="exact"/>
        <w:jc w:val="left"/>
        <w:rPr>
          <w:b/>
          <w:color w:val="auto"/>
          <w:sz w:val="21"/>
          <w:szCs w:val="21"/>
          <w:highlight w:val="none"/>
        </w:rPr>
      </w:pPr>
      <w:r>
        <w:rPr>
          <w:b/>
          <w:color w:val="auto"/>
          <w:sz w:val="21"/>
          <w:szCs w:val="21"/>
          <w:highlight w:val="none"/>
        </w:rPr>
        <w:t>第十一条  权利和义务</w:t>
      </w:r>
      <w:bookmarkEnd w:id="439"/>
      <w:bookmarkEnd w:id="440"/>
      <w:bookmarkEnd w:id="441"/>
      <w:bookmarkEnd w:id="442"/>
      <w:bookmarkEnd w:id="443"/>
      <w:bookmarkEnd w:id="444"/>
    </w:p>
    <w:p>
      <w:pPr>
        <w:pStyle w:val="23"/>
        <w:tabs>
          <w:tab w:val="left" w:pos="1651"/>
          <w:tab w:val="left" w:pos="3828"/>
        </w:tabs>
        <w:spacing w:beforeLines="0" w:afterLines="0" w:line="400" w:lineRule="exact"/>
        <w:ind w:firstLine="420" w:firstLineChars="200"/>
        <w:jc w:val="left"/>
        <w:rPr>
          <w:rFonts w:hint="eastAsia" w:hAnsi="宋体" w:cs="Arial"/>
          <w:color w:val="auto"/>
          <w:sz w:val="21"/>
          <w:szCs w:val="21"/>
          <w:highlight w:val="none"/>
        </w:rPr>
      </w:pPr>
      <w:r>
        <w:rPr>
          <w:rFonts w:hint="eastAsia" w:hAnsi="宋体" w:cs="Arial"/>
          <w:color w:val="auto"/>
          <w:sz w:val="21"/>
          <w:szCs w:val="21"/>
          <w:highlight w:val="none"/>
        </w:rPr>
        <w:t>（一）甲方权利与义务</w:t>
      </w:r>
    </w:p>
    <w:p>
      <w:pPr>
        <w:pStyle w:val="23"/>
        <w:tabs>
          <w:tab w:val="left" w:pos="1651"/>
          <w:tab w:val="left" w:pos="3828"/>
        </w:tabs>
        <w:spacing w:beforeLines="0" w:afterLines="0" w:line="400" w:lineRule="exact"/>
        <w:ind w:firstLine="420" w:firstLineChars="200"/>
        <w:jc w:val="left"/>
        <w:rPr>
          <w:rFonts w:hint="eastAsia" w:hAnsi="宋体" w:cs="Arial"/>
          <w:color w:val="auto"/>
          <w:sz w:val="21"/>
          <w:szCs w:val="21"/>
          <w:highlight w:val="none"/>
        </w:rPr>
      </w:pPr>
      <w:r>
        <w:rPr>
          <w:rFonts w:hint="eastAsia" w:hAnsi="宋体" w:cs="Arial"/>
          <w:color w:val="auto"/>
          <w:sz w:val="21"/>
          <w:szCs w:val="21"/>
          <w:highlight w:val="none"/>
        </w:rPr>
        <w:t>1、甲方对乙方的清扫保洁业务进行全面的技术指导、检查、管理和监督，对检查中发现的环境卫生质量问题及时向乙方提出书面或口头改进意见，直至终止本合同。</w:t>
      </w:r>
    </w:p>
    <w:p>
      <w:pPr>
        <w:pStyle w:val="23"/>
        <w:tabs>
          <w:tab w:val="left" w:pos="1651"/>
          <w:tab w:val="left" w:pos="3828"/>
        </w:tabs>
        <w:spacing w:beforeLines="0" w:afterLines="0" w:line="400" w:lineRule="exact"/>
        <w:ind w:firstLine="420" w:firstLineChars="200"/>
        <w:jc w:val="left"/>
        <w:rPr>
          <w:rFonts w:hint="eastAsia" w:hAnsi="宋体" w:cs="Arial"/>
          <w:color w:val="auto"/>
          <w:sz w:val="21"/>
          <w:szCs w:val="21"/>
          <w:highlight w:val="none"/>
        </w:rPr>
      </w:pPr>
      <w:r>
        <w:rPr>
          <w:rFonts w:hint="eastAsia" w:hAnsi="宋体" w:cs="Arial"/>
          <w:color w:val="auto"/>
          <w:sz w:val="21"/>
          <w:szCs w:val="21"/>
          <w:highlight w:val="none"/>
        </w:rPr>
        <w:t>2、甲方对乙方违反考核管理办法的行为进行处罚。</w:t>
      </w:r>
    </w:p>
    <w:p>
      <w:pPr>
        <w:pStyle w:val="23"/>
        <w:tabs>
          <w:tab w:val="left" w:pos="1651"/>
          <w:tab w:val="left" w:pos="3828"/>
        </w:tabs>
        <w:spacing w:beforeLines="0" w:afterLines="0" w:line="400" w:lineRule="exact"/>
        <w:ind w:firstLine="420" w:firstLineChars="200"/>
        <w:jc w:val="left"/>
        <w:rPr>
          <w:rFonts w:hint="eastAsia" w:hAnsi="宋体" w:cs="Arial"/>
          <w:color w:val="auto"/>
          <w:sz w:val="21"/>
          <w:szCs w:val="21"/>
          <w:highlight w:val="none"/>
        </w:rPr>
      </w:pPr>
      <w:r>
        <w:rPr>
          <w:rFonts w:hint="eastAsia" w:hAnsi="宋体" w:cs="Arial"/>
          <w:color w:val="auto"/>
          <w:sz w:val="21"/>
          <w:szCs w:val="21"/>
          <w:highlight w:val="none"/>
        </w:rPr>
        <w:t>3、甲方有权监督检查乙方落实安全防火和安全生产措施。</w:t>
      </w:r>
    </w:p>
    <w:p>
      <w:pPr>
        <w:pStyle w:val="23"/>
        <w:tabs>
          <w:tab w:val="left" w:pos="1651"/>
          <w:tab w:val="left" w:pos="3828"/>
        </w:tabs>
        <w:spacing w:beforeLines="0" w:afterLines="0" w:line="400" w:lineRule="exact"/>
        <w:ind w:firstLine="420" w:firstLineChars="200"/>
        <w:jc w:val="left"/>
        <w:rPr>
          <w:rFonts w:hint="eastAsia" w:hAnsi="宋体" w:cs="Arial"/>
          <w:color w:val="auto"/>
          <w:sz w:val="21"/>
          <w:szCs w:val="21"/>
          <w:highlight w:val="none"/>
        </w:rPr>
      </w:pPr>
      <w:r>
        <w:rPr>
          <w:rFonts w:hint="eastAsia" w:hAnsi="宋体" w:cs="Arial"/>
          <w:color w:val="auto"/>
          <w:sz w:val="21"/>
          <w:szCs w:val="21"/>
          <w:highlight w:val="none"/>
        </w:rPr>
        <w:t>4、甲方有权监督检查乙方对员工进行培训的情况，以提高清扫保洁服务的技术水平。</w:t>
      </w:r>
    </w:p>
    <w:p>
      <w:pPr>
        <w:pStyle w:val="23"/>
        <w:tabs>
          <w:tab w:val="left" w:pos="1651"/>
          <w:tab w:val="left" w:pos="3828"/>
        </w:tabs>
        <w:spacing w:beforeLines="0" w:afterLines="0" w:line="400" w:lineRule="exact"/>
        <w:ind w:firstLine="420" w:firstLineChars="200"/>
        <w:jc w:val="left"/>
        <w:rPr>
          <w:rFonts w:hint="eastAsia" w:hAnsi="宋体" w:cs="Arial"/>
          <w:color w:val="auto"/>
          <w:sz w:val="21"/>
          <w:szCs w:val="21"/>
          <w:highlight w:val="none"/>
        </w:rPr>
      </w:pPr>
      <w:r>
        <w:rPr>
          <w:rFonts w:hint="eastAsia" w:hAnsi="宋体" w:cs="Arial"/>
          <w:color w:val="auto"/>
          <w:sz w:val="21"/>
          <w:szCs w:val="21"/>
          <w:highlight w:val="none"/>
        </w:rPr>
        <w:t>5、甲方应按清扫保洁质量和检查验收结果计算经费，扣除乙方因检查不合格应扣款后，将经费按期支付给乙方。</w:t>
      </w:r>
    </w:p>
    <w:p>
      <w:pPr>
        <w:pStyle w:val="23"/>
        <w:tabs>
          <w:tab w:val="left" w:pos="1651"/>
          <w:tab w:val="left" w:pos="3828"/>
        </w:tabs>
        <w:spacing w:beforeLines="0" w:afterLines="0" w:line="400" w:lineRule="exact"/>
        <w:ind w:firstLine="420" w:firstLineChars="200"/>
        <w:jc w:val="left"/>
        <w:rPr>
          <w:rFonts w:hint="eastAsia" w:hAnsi="宋体" w:cs="Arial"/>
          <w:color w:val="auto"/>
          <w:sz w:val="21"/>
          <w:szCs w:val="21"/>
          <w:highlight w:val="none"/>
        </w:rPr>
      </w:pPr>
      <w:r>
        <w:rPr>
          <w:rFonts w:hint="eastAsia" w:hAnsi="宋体" w:cs="Arial"/>
          <w:color w:val="auto"/>
          <w:sz w:val="21"/>
          <w:szCs w:val="21"/>
          <w:highlight w:val="none"/>
        </w:rPr>
        <w:t>6、甲方可要求乙方调整不合格员工。</w:t>
      </w:r>
    </w:p>
    <w:p>
      <w:pPr>
        <w:pStyle w:val="23"/>
        <w:tabs>
          <w:tab w:val="left" w:pos="1651"/>
          <w:tab w:val="left" w:pos="3828"/>
        </w:tabs>
        <w:spacing w:beforeLines="0" w:afterLines="0" w:line="400" w:lineRule="exact"/>
        <w:ind w:firstLine="420" w:firstLineChars="200"/>
        <w:jc w:val="left"/>
        <w:rPr>
          <w:rFonts w:hint="eastAsia" w:hAnsi="宋体" w:cs="Arial"/>
          <w:color w:val="auto"/>
          <w:sz w:val="21"/>
          <w:szCs w:val="21"/>
          <w:highlight w:val="none"/>
        </w:rPr>
      </w:pPr>
      <w:r>
        <w:rPr>
          <w:rFonts w:hint="eastAsia" w:hAnsi="宋体" w:cs="Arial"/>
          <w:color w:val="auto"/>
          <w:sz w:val="21"/>
          <w:szCs w:val="21"/>
          <w:highlight w:val="none"/>
        </w:rPr>
        <w:t>7、甲方可根据政策的变动并结合实际情况对考核办法进行修改和补充。</w:t>
      </w:r>
    </w:p>
    <w:p>
      <w:pPr>
        <w:pStyle w:val="23"/>
        <w:tabs>
          <w:tab w:val="left" w:pos="1651"/>
          <w:tab w:val="left" w:pos="3828"/>
        </w:tabs>
        <w:spacing w:beforeLines="0" w:afterLines="0" w:line="400" w:lineRule="exact"/>
        <w:ind w:firstLine="420" w:firstLineChars="200"/>
        <w:jc w:val="left"/>
        <w:rPr>
          <w:rFonts w:hint="eastAsia" w:hAnsi="宋体" w:cs="Arial"/>
          <w:color w:val="auto"/>
          <w:sz w:val="21"/>
          <w:szCs w:val="21"/>
          <w:highlight w:val="none"/>
        </w:rPr>
      </w:pPr>
      <w:r>
        <w:rPr>
          <w:rFonts w:hint="eastAsia" w:hAnsi="宋体" w:cs="Arial"/>
          <w:color w:val="auto"/>
          <w:sz w:val="21"/>
          <w:szCs w:val="21"/>
          <w:highlight w:val="none"/>
        </w:rPr>
        <w:t>8、甲方应按时支付款项，如因政策影响或其它原因，拨款未能及时到位，乙方不得以此为由而不履行本合同规定的义务。否则，甲方按规定扣罚。</w:t>
      </w:r>
    </w:p>
    <w:p>
      <w:pPr>
        <w:pStyle w:val="23"/>
        <w:tabs>
          <w:tab w:val="left" w:pos="1651"/>
          <w:tab w:val="left" w:pos="3828"/>
        </w:tabs>
        <w:spacing w:beforeLines="0" w:afterLines="0" w:line="400" w:lineRule="exact"/>
        <w:ind w:firstLine="420" w:firstLineChars="200"/>
        <w:jc w:val="left"/>
        <w:rPr>
          <w:rFonts w:hint="eastAsia" w:hAnsi="宋体" w:cs="Arial"/>
          <w:color w:val="auto"/>
          <w:sz w:val="21"/>
          <w:szCs w:val="21"/>
          <w:highlight w:val="none"/>
        </w:rPr>
      </w:pPr>
      <w:r>
        <w:rPr>
          <w:rFonts w:hint="eastAsia" w:hAnsi="宋体" w:cs="Arial"/>
          <w:color w:val="auto"/>
          <w:sz w:val="21"/>
          <w:szCs w:val="21"/>
          <w:highlight w:val="none"/>
        </w:rPr>
        <w:t>9、服务期内甲方遇到各类检查、考核（如上级部门检查、考核、督导等），乙方要无条件加班，甲方不另支付加班费，即此项造成的费用由乙方承担。</w:t>
      </w:r>
    </w:p>
    <w:p>
      <w:pPr>
        <w:pStyle w:val="23"/>
        <w:tabs>
          <w:tab w:val="left" w:pos="1651"/>
          <w:tab w:val="left" w:pos="3828"/>
        </w:tabs>
        <w:spacing w:beforeLines="0" w:afterLines="0" w:line="400" w:lineRule="exact"/>
        <w:ind w:firstLine="420" w:firstLineChars="200"/>
        <w:jc w:val="left"/>
        <w:rPr>
          <w:rFonts w:hint="eastAsia" w:hAnsi="宋体" w:cs="Arial"/>
          <w:color w:val="auto"/>
          <w:sz w:val="21"/>
          <w:szCs w:val="21"/>
          <w:highlight w:val="none"/>
        </w:rPr>
      </w:pPr>
      <w:r>
        <w:rPr>
          <w:rFonts w:hint="eastAsia" w:hAnsi="宋体" w:cs="Arial"/>
          <w:color w:val="auto"/>
          <w:sz w:val="21"/>
          <w:szCs w:val="21"/>
          <w:highlight w:val="none"/>
        </w:rPr>
        <w:t>（二）乙方权利和义务</w:t>
      </w:r>
    </w:p>
    <w:p>
      <w:pPr>
        <w:pStyle w:val="23"/>
        <w:tabs>
          <w:tab w:val="left" w:pos="1651"/>
          <w:tab w:val="left" w:pos="3828"/>
        </w:tabs>
        <w:spacing w:beforeLines="0" w:afterLines="0" w:line="400" w:lineRule="exact"/>
        <w:ind w:firstLine="420" w:firstLineChars="200"/>
        <w:jc w:val="left"/>
        <w:rPr>
          <w:rFonts w:hint="eastAsia" w:hAnsi="宋体" w:cs="Arial"/>
          <w:color w:val="auto"/>
          <w:sz w:val="21"/>
          <w:szCs w:val="21"/>
          <w:highlight w:val="none"/>
        </w:rPr>
      </w:pPr>
      <w:r>
        <w:rPr>
          <w:rFonts w:hint="eastAsia" w:hAnsi="宋体" w:cs="Arial"/>
          <w:color w:val="auto"/>
          <w:sz w:val="21"/>
          <w:szCs w:val="21"/>
          <w:highlight w:val="none"/>
        </w:rPr>
        <w:t>1、乙方有权根据承包合同按期领取承包经费。</w:t>
      </w:r>
    </w:p>
    <w:p>
      <w:pPr>
        <w:pStyle w:val="23"/>
        <w:tabs>
          <w:tab w:val="left" w:pos="1651"/>
          <w:tab w:val="left" w:pos="3828"/>
        </w:tabs>
        <w:spacing w:beforeLines="0" w:afterLines="0" w:line="400" w:lineRule="exact"/>
        <w:ind w:firstLine="420" w:firstLineChars="200"/>
        <w:jc w:val="left"/>
        <w:rPr>
          <w:rFonts w:hint="eastAsia" w:hAnsi="宋体" w:cs="Arial"/>
          <w:color w:val="auto"/>
          <w:sz w:val="21"/>
          <w:szCs w:val="21"/>
          <w:highlight w:val="none"/>
        </w:rPr>
      </w:pPr>
      <w:r>
        <w:rPr>
          <w:rFonts w:hint="eastAsia" w:hAnsi="宋体" w:cs="Arial"/>
          <w:color w:val="auto"/>
          <w:sz w:val="21"/>
          <w:szCs w:val="21"/>
          <w:highlight w:val="none"/>
        </w:rPr>
        <w:t>2、乙方履行承诺的义务，并参加由甲方组织的检查和综合考评。</w:t>
      </w:r>
    </w:p>
    <w:p>
      <w:pPr>
        <w:pStyle w:val="23"/>
        <w:tabs>
          <w:tab w:val="left" w:pos="1651"/>
          <w:tab w:val="left" w:pos="3828"/>
        </w:tabs>
        <w:spacing w:beforeLines="0" w:afterLines="0" w:line="400" w:lineRule="exact"/>
        <w:ind w:firstLine="420" w:firstLineChars="200"/>
        <w:jc w:val="left"/>
        <w:rPr>
          <w:rFonts w:hint="eastAsia" w:hAnsi="宋体" w:cs="Arial"/>
          <w:color w:val="auto"/>
          <w:sz w:val="21"/>
          <w:szCs w:val="21"/>
          <w:highlight w:val="none"/>
        </w:rPr>
      </w:pPr>
      <w:r>
        <w:rPr>
          <w:rFonts w:hint="eastAsia" w:hAnsi="宋体" w:cs="Arial"/>
          <w:color w:val="auto"/>
          <w:sz w:val="21"/>
          <w:szCs w:val="21"/>
          <w:highlight w:val="none"/>
        </w:rPr>
        <w:t>3、乙方应接受甲方的检查监督及指导。</w:t>
      </w:r>
    </w:p>
    <w:p>
      <w:pPr>
        <w:pStyle w:val="23"/>
        <w:tabs>
          <w:tab w:val="left" w:pos="1651"/>
          <w:tab w:val="left" w:pos="3828"/>
        </w:tabs>
        <w:spacing w:beforeLines="0" w:afterLines="0" w:line="400" w:lineRule="exact"/>
        <w:ind w:firstLine="420" w:firstLineChars="200"/>
        <w:jc w:val="left"/>
        <w:rPr>
          <w:rFonts w:hint="eastAsia" w:hAnsi="宋体" w:cs="Arial"/>
          <w:color w:val="auto"/>
          <w:sz w:val="21"/>
          <w:szCs w:val="21"/>
          <w:highlight w:val="none"/>
        </w:rPr>
      </w:pPr>
      <w:r>
        <w:rPr>
          <w:rFonts w:hint="eastAsia" w:hAnsi="宋体" w:cs="Arial"/>
          <w:color w:val="auto"/>
          <w:sz w:val="21"/>
          <w:szCs w:val="21"/>
          <w:highlight w:val="none"/>
        </w:rPr>
        <w:t>4、按甲方的要求开展工作，如有改变，乙方应提出书面申请，并征得甲方的书面同意。</w:t>
      </w:r>
    </w:p>
    <w:p>
      <w:pPr>
        <w:pStyle w:val="23"/>
        <w:tabs>
          <w:tab w:val="left" w:pos="1651"/>
          <w:tab w:val="left" w:pos="3828"/>
        </w:tabs>
        <w:spacing w:beforeLines="0" w:afterLines="0" w:line="400" w:lineRule="exact"/>
        <w:ind w:firstLine="420" w:firstLineChars="200"/>
        <w:jc w:val="left"/>
        <w:rPr>
          <w:rFonts w:hint="eastAsia" w:hAnsi="宋体" w:cs="Arial"/>
          <w:color w:val="auto"/>
          <w:sz w:val="21"/>
          <w:szCs w:val="21"/>
          <w:highlight w:val="none"/>
        </w:rPr>
      </w:pPr>
      <w:r>
        <w:rPr>
          <w:rFonts w:hint="eastAsia" w:hAnsi="宋体" w:cs="Arial"/>
          <w:color w:val="auto"/>
          <w:sz w:val="21"/>
          <w:szCs w:val="21"/>
          <w:highlight w:val="none"/>
        </w:rPr>
        <w:t>5、特殊情况下（台风和暴雨等），乙方除应做好管辖地段保护工作外，还应服从甲方的统一指挥和调动，参加抢险救灾工作。</w:t>
      </w:r>
    </w:p>
    <w:p>
      <w:pPr>
        <w:pStyle w:val="23"/>
        <w:tabs>
          <w:tab w:val="left" w:pos="1651"/>
          <w:tab w:val="left" w:pos="3828"/>
        </w:tabs>
        <w:spacing w:beforeLines="0" w:afterLines="0" w:line="400" w:lineRule="exact"/>
        <w:ind w:firstLine="420" w:firstLineChars="200"/>
        <w:jc w:val="left"/>
        <w:rPr>
          <w:rFonts w:hint="eastAsia" w:hAnsi="宋体" w:cs="Arial"/>
          <w:color w:val="auto"/>
          <w:sz w:val="21"/>
          <w:szCs w:val="21"/>
          <w:highlight w:val="none"/>
        </w:rPr>
      </w:pPr>
      <w:r>
        <w:rPr>
          <w:rFonts w:hint="eastAsia" w:hAnsi="宋体" w:cs="Arial"/>
          <w:color w:val="auto"/>
          <w:sz w:val="21"/>
          <w:szCs w:val="21"/>
          <w:highlight w:val="none"/>
        </w:rPr>
        <w:t>6、乙方根据本合同所承担的服务内容及“劳动法”有关规定，按实际上岗人数自行到有关部门申办用工手续、享受按国家有关规定的员工社会保险。</w:t>
      </w:r>
    </w:p>
    <w:p>
      <w:pPr>
        <w:pStyle w:val="23"/>
        <w:tabs>
          <w:tab w:val="left" w:pos="1651"/>
          <w:tab w:val="left" w:pos="3828"/>
        </w:tabs>
        <w:spacing w:beforeLines="0" w:afterLines="0" w:line="400" w:lineRule="exact"/>
        <w:ind w:firstLine="420" w:firstLineChars="200"/>
        <w:jc w:val="left"/>
        <w:rPr>
          <w:rFonts w:hint="eastAsia" w:hAnsi="宋体" w:cs="Arial"/>
          <w:color w:val="auto"/>
          <w:sz w:val="21"/>
          <w:szCs w:val="21"/>
          <w:highlight w:val="none"/>
        </w:rPr>
      </w:pPr>
      <w:r>
        <w:rPr>
          <w:rFonts w:hint="eastAsia" w:hAnsi="宋体" w:cs="Arial"/>
          <w:color w:val="auto"/>
          <w:sz w:val="21"/>
          <w:szCs w:val="21"/>
          <w:highlight w:val="none"/>
        </w:rPr>
        <w:t>7、乙方应按甲方要求，为上岗工人购买统一的反光工作服。</w:t>
      </w:r>
    </w:p>
    <w:p>
      <w:pPr>
        <w:pStyle w:val="23"/>
        <w:tabs>
          <w:tab w:val="left" w:pos="1651"/>
          <w:tab w:val="left" w:pos="3828"/>
        </w:tabs>
        <w:spacing w:beforeLines="0" w:afterLines="0" w:line="400" w:lineRule="exact"/>
        <w:ind w:firstLine="420" w:firstLineChars="200"/>
        <w:jc w:val="left"/>
        <w:rPr>
          <w:rFonts w:hint="eastAsia" w:hAnsi="宋体" w:cs="Arial"/>
          <w:color w:val="auto"/>
          <w:sz w:val="21"/>
          <w:szCs w:val="21"/>
          <w:highlight w:val="none"/>
        </w:rPr>
      </w:pPr>
      <w:r>
        <w:rPr>
          <w:rFonts w:hint="eastAsia" w:hAnsi="宋体" w:cs="Arial"/>
          <w:color w:val="auto"/>
          <w:sz w:val="21"/>
          <w:szCs w:val="21"/>
          <w:highlight w:val="none"/>
        </w:rPr>
        <w:t>8、负责提供清扫保洁所需的全部设备、工具和材料。</w:t>
      </w:r>
    </w:p>
    <w:p>
      <w:pPr>
        <w:pStyle w:val="23"/>
        <w:tabs>
          <w:tab w:val="left" w:pos="1651"/>
          <w:tab w:val="left" w:pos="3828"/>
        </w:tabs>
        <w:spacing w:beforeLines="0" w:afterLines="0" w:line="400" w:lineRule="exact"/>
        <w:ind w:firstLine="420" w:firstLineChars="200"/>
        <w:jc w:val="left"/>
        <w:rPr>
          <w:rFonts w:hint="eastAsia" w:hAnsi="宋体" w:cs="Arial"/>
          <w:color w:val="auto"/>
          <w:sz w:val="21"/>
          <w:szCs w:val="21"/>
          <w:highlight w:val="none"/>
        </w:rPr>
      </w:pPr>
      <w:r>
        <w:rPr>
          <w:rFonts w:hint="eastAsia" w:hAnsi="宋体" w:cs="Arial"/>
          <w:color w:val="auto"/>
          <w:sz w:val="21"/>
          <w:szCs w:val="21"/>
          <w:highlight w:val="none"/>
        </w:rPr>
        <w:t>9、乙方负责安排骨干参加业务技术的培训学习。教育员工遵守交通法规。</w:t>
      </w:r>
    </w:p>
    <w:p>
      <w:pPr>
        <w:pStyle w:val="23"/>
        <w:tabs>
          <w:tab w:val="left" w:pos="1651"/>
          <w:tab w:val="left" w:pos="3828"/>
        </w:tabs>
        <w:spacing w:beforeLines="0" w:afterLines="0" w:line="400" w:lineRule="exact"/>
        <w:ind w:firstLine="420" w:firstLineChars="200"/>
        <w:jc w:val="left"/>
        <w:rPr>
          <w:rFonts w:hint="eastAsia" w:hAnsi="宋体" w:cs="Arial"/>
          <w:color w:val="auto"/>
          <w:sz w:val="21"/>
          <w:szCs w:val="21"/>
          <w:highlight w:val="none"/>
        </w:rPr>
      </w:pPr>
      <w:r>
        <w:rPr>
          <w:rFonts w:hint="eastAsia" w:hAnsi="宋体" w:cs="Arial"/>
          <w:color w:val="auto"/>
          <w:sz w:val="21"/>
          <w:szCs w:val="21"/>
          <w:highlight w:val="none"/>
        </w:rPr>
        <w:t>10、乙方负责作业过程中的事故处理和一切费用。</w:t>
      </w:r>
    </w:p>
    <w:p>
      <w:pPr>
        <w:pStyle w:val="23"/>
        <w:tabs>
          <w:tab w:val="left" w:pos="1651"/>
          <w:tab w:val="left" w:pos="3828"/>
        </w:tabs>
        <w:spacing w:beforeLines="0" w:afterLines="0" w:line="400" w:lineRule="exact"/>
        <w:ind w:firstLine="420" w:firstLineChars="200"/>
        <w:jc w:val="left"/>
        <w:rPr>
          <w:rFonts w:hint="eastAsia" w:hAnsi="宋体" w:cs="Arial"/>
          <w:color w:val="auto"/>
          <w:sz w:val="21"/>
          <w:szCs w:val="21"/>
          <w:highlight w:val="none"/>
        </w:rPr>
      </w:pPr>
      <w:r>
        <w:rPr>
          <w:rFonts w:hint="eastAsia" w:hAnsi="宋体" w:cs="Arial"/>
          <w:color w:val="auto"/>
          <w:sz w:val="21"/>
          <w:szCs w:val="21"/>
          <w:highlight w:val="none"/>
        </w:rPr>
        <w:t>11、乙方不得有弄虚作假及其不正当行为。</w:t>
      </w:r>
    </w:p>
    <w:p>
      <w:pPr>
        <w:pStyle w:val="23"/>
        <w:tabs>
          <w:tab w:val="left" w:pos="1651"/>
          <w:tab w:val="left" w:pos="3828"/>
        </w:tabs>
        <w:spacing w:beforeLines="0" w:afterLines="0" w:line="400" w:lineRule="exact"/>
        <w:ind w:firstLine="420" w:firstLineChars="200"/>
        <w:jc w:val="left"/>
        <w:rPr>
          <w:rFonts w:hint="eastAsia" w:hAnsi="宋体" w:cs="Arial"/>
          <w:color w:val="auto"/>
          <w:sz w:val="21"/>
          <w:szCs w:val="21"/>
          <w:highlight w:val="none"/>
        </w:rPr>
      </w:pPr>
      <w:r>
        <w:rPr>
          <w:rFonts w:hint="eastAsia" w:hAnsi="宋体" w:cs="Arial"/>
          <w:color w:val="auto"/>
          <w:sz w:val="21"/>
          <w:szCs w:val="21"/>
          <w:highlight w:val="none"/>
        </w:rPr>
        <w:t>12、乙方应认真保管，维护好保洁区域上的环卫设施。教育员工不得在责任区外翻捡废品，干私活，侵犯他人利益。</w:t>
      </w:r>
    </w:p>
    <w:p>
      <w:pPr>
        <w:pStyle w:val="23"/>
        <w:tabs>
          <w:tab w:val="left" w:pos="1651"/>
          <w:tab w:val="left" w:pos="3828"/>
        </w:tabs>
        <w:spacing w:beforeLines="0" w:afterLines="0" w:line="400" w:lineRule="exact"/>
        <w:ind w:firstLine="420" w:firstLineChars="200"/>
        <w:jc w:val="left"/>
        <w:rPr>
          <w:rFonts w:hint="eastAsia" w:hAnsi="宋体" w:cs="Arial"/>
          <w:color w:val="auto"/>
          <w:sz w:val="21"/>
          <w:szCs w:val="21"/>
          <w:highlight w:val="none"/>
        </w:rPr>
      </w:pPr>
      <w:r>
        <w:rPr>
          <w:rFonts w:hint="eastAsia" w:hAnsi="宋体" w:cs="Arial"/>
          <w:color w:val="auto"/>
          <w:sz w:val="21"/>
          <w:szCs w:val="21"/>
          <w:highlight w:val="none"/>
        </w:rPr>
        <w:t>13、乙方应严格遵守国家法律、法规的规定，落实安全生产主体责任，加强安全生产管理，规范工作人员日常安全文明作业，加强安全生产和消防安全教育和演练，落实安全生产措施。配合相关职能部门做好社会治安综合治理等工作，不得违反国家法律、法规和温州市、龙湾区的有关规定。。</w:t>
      </w:r>
    </w:p>
    <w:p>
      <w:pPr>
        <w:pStyle w:val="23"/>
        <w:tabs>
          <w:tab w:val="left" w:pos="1651"/>
          <w:tab w:val="left" w:pos="3828"/>
        </w:tabs>
        <w:spacing w:beforeLines="0" w:afterLines="0" w:line="400" w:lineRule="exact"/>
        <w:ind w:firstLine="420" w:firstLineChars="200"/>
        <w:jc w:val="left"/>
        <w:rPr>
          <w:rFonts w:hint="eastAsia" w:hAnsi="宋体" w:cs="Arial"/>
          <w:color w:val="auto"/>
          <w:sz w:val="21"/>
          <w:szCs w:val="21"/>
          <w:highlight w:val="none"/>
        </w:rPr>
      </w:pPr>
      <w:r>
        <w:rPr>
          <w:rFonts w:hint="eastAsia" w:hAnsi="宋体" w:cs="Arial"/>
          <w:color w:val="auto"/>
          <w:sz w:val="21"/>
          <w:szCs w:val="21"/>
          <w:highlight w:val="none"/>
        </w:rPr>
        <w:t>14、在合同期内，因国家建设需要调整乙方管理服务任务时，乙方要服从大局，相应增减承包面积及经费。由此造成的经济损失，甲方不负赔偿责任。</w:t>
      </w:r>
    </w:p>
    <w:p>
      <w:pPr>
        <w:pStyle w:val="23"/>
        <w:tabs>
          <w:tab w:val="left" w:pos="1651"/>
          <w:tab w:val="left" w:pos="3828"/>
        </w:tabs>
        <w:spacing w:beforeLines="0" w:afterLines="0" w:line="400" w:lineRule="exact"/>
        <w:ind w:firstLine="420" w:firstLineChars="200"/>
        <w:jc w:val="left"/>
        <w:rPr>
          <w:rFonts w:hAnsi="宋体" w:cs="Arial"/>
          <w:color w:val="auto"/>
          <w:sz w:val="21"/>
          <w:szCs w:val="21"/>
          <w:highlight w:val="none"/>
        </w:rPr>
      </w:pPr>
      <w:r>
        <w:rPr>
          <w:rFonts w:hint="eastAsia" w:hAnsi="宋体" w:cs="Arial"/>
          <w:color w:val="auto"/>
          <w:sz w:val="21"/>
          <w:szCs w:val="21"/>
          <w:highlight w:val="none"/>
        </w:rPr>
        <w:t>15、乙方应遵守法律、法规和政策的规定，因以上原因使合同性质发生改变，甲方不负赔偿责任</w:t>
      </w:r>
      <w:r>
        <w:rPr>
          <w:rFonts w:hAnsi="宋体" w:cs="Arial"/>
          <w:color w:val="auto"/>
          <w:sz w:val="21"/>
          <w:szCs w:val="21"/>
          <w:highlight w:val="none"/>
        </w:rPr>
        <w:t>。</w:t>
      </w:r>
    </w:p>
    <w:p>
      <w:pPr>
        <w:spacing w:line="400" w:lineRule="exact"/>
        <w:jc w:val="left"/>
        <w:rPr>
          <w:b/>
          <w:color w:val="auto"/>
          <w:sz w:val="21"/>
          <w:szCs w:val="21"/>
          <w:highlight w:val="none"/>
        </w:rPr>
      </w:pPr>
      <w:bookmarkStart w:id="445" w:name="_Toc72407439"/>
      <w:bookmarkStart w:id="446" w:name="_Toc20896"/>
      <w:bookmarkStart w:id="447" w:name="_Toc27739"/>
      <w:bookmarkStart w:id="448" w:name="_Toc12212"/>
      <w:bookmarkStart w:id="449" w:name="_Toc104190752"/>
      <w:bookmarkStart w:id="450" w:name="_Toc5591"/>
      <w:r>
        <w:rPr>
          <w:b/>
          <w:color w:val="auto"/>
          <w:sz w:val="21"/>
          <w:szCs w:val="21"/>
          <w:highlight w:val="none"/>
        </w:rPr>
        <w:t>第十二条  合同组成</w:t>
      </w:r>
      <w:bookmarkEnd w:id="445"/>
      <w:bookmarkEnd w:id="446"/>
      <w:bookmarkEnd w:id="447"/>
      <w:bookmarkEnd w:id="448"/>
      <w:bookmarkEnd w:id="449"/>
      <w:bookmarkEnd w:id="450"/>
    </w:p>
    <w:p>
      <w:pPr>
        <w:pStyle w:val="23"/>
        <w:tabs>
          <w:tab w:val="left" w:pos="1651"/>
          <w:tab w:val="left" w:pos="3828"/>
        </w:tabs>
        <w:spacing w:beforeLines="0" w:afterLines="0" w:line="400" w:lineRule="exact"/>
        <w:ind w:firstLine="420" w:firstLineChars="200"/>
        <w:jc w:val="left"/>
        <w:rPr>
          <w:rFonts w:hAnsi="宋体" w:cs="Arial"/>
          <w:color w:val="auto"/>
          <w:sz w:val="21"/>
          <w:szCs w:val="21"/>
          <w:highlight w:val="none"/>
        </w:rPr>
      </w:pPr>
      <w:r>
        <w:rPr>
          <w:rFonts w:hAnsi="宋体" w:cs="Arial"/>
          <w:color w:val="auto"/>
          <w:sz w:val="21"/>
          <w:szCs w:val="21"/>
          <w:highlight w:val="none"/>
        </w:rPr>
        <w:t>承包合同由《招标文件》、《投标文件》为本合同的有效组成部分。</w:t>
      </w:r>
    </w:p>
    <w:p>
      <w:pPr>
        <w:spacing w:line="400" w:lineRule="exact"/>
        <w:jc w:val="left"/>
        <w:rPr>
          <w:b/>
          <w:color w:val="auto"/>
          <w:sz w:val="21"/>
          <w:szCs w:val="21"/>
          <w:highlight w:val="none"/>
        </w:rPr>
      </w:pPr>
      <w:bookmarkStart w:id="451" w:name="_Toc3147"/>
      <w:bookmarkStart w:id="452" w:name="_Toc72407440"/>
      <w:bookmarkStart w:id="453" w:name="_Toc15481"/>
      <w:bookmarkStart w:id="454" w:name="_Toc19141"/>
      <w:bookmarkStart w:id="455" w:name="_Toc26957"/>
      <w:bookmarkStart w:id="456" w:name="_Toc104190753"/>
      <w:r>
        <w:rPr>
          <w:b/>
          <w:color w:val="auto"/>
          <w:sz w:val="21"/>
          <w:szCs w:val="21"/>
          <w:highlight w:val="none"/>
        </w:rPr>
        <w:t>第十三条  违约责任</w:t>
      </w:r>
      <w:bookmarkEnd w:id="451"/>
      <w:bookmarkEnd w:id="452"/>
      <w:bookmarkEnd w:id="453"/>
      <w:bookmarkEnd w:id="454"/>
      <w:bookmarkEnd w:id="455"/>
      <w:bookmarkEnd w:id="456"/>
    </w:p>
    <w:p>
      <w:pPr>
        <w:pStyle w:val="23"/>
        <w:tabs>
          <w:tab w:val="left" w:pos="1651"/>
          <w:tab w:val="left" w:pos="3828"/>
        </w:tabs>
        <w:spacing w:beforeLines="0" w:afterLines="0" w:line="400" w:lineRule="exact"/>
        <w:ind w:firstLine="420" w:firstLineChars="200"/>
        <w:jc w:val="left"/>
        <w:rPr>
          <w:rFonts w:hint="eastAsia" w:hAnsi="宋体" w:cs="Arial"/>
          <w:color w:val="auto"/>
          <w:sz w:val="21"/>
          <w:szCs w:val="21"/>
          <w:highlight w:val="none"/>
        </w:rPr>
      </w:pPr>
      <w:r>
        <w:rPr>
          <w:rFonts w:hint="eastAsia" w:hAnsi="宋体" w:cs="Arial"/>
          <w:color w:val="auto"/>
          <w:sz w:val="21"/>
          <w:szCs w:val="21"/>
          <w:highlight w:val="none"/>
        </w:rPr>
        <w:t>（一）乙方违反甲方具体要求及《采购文件》规定的行为均属违约行为。甲方根据上述规定条款，视乙方违反规定的情节轻重，做出批评教育或警告或按考核办法进行扣罚处理，情节严重者，甲方有权单方终止本合同，由乙方承担一切经济损失和法律责任。因乙方违约造成甲方损失的，甲方从乙方</w:t>
      </w:r>
      <w:r>
        <w:rPr>
          <w:rFonts w:hint="eastAsia" w:hAnsi="宋体" w:cs="Arial"/>
          <w:color w:val="auto"/>
          <w:sz w:val="21"/>
          <w:szCs w:val="21"/>
          <w:highlight w:val="none"/>
          <w:lang w:eastAsia="zh-CN"/>
        </w:rPr>
        <w:t>服务费</w:t>
      </w:r>
      <w:r>
        <w:rPr>
          <w:rFonts w:hint="eastAsia" w:hAnsi="宋体" w:cs="Arial"/>
          <w:color w:val="auto"/>
          <w:sz w:val="21"/>
          <w:szCs w:val="21"/>
          <w:highlight w:val="none"/>
        </w:rPr>
        <w:t>中扣除，具体扣除金额以相关执法部门或法院判决等相关依据为准。</w:t>
      </w:r>
    </w:p>
    <w:p>
      <w:pPr>
        <w:pStyle w:val="23"/>
        <w:tabs>
          <w:tab w:val="left" w:pos="1651"/>
          <w:tab w:val="left" w:pos="3828"/>
        </w:tabs>
        <w:spacing w:beforeLines="0" w:afterLines="0" w:line="400" w:lineRule="exact"/>
        <w:ind w:firstLine="420" w:firstLineChars="200"/>
        <w:jc w:val="left"/>
        <w:rPr>
          <w:rFonts w:hint="eastAsia" w:hAnsi="宋体" w:cs="Arial"/>
          <w:color w:val="auto"/>
          <w:sz w:val="21"/>
          <w:szCs w:val="21"/>
          <w:highlight w:val="none"/>
        </w:rPr>
      </w:pPr>
      <w:r>
        <w:rPr>
          <w:rFonts w:hint="eastAsia" w:hAnsi="宋体" w:cs="Arial"/>
          <w:color w:val="auto"/>
          <w:sz w:val="21"/>
          <w:szCs w:val="21"/>
          <w:highlight w:val="none"/>
        </w:rPr>
        <w:t>（二）乙方因机械、工具或技术、劳动等跟不上管理需要影响工作，未达到质量标准，按招标文件相关规定，甲方有权单方终止本合同。</w:t>
      </w:r>
    </w:p>
    <w:p>
      <w:pPr>
        <w:pStyle w:val="23"/>
        <w:tabs>
          <w:tab w:val="left" w:pos="1651"/>
          <w:tab w:val="left" w:pos="3828"/>
        </w:tabs>
        <w:spacing w:beforeLines="0" w:afterLines="0" w:line="400" w:lineRule="exact"/>
        <w:ind w:firstLine="420" w:firstLineChars="200"/>
        <w:jc w:val="left"/>
        <w:rPr>
          <w:rFonts w:hint="eastAsia" w:hAnsi="宋体" w:cs="Arial"/>
          <w:color w:val="auto"/>
          <w:sz w:val="21"/>
          <w:szCs w:val="21"/>
          <w:highlight w:val="none"/>
        </w:rPr>
      </w:pPr>
      <w:r>
        <w:rPr>
          <w:rFonts w:hint="eastAsia" w:hAnsi="宋体" w:cs="Arial"/>
          <w:color w:val="auto"/>
          <w:sz w:val="21"/>
          <w:szCs w:val="21"/>
          <w:highlight w:val="none"/>
        </w:rPr>
        <w:t>（三）根据采购文件对本项目人员、机械、车辆、船只的配备及要求，乙方如未按采购文件的要求和投标文件承诺配备的，甲方有权终止采购合同。同时保留向乙方进一步索赔的权利，将乙方政府采购履约评价定为不合格。</w:t>
      </w:r>
    </w:p>
    <w:p>
      <w:pPr>
        <w:pStyle w:val="23"/>
        <w:tabs>
          <w:tab w:val="left" w:pos="1651"/>
          <w:tab w:val="left" w:pos="3828"/>
        </w:tabs>
        <w:spacing w:beforeLines="0" w:afterLines="0" w:line="400" w:lineRule="exact"/>
        <w:ind w:firstLine="420" w:firstLineChars="200"/>
        <w:jc w:val="left"/>
        <w:rPr>
          <w:rFonts w:hAnsi="宋体" w:cs="Arial"/>
          <w:color w:val="auto"/>
          <w:sz w:val="21"/>
          <w:szCs w:val="21"/>
          <w:highlight w:val="none"/>
        </w:rPr>
      </w:pPr>
      <w:r>
        <w:rPr>
          <w:rFonts w:hint="eastAsia" w:hAnsi="宋体" w:cs="Arial"/>
          <w:color w:val="auto"/>
          <w:sz w:val="21"/>
          <w:szCs w:val="21"/>
          <w:highlight w:val="none"/>
        </w:rPr>
        <w:t xml:space="preserve"> (四)乙方不得将本项目分包与转包，一经发现立即终止合同，作违约处理，全额提取履约保证金并承担由此引起的法律责任及一切经济损失</w:t>
      </w:r>
      <w:r>
        <w:rPr>
          <w:rFonts w:hAnsi="宋体" w:cs="Arial"/>
          <w:color w:val="auto"/>
          <w:sz w:val="21"/>
          <w:szCs w:val="21"/>
          <w:highlight w:val="none"/>
        </w:rPr>
        <w:t>。</w:t>
      </w:r>
    </w:p>
    <w:p>
      <w:pPr>
        <w:spacing w:line="400" w:lineRule="exact"/>
        <w:jc w:val="left"/>
        <w:rPr>
          <w:b/>
          <w:color w:val="auto"/>
          <w:sz w:val="21"/>
          <w:szCs w:val="21"/>
          <w:highlight w:val="none"/>
        </w:rPr>
      </w:pPr>
      <w:bookmarkStart w:id="457" w:name="_Toc17250"/>
      <w:bookmarkStart w:id="458" w:name="_Toc24308"/>
      <w:bookmarkStart w:id="459" w:name="_Toc104190754"/>
      <w:bookmarkStart w:id="460" w:name="_Toc4620"/>
      <w:bookmarkStart w:id="461" w:name="_Toc72407441"/>
      <w:bookmarkStart w:id="462" w:name="_Toc28231"/>
      <w:r>
        <w:rPr>
          <w:b/>
          <w:color w:val="auto"/>
          <w:sz w:val="21"/>
          <w:szCs w:val="21"/>
          <w:highlight w:val="none"/>
        </w:rPr>
        <w:t>第十四条  争议的解决</w:t>
      </w:r>
      <w:bookmarkEnd w:id="457"/>
      <w:bookmarkEnd w:id="458"/>
      <w:bookmarkEnd w:id="459"/>
      <w:bookmarkEnd w:id="460"/>
      <w:bookmarkEnd w:id="461"/>
      <w:bookmarkEnd w:id="462"/>
    </w:p>
    <w:p>
      <w:pPr>
        <w:pStyle w:val="23"/>
        <w:tabs>
          <w:tab w:val="left" w:pos="1651"/>
          <w:tab w:val="left" w:pos="3828"/>
        </w:tabs>
        <w:spacing w:beforeLines="0" w:afterLines="0" w:line="400" w:lineRule="exact"/>
        <w:ind w:firstLine="420" w:firstLineChars="200"/>
        <w:jc w:val="left"/>
        <w:rPr>
          <w:rFonts w:hAnsi="宋体" w:cs="Arial"/>
          <w:color w:val="auto"/>
          <w:sz w:val="21"/>
          <w:szCs w:val="21"/>
          <w:highlight w:val="none"/>
        </w:rPr>
      </w:pPr>
      <w:r>
        <w:rPr>
          <w:rFonts w:hAnsi="宋体" w:cs="Arial"/>
          <w:color w:val="auto"/>
          <w:sz w:val="21"/>
          <w:szCs w:val="21"/>
          <w:highlight w:val="none"/>
        </w:rPr>
        <w:t>合同未尽事宜，应双方友好协调解决。协商不一致，任何一方均有权向</w:t>
      </w:r>
      <w:r>
        <w:rPr>
          <w:rFonts w:hint="eastAsia" w:hAnsi="宋体" w:cs="Arial"/>
          <w:color w:val="auto"/>
          <w:sz w:val="21"/>
          <w:szCs w:val="21"/>
          <w:highlight w:val="none"/>
        </w:rPr>
        <w:t>龙湾区</w:t>
      </w:r>
      <w:r>
        <w:rPr>
          <w:rFonts w:hAnsi="宋体" w:cs="Arial"/>
          <w:color w:val="auto"/>
          <w:sz w:val="21"/>
          <w:szCs w:val="21"/>
          <w:highlight w:val="none"/>
        </w:rPr>
        <w:t>人民法院提起诉讼。</w:t>
      </w:r>
    </w:p>
    <w:p>
      <w:pPr>
        <w:spacing w:line="400" w:lineRule="exact"/>
        <w:jc w:val="left"/>
        <w:rPr>
          <w:b/>
          <w:color w:val="auto"/>
          <w:sz w:val="21"/>
          <w:szCs w:val="21"/>
          <w:highlight w:val="none"/>
        </w:rPr>
      </w:pPr>
      <w:bookmarkStart w:id="463" w:name="_Toc15326"/>
      <w:bookmarkStart w:id="464" w:name="_Toc104190755"/>
      <w:bookmarkStart w:id="465" w:name="_Toc17732"/>
      <w:bookmarkStart w:id="466" w:name="_Toc14729"/>
      <w:bookmarkStart w:id="467" w:name="_Toc7417"/>
      <w:bookmarkStart w:id="468" w:name="_Toc72407442"/>
      <w:r>
        <w:rPr>
          <w:b/>
          <w:color w:val="auto"/>
          <w:sz w:val="21"/>
          <w:szCs w:val="21"/>
          <w:highlight w:val="none"/>
        </w:rPr>
        <w:t>第十五条  合同生效及终止</w:t>
      </w:r>
      <w:bookmarkEnd w:id="463"/>
      <w:bookmarkEnd w:id="464"/>
      <w:bookmarkEnd w:id="465"/>
      <w:bookmarkEnd w:id="466"/>
      <w:bookmarkEnd w:id="467"/>
      <w:bookmarkEnd w:id="468"/>
    </w:p>
    <w:p>
      <w:pPr>
        <w:pStyle w:val="23"/>
        <w:tabs>
          <w:tab w:val="left" w:pos="1651"/>
          <w:tab w:val="left" w:pos="3828"/>
        </w:tabs>
        <w:spacing w:beforeLines="0" w:afterLines="0" w:line="400" w:lineRule="exact"/>
        <w:ind w:firstLine="420" w:firstLineChars="200"/>
        <w:jc w:val="left"/>
        <w:rPr>
          <w:rFonts w:hint="eastAsia" w:hAnsi="宋体" w:cs="Arial"/>
          <w:color w:val="auto"/>
          <w:sz w:val="21"/>
          <w:szCs w:val="21"/>
          <w:highlight w:val="none"/>
        </w:rPr>
      </w:pPr>
      <w:r>
        <w:rPr>
          <w:rFonts w:hint="eastAsia" w:hAnsi="宋体" w:cs="Arial"/>
          <w:color w:val="auto"/>
          <w:sz w:val="21"/>
          <w:szCs w:val="21"/>
          <w:highlight w:val="none"/>
        </w:rPr>
        <w:t>（一）合同生效：本合同自甲乙双方法定代表人签字、盖章之日起生效。</w:t>
      </w:r>
    </w:p>
    <w:p>
      <w:pPr>
        <w:pStyle w:val="23"/>
        <w:tabs>
          <w:tab w:val="left" w:pos="1651"/>
          <w:tab w:val="left" w:pos="3828"/>
        </w:tabs>
        <w:spacing w:beforeLines="0" w:afterLines="0" w:line="400" w:lineRule="exact"/>
        <w:ind w:firstLine="420" w:firstLineChars="200"/>
        <w:jc w:val="left"/>
        <w:rPr>
          <w:rFonts w:hint="eastAsia" w:hAnsi="宋体" w:cs="Arial"/>
          <w:color w:val="auto"/>
          <w:sz w:val="21"/>
          <w:szCs w:val="21"/>
          <w:highlight w:val="none"/>
        </w:rPr>
      </w:pPr>
      <w:r>
        <w:rPr>
          <w:rFonts w:hint="eastAsia" w:hAnsi="宋体" w:cs="Arial"/>
          <w:color w:val="auto"/>
          <w:sz w:val="21"/>
          <w:szCs w:val="21"/>
          <w:highlight w:val="none"/>
        </w:rPr>
        <w:t>（二）合同终止：本项目有下列情形的，采购人有权不续签或终止合同。</w:t>
      </w:r>
    </w:p>
    <w:p>
      <w:pPr>
        <w:pStyle w:val="23"/>
        <w:tabs>
          <w:tab w:val="left" w:pos="1651"/>
          <w:tab w:val="left" w:pos="3828"/>
        </w:tabs>
        <w:spacing w:beforeLines="0" w:afterLines="0" w:line="400" w:lineRule="exact"/>
        <w:ind w:firstLine="420" w:firstLineChars="200"/>
        <w:jc w:val="left"/>
        <w:rPr>
          <w:rFonts w:hint="eastAsia" w:hAnsi="宋体" w:cs="Arial"/>
          <w:color w:val="auto"/>
          <w:sz w:val="21"/>
          <w:szCs w:val="21"/>
          <w:highlight w:val="none"/>
        </w:rPr>
      </w:pPr>
      <w:r>
        <w:rPr>
          <w:rFonts w:hint="eastAsia" w:hAnsi="宋体" w:cs="Arial"/>
          <w:color w:val="auto"/>
          <w:sz w:val="21"/>
          <w:szCs w:val="21"/>
          <w:highlight w:val="none"/>
        </w:rPr>
        <w:t>1、本项目遇不可抗力影响或法律、法规、国家政策重大调整影响合同无法执行的；</w:t>
      </w:r>
    </w:p>
    <w:p>
      <w:pPr>
        <w:pStyle w:val="23"/>
        <w:tabs>
          <w:tab w:val="left" w:pos="1651"/>
          <w:tab w:val="left" w:pos="3828"/>
        </w:tabs>
        <w:spacing w:beforeLines="0" w:afterLines="0" w:line="400" w:lineRule="exact"/>
        <w:ind w:firstLine="420" w:firstLineChars="200"/>
        <w:jc w:val="left"/>
        <w:rPr>
          <w:rFonts w:hint="eastAsia" w:hAnsi="宋体" w:cs="Arial"/>
          <w:color w:val="auto"/>
          <w:sz w:val="21"/>
          <w:szCs w:val="21"/>
          <w:highlight w:val="none"/>
        </w:rPr>
      </w:pPr>
      <w:r>
        <w:rPr>
          <w:rFonts w:hint="eastAsia" w:hAnsi="宋体" w:cs="Arial"/>
          <w:color w:val="auto"/>
          <w:sz w:val="21"/>
          <w:szCs w:val="21"/>
          <w:highlight w:val="none"/>
        </w:rPr>
        <w:t>2、实际投入人员、机械车辆、船只与投标文件承诺不符合，拒不履行投标承诺的乙方（未按采购文件规定时间人员、机械车辆、船只到位，达到解除合同条件的），采购人有权无责任终止采购合同。</w:t>
      </w:r>
    </w:p>
    <w:p>
      <w:pPr>
        <w:snapToGrid w:val="0"/>
        <w:spacing w:line="400" w:lineRule="exact"/>
        <w:ind w:firstLine="420" w:firstLineChars="200"/>
        <w:jc w:val="left"/>
        <w:rPr>
          <w:rFonts w:hint="eastAsia" w:hAnsi="宋体" w:cs="Arial"/>
          <w:color w:val="auto"/>
          <w:sz w:val="21"/>
          <w:szCs w:val="21"/>
          <w:highlight w:val="none"/>
        </w:rPr>
      </w:pPr>
      <w:r>
        <w:rPr>
          <w:rFonts w:hint="eastAsia" w:hAnsi="宋体" w:cs="Arial"/>
          <w:color w:val="auto"/>
          <w:sz w:val="21"/>
          <w:szCs w:val="21"/>
          <w:highlight w:val="none"/>
        </w:rPr>
        <w:t>3、按相关法律、法规、采购文件规定及考核办法，有下列情形之一的，采购人有权不续签或终止合同：</w:t>
      </w:r>
    </w:p>
    <w:p>
      <w:pPr>
        <w:snapToGrid w:val="0"/>
        <w:spacing w:line="400" w:lineRule="exact"/>
        <w:ind w:firstLine="422" w:firstLineChars="200"/>
        <w:jc w:val="left"/>
        <w:rPr>
          <w:rFonts w:hint="eastAsia" w:ascii="宋体" w:hAnsi="宋体" w:cs="Arial"/>
          <w:b/>
          <w:color w:val="auto"/>
          <w:sz w:val="21"/>
          <w:szCs w:val="21"/>
          <w:highlight w:val="none"/>
        </w:rPr>
      </w:pPr>
      <w:r>
        <w:rPr>
          <w:rFonts w:hint="eastAsia" w:ascii="宋体" w:hAnsi="宋体" w:cs="Arial"/>
          <w:b/>
          <w:color w:val="auto"/>
          <w:sz w:val="21"/>
          <w:szCs w:val="21"/>
          <w:highlight w:val="none"/>
        </w:rPr>
        <w:t>（1）本项目12个月内乙方在龙湾区环卫保洁考核排名前3名少于7个月的，或考核排名倒数后2名累计3次的，甲方有权不续签合同。</w:t>
      </w:r>
    </w:p>
    <w:p>
      <w:pPr>
        <w:pStyle w:val="23"/>
        <w:tabs>
          <w:tab w:val="left" w:pos="1651"/>
          <w:tab w:val="left" w:pos="3828"/>
        </w:tabs>
        <w:spacing w:beforeLines="0" w:afterLines="0" w:line="400" w:lineRule="exact"/>
        <w:ind w:firstLine="420" w:firstLineChars="200"/>
        <w:jc w:val="left"/>
        <w:rPr>
          <w:rFonts w:hint="eastAsia" w:hAnsi="宋体" w:cs="Arial"/>
          <w:color w:val="auto"/>
          <w:sz w:val="21"/>
          <w:szCs w:val="21"/>
          <w:highlight w:val="none"/>
        </w:rPr>
      </w:pPr>
      <w:r>
        <w:rPr>
          <w:rFonts w:hint="eastAsia" w:hAnsi="宋体" w:cs="Arial"/>
          <w:color w:val="auto"/>
          <w:sz w:val="21"/>
          <w:szCs w:val="21"/>
          <w:highlight w:val="none"/>
        </w:rPr>
        <w:t>（2）连续2个月（或全年累计3个月）考核不合格的，采购人有权无责任终止采购合同。</w:t>
      </w:r>
    </w:p>
    <w:p>
      <w:pPr>
        <w:pStyle w:val="23"/>
        <w:tabs>
          <w:tab w:val="left" w:pos="1651"/>
          <w:tab w:val="left" w:pos="3828"/>
        </w:tabs>
        <w:spacing w:beforeLines="0" w:afterLines="0" w:line="400" w:lineRule="exact"/>
        <w:ind w:firstLine="420" w:firstLineChars="200"/>
        <w:jc w:val="left"/>
        <w:rPr>
          <w:rFonts w:hint="eastAsia" w:hAnsi="宋体" w:cs="Arial"/>
          <w:color w:val="auto"/>
          <w:sz w:val="21"/>
          <w:szCs w:val="21"/>
          <w:highlight w:val="none"/>
        </w:rPr>
      </w:pPr>
      <w:r>
        <w:rPr>
          <w:rFonts w:hint="eastAsia" w:hAnsi="宋体" w:cs="Arial"/>
          <w:color w:val="auto"/>
          <w:sz w:val="21"/>
          <w:szCs w:val="21"/>
          <w:highlight w:val="none"/>
        </w:rPr>
        <w:t>（3）违反安全管理、规范作业规定，造成重大伤亡或重大损失。</w:t>
      </w:r>
    </w:p>
    <w:p>
      <w:pPr>
        <w:pStyle w:val="23"/>
        <w:tabs>
          <w:tab w:val="left" w:pos="1651"/>
          <w:tab w:val="left" w:pos="3828"/>
        </w:tabs>
        <w:spacing w:beforeLines="0" w:afterLines="0" w:line="400" w:lineRule="exact"/>
        <w:ind w:firstLine="420" w:firstLineChars="200"/>
        <w:jc w:val="left"/>
        <w:rPr>
          <w:rFonts w:hint="eastAsia" w:hAnsi="宋体" w:cs="Arial"/>
          <w:color w:val="auto"/>
          <w:sz w:val="21"/>
          <w:szCs w:val="21"/>
          <w:highlight w:val="none"/>
        </w:rPr>
      </w:pPr>
      <w:r>
        <w:rPr>
          <w:rFonts w:hint="eastAsia" w:hAnsi="宋体" w:cs="Arial"/>
          <w:color w:val="auto"/>
          <w:sz w:val="21"/>
          <w:szCs w:val="21"/>
          <w:highlight w:val="none"/>
        </w:rPr>
        <w:t>（4）经省、市级新闻媒体曝光，乙方为责任方，造成恶劣影响的。</w:t>
      </w:r>
    </w:p>
    <w:p>
      <w:pPr>
        <w:pStyle w:val="23"/>
        <w:tabs>
          <w:tab w:val="left" w:pos="1651"/>
          <w:tab w:val="left" w:pos="3828"/>
        </w:tabs>
        <w:spacing w:beforeLines="0" w:afterLines="0" w:line="400" w:lineRule="exact"/>
        <w:ind w:firstLine="420" w:firstLineChars="200"/>
        <w:jc w:val="left"/>
        <w:rPr>
          <w:rFonts w:hint="eastAsia" w:hAnsi="宋体" w:cs="Arial"/>
          <w:color w:val="auto"/>
          <w:sz w:val="21"/>
          <w:szCs w:val="21"/>
          <w:highlight w:val="none"/>
        </w:rPr>
      </w:pPr>
      <w:r>
        <w:rPr>
          <w:rFonts w:hint="eastAsia" w:hAnsi="宋体" w:cs="Arial"/>
          <w:color w:val="auto"/>
          <w:sz w:val="21"/>
          <w:szCs w:val="21"/>
          <w:highlight w:val="none"/>
        </w:rPr>
        <w:t>（5）经有关部门认定严重违反劳动法，造成恶劣影响的；或其它因违法经营受到刑事处罚或者责令停产停业、吊销许可证或者执照、较大数额罚款等行政处罚的。</w:t>
      </w:r>
    </w:p>
    <w:p>
      <w:pPr>
        <w:pStyle w:val="23"/>
        <w:tabs>
          <w:tab w:val="left" w:pos="1651"/>
          <w:tab w:val="left" w:pos="3828"/>
        </w:tabs>
        <w:spacing w:beforeLines="0" w:afterLines="0" w:line="400" w:lineRule="exact"/>
        <w:ind w:firstLine="420" w:firstLineChars="200"/>
        <w:jc w:val="left"/>
        <w:rPr>
          <w:rFonts w:hint="eastAsia" w:hAnsi="宋体" w:cs="Arial"/>
          <w:color w:val="auto"/>
          <w:sz w:val="21"/>
          <w:szCs w:val="21"/>
          <w:highlight w:val="none"/>
        </w:rPr>
      </w:pPr>
      <w:r>
        <w:rPr>
          <w:rFonts w:hint="eastAsia" w:hAnsi="宋体" w:cs="Arial"/>
          <w:color w:val="auto"/>
          <w:sz w:val="21"/>
          <w:szCs w:val="21"/>
          <w:highlight w:val="none"/>
        </w:rPr>
        <w:t>（6）其它弄虚作假及其他不正当行为。</w:t>
      </w:r>
    </w:p>
    <w:p>
      <w:pPr>
        <w:pStyle w:val="23"/>
        <w:tabs>
          <w:tab w:val="left" w:pos="1651"/>
          <w:tab w:val="left" w:pos="3828"/>
        </w:tabs>
        <w:spacing w:beforeLines="0" w:afterLines="0" w:line="400" w:lineRule="exact"/>
        <w:ind w:firstLine="420" w:firstLineChars="200"/>
        <w:jc w:val="left"/>
        <w:rPr>
          <w:rFonts w:hint="eastAsia" w:hAnsi="宋体" w:cs="Arial"/>
          <w:color w:val="auto"/>
          <w:sz w:val="21"/>
          <w:szCs w:val="21"/>
          <w:highlight w:val="none"/>
        </w:rPr>
      </w:pPr>
      <w:r>
        <w:rPr>
          <w:rFonts w:hint="eastAsia" w:hAnsi="宋体" w:cs="Arial"/>
          <w:color w:val="auto"/>
          <w:sz w:val="21"/>
          <w:szCs w:val="21"/>
          <w:highlight w:val="none"/>
        </w:rPr>
        <w:t>（7）合同履约期间，乙方法人组织破产的；</w:t>
      </w:r>
    </w:p>
    <w:p>
      <w:pPr>
        <w:pStyle w:val="23"/>
        <w:tabs>
          <w:tab w:val="left" w:pos="1651"/>
          <w:tab w:val="left" w:pos="3828"/>
        </w:tabs>
        <w:spacing w:beforeLines="0" w:afterLines="0" w:line="400" w:lineRule="exact"/>
        <w:ind w:firstLine="420" w:firstLineChars="200"/>
        <w:jc w:val="left"/>
        <w:rPr>
          <w:rFonts w:hint="eastAsia" w:hAnsi="宋体" w:cs="Arial"/>
          <w:color w:val="auto"/>
          <w:sz w:val="21"/>
          <w:szCs w:val="21"/>
          <w:highlight w:val="none"/>
        </w:rPr>
      </w:pPr>
      <w:r>
        <w:rPr>
          <w:rFonts w:hint="eastAsia" w:hAnsi="宋体" w:cs="Arial"/>
          <w:color w:val="auto"/>
          <w:sz w:val="21"/>
          <w:szCs w:val="21"/>
          <w:highlight w:val="none"/>
        </w:rPr>
        <w:t>（8）根据采购文件及合同约定，其它不续签或终止合同的规定，其它法律规定的终止情形。</w:t>
      </w:r>
    </w:p>
    <w:p>
      <w:pPr>
        <w:pStyle w:val="23"/>
        <w:tabs>
          <w:tab w:val="left" w:pos="1651"/>
          <w:tab w:val="left" w:pos="3828"/>
        </w:tabs>
        <w:spacing w:beforeLines="0" w:afterLines="0" w:line="400" w:lineRule="exact"/>
        <w:ind w:firstLine="420" w:firstLineChars="200"/>
        <w:jc w:val="left"/>
        <w:rPr>
          <w:rFonts w:hint="eastAsia" w:hAnsi="宋体" w:cs="Arial"/>
          <w:color w:val="auto"/>
          <w:sz w:val="21"/>
          <w:szCs w:val="21"/>
          <w:highlight w:val="none"/>
        </w:rPr>
      </w:pPr>
      <w:r>
        <w:rPr>
          <w:rFonts w:hint="eastAsia" w:hAnsi="宋体" w:cs="Arial"/>
          <w:color w:val="auto"/>
          <w:sz w:val="21"/>
          <w:szCs w:val="21"/>
          <w:highlight w:val="none"/>
        </w:rPr>
        <w:t>4、合同期限届满时自行终止。</w:t>
      </w:r>
    </w:p>
    <w:p>
      <w:pPr>
        <w:pStyle w:val="23"/>
        <w:tabs>
          <w:tab w:val="left" w:pos="1651"/>
          <w:tab w:val="left" w:pos="3828"/>
        </w:tabs>
        <w:spacing w:beforeLines="0" w:afterLines="0" w:line="400" w:lineRule="exact"/>
        <w:ind w:firstLine="420" w:firstLineChars="200"/>
        <w:jc w:val="left"/>
        <w:rPr>
          <w:rFonts w:hint="eastAsia" w:hAnsi="宋体" w:cs="Arial"/>
          <w:color w:val="auto"/>
          <w:sz w:val="21"/>
          <w:szCs w:val="21"/>
          <w:highlight w:val="none"/>
        </w:rPr>
      </w:pPr>
      <w:r>
        <w:rPr>
          <w:rFonts w:hint="eastAsia" w:hAnsi="宋体" w:cs="Arial"/>
          <w:color w:val="auto"/>
          <w:sz w:val="21"/>
          <w:szCs w:val="21"/>
          <w:highlight w:val="none"/>
        </w:rPr>
        <w:t>5、如乙方触发本合同或采购文件规定的退出条件（终止合同），待重新招完成后，由新的中标供应商接管，乙方必须无条件退出。</w:t>
      </w:r>
    </w:p>
    <w:p>
      <w:pPr>
        <w:spacing w:line="400" w:lineRule="exact"/>
        <w:jc w:val="left"/>
        <w:rPr>
          <w:b/>
          <w:color w:val="auto"/>
          <w:sz w:val="21"/>
          <w:szCs w:val="21"/>
          <w:highlight w:val="none"/>
        </w:rPr>
      </w:pPr>
      <w:bookmarkStart w:id="469" w:name="_Toc27878"/>
      <w:bookmarkStart w:id="470" w:name="_Toc104190756"/>
      <w:bookmarkStart w:id="471" w:name="_Toc22309"/>
      <w:bookmarkStart w:id="472" w:name="_Toc9310"/>
      <w:bookmarkStart w:id="473" w:name="_Toc25847"/>
      <w:bookmarkStart w:id="474" w:name="_Toc15324"/>
      <w:bookmarkStart w:id="475" w:name="_Toc72407443"/>
      <w:r>
        <w:rPr>
          <w:b/>
          <w:color w:val="auto"/>
          <w:sz w:val="21"/>
          <w:szCs w:val="21"/>
          <w:highlight w:val="none"/>
        </w:rPr>
        <w:t>第十六条  合同的解释</w:t>
      </w:r>
      <w:bookmarkEnd w:id="469"/>
      <w:bookmarkEnd w:id="470"/>
      <w:bookmarkEnd w:id="471"/>
      <w:bookmarkEnd w:id="472"/>
      <w:bookmarkEnd w:id="473"/>
      <w:bookmarkEnd w:id="474"/>
      <w:bookmarkEnd w:id="475"/>
    </w:p>
    <w:p>
      <w:pPr>
        <w:pStyle w:val="23"/>
        <w:tabs>
          <w:tab w:val="left" w:pos="1651"/>
          <w:tab w:val="left" w:pos="3828"/>
        </w:tabs>
        <w:spacing w:beforeLines="0" w:afterLines="0" w:line="400" w:lineRule="exact"/>
        <w:ind w:firstLine="420" w:firstLineChars="200"/>
        <w:jc w:val="left"/>
        <w:rPr>
          <w:rFonts w:hAnsi="宋体" w:cs="Arial"/>
          <w:color w:val="auto"/>
          <w:sz w:val="21"/>
          <w:szCs w:val="21"/>
          <w:highlight w:val="none"/>
        </w:rPr>
      </w:pPr>
      <w:r>
        <w:rPr>
          <w:rFonts w:hAnsi="宋体" w:cs="Arial"/>
          <w:color w:val="auto"/>
          <w:sz w:val="21"/>
          <w:szCs w:val="21"/>
          <w:highlight w:val="none"/>
        </w:rPr>
        <w:t>本合同的解释权在</w:t>
      </w:r>
      <w:r>
        <w:rPr>
          <w:rFonts w:hint="eastAsia" w:hAnsi="宋体" w:cs="Arial"/>
          <w:color w:val="auto"/>
          <w:sz w:val="21"/>
          <w:szCs w:val="21"/>
          <w:highlight w:val="none"/>
          <w:lang w:eastAsia="zh-CN"/>
        </w:rPr>
        <w:t>温州市龙湾区城市管理服务有限公司</w:t>
      </w:r>
      <w:r>
        <w:rPr>
          <w:rFonts w:hAnsi="宋体" w:cs="Arial"/>
          <w:color w:val="auto"/>
          <w:sz w:val="21"/>
          <w:szCs w:val="21"/>
          <w:highlight w:val="none"/>
        </w:rPr>
        <w:t>。</w:t>
      </w:r>
    </w:p>
    <w:p>
      <w:pPr>
        <w:spacing w:line="400" w:lineRule="exact"/>
        <w:jc w:val="left"/>
        <w:rPr>
          <w:b/>
          <w:color w:val="auto"/>
          <w:sz w:val="21"/>
          <w:szCs w:val="21"/>
          <w:highlight w:val="none"/>
        </w:rPr>
      </w:pPr>
      <w:bookmarkStart w:id="476" w:name="_Toc10734"/>
      <w:bookmarkStart w:id="477" w:name="_Toc23758"/>
      <w:bookmarkStart w:id="478" w:name="_Toc104190757"/>
      <w:bookmarkStart w:id="479" w:name="_Toc30559"/>
      <w:bookmarkStart w:id="480" w:name="_Toc29239"/>
      <w:r>
        <w:rPr>
          <w:b/>
          <w:color w:val="auto"/>
          <w:sz w:val="21"/>
          <w:szCs w:val="21"/>
          <w:highlight w:val="none"/>
        </w:rPr>
        <w:t>第十七条  合同的份数</w:t>
      </w:r>
      <w:bookmarkEnd w:id="476"/>
      <w:bookmarkEnd w:id="477"/>
      <w:bookmarkEnd w:id="478"/>
      <w:bookmarkEnd w:id="479"/>
      <w:bookmarkEnd w:id="480"/>
    </w:p>
    <w:p>
      <w:pPr>
        <w:pStyle w:val="23"/>
        <w:tabs>
          <w:tab w:val="left" w:pos="1651"/>
          <w:tab w:val="left" w:pos="3828"/>
        </w:tabs>
        <w:spacing w:beforeLines="0" w:afterLines="0" w:line="400" w:lineRule="exact"/>
        <w:ind w:firstLine="420" w:firstLineChars="200"/>
        <w:jc w:val="left"/>
        <w:rPr>
          <w:rFonts w:hAnsi="宋体" w:cs="Arial"/>
          <w:color w:val="auto"/>
          <w:sz w:val="21"/>
          <w:szCs w:val="21"/>
          <w:highlight w:val="none"/>
        </w:rPr>
      </w:pPr>
      <w:r>
        <w:rPr>
          <w:rFonts w:hAnsi="宋体" w:cs="Arial"/>
          <w:color w:val="auto"/>
          <w:sz w:val="21"/>
          <w:szCs w:val="21"/>
          <w:highlight w:val="none"/>
        </w:rPr>
        <w:t>本合同一式</w:t>
      </w:r>
      <w:r>
        <w:rPr>
          <w:rFonts w:hint="eastAsia" w:hAnsi="宋体" w:cs="Arial"/>
          <w:color w:val="auto"/>
          <w:sz w:val="21"/>
          <w:szCs w:val="21"/>
          <w:highlight w:val="none"/>
        </w:rPr>
        <w:t>六</w:t>
      </w:r>
      <w:r>
        <w:rPr>
          <w:rFonts w:hAnsi="宋体" w:cs="Arial"/>
          <w:color w:val="auto"/>
          <w:sz w:val="21"/>
          <w:szCs w:val="21"/>
          <w:highlight w:val="none"/>
        </w:rPr>
        <w:t>份，合同各方各执二份，送</w:t>
      </w:r>
      <w:r>
        <w:rPr>
          <w:rFonts w:hint="eastAsia" w:hAnsi="宋体" w:cs="Arial"/>
          <w:color w:val="auto"/>
          <w:sz w:val="21"/>
          <w:szCs w:val="21"/>
          <w:highlight w:val="none"/>
        </w:rPr>
        <w:t>区综合行政执法局一份，</w:t>
      </w:r>
      <w:r>
        <w:rPr>
          <w:rFonts w:hAnsi="宋体" w:cs="Arial"/>
          <w:color w:val="auto"/>
          <w:sz w:val="21"/>
          <w:szCs w:val="21"/>
          <w:highlight w:val="none"/>
        </w:rPr>
        <w:t>采购代理机构备案一份，具有同等法律效力。</w:t>
      </w:r>
    </w:p>
    <w:bookmarkEnd w:id="375"/>
    <w:bookmarkEnd w:id="376"/>
    <w:p>
      <w:pPr>
        <w:pStyle w:val="23"/>
        <w:tabs>
          <w:tab w:val="left" w:pos="1651"/>
          <w:tab w:val="left" w:pos="3828"/>
        </w:tabs>
        <w:spacing w:beforeLines="0" w:afterLines="0" w:line="400" w:lineRule="exact"/>
        <w:jc w:val="left"/>
        <w:rPr>
          <w:rFonts w:hint="eastAsia" w:hAnsi="宋体" w:cs="Arial"/>
          <w:color w:val="auto"/>
          <w:sz w:val="21"/>
          <w:szCs w:val="21"/>
          <w:highlight w:val="none"/>
        </w:rPr>
      </w:pPr>
    </w:p>
    <w:p>
      <w:pPr>
        <w:pStyle w:val="10"/>
        <w:tabs>
          <w:tab w:val="left" w:pos="840"/>
        </w:tabs>
        <w:spacing w:line="400" w:lineRule="exact"/>
        <w:ind w:firstLine="674" w:firstLineChars="321"/>
        <w:jc w:val="left"/>
        <w:rPr>
          <w:rFonts w:ascii="宋体" w:hAnsi="宋体" w:cs="Arial"/>
          <w:color w:val="auto"/>
          <w:sz w:val="21"/>
          <w:szCs w:val="21"/>
          <w:highlight w:val="none"/>
        </w:rPr>
      </w:pPr>
      <w:r>
        <w:rPr>
          <w:rFonts w:ascii="宋体" w:hAnsi="宋体" w:cs="Arial"/>
          <w:color w:val="auto"/>
          <w:sz w:val="21"/>
          <w:szCs w:val="21"/>
          <w:highlight w:val="none"/>
        </w:rPr>
        <w:t>甲方：</w:t>
      </w:r>
      <w:r>
        <w:rPr>
          <w:rFonts w:hint="eastAsia" w:ascii="宋体" w:hAnsi="宋体" w:cs="仿宋"/>
          <w:snapToGrid w:val="0"/>
          <w:color w:val="auto"/>
          <w:sz w:val="21"/>
          <w:szCs w:val="21"/>
          <w:highlight w:val="none"/>
        </w:rPr>
        <w:t>（盖章）</w:t>
      </w:r>
      <w:r>
        <w:rPr>
          <w:rFonts w:ascii="宋体" w:hAnsi="宋体" w:cs="Arial"/>
          <w:color w:val="auto"/>
          <w:sz w:val="21"/>
          <w:szCs w:val="21"/>
          <w:highlight w:val="none"/>
        </w:rPr>
        <w:t xml:space="preserve">                   </w:t>
      </w:r>
      <w:r>
        <w:rPr>
          <w:rFonts w:hint="eastAsia" w:ascii="宋体" w:hAnsi="宋体" w:cs="Arial"/>
          <w:color w:val="auto"/>
          <w:sz w:val="21"/>
          <w:szCs w:val="21"/>
          <w:highlight w:val="none"/>
        </w:rPr>
        <w:t xml:space="preserve">    </w:t>
      </w:r>
      <w:r>
        <w:rPr>
          <w:rFonts w:ascii="宋体" w:hAnsi="宋体" w:cs="Arial"/>
          <w:color w:val="auto"/>
          <w:sz w:val="21"/>
          <w:szCs w:val="21"/>
          <w:highlight w:val="none"/>
        </w:rPr>
        <w:t>乙方：</w:t>
      </w:r>
      <w:r>
        <w:rPr>
          <w:rFonts w:hint="eastAsia" w:ascii="宋体" w:hAnsi="宋体" w:cs="仿宋"/>
          <w:snapToGrid w:val="0"/>
          <w:color w:val="auto"/>
          <w:sz w:val="21"/>
          <w:szCs w:val="21"/>
          <w:highlight w:val="none"/>
        </w:rPr>
        <w:t>（盖章）</w:t>
      </w:r>
    </w:p>
    <w:p>
      <w:pPr>
        <w:pStyle w:val="10"/>
        <w:tabs>
          <w:tab w:val="left" w:pos="840"/>
        </w:tabs>
        <w:spacing w:line="400" w:lineRule="exact"/>
        <w:ind w:firstLine="674" w:firstLineChars="321"/>
        <w:jc w:val="left"/>
        <w:rPr>
          <w:rFonts w:ascii="宋体" w:hAnsi="宋体" w:cs="Arial"/>
          <w:color w:val="auto"/>
          <w:sz w:val="21"/>
          <w:szCs w:val="21"/>
          <w:highlight w:val="none"/>
        </w:rPr>
      </w:pPr>
      <w:r>
        <w:rPr>
          <w:rFonts w:ascii="宋体" w:hAnsi="宋体" w:cs="Arial"/>
          <w:color w:val="auto"/>
          <w:sz w:val="21"/>
          <w:szCs w:val="21"/>
          <w:highlight w:val="none"/>
        </w:rPr>
        <w:t xml:space="preserve">全权代表：（签字）               </w:t>
      </w:r>
      <w:r>
        <w:rPr>
          <w:rFonts w:hint="eastAsia" w:ascii="宋体" w:hAnsi="宋体" w:cs="Arial"/>
          <w:color w:val="auto"/>
          <w:sz w:val="21"/>
          <w:szCs w:val="21"/>
          <w:highlight w:val="none"/>
        </w:rPr>
        <w:t xml:space="preserve">    </w:t>
      </w:r>
      <w:r>
        <w:rPr>
          <w:rFonts w:ascii="宋体" w:hAnsi="宋体" w:cs="Arial"/>
          <w:color w:val="auto"/>
          <w:sz w:val="21"/>
          <w:szCs w:val="21"/>
          <w:highlight w:val="none"/>
        </w:rPr>
        <w:t>全权代表：（签字）</w:t>
      </w:r>
    </w:p>
    <w:p>
      <w:pPr>
        <w:pStyle w:val="10"/>
        <w:tabs>
          <w:tab w:val="left" w:pos="840"/>
        </w:tabs>
        <w:spacing w:line="400" w:lineRule="exact"/>
        <w:ind w:firstLine="674" w:firstLineChars="321"/>
        <w:jc w:val="left"/>
        <w:rPr>
          <w:rFonts w:ascii="宋体" w:hAnsi="宋体" w:cs="Arial"/>
          <w:color w:val="auto"/>
          <w:sz w:val="21"/>
          <w:szCs w:val="21"/>
          <w:highlight w:val="none"/>
        </w:rPr>
      </w:pPr>
      <w:r>
        <w:rPr>
          <w:rFonts w:ascii="宋体" w:hAnsi="宋体" w:cs="Arial"/>
          <w:color w:val="auto"/>
          <w:sz w:val="21"/>
          <w:szCs w:val="21"/>
          <w:highlight w:val="none"/>
        </w:rPr>
        <w:t xml:space="preserve">确认送达地址：                  </w:t>
      </w:r>
      <w:r>
        <w:rPr>
          <w:rFonts w:hint="eastAsia" w:ascii="宋体" w:hAnsi="宋体" w:cs="Arial"/>
          <w:color w:val="auto"/>
          <w:sz w:val="21"/>
          <w:szCs w:val="21"/>
          <w:highlight w:val="none"/>
        </w:rPr>
        <w:t xml:space="preserve">     </w:t>
      </w:r>
      <w:r>
        <w:rPr>
          <w:rFonts w:ascii="宋体" w:hAnsi="宋体" w:cs="Arial"/>
          <w:color w:val="auto"/>
          <w:sz w:val="21"/>
          <w:szCs w:val="21"/>
          <w:highlight w:val="none"/>
        </w:rPr>
        <w:t>确认送达地址：</w:t>
      </w:r>
    </w:p>
    <w:p>
      <w:pPr>
        <w:pStyle w:val="10"/>
        <w:tabs>
          <w:tab w:val="left" w:pos="840"/>
        </w:tabs>
        <w:spacing w:line="400" w:lineRule="exact"/>
        <w:ind w:firstLine="674" w:firstLineChars="321"/>
        <w:jc w:val="left"/>
        <w:rPr>
          <w:rFonts w:ascii="宋体" w:hAnsi="宋体" w:cs="Arial"/>
          <w:color w:val="auto"/>
          <w:sz w:val="21"/>
          <w:szCs w:val="21"/>
          <w:highlight w:val="none"/>
        </w:rPr>
      </w:pPr>
      <w:r>
        <w:rPr>
          <w:rFonts w:ascii="宋体" w:hAnsi="宋体" w:cs="Arial"/>
          <w:color w:val="auto"/>
          <w:sz w:val="21"/>
          <w:szCs w:val="21"/>
          <w:highlight w:val="none"/>
        </w:rPr>
        <w:t xml:space="preserve">邮政编码：                      </w:t>
      </w:r>
      <w:r>
        <w:rPr>
          <w:rFonts w:hint="eastAsia" w:ascii="宋体" w:hAnsi="宋体" w:cs="Arial"/>
          <w:color w:val="auto"/>
          <w:sz w:val="21"/>
          <w:szCs w:val="21"/>
          <w:highlight w:val="none"/>
        </w:rPr>
        <w:t xml:space="preserve">     </w:t>
      </w:r>
      <w:r>
        <w:rPr>
          <w:rFonts w:ascii="宋体" w:hAnsi="宋体" w:cs="Arial"/>
          <w:color w:val="auto"/>
          <w:sz w:val="21"/>
          <w:szCs w:val="21"/>
          <w:highlight w:val="none"/>
        </w:rPr>
        <w:t>邮政编码：</w:t>
      </w:r>
    </w:p>
    <w:p>
      <w:pPr>
        <w:pStyle w:val="10"/>
        <w:tabs>
          <w:tab w:val="left" w:pos="840"/>
        </w:tabs>
        <w:spacing w:line="400" w:lineRule="exact"/>
        <w:ind w:firstLine="674" w:firstLineChars="321"/>
        <w:jc w:val="left"/>
        <w:rPr>
          <w:rFonts w:ascii="宋体" w:hAnsi="宋体" w:cs="Arial"/>
          <w:color w:val="auto"/>
          <w:sz w:val="21"/>
          <w:szCs w:val="21"/>
          <w:highlight w:val="none"/>
        </w:rPr>
      </w:pPr>
      <w:r>
        <w:rPr>
          <w:rFonts w:ascii="宋体" w:hAnsi="宋体" w:cs="Arial"/>
          <w:color w:val="auto"/>
          <w:sz w:val="21"/>
          <w:szCs w:val="21"/>
          <w:highlight w:val="none"/>
        </w:rPr>
        <w:t xml:space="preserve">电话：                         </w:t>
      </w:r>
      <w:r>
        <w:rPr>
          <w:rFonts w:hint="eastAsia" w:ascii="宋体" w:hAnsi="宋体" w:cs="Arial"/>
          <w:color w:val="auto"/>
          <w:sz w:val="21"/>
          <w:szCs w:val="21"/>
          <w:highlight w:val="none"/>
        </w:rPr>
        <w:t xml:space="preserve">     </w:t>
      </w:r>
      <w:r>
        <w:rPr>
          <w:rFonts w:ascii="宋体" w:hAnsi="宋体" w:cs="Arial"/>
          <w:color w:val="auto"/>
          <w:sz w:val="21"/>
          <w:szCs w:val="21"/>
          <w:highlight w:val="none"/>
        </w:rPr>
        <w:t xml:space="preserve"> 电话：</w:t>
      </w:r>
    </w:p>
    <w:p>
      <w:pPr>
        <w:pStyle w:val="10"/>
        <w:tabs>
          <w:tab w:val="left" w:pos="840"/>
        </w:tabs>
        <w:spacing w:line="400" w:lineRule="exact"/>
        <w:ind w:firstLine="674" w:firstLineChars="321"/>
        <w:jc w:val="left"/>
        <w:rPr>
          <w:rFonts w:ascii="宋体" w:hAnsi="宋体" w:cs="Arial"/>
          <w:color w:val="auto"/>
          <w:sz w:val="21"/>
          <w:szCs w:val="21"/>
          <w:highlight w:val="none"/>
        </w:rPr>
      </w:pPr>
      <w:r>
        <w:rPr>
          <w:rFonts w:ascii="宋体" w:hAnsi="宋体" w:cs="Arial"/>
          <w:color w:val="auto"/>
          <w:sz w:val="21"/>
          <w:szCs w:val="21"/>
          <w:highlight w:val="none"/>
        </w:rPr>
        <w:t xml:space="preserve">传真：                          </w:t>
      </w:r>
      <w:r>
        <w:rPr>
          <w:rFonts w:hint="eastAsia" w:ascii="宋体" w:hAnsi="宋体" w:cs="Arial"/>
          <w:color w:val="auto"/>
          <w:sz w:val="21"/>
          <w:szCs w:val="21"/>
          <w:highlight w:val="none"/>
        </w:rPr>
        <w:t xml:space="preserve">     </w:t>
      </w:r>
      <w:r>
        <w:rPr>
          <w:rFonts w:ascii="宋体" w:hAnsi="宋体" w:cs="Arial"/>
          <w:color w:val="auto"/>
          <w:sz w:val="21"/>
          <w:szCs w:val="21"/>
          <w:highlight w:val="none"/>
        </w:rPr>
        <w:t>传真：</w:t>
      </w:r>
    </w:p>
    <w:p>
      <w:pPr>
        <w:pStyle w:val="10"/>
        <w:tabs>
          <w:tab w:val="left" w:pos="840"/>
        </w:tabs>
        <w:spacing w:line="400" w:lineRule="exact"/>
        <w:ind w:firstLine="674" w:firstLineChars="321"/>
        <w:jc w:val="left"/>
        <w:rPr>
          <w:rFonts w:ascii="宋体" w:hAnsi="宋体" w:cs="Arial"/>
          <w:color w:val="auto"/>
          <w:sz w:val="21"/>
          <w:szCs w:val="21"/>
          <w:highlight w:val="none"/>
        </w:rPr>
      </w:pPr>
      <w:r>
        <w:rPr>
          <w:rFonts w:ascii="宋体" w:hAnsi="宋体" w:cs="Arial"/>
          <w:color w:val="auto"/>
          <w:sz w:val="21"/>
          <w:szCs w:val="21"/>
          <w:highlight w:val="none"/>
        </w:rPr>
        <w:t xml:space="preserve">开户银行：                      </w:t>
      </w:r>
      <w:r>
        <w:rPr>
          <w:rFonts w:hint="eastAsia" w:ascii="宋体" w:hAnsi="宋体" w:cs="Arial"/>
          <w:color w:val="auto"/>
          <w:sz w:val="21"/>
          <w:szCs w:val="21"/>
          <w:highlight w:val="none"/>
        </w:rPr>
        <w:t xml:space="preserve">     </w:t>
      </w:r>
      <w:r>
        <w:rPr>
          <w:rFonts w:ascii="宋体" w:hAnsi="宋体" w:cs="Arial"/>
          <w:color w:val="auto"/>
          <w:sz w:val="21"/>
          <w:szCs w:val="21"/>
          <w:highlight w:val="none"/>
        </w:rPr>
        <w:t>开户银行：</w:t>
      </w:r>
    </w:p>
    <w:p>
      <w:pPr>
        <w:pStyle w:val="10"/>
        <w:tabs>
          <w:tab w:val="left" w:pos="840"/>
        </w:tabs>
        <w:spacing w:line="400" w:lineRule="exact"/>
        <w:ind w:firstLine="674" w:firstLineChars="321"/>
        <w:jc w:val="left"/>
        <w:rPr>
          <w:rFonts w:ascii="宋体" w:hAnsi="宋体" w:cs="Arial"/>
          <w:color w:val="auto"/>
          <w:sz w:val="21"/>
          <w:szCs w:val="21"/>
          <w:highlight w:val="none"/>
        </w:rPr>
      </w:pPr>
      <w:r>
        <w:rPr>
          <w:rFonts w:ascii="宋体" w:hAnsi="宋体" w:cs="Arial"/>
          <w:color w:val="auto"/>
          <w:sz w:val="21"/>
          <w:szCs w:val="21"/>
          <w:highlight w:val="none"/>
        </w:rPr>
        <w:t xml:space="preserve">帐号：                          </w:t>
      </w:r>
      <w:r>
        <w:rPr>
          <w:rFonts w:hint="eastAsia" w:ascii="宋体" w:hAnsi="宋体" w:cs="Arial"/>
          <w:color w:val="auto"/>
          <w:sz w:val="21"/>
          <w:szCs w:val="21"/>
          <w:highlight w:val="none"/>
        </w:rPr>
        <w:t xml:space="preserve">     </w:t>
      </w:r>
      <w:r>
        <w:rPr>
          <w:rFonts w:ascii="宋体" w:hAnsi="宋体" w:cs="Arial"/>
          <w:color w:val="auto"/>
          <w:sz w:val="21"/>
          <w:szCs w:val="21"/>
          <w:highlight w:val="none"/>
        </w:rPr>
        <w:t>帐号：</w:t>
      </w:r>
    </w:p>
    <w:p>
      <w:pPr>
        <w:pStyle w:val="10"/>
        <w:tabs>
          <w:tab w:val="left" w:pos="840"/>
        </w:tabs>
        <w:spacing w:line="400" w:lineRule="exact"/>
        <w:ind w:firstLine="674" w:firstLineChars="321"/>
        <w:jc w:val="left"/>
        <w:rPr>
          <w:rFonts w:hint="eastAsia" w:ascii="宋体" w:hAnsi="宋体" w:cs="Arial"/>
          <w:color w:val="auto"/>
          <w:sz w:val="21"/>
          <w:szCs w:val="21"/>
          <w:highlight w:val="none"/>
        </w:rPr>
      </w:pPr>
    </w:p>
    <w:bookmarkEnd w:id="377"/>
    <w:p>
      <w:pPr>
        <w:pStyle w:val="193"/>
        <w:spacing w:line="600" w:lineRule="exact"/>
        <w:jc w:val="left"/>
        <w:rPr>
          <w:rFonts w:hint="eastAsia" w:eastAsia="宋体" w:cs="Arial"/>
          <w:b w:val="0"/>
          <w:color w:val="auto"/>
          <w:sz w:val="21"/>
          <w:szCs w:val="21"/>
          <w:highlight w:val="none"/>
        </w:rPr>
      </w:pPr>
      <w:r>
        <w:rPr>
          <w:rFonts w:cs="Arial"/>
          <w:b w:val="0"/>
          <w:color w:val="auto"/>
          <w:szCs w:val="21"/>
          <w:highlight w:val="none"/>
        </w:rPr>
        <w:br w:type="page"/>
      </w:r>
      <w:r>
        <w:rPr>
          <w:rFonts w:eastAsia="宋体" w:cs="Arial"/>
          <w:b w:val="0"/>
          <w:color w:val="auto"/>
          <w:sz w:val="21"/>
          <w:szCs w:val="21"/>
          <w:highlight w:val="none"/>
        </w:rPr>
        <w:t>附件：</w:t>
      </w:r>
    </w:p>
    <w:p>
      <w:pPr>
        <w:pStyle w:val="193"/>
        <w:spacing w:line="600" w:lineRule="exact"/>
        <w:rPr>
          <w:rStyle w:val="139"/>
          <w:rFonts w:hint="eastAsia"/>
          <w:b/>
          <w:color w:val="auto"/>
          <w:highlight w:val="none"/>
        </w:rPr>
      </w:pPr>
      <w:r>
        <w:rPr>
          <w:rStyle w:val="139"/>
          <w:rFonts w:hint="eastAsia"/>
          <w:b/>
          <w:color w:val="auto"/>
          <w:highlight w:val="none"/>
        </w:rPr>
        <w:t>环卫保洁服务廉政责任书</w:t>
      </w:r>
    </w:p>
    <w:p>
      <w:pPr>
        <w:snapToGrid w:val="0"/>
        <w:spacing w:line="400" w:lineRule="exact"/>
        <w:ind w:firstLine="420" w:firstLineChars="200"/>
        <w:jc w:val="left"/>
        <w:rPr>
          <w:rFonts w:hint="eastAsia" w:ascii="宋体" w:hAnsi="宋体" w:cs="仿宋"/>
          <w:snapToGrid w:val="0"/>
          <w:color w:val="auto"/>
          <w:sz w:val="21"/>
          <w:szCs w:val="21"/>
          <w:highlight w:val="none"/>
        </w:rPr>
      </w:pPr>
    </w:p>
    <w:p>
      <w:pPr>
        <w:snapToGrid w:val="0"/>
        <w:spacing w:line="400" w:lineRule="exact"/>
        <w:ind w:firstLine="420" w:firstLineChars="200"/>
        <w:jc w:val="left"/>
        <w:rPr>
          <w:rFonts w:hint="eastAsia" w:ascii="宋体" w:hAnsi="宋体" w:cs="仿宋"/>
          <w:color w:val="auto"/>
          <w:sz w:val="21"/>
          <w:szCs w:val="21"/>
          <w:highlight w:val="none"/>
        </w:rPr>
      </w:pPr>
      <w:r>
        <w:rPr>
          <w:rFonts w:hint="eastAsia" w:ascii="宋体" w:hAnsi="宋体" w:cs="仿宋"/>
          <w:snapToGrid w:val="0"/>
          <w:color w:val="auto"/>
          <w:sz w:val="21"/>
          <w:szCs w:val="21"/>
          <w:highlight w:val="none"/>
        </w:rPr>
        <w:t>为加强环卫保洁服务的廉政建设，保证保洁服务的高效优质完成，保证项目资金的安全和有效使用，</w:t>
      </w:r>
      <w:r>
        <w:rPr>
          <w:rFonts w:hint="eastAsia" w:ascii="宋体" w:hAnsi="宋体" w:cs="仿宋"/>
          <w:snapToGrid w:val="0"/>
          <w:color w:val="auto"/>
          <w:sz w:val="21"/>
          <w:szCs w:val="21"/>
          <w:highlight w:val="none"/>
          <w:u w:val="single"/>
        </w:rPr>
        <w:t xml:space="preserve">××××××        </w:t>
      </w:r>
      <w:r>
        <w:rPr>
          <w:rFonts w:hint="eastAsia" w:ascii="宋体" w:hAnsi="宋体" w:cs="仿宋"/>
          <w:snapToGrid w:val="0"/>
          <w:color w:val="auto"/>
          <w:sz w:val="21"/>
          <w:szCs w:val="21"/>
          <w:highlight w:val="none"/>
        </w:rPr>
        <w:t>保洁服务项目法人</w:t>
      </w:r>
      <w:r>
        <w:rPr>
          <w:rFonts w:hint="eastAsia" w:ascii="宋体" w:hAnsi="宋体" w:cs="仿宋"/>
          <w:snapToGrid w:val="0"/>
          <w:color w:val="auto"/>
          <w:sz w:val="21"/>
          <w:szCs w:val="21"/>
          <w:highlight w:val="none"/>
          <w:u w:val="single"/>
        </w:rPr>
        <w:t xml:space="preserve">（以下称甲方）       </w:t>
      </w:r>
      <w:r>
        <w:rPr>
          <w:rFonts w:hint="eastAsia" w:ascii="宋体" w:hAnsi="宋体" w:cs="仿宋"/>
          <w:snapToGrid w:val="0"/>
          <w:color w:val="auto"/>
          <w:sz w:val="21"/>
          <w:szCs w:val="21"/>
          <w:highlight w:val="none"/>
        </w:rPr>
        <w:t>与承包商</w:t>
      </w:r>
      <w:r>
        <w:rPr>
          <w:rFonts w:hint="eastAsia" w:ascii="宋体" w:hAnsi="宋体" w:cs="仿宋"/>
          <w:snapToGrid w:val="0"/>
          <w:color w:val="auto"/>
          <w:sz w:val="21"/>
          <w:szCs w:val="21"/>
          <w:highlight w:val="none"/>
          <w:u w:val="single"/>
        </w:rPr>
        <w:t xml:space="preserve">（以下称乙方）     </w:t>
      </w:r>
      <w:r>
        <w:rPr>
          <w:rFonts w:hint="eastAsia" w:ascii="宋体" w:hAnsi="宋体" w:cs="仿宋"/>
          <w:snapToGrid w:val="0"/>
          <w:color w:val="auto"/>
          <w:sz w:val="21"/>
          <w:szCs w:val="21"/>
          <w:highlight w:val="none"/>
        </w:rPr>
        <w:t>，特订立如下责任书。</w:t>
      </w:r>
    </w:p>
    <w:p>
      <w:pPr>
        <w:autoSpaceDE w:val="0"/>
        <w:autoSpaceDN w:val="0"/>
        <w:adjustRightInd w:val="0"/>
        <w:snapToGrid w:val="0"/>
        <w:spacing w:line="400" w:lineRule="exact"/>
        <w:ind w:firstLine="420" w:firstLineChars="200"/>
        <w:jc w:val="left"/>
        <w:textAlignment w:val="baseline"/>
        <w:rPr>
          <w:rFonts w:hint="eastAsia" w:ascii="宋体" w:hAnsi="宋体" w:cs="黑体"/>
          <w:bCs/>
          <w:color w:val="auto"/>
          <w:sz w:val="21"/>
          <w:szCs w:val="21"/>
          <w:highlight w:val="none"/>
        </w:rPr>
      </w:pPr>
      <w:r>
        <w:rPr>
          <w:rFonts w:hint="eastAsia" w:ascii="宋体" w:hAnsi="宋体" w:cs="黑体"/>
          <w:bCs/>
          <w:snapToGrid w:val="0"/>
          <w:color w:val="auto"/>
          <w:sz w:val="21"/>
          <w:szCs w:val="21"/>
          <w:highlight w:val="none"/>
        </w:rPr>
        <w:t xml:space="preserve">第一条  </w:t>
      </w:r>
      <w:r>
        <w:rPr>
          <w:rFonts w:hint="eastAsia" w:ascii="宋体" w:hAnsi="宋体" w:cs="黑体"/>
          <w:bCs/>
          <w:color w:val="auto"/>
          <w:sz w:val="21"/>
          <w:szCs w:val="21"/>
          <w:highlight w:val="none"/>
        </w:rPr>
        <w:t>甲乙双方的责任</w:t>
      </w:r>
    </w:p>
    <w:p>
      <w:pPr>
        <w:autoSpaceDE w:val="0"/>
        <w:autoSpaceDN w:val="0"/>
        <w:adjustRightInd w:val="0"/>
        <w:snapToGrid w:val="0"/>
        <w:spacing w:line="400" w:lineRule="exact"/>
        <w:ind w:firstLine="420" w:firstLineChars="200"/>
        <w:jc w:val="left"/>
        <w:textAlignment w:val="baseline"/>
        <w:rPr>
          <w:rFonts w:hint="eastAsia" w:ascii="宋体" w:hAnsi="宋体" w:cs="仿宋"/>
          <w:color w:val="auto"/>
          <w:sz w:val="21"/>
          <w:szCs w:val="21"/>
          <w:highlight w:val="none"/>
        </w:rPr>
      </w:pPr>
      <w:r>
        <w:rPr>
          <w:rFonts w:hint="eastAsia" w:ascii="宋体" w:hAnsi="宋体" w:cs="仿宋"/>
          <w:color w:val="auto"/>
          <w:sz w:val="21"/>
          <w:szCs w:val="21"/>
          <w:highlight w:val="none"/>
        </w:rPr>
        <w:t>（一）严格遵守党和国家有关市场准入、项目招标投标、保洁服务和市场活动等有关法律、法规，相关政策，以及廉政建设的各项规定。</w:t>
      </w:r>
    </w:p>
    <w:p>
      <w:pPr>
        <w:autoSpaceDE w:val="0"/>
        <w:autoSpaceDN w:val="0"/>
        <w:adjustRightInd w:val="0"/>
        <w:snapToGrid w:val="0"/>
        <w:spacing w:line="400" w:lineRule="exact"/>
        <w:ind w:firstLine="420" w:firstLineChars="200"/>
        <w:jc w:val="left"/>
        <w:textAlignment w:val="baseline"/>
        <w:rPr>
          <w:rFonts w:hint="eastAsia" w:ascii="宋体" w:hAnsi="宋体" w:cs="仿宋"/>
          <w:color w:val="auto"/>
          <w:sz w:val="21"/>
          <w:szCs w:val="21"/>
          <w:highlight w:val="none"/>
        </w:rPr>
      </w:pPr>
      <w:r>
        <w:rPr>
          <w:rFonts w:hint="eastAsia" w:ascii="宋体" w:hAnsi="宋体" w:cs="仿宋"/>
          <w:color w:val="auto"/>
          <w:sz w:val="21"/>
          <w:szCs w:val="21"/>
          <w:highlight w:val="none"/>
        </w:rPr>
        <w:t>（二）严格执行本项目服务合同文件，自觉按合同办事。</w:t>
      </w:r>
    </w:p>
    <w:p>
      <w:pPr>
        <w:autoSpaceDE w:val="0"/>
        <w:autoSpaceDN w:val="0"/>
        <w:adjustRightInd w:val="0"/>
        <w:snapToGrid w:val="0"/>
        <w:spacing w:line="400" w:lineRule="exact"/>
        <w:ind w:firstLine="420" w:firstLineChars="200"/>
        <w:jc w:val="left"/>
        <w:textAlignment w:val="baseline"/>
        <w:rPr>
          <w:rFonts w:hint="eastAsia" w:ascii="宋体" w:hAnsi="宋体" w:cs="仿宋"/>
          <w:color w:val="auto"/>
          <w:sz w:val="21"/>
          <w:szCs w:val="21"/>
          <w:highlight w:val="none"/>
        </w:rPr>
      </w:pPr>
      <w:r>
        <w:rPr>
          <w:rFonts w:hint="eastAsia" w:ascii="宋体" w:hAnsi="宋体" w:cs="仿宋"/>
          <w:color w:val="auto"/>
          <w:sz w:val="21"/>
          <w:szCs w:val="21"/>
          <w:highlight w:val="none"/>
        </w:rPr>
        <w:t>（三）双方的业务活动必须坚持公开、公平、公正、诚信、透明的原则（除法律法规另有规定者外），不得为获取不正当利益，损害国家、集体和对方利益，不得违反保洁服务质量要求等规定。</w:t>
      </w:r>
    </w:p>
    <w:p>
      <w:pPr>
        <w:autoSpaceDE w:val="0"/>
        <w:autoSpaceDN w:val="0"/>
        <w:adjustRightInd w:val="0"/>
        <w:snapToGrid w:val="0"/>
        <w:spacing w:line="400" w:lineRule="exact"/>
        <w:ind w:firstLine="420" w:firstLineChars="200"/>
        <w:jc w:val="left"/>
        <w:textAlignment w:val="baseline"/>
        <w:rPr>
          <w:rFonts w:hint="eastAsia" w:ascii="宋体" w:hAnsi="宋体" w:cs="仿宋"/>
          <w:color w:val="auto"/>
          <w:sz w:val="21"/>
          <w:szCs w:val="21"/>
          <w:highlight w:val="none"/>
        </w:rPr>
      </w:pPr>
      <w:r>
        <w:rPr>
          <w:rFonts w:hint="eastAsia" w:ascii="宋体" w:hAnsi="宋体" w:cs="仿宋"/>
          <w:color w:val="auto"/>
          <w:sz w:val="21"/>
          <w:szCs w:val="21"/>
          <w:highlight w:val="none"/>
        </w:rPr>
        <w:t>（四）建立健全廉政制度、监督制度和处罚制度，开展廉政教育，设立廉政告示牌，公布举报电话。</w:t>
      </w:r>
    </w:p>
    <w:p>
      <w:pPr>
        <w:autoSpaceDE w:val="0"/>
        <w:autoSpaceDN w:val="0"/>
        <w:adjustRightInd w:val="0"/>
        <w:snapToGrid w:val="0"/>
        <w:spacing w:line="400" w:lineRule="exact"/>
        <w:ind w:firstLine="420" w:firstLineChars="200"/>
        <w:jc w:val="left"/>
        <w:textAlignment w:val="baseline"/>
        <w:rPr>
          <w:rFonts w:hint="eastAsia" w:ascii="宋体" w:hAnsi="宋体" w:cs="仿宋"/>
          <w:color w:val="auto"/>
          <w:sz w:val="21"/>
          <w:szCs w:val="21"/>
          <w:highlight w:val="none"/>
        </w:rPr>
      </w:pPr>
      <w:r>
        <w:rPr>
          <w:rFonts w:hint="eastAsia" w:ascii="宋体" w:hAnsi="宋体" w:cs="仿宋"/>
          <w:color w:val="auto"/>
          <w:sz w:val="21"/>
          <w:szCs w:val="21"/>
          <w:highlight w:val="none"/>
        </w:rPr>
        <w:t>（五）发现对方在业务活动中有违反廉政规定的行为，有及时提醒对方纠正的权利和义务。</w:t>
      </w:r>
    </w:p>
    <w:p>
      <w:pPr>
        <w:autoSpaceDE w:val="0"/>
        <w:autoSpaceDN w:val="0"/>
        <w:adjustRightInd w:val="0"/>
        <w:snapToGrid w:val="0"/>
        <w:spacing w:line="400" w:lineRule="exact"/>
        <w:ind w:firstLine="420" w:firstLineChars="200"/>
        <w:jc w:val="left"/>
        <w:textAlignment w:val="baseline"/>
        <w:rPr>
          <w:rFonts w:hint="eastAsia" w:ascii="宋体" w:hAnsi="宋体" w:cs="仿宋"/>
          <w:color w:val="auto"/>
          <w:sz w:val="21"/>
          <w:szCs w:val="21"/>
          <w:highlight w:val="none"/>
        </w:rPr>
      </w:pPr>
      <w:r>
        <w:rPr>
          <w:rFonts w:hint="eastAsia" w:ascii="宋体" w:hAnsi="宋体" w:cs="仿宋"/>
          <w:color w:val="auto"/>
          <w:sz w:val="21"/>
          <w:szCs w:val="21"/>
          <w:highlight w:val="none"/>
        </w:rPr>
        <w:t>（六）发现对方严重违反本责任书义务条款的行为，有向其上级有关部门举报、建议给予处理并要求告知处理结果的权利。</w:t>
      </w:r>
    </w:p>
    <w:p>
      <w:pPr>
        <w:autoSpaceDE w:val="0"/>
        <w:autoSpaceDN w:val="0"/>
        <w:adjustRightInd w:val="0"/>
        <w:snapToGrid w:val="0"/>
        <w:spacing w:line="400" w:lineRule="exact"/>
        <w:ind w:firstLine="420" w:firstLineChars="200"/>
        <w:jc w:val="left"/>
        <w:textAlignment w:val="baseline"/>
        <w:rPr>
          <w:rFonts w:hint="eastAsia" w:ascii="宋体" w:hAnsi="宋体" w:cs="黑体"/>
          <w:bCs/>
          <w:snapToGrid w:val="0"/>
          <w:color w:val="auto"/>
          <w:sz w:val="21"/>
          <w:szCs w:val="21"/>
          <w:highlight w:val="none"/>
        </w:rPr>
      </w:pPr>
      <w:r>
        <w:rPr>
          <w:rFonts w:hint="eastAsia" w:ascii="宋体" w:hAnsi="宋体" w:cs="黑体"/>
          <w:bCs/>
          <w:snapToGrid w:val="0"/>
          <w:color w:val="auto"/>
          <w:sz w:val="21"/>
          <w:szCs w:val="21"/>
          <w:highlight w:val="none"/>
        </w:rPr>
        <w:t>第二条  甲方的义务</w:t>
      </w:r>
    </w:p>
    <w:p>
      <w:pPr>
        <w:adjustRightInd w:val="0"/>
        <w:snapToGrid w:val="0"/>
        <w:spacing w:line="400" w:lineRule="exact"/>
        <w:ind w:firstLine="420" w:firstLineChars="200"/>
        <w:jc w:val="left"/>
        <w:rPr>
          <w:rFonts w:hint="eastAsia" w:ascii="宋体" w:hAnsi="宋体" w:cs="仿宋"/>
          <w:snapToGrid w:val="0"/>
          <w:color w:val="auto"/>
          <w:sz w:val="21"/>
          <w:szCs w:val="21"/>
          <w:highlight w:val="none"/>
        </w:rPr>
      </w:pPr>
      <w:r>
        <w:rPr>
          <w:rFonts w:hint="eastAsia" w:ascii="宋体" w:hAnsi="宋体" w:cs="仿宋"/>
          <w:snapToGrid w:val="0"/>
          <w:color w:val="auto"/>
          <w:sz w:val="21"/>
          <w:szCs w:val="21"/>
          <w:highlight w:val="none"/>
        </w:rPr>
        <w:t>（一）甲方及其工作人员不得索要或接受乙方的礼金、礼券、有价证券和物品，不得到乙方报销任何由甲方或个人支付的费用等。</w:t>
      </w:r>
    </w:p>
    <w:p>
      <w:pPr>
        <w:adjustRightInd w:val="0"/>
        <w:snapToGrid w:val="0"/>
        <w:spacing w:line="400" w:lineRule="exact"/>
        <w:ind w:firstLine="420" w:firstLineChars="200"/>
        <w:jc w:val="left"/>
        <w:rPr>
          <w:rFonts w:hint="eastAsia" w:ascii="宋体" w:hAnsi="宋体" w:cs="仿宋"/>
          <w:snapToGrid w:val="0"/>
          <w:color w:val="auto"/>
          <w:sz w:val="21"/>
          <w:szCs w:val="21"/>
          <w:highlight w:val="none"/>
        </w:rPr>
      </w:pPr>
      <w:r>
        <w:rPr>
          <w:rFonts w:hint="eastAsia" w:ascii="宋体" w:hAnsi="宋体" w:cs="仿宋"/>
          <w:snapToGrid w:val="0"/>
          <w:color w:val="auto"/>
          <w:sz w:val="21"/>
          <w:szCs w:val="21"/>
          <w:highlight w:val="none"/>
        </w:rPr>
        <w:t>（二）甲方不得有意刁难、拖延乙方服务经费，不得违反规定批拨服务经费等。</w:t>
      </w:r>
    </w:p>
    <w:p>
      <w:pPr>
        <w:adjustRightInd w:val="0"/>
        <w:snapToGrid w:val="0"/>
        <w:spacing w:line="400" w:lineRule="exact"/>
        <w:ind w:firstLine="420" w:firstLineChars="200"/>
        <w:jc w:val="left"/>
        <w:rPr>
          <w:rFonts w:hint="eastAsia" w:ascii="宋体" w:hAnsi="宋体" w:cs="仿宋"/>
          <w:snapToGrid w:val="0"/>
          <w:color w:val="auto"/>
          <w:sz w:val="21"/>
          <w:szCs w:val="21"/>
          <w:highlight w:val="none"/>
        </w:rPr>
      </w:pPr>
      <w:r>
        <w:rPr>
          <w:rFonts w:hint="eastAsia" w:ascii="宋体" w:hAnsi="宋体" w:cs="仿宋"/>
          <w:snapToGrid w:val="0"/>
          <w:color w:val="auto"/>
          <w:sz w:val="21"/>
          <w:szCs w:val="21"/>
          <w:highlight w:val="none"/>
        </w:rPr>
        <w:t>（三）甲方工作人员不得参加乙方安排的宴请和娱乐活动；不得接受乙方提供的通讯工具、交通工具和高档办公用品等。</w:t>
      </w:r>
    </w:p>
    <w:p>
      <w:pPr>
        <w:adjustRightInd w:val="0"/>
        <w:snapToGrid w:val="0"/>
        <w:spacing w:line="400" w:lineRule="exact"/>
        <w:ind w:firstLine="420" w:firstLineChars="200"/>
        <w:jc w:val="left"/>
        <w:rPr>
          <w:rFonts w:hint="eastAsia" w:ascii="宋体" w:hAnsi="宋体" w:cs="仿宋"/>
          <w:snapToGrid w:val="0"/>
          <w:color w:val="auto"/>
          <w:sz w:val="21"/>
          <w:szCs w:val="21"/>
          <w:highlight w:val="none"/>
        </w:rPr>
      </w:pPr>
      <w:r>
        <w:rPr>
          <w:rFonts w:hint="eastAsia" w:ascii="宋体" w:hAnsi="宋体" w:cs="仿宋"/>
          <w:snapToGrid w:val="0"/>
          <w:color w:val="auto"/>
          <w:sz w:val="21"/>
          <w:szCs w:val="21"/>
          <w:highlight w:val="none"/>
        </w:rPr>
        <w:t>（四）甲方及其工作人员不得要求或者接受乙方为其住房装修、操办婚丧嫁娶、安排配偶子女的工作以及出国出境、旅游等。</w:t>
      </w:r>
    </w:p>
    <w:p>
      <w:pPr>
        <w:adjustRightInd w:val="0"/>
        <w:snapToGrid w:val="0"/>
        <w:spacing w:line="400" w:lineRule="exact"/>
        <w:ind w:firstLine="420" w:firstLineChars="200"/>
        <w:jc w:val="left"/>
        <w:rPr>
          <w:rFonts w:hint="eastAsia" w:ascii="宋体" w:hAnsi="宋体" w:cs="仿宋"/>
          <w:snapToGrid w:val="0"/>
          <w:color w:val="auto"/>
          <w:sz w:val="21"/>
          <w:szCs w:val="21"/>
          <w:highlight w:val="none"/>
        </w:rPr>
      </w:pPr>
      <w:r>
        <w:rPr>
          <w:rFonts w:hint="eastAsia" w:ascii="宋体" w:hAnsi="宋体" w:cs="仿宋"/>
          <w:snapToGrid w:val="0"/>
          <w:color w:val="auto"/>
          <w:sz w:val="21"/>
          <w:szCs w:val="21"/>
          <w:highlight w:val="none"/>
        </w:rPr>
        <w:t>（五）甲方工作人员的配偶、子女及下属单位不得从事与甲方项目有关的材料设备供应、项目分包、劳务等经济活动。</w:t>
      </w:r>
    </w:p>
    <w:p>
      <w:pPr>
        <w:adjustRightInd w:val="0"/>
        <w:snapToGrid w:val="0"/>
        <w:spacing w:line="400" w:lineRule="exact"/>
        <w:ind w:firstLine="420" w:firstLineChars="200"/>
        <w:jc w:val="left"/>
        <w:rPr>
          <w:rFonts w:hint="eastAsia" w:ascii="宋体" w:hAnsi="宋体" w:cs="仿宋"/>
          <w:snapToGrid w:val="0"/>
          <w:color w:val="auto"/>
          <w:sz w:val="21"/>
          <w:szCs w:val="21"/>
          <w:highlight w:val="none"/>
        </w:rPr>
      </w:pPr>
      <w:r>
        <w:rPr>
          <w:rFonts w:hint="eastAsia" w:ascii="宋体" w:hAnsi="宋体" w:cs="仿宋"/>
          <w:snapToGrid w:val="0"/>
          <w:color w:val="auto"/>
          <w:sz w:val="21"/>
          <w:szCs w:val="21"/>
          <w:highlight w:val="none"/>
        </w:rPr>
        <w:t>（六）甲方及其工作人员不得以任何理由向乙方推荐分包单位，不得要求乙方承担不相符保洁服务实际需求的材料和设备等。</w:t>
      </w:r>
    </w:p>
    <w:p>
      <w:pPr>
        <w:autoSpaceDE w:val="0"/>
        <w:autoSpaceDN w:val="0"/>
        <w:adjustRightInd w:val="0"/>
        <w:snapToGrid w:val="0"/>
        <w:spacing w:line="400" w:lineRule="exact"/>
        <w:ind w:firstLine="420" w:firstLineChars="200"/>
        <w:jc w:val="left"/>
        <w:textAlignment w:val="baseline"/>
        <w:rPr>
          <w:rFonts w:hint="eastAsia" w:ascii="宋体" w:hAnsi="宋体" w:cs="黑体"/>
          <w:bCs/>
          <w:snapToGrid w:val="0"/>
          <w:color w:val="auto"/>
          <w:sz w:val="21"/>
          <w:szCs w:val="21"/>
          <w:highlight w:val="none"/>
        </w:rPr>
      </w:pPr>
      <w:r>
        <w:rPr>
          <w:rFonts w:hint="eastAsia" w:ascii="宋体" w:hAnsi="宋体" w:cs="黑体"/>
          <w:bCs/>
          <w:snapToGrid w:val="0"/>
          <w:color w:val="auto"/>
          <w:sz w:val="21"/>
          <w:szCs w:val="21"/>
          <w:highlight w:val="none"/>
        </w:rPr>
        <w:t>第三条  乙方义务</w:t>
      </w:r>
    </w:p>
    <w:p>
      <w:pPr>
        <w:adjustRightInd w:val="0"/>
        <w:snapToGrid w:val="0"/>
        <w:spacing w:line="400" w:lineRule="exact"/>
        <w:ind w:firstLine="420" w:firstLineChars="200"/>
        <w:jc w:val="left"/>
        <w:rPr>
          <w:rFonts w:hint="eastAsia" w:ascii="宋体" w:hAnsi="宋体" w:cs="仿宋"/>
          <w:snapToGrid w:val="0"/>
          <w:color w:val="auto"/>
          <w:sz w:val="21"/>
          <w:szCs w:val="21"/>
          <w:highlight w:val="none"/>
        </w:rPr>
      </w:pPr>
      <w:r>
        <w:rPr>
          <w:rFonts w:hint="eastAsia" w:ascii="宋体" w:hAnsi="宋体" w:cs="仿宋"/>
          <w:snapToGrid w:val="0"/>
          <w:color w:val="auto"/>
          <w:sz w:val="21"/>
          <w:szCs w:val="21"/>
          <w:highlight w:val="none"/>
        </w:rPr>
        <w:t>（一）乙方不得以任何理由向甲方及其工作人员行贿或馈赠礼金、礼券、有价证券、礼品。</w:t>
      </w:r>
    </w:p>
    <w:p>
      <w:pPr>
        <w:adjustRightInd w:val="0"/>
        <w:snapToGrid w:val="0"/>
        <w:spacing w:line="400" w:lineRule="exact"/>
        <w:ind w:firstLine="420" w:firstLineChars="200"/>
        <w:jc w:val="left"/>
        <w:rPr>
          <w:rFonts w:hint="eastAsia" w:ascii="宋体" w:hAnsi="宋体" w:cs="仿宋"/>
          <w:snapToGrid w:val="0"/>
          <w:color w:val="auto"/>
          <w:sz w:val="21"/>
          <w:szCs w:val="21"/>
          <w:highlight w:val="none"/>
        </w:rPr>
      </w:pPr>
      <w:r>
        <w:rPr>
          <w:rFonts w:hint="eastAsia" w:ascii="宋体" w:hAnsi="宋体" w:cs="仿宋"/>
          <w:snapToGrid w:val="0"/>
          <w:color w:val="auto"/>
          <w:sz w:val="21"/>
          <w:szCs w:val="21"/>
          <w:highlight w:val="none"/>
        </w:rPr>
        <w:t>（二）乙方不得以任何名义为甲方及其工作人员报销应由甲方单位或个人支付的任何费用。</w:t>
      </w:r>
    </w:p>
    <w:p>
      <w:pPr>
        <w:adjustRightInd w:val="0"/>
        <w:snapToGrid w:val="0"/>
        <w:spacing w:line="400" w:lineRule="exact"/>
        <w:ind w:firstLine="420" w:firstLineChars="200"/>
        <w:jc w:val="left"/>
        <w:rPr>
          <w:rFonts w:hint="eastAsia" w:ascii="宋体" w:hAnsi="宋体" w:cs="仿宋"/>
          <w:snapToGrid w:val="0"/>
          <w:color w:val="auto"/>
          <w:sz w:val="21"/>
          <w:szCs w:val="21"/>
          <w:highlight w:val="none"/>
        </w:rPr>
      </w:pPr>
      <w:r>
        <w:rPr>
          <w:rFonts w:hint="eastAsia" w:ascii="宋体" w:hAnsi="宋体" w:cs="仿宋"/>
          <w:snapToGrid w:val="0"/>
          <w:color w:val="auto"/>
          <w:sz w:val="21"/>
          <w:szCs w:val="21"/>
          <w:highlight w:val="none"/>
        </w:rPr>
        <w:t>（三）乙方不得要求甲方违反规定，批拨、追加服务费用等。</w:t>
      </w:r>
    </w:p>
    <w:p>
      <w:pPr>
        <w:adjustRightInd w:val="0"/>
        <w:snapToGrid w:val="0"/>
        <w:spacing w:line="400" w:lineRule="exact"/>
        <w:ind w:firstLine="420" w:firstLineChars="200"/>
        <w:jc w:val="left"/>
        <w:rPr>
          <w:rFonts w:hint="eastAsia" w:ascii="宋体" w:hAnsi="宋体" w:cs="仿宋"/>
          <w:snapToGrid w:val="0"/>
          <w:color w:val="auto"/>
          <w:sz w:val="21"/>
          <w:szCs w:val="21"/>
          <w:highlight w:val="none"/>
        </w:rPr>
      </w:pPr>
      <w:r>
        <w:rPr>
          <w:rFonts w:hint="eastAsia" w:ascii="宋体" w:hAnsi="宋体" w:cs="仿宋"/>
          <w:snapToGrid w:val="0"/>
          <w:color w:val="auto"/>
          <w:sz w:val="21"/>
          <w:szCs w:val="21"/>
          <w:highlight w:val="none"/>
        </w:rPr>
        <w:t>（四）乙方不得以任何理由安排甲方工作人员参加宴请及娱乐活动。</w:t>
      </w:r>
    </w:p>
    <w:p>
      <w:pPr>
        <w:adjustRightInd w:val="0"/>
        <w:snapToGrid w:val="0"/>
        <w:spacing w:line="400" w:lineRule="exact"/>
        <w:ind w:firstLine="420" w:firstLineChars="200"/>
        <w:jc w:val="left"/>
        <w:rPr>
          <w:rFonts w:hint="eastAsia" w:ascii="宋体" w:hAnsi="宋体" w:cs="仿宋"/>
          <w:snapToGrid w:val="0"/>
          <w:color w:val="auto"/>
          <w:sz w:val="21"/>
          <w:szCs w:val="21"/>
          <w:highlight w:val="none"/>
        </w:rPr>
      </w:pPr>
      <w:r>
        <w:rPr>
          <w:rFonts w:hint="eastAsia" w:ascii="宋体" w:hAnsi="宋体" w:cs="仿宋"/>
          <w:snapToGrid w:val="0"/>
          <w:color w:val="auto"/>
          <w:sz w:val="21"/>
          <w:szCs w:val="21"/>
          <w:highlight w:val="none"/>
        </w:rPr>
        <w:t>（五）乙方不得为甲方单位和个人购置或提供通讯工具、交通工具和高档办公室用品等。</w:t>
      </w:r>
    </w:p>
    <w:p>
      <w:pPr>
        <w:autoSpaceDE w:val="0"/>
        <w:autoSpaceDN w:val="0"/>
        <w:adjustRightInd w:val="0"/>
        <w:snapToGrid w:val="0"/>
        <w:spacing w:line="400" w:lineRule="exact"/>
        <w:ind w:firstLine="420" w:firstLineChars="200"/>
        <w:jc w:val="left"/>
        <w:textAlignment w:val="baseline"/>
        <w:rPr>
          <w:rFonts w:hint="eastAsia" w:ascii="宋体" w:hAnsi="宋体" w:cs="黑体"/>
          <w:bCs/>
          <w:snapToGrid w:val="0"/>
          <w:color w:val="auto"/>
          <w:sz w:val="21"/>
          <w:szCs w:val="21"/>
          <w:highlight w:val="none"/>
        </w:rPr>
      </w:pPr>
      <w:r>
        <w:rPr>
          <w:rFonts w:hint="eastAsia" w:ascii="宋体" w:hAnsi="宋体" w:cs="黑体"/>
          <w:bCs/>
          <w:snapToGrid w:val="0"/>
          <w:color w:val="auto"/>
          <w:sz w:val="21"/>
          <w:szCs w:val="21"/>
          <w:highlight w:val="none"/>
        </w:rPr>
        <w:t>第四条  违约责任</w:t>
      </w:r>
    </w:p>
    <w:p>
      <w:pPr>
        <w:snapToGrid w:val="0"/>
        <w:spacing w:line="400" w:lineRule="exact"/>
        <w:ind w:firstLine="420" w:firstLineChars="200"/>
        <w:jc w:val="left"/>
        <w:rPr>
          <w:rFonts w:hint="eastAsia" w:ascii="宋体" w:hAnsi="宋体" w:cs="仿宋"/>
          <w:snapToGrid w:val="0"/>
          <w:color w:val="auto"/>
          <w:sz w:val="21"/>
          <w:szCs w:val="21"/>
          <w:highlight w:val="none"/>
        </w:rPr>
      </w:pPr>
      <w:r>
        <w:rPr>
          <w:rFonts w:hint="eastAsia" w:ascii="宋体" w:hAnsi="宋体" w:cs="仿宋"/>
          <w:snapToGrid w:val="0"/>
          <w:color w:val="auto"/>
          <w:sz w:val="21"/>
          <w:szCs w:val="21"/>
          <w:highlight w:val="none"/>
        </w:rPr>
        <w:t>（一）甲方及其工作人员违反本责任书第一、二条，按管理权限，依据有关规定给予党纪、政纪或组织处理；涉嫌犯罪的，移送司法机关追究刑事责任；给乙方单位造成经济损失的，应予以赔偿。</w:t>
      </w:r>
    </w:p>
    <w:p>
      <w:pPr>
        <w:snapToGrid w:val="0"/>
        <w:spacing w:line="400" w:lineRule="exact"/>
        <w:ind w:firstLine="420" w:firstLineChars="200"/>
        <w:jc w:val="left"/>
        <w:rPr>
          <w:rFonts w:hint="eastAsia" w:ascii="宋体" w:hAnsi="宋体" w:cs="仿宋"/>
          <w:snapToGrid w:val="0"/>
          <w:color w:val="auto"/>
          <w:sz w:val="21"/>
          <w:szCs w:val="21"/>
          <w:highlight w:val="none"/>
        </w:rPr>
      </w:pPr>
      <w:r>
        <w:rPr>
          <w:rFonts w:hint="eastAsia" w:ascii="宋体" w:hAnsi="宋体" w:cs="仿宋"/>
          <w:snapToGrid w:val="0"/>
          <w:color w:val="auto"/>
          <w:sz w:val="21"/>
          <w:szCs w:val="21"/>
          <w:highlight w:val="none"/>
        </w:rPr>
        <w:t>（二）乙方及其工作人员违反本责任书第一、三条，按管理权限，依据有关规定，给予党纪、政纪、组织处理或停止承接业务处理；给甲方单位造成经济损失的，应予以赔偿；情节严重的，甲方建议有关主管部门或上级部门给予乙方一至三年内不得参与环卫保洁项目投标的处罚。</w:t>
      </w:r>
    </w:p>
    <w:p>
      <w:pPr>
        <w:autoSpaceDE w:val="0"/>
        <w:autoSpaceDN w:val="0"/>
        <w:adjustRightInd w:val="0"/>
        <w:snapToGrid w:val="0"/>
        <w:spacing w:line="400" w:lineRule="exact"/>
        <w:ind w:firstLine="420" w:firstLineChars="200"/>
        <w:jc w:val="left"/>
        <w:textAlignment w:val="baseline"/>
        <w:rPr>
          <w:rFonts w:hint="eastAsia" w:ascii="宋体" w:hAnsi="宋体" w:cs="黑体"/>
          <w:bCs/>
          <w:snapToGrid w:val="0"/>
          <w:color w:val="auto"/>
          <w:sz w:val="21"/>
          <w:szCs w:val="21"/>
          <w:highlight w:val="none"/>
        </w:rPr>
      </w:pPr>
      <w:r>
        <w:rPr>
          <w:rFonts w:hint="eastAsia" w:ascii="宋体" w:hAnsi="宋体" w:cs="黑体"/>
          <w:bCs/>
          <w:snapToGrid w:val="0"/>
          <w:color w:val="auto"/>
          <w:sz w:val="21"/>
          <w:szCs w:val="21"/>
          <w:highlight w:val="none"/>
        </w:rPr>
        <w:t>第五条  双方约定</w:t>
      </w:r>
    </w:p>
    <w:p>
      <w:pPr>
        <w:pStyle w:val="26"/>
        <w:spacing w:after="0" w:line="400" w:lineRule="exact"/>
        <w:ind w:left="0" w:leftChars="0" w:firstLine="420" w:firstLineChars="200"/>
        <w:jc w:val="left"/>
        <w:rPr>
          <w:rFonts w:hint="eastAsia" w:ascii="宋体" w:hAnsi="宋体" w:cs="仿宋"/>
          <w:color w:val="auto"/>
          <w:sz w:val="21"/>
          <w:szCs w:val="21"/>
          <w:highlight w:val="none"/>
        </w:rPr>
      </w:pPr>
      <w:r>
        <w:rPr>
          <w:rFonts w:hint="eastAsia" w:ascii="宋体" w:hAnsi="宋体" w:cs="仿宋"/>
          <w:color w:val="auto"/>
          <w:sz w:val="21"/>
          <w:szCs w:val="21"/>
          <w:highlight w:val="none"/>
        </w:rPr>
        <w:t>本责任书由纪检监察机关负责监督执行。纪检监察机关对本责任书执行情况进行抽查。提出属于本责任书规定范围的处理意见。</w:t>
      </w:r>
    </w:p>
    <w:p>
      <w:pPr>
        <w:snapToGrid w:val="0"/>
        <w:spacing w:line="400" w:lineRule="exact"/>
        <w:ind w:firstLine="422" w:firstLineChars="200"/>
        <w:jc w:val="left"/>
        <w:rPr>
          <w:rFonts w:hint="eastAsia" w:ascii="宋体" w:hAnsi="宋体" w:cs="仿宋"/>
          <w:snapToGrid w:val="0"/>
          <w:color w:val="auto"/>
          <w:sz w:val="21"/>
          <w:szCs w:val="21"/>
          <w:highlight w:val="none"/>
        </w:rPr>
      </w:pPr>
      <w:r>
        <w:rPr>
          <w:rFonts w:hint="eastAsia" w:ascii="宋体" w:hAnsi="宋体" w:cs="仿宋"/>
          <w:b/>
          <w:snapToGrid w:val="0"/>
          <w:color w:val="auto"/>
          <w:sz w:val="21"/>
          <w:szCs w:val="21"/>
          <w:highlight w:val="none"/>
        </w:rPr>
        <w:t>第六条</w:t>
      </w:r>
      <w:r>
        <w:rPr>
          <w:rFonts w:hint="eastAsia" w:ascii="宋体" w:hAnsi="宋体" w:cs="仿宋"/>
          <w:snapToGrid w:val="0"/>
          <w:color w:val="auto"/>
          <w:sz w:val="21"/>
          <w:szCs w:val="21"/>
          <w:highlight w:val="none"/>
        </w:rPr>
        <w:t xml:space="preserve">  本责任书有效期同甲乙双方签署之日起至该服务项目进度款支付完结时止。</w:t>
      </w:r>
    </w:p>
    <w:p>
      <w:pPr>
        <w:snapToGrid w:val="0"/>
        <w:spacing w:line="400" w:lineRule="exact"/>
        <w:ind w:firstLine="422" w:firstLineChars="200"/>
        <w:jc w:val="left"/>
        <w:rPr>
          <w:rFonts w:hint="eastAsia" w:ascii="宋体" w:hAnsi="宋体" w:cs="仿宋"/>
          <w:snapToGrid w:val="0"/>
          <w:color w:val="auto"/>
          <w:sz w:val="21"/>
          <w:szCs w:val="21"/>
          <w:highlight w:val="none"/>
        </w:rPr>
      </w:pPr>
      <w:r>
        <w:rPr>
          <w:rFonts w:hint="eastAsia" w:ascii="宋体" w:hAnsi="宋体" w:cs="仿宋"/>
          <w:b/>
          <w:snapToGrid w:val="0"/>
          <w:color w:val="auto"/>
          <w:sz w:val="21"/>
          <w:szCs w:val="21"/>
          <w:highlight w:val="none"/>
        </w:rPr>
        <w:t>第七条</w:t>
      </w:r>
      <w:r>
        <w:rPr>
          <w:rFonts w:hint="eastAsia" w:ascii="宋体" w:hAnsi="宋体" w:cs="仿宋"/>
          <w:snapToGrid w:val="0"/>
          <w:color w:val="auto"/>
          <w:sz w:val="21"/>
          <w:szCs w:val="21"/>
          <w:highlight w:val="none"/>
        </w:rPr>
        <w:t xml:space="preserve">  本责任书作为本项目服务合同的附件，与项目服务合同具有同等的法律效力，经甲、乙双方签署后生效。</w:t>
      </w:r>
    </w:p>
    <w:p>
      <w:pPr>
        <w:snapToGrid w:val="0"/>
        <w:spacing w:line="400" w:lineRule="exact"/>
        <w:ind w:firstLine="422" w:firstLineChars="200"/>
        <w:jc w:val="left"/>
        <w:rPr>
          <w:rFonts w:hint="eastAsia" w:ascii="宋体" w:hAnsi="宋体" w:cs="仿宋"/>
          <w:snapToGrid w:val="0"/>
          <w:color w:val="auto"/>
          <w:sz w:val="21"/>
          <w:szCs w:val="21"/>
          <w:highlight w:val="none"/>
        </w:rPr>
      </w:pPr>
      <w:r>
        <w:rPr>
          <w:rFonts w:hint="eastAsia" w:ascii="宋体" w:hAnsi="宋体" w:cs="仿宋"/>
          <w:b/>
          <w:snapToGrid w:val="0"/>
          <w:color w:val="auto"/>
          <w:sz w:val="21"/>
          <w:szCs w:val="21"/>
          <w:highlight w:val="none"/>
        </w:rPr>
        <w:t>第八条</w:t>
      </w:r>
      <w:r>
        <w:rPr>
          <w:rFonts w:hint="eastAsia" w:ascii="宋体" w:hAnsi="宋体" w:cs="仿宋"/>
          <w:snapToGrid w:val="0"/>
          <w:color w:val="auto"/>
          <w:sz w:val="21"/>
          <w:szCs w:val="21"/>
          <w:highlight w:val="none"/>
        </w:rPr>
        <w:t xml:space="preserve">  本责任书甲、乙双方各执一份，送交监督单位一份。</w:t>
      </w:r>
    </w:p>
    <w:p>
      <w:pPr>
        <w:snapToGrid w:val="0"/>
        <w:spacing w:line="400" w:lineRule="exact"/>
        <w:ind w:firstLine="420" w:firstLineChars="200"/>
        <w:jc w:val="left"/>
        <w:rPr>
          <w:rFonts w:hint="eastAsia" w:ascii="宋体" w:hAnsi="宋体" w:cs="仿宋"/>
          <w:snapToGrid w:val="0"/>
          <w:color w:val="auto"/>
          <w:sz w:val="21"/>
          <w:szCs w:val="21"/>
          <w:highlight w:val="none"/>
        </w:rPr>
      </w:pPr>
    </w:p>
    <w:p>
      <w:pPr>
        <w:snapToGrid w:val="0"/>
        <w:spacing w:line="400" w:lineRule="exact"/>
        <w:ind w:firstLine="420" w:firstLineChars="200"/>
        <w:jc w:val="left"/>
        <w:rPr>
          <w:rFonts w:hint="eastAsia" w:ascii="宋体" w:hAnsi="宋体" w:cs="仿宋"/>
          <w:snapToGrid w:val="0"/>
          <w:color w:val="auto"/>
          <w:sz w:val="21"/>
          <w:szCs w:val="21"/>
          <w:highlight w:val="none"/>
        </w:rPr>
      </w:pPr>
    </w:p>
    <w:p>
      <w:pPr>
        <w:snapToGrid w:val="0"/>
        <w:spacing w:line="400" w:lineRule="exact"/>
        <w:jc w:val="left"/>
        <w:rPr>
          <w:rFonts w:hint="eastAsia" w:ascii="宋体" w:hAnsi="宋体" w:cs="仿宋"/>
          <w:snapToGrid w:val="0"/>
          <w:color w:val="auto"/>
          <w:sz w:val="21"/>
          <w:szCs w:val="21"/>
          <w:highlight w:val="none"/>
        </w:rPr>
      </w:pPr>
      <w:r>
        <w:rPr>
          <w:rFonts w:hint="eastAsia" w:ascii="宋体" w:hAnsi="宋体" w:cs="仿宋"/>
          <w:snapToGrid w:val="0"/>
          <w:color w:val="auto"/>
          <w:sz w:val="21"/>
          <w:szCs w:val="21"/>
          <w:highlight w:val="none"/>
        </w:rPr>
        <w:t>甲方单位：   （盖章）                  乙方单位：   （盖章）</w:t>
      </w:r>
    </w:p>
    <w:p>
      <w:pPr>
        <w:snapToGrid w:val="0"/>
        <w:spacing w:line="400" w:lineRule="exact"/>
        <w:ind w:firstLine="420" w:firstLineChars="200"/>
        <w:jc w:val="left"/>
        <w:rPr>
          <w:rFonts w:hint="eastAsia" w:ascii="宋体" w:hAnsi="宋体" w:cs="仿宋"/>
          <w:snapToGrid w:val="0"/>
          <w:color w:val="auto"/>
          <w:sz w:val="21"/>
          <w:szCs w:val="21"/>
          <w:highlight w:val="none"/>
        </w:rPr>
      </w:pPr>
    </w:p>
    <w:p>
      <w:pPr>
        <w:snapToGrid w:val="0"/>
        <w:spacing w:line="400" w:lineRule="exact"/>
        <w:jc w:val="left"/>
        <w:rPr>
          <w:rFonts w:hint="eastAsia" w:ascii="宋体" w:hAnsi="宋体" w:cs="仿宋"/>
          <w:snapToGrid w:val="0"/>
          <w:color w:val="auto"/>
          <w:sz w:val="21"/>
          <w:szCs w:val="21"/>
          <w:highlight w:val="none"/>
        </w:rPr>
      </w:pPr>
      <w:r>
        <w:rPr>
          <w:rFonts w:hint="eastAsia" w:ascii="宋体" w:hAnsi="宋体" w:cs="仿宋"/>
          <w:snapToGrid w:val="0"/>
          <w:color w:val="auto"/>
          <w:sz w:val="21"/>
          <w:szCs w:val="21"/>
          <w:highlight w:val="none"/>
        </w:rPr>
        <w:t>代 表 人：                               代 表 人：</w:t>
      </w:r>
    </w:p>
    <w:p>
      <w:pPr>
        <w:tabs>
          <w:tab w:val="left" w:pos="6300"/>
        </w:tabs>
        <w:spacing w:line="400" w:lineRule="exact"/>
        <w:ind w:firstLine="3150" w:firstLineChars="1500"/>
        <w:jc w:val="left"/>
        <w:rPr>
          <w:rFonts w:hint="eastAsia" w:ascii="宋体" w:hAnsi="宋体" w:cs="仿宋"/>
          <w:snapToGrid w:val="0"/>
          <w:color w:val="auto"/>
          <w:sz w:val="21"/>
          <w:szCs w:val="21"/>
          <w:highlight w:val="none"/>
        </w:rPr>
      </w:pPr>
      <w:bookmarkStart w:id="481" w:name="_Toc55455449"/>
    </w:p>
    <w:p>
      <w:pPr>
        <w:pStyle w:val="2"/>
        <w:spacing w:after="0" w:line="400" w:lineRule="exact"/>
        <w:ind w:firstLine="210"/>
        <w:jc w:val="left"/>
        <w:rPr>
          <w:rFonts w:hint="eastAsia" w:ascii="宋体" w:hAnsi="宋体"/>
          <w:color w:val="auto"/>
          <w:sz w:val="21"/>
          <w:szCs w:val="21"/>
          <w:highlight w:val="none"/>
        </w:rPr>
      </w:pPr>
    </w:p>
    <w:p>
      <w:pPr>
        <w:pStyle w:val="52"/>
        <w:spacing w:line="400" w:lineRule="exact"/>
        <w:ind w:firstLine="281"/>
        <w:rPr>
          <w:rFonts w:ascii="宋体" w:hAnsi="宋体" w:cs="仿宋"/>
          <w:snapToGrid w:val="0"/>
          <w:color w:val="auto"/>
          <w:szCs w:val="21"/>
          <w:highlight w:val="none"/>
        </w:rPr>
      </w:pPr>
      <w:r>
        <w:rPr>
          <w:rFonts w:hint="eastAsia" w:ascii="宋体" w:hAnsi="宋体" w:cs="仿宋"/>
          <w:snapToGrid w:val="0"/>
          <w:color w:val="auto"/>
          <w:szCs w:val="21"/>
          <w:highlight w:val="none"/>
        </w:rPr>
        <w:t>2022年  月  日</w:t>
      </w:r>
      <w:bookmarkEnd w:id="481"/>
      <w:r>
        <w:rPr>
          <w:rFonts w:hint="eastAsia" w:ascii="宋体" w:hAnsi="宋体" w:cs="仿宋"/>
          <w:snapToGrid w:val="0"/>
          <w:color w:val="auto"/>
          <w:szCs w:val="21"/>
          <w:highlight w:val="none"/>
        </w:rPr>
        <w:t xml:space="preserve">    </w:t>
      </w:r>
    </w:p>
    <w:p>
      <w:pPr>
        <w:pStyle w:val="2"/>
        <w:ind w:firstLine="280"/>
        <w:rPr>
          <w:rFonts w:ascii="宋体" w:hAnsi="宋体" w:cs="Arial"/>
          <w:b/>
          <w:color w:val="auto"/>
          <w:szCs w:val="21"/>
          <w:highlight w:val="none"/>
        </w:rPr>
      </w:pPr>
      <w:r>
        <w:rPr>
          <w:snapToGrid w:val="0"/>
          <w:color w:val="auto"/>
          <w:highlight w:val="none"/>
        </w:rPr>
        <w:br w:type="page"/>
      </w:r>
      <w:r>
        <w:rPr>
          <w:rFonts w:ascii="宋体" w:hAnsi="宋体" w:cs="Arial"/>
          <w:b/>
          <w:color w:val="auto"/>
          <w:sz w:val="21"/>
          <w:szCs w:val="21"/>
          <w:highlight w:val="none"/>
        </w:rPr>
        <w:t>附件：</w:t>
      </w:r>
    </w:p>
    <w:p>
      <w:pPr>
        <w:spacing w:line="400" w:lineRule="exact"/>
        <w:jc w:val="center"/>
        <w:outlineLvl w:val="3"/>
        <w:rPr>
          <w:rStyle w:val="139"/>
          <w:color w:val="auto"/>
          <w:highlight w:val="none"/>
        </w:rPr>
      </w:pPr>
      <w:r>
        <w:rPr>
          <w:rStyle w:val="139"/>
          <w:color w:val="auto"/>
          <w:highlight w:val="none"/>
        </w:rPr>
        <w:t>环卫作业质量考核办法</w:t>
      </w:r>
    </w:p>
    <w:p>
      <w:pPr>
        <w:spacing w:line="400" w:lineRule="exact"/>
        <w:jc w:val="left"/>
        <w:rPr>
          <w:rFonts w:ascii="宋体" w:hAnsi="宋体" w:cs="Arial"/>
          <w:color w:val="auto"/>
          <w:sz w:val="21"/>
          <w:szCs w:val="21"/>
          <w:highlight w:val="none"/>
        </w:rPr>
      </w:pPr>
    </w:p>
    <w:p>
      <w:pPr>
        <w:spacing w:line="400" w:lineRule="exact"/>
        <w:ind w:firstLine="420" w:firstLineChars="200"/>
        <w:jc w:val="left"/>
        <w:rPr>
          <w:rFonts w:hint="eastAsia" w:ascii="宋体" w:hAnsi="宋体" w:cs="Arial"/>
          <w:color w:val="auto"/>
          <w:sz w:val="21"/>
          <w:szCs w:val="21"/>
          <w:highlight w:val="none"/>
        </w:rPr>
      </w:pPr>
      <w:r>
        <w:rPr>
          <w:rFonts w:hint="eastAsia" w:ascii="宋体" w:hAnsi="宋体" w:cs="Arial"/>
          <w:color w:val="auto"/>
          <w:sz w:val="21"/>
          <w:szCs w:val="21"/>
          <w:highlight w:val="none"/>
        </w:rPr>
        <w:t>为进一步提高城区环境卫生建设和管理水平，改善市容环境卫生面貌，营造整洁、有序、美观的城乡环境，加强环卫作业监管，建立长效管理机制，现结合实际，特制定本办法。如区级出台新的考核办法，则按区级考核办法为准。</w:t>
      </w:r>
    </w:p>
    <w:p>
      <w:pPr>
        <w:spacing w:line="400" w:lineRule="exact"/>
        <w:ind w:firstLine="420" w:firstLineChars="200"/>
        <w:jc w:val="left"/>
        <w:rPr>
          <w:rFonts w:hint="eastAsia" w:ascii="宋体" w:hAnsi="宋体" w:cs="Arial"/>
          <w:color w:val="auto"/>
          <w:sz w:val="21"/>
          <w:szCs w:val="21"/>
          <w:highlight w:val="none"/>
        </w:rPr>
      </w:pPr>
      <w:r>
        <w:rPr>
          <w:rFonts w:hint="eastAsia" w:ascii="宋体" w:hAnsi="宋体" w:cs="Arial"/>
          <w:color w:val="auto"/>
          <w:sz w:val="21"/>
          <w:szCs w:val="21"/>
          <w:highlight w:val="none"/>
        </w:rPr>
        <w:t>一、考核对象</w:t>
      </w:r>
    </w:p>
    <w:p>
      <w:pPr>
        <w:spacing w:line="400" w:lineRule="exact"/>
        <w:ind w:firstLine="420" w:firstLineChars="200"/>
        <w:jc w:val="left"/>
        <w:rPr>
          <w:rFonts w:hint="eastAsia" w:ascii="宋体" w:hAnsi="宋体" w:cs="Arial"/>
          <w:color w:val="auto"/>
          <w:sz w:val="21"/>
          <w:szCs w:val="21"/>
          <w:highlight w:val="none"/>
        </w:rPr>
      </w:pPr>
      <w:r>
        <w:rPr>
          <w:rFonts w:hint="eastAsia" w:ascii="宋体" w:hAnsi="宋体" w:cs="Arial"/>
          <w:color w:val="auto"/>
          <w:sz w:val="21"/>
          <w:szCs w:val="21"/>
          <w:highlight w:val="none"/>
        </w:rPr>
        <w:t>各街道环卫一体化项目的中标单位。</w:t>
      </w:r>
    </w:p>
    <w:p>
      <w:pPr>
        <w:spacing w:line="400" w:lineRule="exact"/>
        <w:ind w:firstLine="420" w:firstLineChars="200"/>
        <w:jc w:val="left"/>
        <w:rPr>
          <w:rFonts w:hint="eastAsia" w:ascii="宋体" w:hAnsi="宋体" w:cs="Arial"/>
          <w:color w:val="auto"/>
          <w:sz w:val="21"/>
          <w:szCs w:val="21"/>
          <w:highlight w:val="none"/>
        </w:rPr>
      </w:pPr>
      <w:r>
        <w:rPr>
          <w:rFonts w:hint="eastAsia" w:ascii="宋体" w:hAnsi="宋体" w:cs="Arial"/>
          <w:color w:val="auto"/>
          <w:sz w:val="21"/>
          <w:szCs w:val="21"/>
          <w:highlight w:val="none"/>
        </w:rPr>
        <w:t>二、考核内容</w:t>
      </w:r>
    </w:p>
    <w:p>
      <w:pPr>
        <w:spacing w:line="400" w:lineRule="exact"/>
        <w:ind w:firstLine="420" w:firstLineChars="200"/>
        <w:jc w:val="left"/>
        <w:rPr>
          <w:rFonts w:hint="eastAsia" w:ascii="宋体" w:hAnsi="宋体" w:cs="Arial"/>
          <w:color w:val="auto"/>
          <w:sz w:val="21"/>
          <w:szCs w:val="21"/>
          <w:highlight w:val="none"/>
        </w:rPr>
      </w:pPr>
      <w:r>
        <w:rPr>
          <w:rFonts w:hint="eastAsia" w:ascii="宋体" w:hAnsi="宋体" w:cs="Arial"/>
          <w:color w:val="auto"/>
          <w:sz w:val="21"/>
          <w:szCs w:val="21"/>
          <w:highlight w:val="none"/>
        </w:rPr>
        <w:t>考核区域内承包公司日常保洁情况和规范作业，具体内容如下：</w:t>
      </w:r>
    </w:p>
    <w:p>
      <w:pPr>
        <w:spacing w:line="400" w:lineRule="exact"/>
        <w:ind w:firstLine="420" w:firstLineChars="200"/>
        <w:jc w:val="left"/>
        <w:rPr>
          <w:rFonts w:hint="eastAsia" w:ascii="宋体" w:hAnsi="宋体" w:cs="Arial"/>
          <w:color w:val="auto"/>
          <w:sz w:val="21"/>
          <w:szCs w:val="21"/>
          <w:highlight w:val="none"/>
        </w:rPr>
      </w:pPr>
      <w:r>
        <w:rPr>
          <w:rFonts w:hint="eastAsia" w:ascii="宋体" w:hAnsi="宋体" w:cs="Arial"/>
          <w:color w:val="auto"/>
          <w:sz w:val="21"/>
          <w:szCs w:val="21"/>
          <w:highlight w:val="none"/>
        </w:rPr>
        <w:t>（一）城区道路清扫保洁，包括一至四级道路、通村道路、开放小区及村庄内道路和背街小巷等清扫保洁。</w:t>
      </w:r>
    </w:p>
    <w:p>
      <w:pPr>
        <w:spacing w:line="400" w:lineRule="exact"/>
        <w:ind w:firstLine="420" w:firstLineChars="200"/>
        <w:jc w:val="left"/>
        <w:rPr>
          <w:rFonts w:hint="eastAsia" w:ascii="宋体" w:hAnsi="宋体" w:cs="Arial"/>
          <w:color w:val="auto"/>
          <w:sz w:val="21"/>
          <w:szCs w:val="21"/>
          <w:highlight w:val="none"/>
        </w:rPr>
      </w:pPr>
      <w:r>
        <w:rPr>
          <w:rFonts w:hint="eastAsia" w:ascii="宋体" w:hAnsi="宋体" w:cs="Arial"/>
          <w:color w:val="auto"/>
          <w:sz w:val="21"/>
          <w:szCs w:val="21"/>
          <w:highlight w:val="none"/>
        </w:rPr>
        <w:t>（二）公路清扫保洁（含隧道及墙壁保洁），包括国道、省道等清扫保洁。</w:t>
      </w:r>
    </w:p>
    <w:p>
      <w:pPr>
        <w:spacing w:line="400" w:lineRule="exact"/>
        <w:ind w:firstLine="420" w:firstLineChars="200"/>
        <w:jc w:val="left"/>
        <w:rPr>
          <w:rFonts w:hint="eastAsia" w:ascii="宋体" w:hAnsi="宋体" w:cs="Arial"/>
          <w:color w:val="auto"/>
          <w:sz w:val="21"/>
          <w:szCs w:val="21"/>
          <w:highlight w:val="none"/>
        </w:rPr>
      </w:pPr>
      <w:r>
        <w:rPr>
          <w:rFonts w:hint="eastAsia" w:ascii="宋体" w:hAnsi="宋体" w:cs="Arial"/>
          <w:color w:val="auto"/>
          <w:sz w:val="21"/>
          <w:szCs w:val="21"/>
          <w:highlight w:val="none"/>
        </w:rPr>
        <w:t>（三）园林绿化保洁，包括公园广场、公共绿地、城市道路绿化带等保洁。</w:t>
      </w:r>
    </w:p>
    <w:p>
      <w:pPr>
        <w:spacing w:line="400" w:lineRule="exact"/>
        <w:ind w:firstLine="420" w:firstLineChars="200"/>
        <w:jc w:val="left"/>
        <w:rPr>
          <w:rFonts w:hint="eastAsia" w:ascii="宋体" w:hAnsi="宋体" w:cs="Arial"/>
          <w:color w:val="auto"/>
          <w:sz w:val="21"/>
          <w:szCs w:val="21"/>
          <w:highlight w:val="none"/>
        </w:rPr>
      </w:pPr>
      <w:r>
        <w:rPr>
          <w:rFonts w:hint="eastAsia" w:ascii="宋体" w:hAnsi="宋体" w:cs="Arial"/>
          <w:color w:val="auto"/>
          <w:sz w:val="21"/>
          <w:szCs w:val="21"/>
          <w:highlight w:val="none"/>
        </w:rPr>
        <w:t>（四）河道保洁，包括各级河道、湖泊、水库、池塘、沟渠、小微水体等保洁。</w:t>
      </w:r>
    </w:p>
    <w:p>
      <w:pPr>
        <w:spacing w:line="400" w:lineRule="exact"/>
        <w:ind w:firstLine="420" w:firstLineChars="200"/>
        <w:jc w:val="left"/>
        <w:rPr>
          <w:rFonts w:hint="eastAsia" w:ascii="宋体" w:hAnsi="宋体" w:cs="Arial"/>
          <w:color w:val="auto"/>
          <w:sz w:val="21"/>
          <w:szCs w:val="21"/>
          <w:highlight w:val="none"/>
        </w:rPr>
      </w:pPr>
      <w:r>
        <w:rPr>
          <w:rFonts w:hint="eastAsia" w:ascii="宋体" w:hAnsi="宋体" w:cs="Arial"/>
          <w:color w:val="auto"/>
          <w:sz w:val="21"/>
          <w:szCs w:val="21"/>
          <w:highlight w:val="none"/>
        </w:rPr>
        <w:t>（五）市政设施（城市家具）保洁，包括道路（含公路、桥梁）护栏、隔离栏、电杆、监控杆、弱电设施等一切公共室外市政设施保洁，环卫设施（含垃圾桶、果壳箱等）、公交站台（除已有维养单位外）、站牌、灯箱、广告牌、报刊（信息）亭、电话亭、邮政信箱、固定室外座椅等一切城市家具保洁。</w:t>
      </w:r>
    </w:p>
    <w:p>
      <w:pPr>
        <w:spacing w:line="400" w:lineRule="exact"/>
        <w:ind w:firstLine="420" w:firstLineChars="200"/>
        <w:jc w:val="left"/>
        <w:rPr>
          <w:rFonts w:hint="eastAsia" w:ascii="宋体" w:hAnsi="宋体" w:cs="Arial"/>
          <w:color w:val="auto"/>
          <w:sz w:val="21"/>
          <w:szCs w:val="21"/>
          <w:highlight w:val="none"/>
        </w:rPr>
      </w:pPr>
      <w:r>
        <w:rPr>
          <w:rFonts w:hint="eastAsia" w:ascii="宋体" w:hAnsi="宋体" w:cs="Arial"/>
          <w:color w:val="auto"/>
          <w:sz w:val="21"/>
          <w:szCs w:val="21"/>
          <w:highlight w:val="none"/>
        </w:rPr>
        <w:t>（六）无主建筑垃圾清理，包括无主装修垃圾，废弃家具，废弃农具的清理。</w:t>
      </w:r>
    </w:p>
    <w:p>
      <w:pPr>
        <w:spacing w:line="400" w:lineRule="exact"/>
        <w:ind w:firstLine="420" w:firstLineChars="200"/>
        <w:jc w:val="left"/>
        <w:rPr>
          <w:rFonts w:hint="eastAsia" w:ascii="宋体" w:hAnsi="宋体" w:cs="Arial"/>
          <w:color w:val="auto"/>
          <w:sz w:val="21"/>
          <w:szCs w:val="21"/>
          <w:highlight w:val="none"/>
        </w:rPr>
      </w:pPr>
      <w:r>
        <w:rPr>
          <w:rFonts w:hint="eastAsia" w:ascii="宋体" w:hAnsi="宋体" w:cs="Arial"/>
          <w:color w:val="auto"/>
          <w:sz w:val="21"/>
          <w:szCs w:val="21"/>
          <w:highlight w:val="none"/>
        </w:rPr>
        <w:t>（七）公厕保洁与管理。</w:t>
      </w:r>
    </w:p>
    <w:p>
      <w:pPr>
        <w:spacing w:line="400" w:lineRule="exact"/>
        <w:ind w:firstLine="420" w:firstLineChars="200"/>
        <w:jc w:val="left"/>
        <w:rPr>
          <w:rFonts w:hint="eastAsia" w:ascii="宋体" w:hAnsi="宋体" w:cs="Arial"/>
          <w:color w:val="auto"/>
          <w:sz w:val="21"/>
          <w:szCs w:val="21"/>
          <w:highlight w:val="none"/>
        </w:rPr>
      </w:pPr>
      <w:r>
        <w:rPr>
          <w:rFonts w:hint="eastAsia" w:ascii="宋体" w:hAnsi="宋体" w:cs="Arial"/>
          <w:color w:val="auto"/>
          <w:sz w:val="21"/>
          <w:szCs w:val="21"/>
          <w:highlight w:val="none"/>
        </w:rPr>
        <w:t>（八）小广告治理，包括道路、公园、广场、公厕、道路两侧构筑物、建筑物、道路辅助设施、市政（家具）设施上可见的小广告、非法喷涂广告。</w:t>
      </w:r>
    </w:p>
    <w:p>
      <w:pPr>
        <w:spacing w:line="400" w:lineRule="exact"/>
        <w:ind w:firstLine="420" w:firstLineChars="200"/>
        <w:jc w:val="left"/>
        <w:rPr>
          <w:rFonts w:hint="eastAsia" w:ascii="宋体" w:hAnsi="宋体" w:cs="Arial"/>
          <w:color w:val="auto"/>
          <w:sz w:val="21"/>
          <w:szCs w:val="21"/>
          <w:highlight w:val="none"/>
        </w:rPr>
      </w:pPr>
      <w:r>
        <w:rPr>
          <w:rFonts w:hint="eastAsia" w:ascii="宋体" w:hAnsi="宋体" w:cs="Arial"/>
          <w:color w:val="auto"/>
          <w:sz w:val="21"/>
          <w:szCs w:val="21"/>
          <w:highlight w:val="none"/>
        </w:rPr>
        <w:t>（九）结合智慧平台实时监控情况，现场核查环卫保洁人员出勤率、机械作业到位率和作业频次等情况。</w:t>
      </w:r>
    </w:p>
    <w:p>
      <w:pPr>
        <w:spacing w:line="400" w:lineRule="exact"/>
        <w:ind w:firstLine="420" w:firstLineChars="200"/>
        <w:jc w:val="left"/>
        <w:rPr>
          <w:rFonts w:hint="eastAsia" w:ascii="宋体" w:hAnsi="宋体" w:cs="Arial"/>
          <w:color w:val="auto"/>
          <w:sz w:val="21"/>
          <w:szCs w:val="21"/>
          <w:highlight w:val="none"/>
        </w:rPr>
      </w:pPr>
      <w:r>
        <w:rPr>
          <w:rFonts w:hint="eastAsia" w:ascii="宋体" w:hAnsi="宋体" w:cs="Arial"/>
          <w:color w:val="auto"/>
          <w:sz w:val="21"/>
          <w:szCs w:val="21"/>
          <w:highlight w:val="none"/>
        </w:rPr>
        <w:t>（十）公司内部管理和环卫作业安全生产。</w:t>
      </w:r>
    </w:p>
    <w:p>
      <w:pPr>
        <w:spacing w:line="400" w:lineRule="exact"/>
        <w:ind w:firstLine="420" w:firstLineChars="200"/>
        <w:jc w:val="left"/>
        <w:rPr>
          <w:rFonts w:ascii="宋体" w:hAnsi="宋体" w:cs="Arial"/>
          <w:color w:val="auto"/>
          <w:sz w:val="21"/>
          <w:szCs w:val="21"/>
          <w:highlight w:val="none"/>
        </w:rPr>
      </w:pPr>
      <w:r>
        <w:rPr>
          <w:rFonts w:hint="eastAsia" w:ascii="宋体" w:hAnsi="宋体" w:cs="Arial"/>
          <w:color w:val="auto"/>
          <w:sz w:val="21"/>
          <w:szCs w:val="21"/>
          <w:highlight w:val="none"/>
        </w:rPr>
        <w:t>（十一）招标文件规定内容及区域内其他环境卫生问题</w:t>
      </w:r>
      <w:r>
        <w:rPr>
          <w:rFonts w:ascii="宋体" w:hAnsi="宋体" w:cs="Arial"/>
          <w:color w:val="auto"/>
          <w:sz w:val="21"/>
          <w:szCs w:val="21"/>
          <w:highlight w:val="none"/>
        </w:rPr>
        <w:t>。</w:t>
      </w:r>
    </w:p>
    <w:p>
      <w:pPr>
        <w:tabs>
          <w:tab w:val="left" w:pos="2129"/>
        </w:tabs>
        <w:spacing w:line="400" w:lineRule="exact"/>
        <w:ind w:firstLine="420" w:firstLineChars="200"/>
        <w:jc w:val="left"/>
        <w:rPr>
          <w:rFonts w:ascii="宋体" w:hAnsi="宋体" w:cs="Arial"/>
          <w:color w:val="auto"/>
          <w:sz w:val="21"/>
          <w:szCs w:val="21"/>
          <w:highlight w:val="none"/>
        </w:rPr>
      </w:pPr>
      <w:r>
        <w:rPr>
          <w:rFonts w:ascii="宋体" w:hAnsi="宋体" w:cs="Arial"/>
          <w:color w:val="auto"/>
          <w:sz w:val="21"/>
          <w:szCs w:val="21"/>
          <w:highlight w:val="none"/>
        </w:rPr>
        <w:t>三、考核方式</w:t>
      </w:r>
      <w:r>
        <w:rPr>
          <w:rFonts w:ascii="宋体" w:hAnsi="宋体" w:cs="Arial"/>
          <w:color w:val="auto"/>
          <w:sz w:val="21"/>
          <w:szCs w:val="21"/>
          <w:highlight w:val="none"/>
        </w:rPr>
        <w:tab/>
      </w:r>
    </w:p>
    <w:p>
      <w:pPr>
        <w:spacing w:line="400" w:lineRule="exact"/>
        <w:ind w:firstLine="420" w:firstLineChars="200"/>
        <w:jc w:val="left"/>
        <w:rPr>
          <w:rFonts w:hint="eastAsia" w:ascii="宋体" w:hAnsi="宋体" w:cs="Arial"/>
          <w:color w:val="auto"/>
          <w:sz w:val="21"/>
          <w:szCs w:val="21"/>
          <w:highlight w:val="none"/>
        </w:rPr>
      </w:pPr>
      <w:r>
        <w:rPr>
          <w:rFonts w:hint="eastAsia" w:ascii="宋体" w:hAnsi="宋体" w:cs="Arial"/>
          <w:color w:val="auto"/>
          <w:sz w:val="21"/>
          <w:szCs w:val="21"/>
          <w:highlight w:val="none"/>
        </w:rPr>
        <w:t>3.1常规考核：</w:t>
      </w:r>
    </w:p>
    <w:p>
      <w:pPr>
        <w:spacing w:line="400" w:lineRule="exact"/>
        <w:ind w:firstLine="420" w:firstLineChars="200"/>
        <w:jc w:val="left"/>
        <w:rPr>
          <w:rFonts w:hint="eastAsia" w:ascii="宋体" w:hAnsi="宋体" w:cs="Arial"/>
          <w:color w:val="auto"/>
          <w:sz w:val="21"/>
          <w:szCs w:val="21"/>
          <w:highlight w:val="none"/>
        </w:rPr>
      </w:pPr>
      <w:r>
        <w:rPr>
          <w:rFonts w:hint="eastAsia" w:ascii="宋体" w:hAnsi="宋体" w:cs="Arial"/>
          <w:color w:val="auto"/>
          <w:sz w:val="21"/>
          <w:szCs w:val="21"/>
          <w:highlight w:val="none"/>
        </w:rPr>
        <w:t>环卫一体化质量考核由街道和区综合行政执法局共同承担，月度综合考核结果比重各占50%。</w:t>
      </w:r>
    </w:p>
    <w:p>
      <w:pPr>
        <w:spacing w:line="400" w:lineRule="exact"/>
        <w:ind w:firstLine="420" w:firstLineChars="200"/>
        <w:jc w:val="left"/>
        <w:rPr>
          <w:rFonts w:hint="eastAsia" w:ascii="宋体" w:hAnsi="宋体" w:cs="Arial"/>
          <w:color w:val="auto"/>
          <w:sz w:val="21"/>
          <w:szCs w:val="21"/>
          <w:highlight w:val="none"/>
        </w:rPr>
      </w:pPr>
      <w:r>
        <w:rPr>
          <w:rFonts w:hint="eastAsia" w:ascii="宋体" w:hAnsi="宋体" w:cs="Arial"/>
          <w:color w:val="auto"/>
          <w:sz w:val="21"/>
          <w:szCs w:val="21"/>
          <w:highlight w:val="none"/>
        </w:rPr>
        <w:t>月度考核采取单项考核按权重确定综合得分，综合得分满分为100分。道路（含村居道路、背街小巷、附属绿化）、公厕、河道各单项考核分均为100分，各权重分别为：道路70%、公厕20%、河道10%。</w:t>
      </w:r>
    </w:p>
    <w:p>
      <w:pPr>
        <w:spacing w:line="400" w:lineRule="exact"/>
        <w:ind w:firstLine="420" w:firstLineChars="200"/>
        <w:jc w:val="left"/>
        <w:rPr>
          <w:rFonts w:hint="eastAsia" w:ascii="宋体" w:hAnsi="宋体" w:cs="Arial"/>
          <w:color w:val="auto"/>
          <w:sz w:val="21"/>
          <w:szCs w:val="21"/>
          <w:highlight w:val="none"/>
        </w:rPr>
      </w:pPr>
      <w:r>
        <w:rPr>
          <w:rFonts w:hint="eastAsia" w:ascii="宋体" w:hAnsi="宋体" w:cs="Arial"/>
          <w:color w:val="auto"/>
          <w:sz w:val="21"/>
          <w:szCs w:val="21"/>
          <w:highlight w:val="none"/>
        </w:rPr>
        <w:t>月综合考核分=道路考核得分×70%+公厕考核得分×20%+河道考核得分×10%。月综合考核达标分为85分。月度综合考核分不达标的，每下降1分扣除当月保洁经费的1%。如连续2个月或12个月内累计3个月考核成绩低于70分，采购人有权单方面解除合同。</w:t>
      </w:r>
    </w:p>
    <w:p>
      <w:pPr>
        <w:spacing w:line="400" w:lineRule="exact"/>
        <w:ind w:firstLine="420" w:firstLineChars="200"/>
        <w:jc w:val="left"/>
        <w:rPr>
          <w:rFonts w:hint="eastAsia" w:ascii="宋体" w:hAnsi="宋体" w:cs="Arial"/>
          <w:color w:val="auto"/>
          <w:sz w:val="21"/>
          <w:szCs w:val="21"/>
          <w:highlight w:val="none"/>
        </w:rPr>
      </w:pPr>
      <w:r>
        <w:rPr>
          <w:rFonts w:hint="eastAsia" w:ascii="宋体" w:hAnsi="宋体" w:cs="Arial"/>
          <w:color w:val="auto"/>
          <w:sz w:val="21"/>
          <w:szCs w:val="21"/>
          <w:highlight w:val="none"/>
        </w:rPr>
        <w:t>3.2日常管理（由街道负责执行）：</w:t>
      </w:r>
    </w:p>
    <w:p>
      <w:pPr>
        <w:spacing w:line="400" w:lineRule="exact"/>
        <w:ind w:firstLine="420" w:firstLineChars="200"/>
        <w:jc w:val="left"/>
        <w:rPr>
          <w:rFonts w:hint="eastAsia" w:ascii="宋体" w:hAnsi="宋体" w:cs="Arial"/>
          <w:color w:val="auto"/>
          <w:sz w:val="21"/>
          <w:szCs w:val="21"/>
          <w:highlight w:val="none"/>
        </w:rPr>
      </w:pPr>
      <w:r>
        <w:rPr>
          <w:rFonts w:hint="eastAsia" w:ascii="宋体" w:hAnsi="宋体" w:cs="Arial"/>
          <w:color w:val="auto"/>
          <w:sz w:val="21"/>
          <w:szCs w:val="21"/>
          <w:highlight w:val="none"/>
        </w:rPr>
        <w:t>（1）在区级重大活动和突发事件、检查调研工作中保障不力的，每发生一次扣5000元；在市级重大活动和突发事件、检查调研中保障不力的，每发生一次扣10000元；在省级重大活动和突发事件、检查调研中保障不力，每发生一次扣20000元；在国家级重大活动和突发事件、检查中保障调研不力，每发生一次扣50000元，在当月拨款中扣除。</w:t>
      </w:r>
    </w:p>
    <w:p>
      <w:pPr>
        <w:spacing w:line="400" w:lineRule="exact"/>
        <w:ind w:firstLine="420" w:firstLineChars="200"/>
        <w:jc w:val="left"/>
        <w:rPr>
          <w:rFonts w:hint="eastAsia" w:ascii="宋体" w:hAnsi="宋体" w:cs="Arial"/>
          <w:color w:val="auto"/>
          <w:sz w:val="21"/>
          <w:szCs w:val="21"/>
          <w:highlight w:val="none"/>
        </w:rPr>
      </w:pPr>
      <w:r>
        <w:rPr>
          <w:rFonts w:hint="eastAsia" w:ascii="宋体" w:hAnsi="宋体" w:cs="Arial"/>
          <w:color w:val="auto"/>
          <w:sz w:val="21"/>
          <w:szCs w:val="21"/>
          <w:highlight w:val="none"/>
        </w:rPr>
        <w:t>（2）现场检查发现机动车辆、船只未经允许更换车辆、船只，一经发现核实，每车（船）每次扣20000元人民币。月度机械冲洗、洒水、清扫等作业里程数低于85%的，每少1%扣5000元。</w:t>
      </w:r>
    </w:p>
    <w:p>
      <w:pPr>
        <w:spacing w:line="400" w:lineRule="exact"/>
        <w:ind w:firstLine="420" w:firstLineChars="200"/>
        <w:jc w:val="left"/>
        <w:rPr>
          <w:rFonts w:hint="eastAsia" w:ascii="宋体" w:hAnsi="宋体" w:cs="Arial"/>
          <w:color w:val="auto"/>
          <w:sz w:val="21"/>
          <w:szCs w:val="21"/>
          <w:highlight w:val="none"/>
        </w:rPr>
      </w:pPr>
      <w:r>
        <w:rPr>
          <w:rFonts w:hint="eastAsia" w:ascii="宋体" w:hAnsi="宋体" w:cs="Arial"/>
          <w:color w:val="auto"/>
          <w:sz w:val="21"/>
          <w:szCs w:val="21"/>
          <w:highlight w:val="none"/>
        </w:rPr>
        <w:t>（3）环卫作业日常考核发现问题要求30分钟内整改到到位，处理难度大的可向业主申请具体整改时限。</w:t>
      </w:r>
    </w:p>
    <w:p>
      <w:pPr>
        <w:spacing w:line="400" w:lineRule="exact"/>
        <w:ind w:firstLine="420" w:firstLineChars="200"/>
        <w:jc w:val="left"/>
        <w:rPr>
          <w:rFonts w:hint="eastAsia" w:ascii="宋体" w:hAnsi="宋体" w:cs="Arial"/>
          <w:color w:val="auto"/>
          <w:sz w:val="21"/>
          <w:szCs w:val="21"/>
          <w:highlight w:val="none"/>
        </w:rPr>
      </w:pPr>
      <w:r>
        <w:rPr>
          <w:rFonts w:hint="eastAsia" w:ascii="宋体" w:hAnsi="宋体" w:cs="Arial"/>
          <w:color w:val="auto"/>
          <w:sz w:val="21"/>
          <w:szCs w:val="21"/>
          <w:highlight w:val="none"/>
        </w:rPr>
        <w:t>（4）项目进场前及合同在履约期内，果壳箱、垃圾桶有油漆掉落、损坏、破损等，供应商应及时更换维修，更换后的垃圾桶及果壳箱应符合垃圾分类的标准。垃圾桶需要维修更换的，未能在24小时内完成维修更换工作，</w:t>
      </w:r>
      <w:r>
        <w:rPr>
          <w:rFonts w:hint="eastAsia" w:ascii="宋体" w:hAnsi="宋体" w:cs="Arial"/>
          <w:color w:val="auto"/>
          <w:sz w:val="21"/>
          <w:szCs w:val="21"/>
          <w:highlight w:val="none"/>
          <w:lang w:eastAsia="zh-CN"/>
        </w:rPr>
        <w:t>瑶溪街道</w:t>
      </w:r>
      <w:r>
        <w:rPr>
          <w:rFonts w:hint="eastAsia" w:ascii="宋体" w:hAnsi="宋体" w:cs="Arial"/>
          <w:color w:val="auto"/>
          <w:sz w:val="21"/>
          <w:szCs w:val="21"/>
          <w:highlight w:val="none"/>
        </w:rPr>
        <w:t>将代为更换维修，并从当期的保洁款中按500元/垃圾桶直接扣除。新增投入使用道路果壳箱由</w:t>
      </w:r>
      <w:r>
        <w:rPr>
          <w:rFonts w:hint="eastAsia" w:ascii="宋体" w:hAnsi="宋体" w:cs="Arial"/>
          <w:color w:val="auto"/>
          <w:sz w:val="21"/>
          <w:szCs w:val="21"/>
          <w:highlight w:val="none"/>
          <w:lang w:eastAsia="zh-CN"/>
        </w:rPr>
        <w:t>瑶溪街道</w:t>
      </w:r>
      <w:r>
        <w:rPr>
          <w:rFonts w:hint="eastAsia" w:ascii="宋体" w:hAnsi="宋体" w:cs="Arial"/>
          <w:color w:val="auto"/>
          <w:sz w:val="21"/>
          <w:szCs w:val="21"/>
          <w:highlight w:val="none"/>
        </w:rPr>
        <w:t>配置。</w:t>
      </w:r>
    </w:p>
    <w:p>
      <w:pPr>
        <w:spacing w:line="400" w:lineRule="exact"/>
        <w:ind w:firstLine="420" w:firstLineChars="200"/>
        <w:jc w:val="left"/>
        <w:rPr>
          <w:rFonts w:hint="eastAsia" w:ascii="宋体" w:hAnsi="宋体" w:cs="Arial"/>
          <w:color w:val="auto"/>
          <w:sz w:val="21"/>
          <w:szCs w:val="21"/>
          <w:highlight w:val="none"/>
        </w:rPr>
      </w:pPr>
      <w:r>
        <w:rPr>
          <w:rFonts w:hint="eastAsia" w:ascii="宋体" w:hAnsi="宋体" w:cs="Arial"/>
          <w:color w:val="auto"/>
          <w:sz w:val="21"/>
          <w:szCs w:val="21"/>
          <w:highlight w:val="none"/>
        </w:rPr>
        <w:t>（5）本项目公厕全部要求专人保洁，供应商公厕保洁人员未专人到位的，则按500元/人/次的标准从当期保洁款中直接扣除</w:t>
      </w:r>
      <w:r>
        <w:rPr>
          <w:rFonts w:ascii="宋体" w:hAnsi="宋体" w:cs="Arial"/>
          <w:color w:val="auto"/>
          <w:sz w:val="21"/>
          <w:szCs w:val="21"/>
          <w:highlight w:val="none"/>
        </w:rPr>
        <w:t>。</w:t>
      </w:r>
    </w:p>
    <w:p>
      <w:pPr>
        <w:spacing w:line="400" w:lineRule="exact"/>
        <w:ind w:firstLine="420" w:firstLineChars="200"/>
        <w:jc w:val="left"/>
        <w:rPr>
          <w:rFonts w:ascii="宋体" w:hAnsi="宋体" w:cs="Arial"/>
          <w:color w:val="auto"/>
          <w:sz w:val="21"/>
          <w:szCs w:val="21"/>
          <w:highlight w:val="none"/>
        </w:rPr>
      </w:pPr>
      <w:r>
        <w:rPr>
          <w:rFonts w:hint="eastAsia" w:ascii="宋体" w:hAnsi="宋体" w:cs="Arial"/>
          <w:color w:val="auto"/>
          <w:sz w:val="21"/>
          <w:szCs w:val="21"/>
          <w:highlight w:val="none"/>
        </w:rPr>
        <w:t>《各单项作业质量</w:t>
      </w:r>
      <w:r>
        <w:rPr>
          <w:rFonts w:ascii="宋体" w:hAnsi="宋体" w:cs="Arial"/>
          <w:color w:val="auto"/>
          <w:sz w:val="21"/>
          <w:szCs w:val="21"/>
          <w:highlight w:val="none"/>
        </w:rPr>
        <w:t>评分细则</w:t>
      </w:r>
      <w:r>
        <w:rPr>
          <w:rFonts w:hint="eastAsia" w:ascii="宋体" w:hAnsi="宋体" w:cs="Arial"/>
          <w:color w:val="auto"/>
          <w:sz w:val="21"/>
          <w:szCs w:val="21"/>
          <w:highlight w:val="none"/>
        </w:rPr>
        <w:t>》详见附件1。</w:t>
      </w:r>
    </w:p>
    <w:p>
      <w:pPr>
        <w:pStyle w:val="2"/>
        <w:ind w:firstLine="280"/>
        <w:rPr>
          <w:rFonts w:hint="eastAsia" w:ascii="宋体" w:hAnsi="宋体"/>
          <w:color w:val="auto"/>
          <w:sz w:val="21"/>
          <w:szCs w:val="21"/>
          <w:highlight w:val="none"/>
        </w:rPr>
      </w:pPr>
      <w:r>
        <w:rPr>
          <w:color w:val="auto"/>
          <w:highlight w:val="none"/>
        </w:rPr>
        <w:br w:type="page"/>
      </w:r>
    </w:p>
    <w:p>
      <w:pPr>
        <w:pStyle w:val="6"/>
        <w:spacing w:before="0" w:after="0" w:line="400" w:lineRule="exact"/>
        <w:jc w:val="left"/>
        <w:rPr>
          <w:rFonts w:ascii="宋体" w:hAnsi="宋体" w:cs="Arial"/>
          <w:color w:val="auto"/>
          <w:sz w:val="21"/>
          <w:szCs w:val="21"/>
          <w:highlight w:val="none"/>
        </w:rPr>
      </w:pPr>
      <w:bookmarkStart w:id="482" w:name="_Toc105438845"/>
      <w:bookmarkStart w:id="483" w:name="_Toc104190758"/>
      <w:bookmarkStart w:id="484" w:name="_Toc30882"/>
      <w:bookmarkStart w:id="485" w:name="_Toc6298"/>
      <w:bookmarkStart w:id="486" w:name="_Toc15122"/>
      <w:bookmarkStart w:id="487" w:name="_Toc105435559"/>
      <w:bookmarkStart w:id="488" w:name="_Toc21330"/>
      <w:bookmarkStart w:id="489" w:name="_Toc105435745"/>
      <w:bookmarkStart w:id="490" w:name="_Toc105435687"/>
      <w:bookmarkStart w:id="491" w:name="_Toc71551515"/>
      <w:bookmarkStart w:id="492" w:name="_Toc72407445"/>
      <w:r>
        <w:rPr>
          <w:rFonts w:ascii="宋体" w:hAnsi="宋体" w:cs="Arial"/>
          <w:color w:val="auto"/>
          <w:sz w:val="21"/>
          <w:szCs w:val="21"/>
          <w:highlight w:val="none"/>
        </w:rPr>
        <w:t>附表1：</w:t>
      </w:r>
      <w:r>
        <w:rPr>
          <w:rFonts w:hint="eastAsia" w:ascii="宋体" w:hAnsi="宋体" w:cs="Arial"/>
          <w:color w:val="auto"/>
          <w:sz w:val="21"/>
          <w:szCs w:val="21"/>
          <w:highlight w:val="none"/>
        </w:rPr>
        <w:t>各单项作业质量</w:t>
      </w:r>
      <w:r>
        <w:rPr>
          <w:rFonts w:ascii="宋体" w:hAnsi="宋体" w:cs="Arial"/>
          <w:color w:val="auto"/>
          <w:sz w:val="21"/>
          <w:szCs w:val="21"/>
          <w:highlight w:val="none"/>
        </w:rPr>
        <w:t>评分细则</w:t>
      </w:r>
      <w:bookmarkEnd w:id="482"/>
      <w:bookmarkEnd w:id="483"/>
      <w:bookmarkEnd w:id="484"/>
      <w:bookmarkEnd w:id="485"/>
      <w:bookmarkEnd w:id="486"/>
      <w:bookmarkEnd w:id="487"/>
      <w:bookmarkEnd w:id="488"/>
      <w:bookmarkEnd w:id="489"/>
      <w:bookmarkEnd w:id="490"/>
    </w:p>
    <w:p>
      <w:pPr>
        <w:spacing w:line="400" w:lineRule="exact"/>
        <w:jc w:val="left"/>
        <w:textAlignment w:val="center"/>
        <w:rPr>
          <w:rFonts w:ascii="宋体" w:hAnsi="宋体" w:cs="Arial"/>
          <w:color w:val="auto"/>
          <w:sz w:val="21"/>
          <w:szCs w:val="21"/>
          <w:highlight w:val="none"/>
          <w:lang w:bidi="ar"/>
        </w:rPr>
      </w:pPr>
      <w:r>
        <w:rPr>
          <w:rFonts w:ascii="宋体" w:hAnsi="宋体" w:cs="Arial"/>
          <w:color w:val="auto"/>
          <w:sz w:val="21"/>
          <w:szCs w:val="21"/>
          <w:highlight w:val="none"/>
          <w:lang w:bidi="ar"/>
        </w:rPr>
        <w:t>附表1-1：</w:t>
      </w:r>
    </w:p>
    <w:p>
      <w:pPr>
        <w:spacing w:line="400" w:lineRule="exact"/>
        <w:jc w:val="center"/>
        <w:rPr>
          <w:rFonts w:ascii="宋体" w:hAnsi="宋体" w:cs="Arial"/>
          <w:b/>
          <w:color w:val="auto"/>
          <w:sz w:val="21"/>
          <w:szCs w:val="21"/>
          <w:highlight w:val="none"/>
        </w:rPr>
      </w:pPr>
      <w:r>
        <w:rPr>
          <w:rFonts w:ascii="宋体" w:hAnsi="宋体" w:cs="Arial"/>
          <w:b/>
          <w:color w:val="auto"/>
          <w:sz w:val="21"/>
          <w:szCs w:val="21"/>
          <w:highlight w:val="none"/>
          <w:lang w:bidi="ar"/>
        </w:rPr>
        <w:t>一、</w:t>
      </w:r>
      <w:r>
        <w:rPr>
          <w:rFonts w:hint="eastAsia" w:ascii="宋体" w:hAnsi="宋体" w:cs="Arial"/>
          <w:b/>
          <w:color w:val="auto"/>
          <w:sz w:val="21"/>
          <w:szCs w:val="21"/>
          <w:highlight w:val="none"/>
          <w:lang w:bidi="ar"/>
        </w:rPr>
        <w:t>龙湾区</w:t>
      </w:r>
      <w:r>
        <w:rPr>
          <w:rFonts w:ascii="宋体" w:hAnsi="宋体" w:cs="Arial"/>
          <w:b/>
          <w:color w:val="auto"/>
          <w:sz w:val="21"/>
          <w:szCs w:val="21"/>
          <w:highlight w:val="none"/>
          <w:lang w:bidi="ar"/>
        </w:rPr>
        <w:t>道路精细化作业质量评分细则（100分）</w:t>
      </w:r>
    </w:p>
    <w:tbl>
      <w:tblPr>
        <w:tblStyle w:val="42"/>
        <w:tblW w:w="9195"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690"/>
        <w:gridCol w:w="3720"/>
        <w:gridCol w:w="3480"/>
        <w:gridCol w:w="1305"/>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20" w:hRule="atLeast"/>
          <w:jc w:val="center"/>
        </w:trPr>
        <w:tc>
          <w:tcPr>
            <w:tcW w:w="690" w:type="dxa"/>
            <w:noWrap w:val="0"/>
            <w:vAlign w:val="center"/>
          </w:tcPr>
          <w:p>
            <w:pPr>
              <w:spacing w:line="300" w:lineRule="exact"/>
              <w:jc w:val="center"/>
              <w:textAlignment w:val="center"/>
              <w:rPr>
                <w:rFonts w:ascii="宋体" w:hAnsi="宋体" w:cs="Arial"/>
                <w:b/>
                <w:bCs/>
                <w:color w:val="auto"/>
                <w:sz w:val="21"/>
                <w:szCs w:val="21"/>
                <w:highlight w:val="none"/>
              </w:rPr>
            </w:pPr>
            <w:r>
              <w:rPr>
                <w:rFonts w:ascii="宋体" w:hAnsi="宋体" w:cs="Arial"/>
                <w:b/>
                <w:bCs/>
                <w:color w:val="auto"/>
                <w:sz w:val="21"/>
                <w:szCs w:val="21"/>
                <w:highlight w:val="none"/>
                <w:lang w:bidi="ar"/>
              </w:rPr>
              <w:t>项目</w:t>
            </w:r>
          </w:p>
        </w:tc>
        <w:tc>
          <w:tcPr>
            <w:tcW w:w="3720" w:type="dxa"/>
            <w:noWrap w:val="0"/>
            <w:vAlign w:val="center"/>
          </w:tcPr>
          <w:p>
            <w:pPr>
              <w:spacing w:line="300" w:lineRule="exact"/>
              <w:jc w:val="center"/>
              <w:textAlignment w:val="center"/>
              <w:rPr>
                <w:rFonts w:ascii="宋体" w:hAnsi="宋体" w:cs="Arial"/>
                <w:b/>
                <w:bCs/>
                <w:color w:val="auto"/>
                <w:sz w:val="21"/>
                <w:szCs w:val="21"/>
                <w:highlight w:val="none"/>
              </w:rPr>
            </w:pPr>
            <w:r>
              <w:rPr>
                <w:rFonts w:ascii="宋体" w:hAnsi="宋体" w:cs="Arial"/>
                <w:b/>
                <w:bCs/>
                <w:color w:val="auto"/>
                <w:sz w:val="21"/>
                <w:szCs w:val="21"/>
                <w:highlight w:val="none"/>
                <w:lang w:bidi="ar"/>
              </w:rPr>
              <w:t>质量（工作）标准</w:t>
            </w:r>
          </w:p>
        </w:tc>
        <w:tc>
          <w:tcPr>
            <w:tcW w:w="3480" w:type="dxa"/>
            <w:noWrap w:val="0"/>
            <w:vAlign w:val="center"/>
          </w:tcPr>
          <w:p>
            <w:pPr>
              <w:spacing w:line="300" w:lineRule="exact"/>
              <w:jc w:val="center"/>
              <w:textAlignment w:val="center"/>
              <w:rPr>
                <w:rFonts w:ascii="宋体" w:hAnsi="宋体" w:cs="Arial"/>
                <w:b/>
                <w:bCs/>
                <w:color w:val="auto"/>
                <w:sz w:val="21"/>
                <w:szCs w:val="21"/>
                <w:highlight w:val="none"/>
              </w:rPr>
            </w:pPr>
            <w:r>
              <w:rPr>
                <w:rFonts w:ascii="宋体" w:hAnsi="宋体" w:cs="Arial"/>
                <w:b/>
                <w:bCs/>
                <w:color w:val="auto"/>
                <w:sz w:val="21"/>
                <w:szCs w:val="21"/>
                <w:highlight w:val="none"/>
                <w:lang w:bidi="ar"/>
              </w:rPr>
              <w:t>评分标准</w:t>
            </w:r>
          </w:p>
        </w:tc>
        <w:tc>
          <w:tcPr>
            <w:tcW w:w="1305" w:type="dxa"/>
            <w:noWrap w:val="0"/>
            <w:vAlign w:val="center"/>
          </w:tcPr>
          <w:p>
            <w:pPr>
              <w:spacing w:line="300" w:lineRule="exact"/>
              <w:jc w:val="center"/>
              <w:textAlignment w:val="center"/>
              <w:rPr>
                <w:rFonts w:ascii="宋体" w:hAnsi="宋体" w:cs="Arial"/>
                <w:b/>
                <w:bCs/>
                <w:color w:val="auto"/>
                <w:sz w:val="21"/>
                <w:szCs w:val="21"/>
                <w:highlight w:val="none"/>
              </w:rPr>
            </w:pPr>
            <w:r>
              <w:rPr>
                <w:rFonts w:ascii="宋体" w:hAnsi="宋体" w:cs="Arial"/>
                <w:b/>
                <w:bCs/>
                <w:color w:val="auto"/>
                <w:sz w:val="21"/>
                <w:szCs w:val="21"/>
                <w:highlight w:val="none"/>
                <w:lang w:bidi="ar"/>
              </w:rPr>
              <w:t>扣分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936" w:hRule="atLeast"/>
          <w:jc w:val="center"/>
        </w:trPr>
        <w:tc>
          <w:tcPr>
            <w:tcW w:w="690" w:type="dxa"/>
            <w:vMerge w:val="restart"/>
            <w:noWrap w:val="0"/>
            <w:vAlign w:val="center"/>
          </w:tcPr>
          <w:p>
            <w:pPr>
              <w:spacing w:line="300" w:lineRule="exact"/>
              <w:jc w:val="center"/>
              <w:textAlignment w:val="center"/>
              <w:rPr>
                <w:rFonts w:ascii="宋体" w:hAnsi="宋体" w:cs="Arial"/>
                <w:color w:val="auto"/>
                <w:sz w:val="21"/>
                <w:szCs w:val="21"/>
                <w:highlight w:val="none"/>
              </w:rPr>
            </w:pPr>
            <w:r>
              <w:rPr>
                <w:rFonts w:ascii="宋体" w:hAnsi="宋体" w:cs="Arial"/>
                <w:color w:val="auto"/>
                <w:sz w:val="21"/>
                <w:szCs w:val="21"/>
                <w:highlight w:val="none"/>
                <w:lang w:bidi="ar"/>
              </w:rPr>
              <w:t>普扫作业</w:t>
            </w:r>
          </w:p>
        </w:tc>
        <w:tc>
          <w:tcPr>
            <w:tcW w:w="3720" w:type="dxa"/>
            <w:vMerge w:val="restart"/>
            <w:noWrap w:val="0"/>
            <w:vAlign w:val="center"/>
          </w:tcPr>
          <w:p>
            <w:pPr>
              <w:spacing w:line="300" w:lineRule="exact"/>
              <w:textAlignment w:val="center"/>
              <w:rPr>
                <w:rFonts w:hint="eastAsia" w:ascii="宋体" w:hAnsi="宋体" w:cs="Arial"/>
                <w:color w:val="auto"/>
                <w:sz w:val="21"/>
                <w:szCs w:val="21"/>
                <w:highlight w:val="none"/>
                <w:lang w:bidi="ar"/>
              </w:rPr>
            </w:pPr>
            <w:r>
              <w:rPr>
                <w:rFonts w:ascii="宋体" w:hAnsi="宋体" w:cs="Arial"/>
                <w:color w:val="auto"/>
                <w:sz w:val="21"/>
                <w:szCs w:val="21"/>
                <w:highlight w:val="none"/>
                <w:lang w:bidi="ar"/>
              </w:rPr>
              <w:t>1、各级道路普扫作业每日不少于3次第一次普扫应在7：00前完成（夏季6-9月应在6：30前完成），第二次普扫在13：00前完成，第三次普扫在21：00前完成。</w:t>
            </w:r>
          </w:p>
          <w:p>
            <w:pPr>
              <w:spacing w:line="300" w:lineRule="exact"/>
              <w:textAlignment w:val="center"/>
              <w:rPr>
                <w:rFonts w:ascii="宋体" w:hAnsi="宋体" w:cs="Arial"/>
                <w:color w:val="auto"/>
                <w:sz w:val="21"/>
                <w:szCs w:val="21"/>
                <w:highlight w:val="none"/>
              </w:rPr>
            </w:pPr>
            <w:r>
              <w:rPr>
                <w:rFonts w:ascii="宋体" w:hAnsi="宋体" w:cs="Arial"/>
                <w:color w:val="auto"/>
                <w:sz w:val="21"/>
                <w:szCs w:val="21"/>
                <w:highlight w:val="none"/>
                <w:lang w:bidi="ar"/>
              </w:rPr>
              <w:t>2、普扫质量需达到路面见本色，达到“七无五净”标准，即无瓜果皮、纸屑，无土石杂草，无积泥（沙），无痰迹、烟蒂，无污水，无堆积物，无普扫盲点及死角；路面净，绿地（含街头绿地）树穴净，边角侧石净，窨井盖沟槽净、果壳箱等环卫设施及市政设施净。</w:t>
            </w:r>
          </w:p>
        </w:tc>
        <w:tc>
          <w:tcPr>
            <w:tcW w:w="3480" w:type="dxa"/>
            <w:noWrap w:val="0"/>
            <w:vAlign w:val="center"/>
          </w:tcPr>
          <w:p>
            <w:pPr>
              <w:spacing w:line="300" w:lineRule="exact"/>
              <w:textAlignment w:val="center"/>
              <w:rPr>
                <w:rFonts w:ascii="宋体" w:hAnsi="宋体" w:cs="Arial"/>
                <w:color w:val="auto"/>
                <w:sz w:val="21"/>
                <w:szCs w:val="21"/>
                <w:highlight w:val="none"/>
              </w:rPr>
            </w:pPr>
            <w:r>
              <w:rPr>
                <w:rFonts w:ascii="宋体" w:hAnsi="宋体" w:cs="Arial"/>
                <w:color w:val="auto"/>
                <w:sz w:val="21"/>
                <w:szCs w:val="21"/>
                <w:highlight w:val="none"/>
                <w:lang w:bidi="ar"/>
              </w:rPr>
              <w:t>1. 在规定时间内未开展普扫的，扣10份， 普扫工作未完成，按实际情况扣1-5分</w:t>
            </w:r>
          </w:p>
        </w:tc>
        <w:tc>
          <w:tcPr>
            <w:tcW w:w="1305" w:type="dxa"/>
            <w:noWrap w:val="0"/>
            <w:vAlign w:val="center"/>
          </w:tcPr>
          <w:p>
            <w:pPr>
              <w:spacing w:line="300" w:lineRule="exact"/>
              <w:jc w:val="center"/>
              <w:textAlignment w:val="center"/>
              <w:rPr>
                <w:rFonts w:ascii="宋体" w:hAnsi="宋体" w:cs="Arial"/>
                <w:color w:val="auto"/>
                <w:sz w:val="21"/>
                <w:szCs w:val="21"/>
                <w:highlight w:val="none"/>
              </w:rPr>
            </w:pPr>
            <w:r>
              <w:rPr>
                <w:rFonts w:ascii="宋体" w:hAnsi="宋体" w:cs="Arial"/>
                <w:color w:val="auto"/>
                <w:sz w:val="21"/>
                <w:szCs w:val="21"/>
                <w:highlight w:val="none"/>
                <w:lang w:bidi="ar"/>
              </w:rPr>
              <w:t>1-10分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936" w:hRule="atLeast"/>
          <w:jc w:val="center"/>
        </w:trPr>
        <w:tc>
          <w:tcPr>
            <w:tcW w:w="690" w:type="dxa"/>
            <w:vMerge w:val="continue"/>
            <w:noWrap w:val="0"/>
            <w:vAlign w:val="center"/>
          </w:tcPr>
          <w:p>
            <w:pPr>
              <w:spacing w:line="300" w:lineRule="exact"/>
              <w:jc w:val="center"/>
              <w:rPr>
                <w:rFonts w:ascii="宋体" w:hAnsi="宋体" w:cs="Arial"/>
                <w:color w:val="auto"/>
                <w:sz w:val="21"/>
                <w:szCs w:val="21"/>
                <w:highlight w:val="none"/>
              </w:rPr>
            </w:pPr>
          </w:p>
        </w:tc>
        <w:tc>
          <w:tcPr>
            <w:tcW w:w="3720" w:type="dxa"/>
            <w:vMerge w:val="continue"/>
            <w:noWrap w:val="0"/>
            <w:vAlign w:val="center"/>
          </w:tcPr>
          <w:p>
            <w:pPr>
              <w:spacing w:line="300" w:lineRule="exact"/>
              <w:rPr>
                <w:rFonts w:ascii="宋体" w:hAnsi="宋体" w:cs="Arial"/>
                <w:color w:val="auto"/>
                <w:sz w:val="21"/>
                <w:szCs w:val="21"/>
                <w:highlight w:val="none"/>
              </w:rPr>
            </w:pPr>
          </w:p>
        </w:tc>
        <w:tc>
          <w:tcPr>
            <w:tcW w:w="3480" w:type="dxa"/>
            <w:noWrap w:val="0"/>
            <w:vAlign w:val="center"/>
          </w:tcPr>
          <w:p>
            <w:pPr>
              <w:spacing w:line="300" w:lineRule="exact"/>
              <w:textAlignment w:val="center"/>
              <w:rPr>
                <w:rFonts w:ascii="宋体" w:hAnsi="宋体" w:cs="Arial"/>
                <w:color w:val="auto"/>
                <w:sz w:val="21"/>
                <w:szCs w:val="21"/>
                <w:highlight w:val="none"/>
              </w:rPr>
            </w:pPr>
            <w:r>
              <w:rPr>
                <w:rFonts w:ascii="宋体" w:hAnsi="宋体" w:cs="Arial"/>
                <w:color w:val="auto"/>
                <w:sz w:val="21"/>
                <w:szCs w:val="21"/>
                <w:highlight w:val="none"/>
                <w:lang w:bidi="ar"/>
              </w:rPr>
              <w:t>2. 普扫存在盲点和卫生死角的</w:t>
            </w:r>
          </w:p>
        </w:tc>
        <w:tc>
          <w:tcPr>
            <w:tcW w:w="1305" w:type="dxa"/>
            <w:noWrap w:val="0"/>
            <w:vAlign w:val="center"/>
          </w:tcPr>
          <w:p>
            <w:pPr>
              <w:spacing w:line="300" w:lineRule="exact"/>
              <w:jc w:val="center"/>
              <w:textAlignment w:val="center"/>
              <w:rPr>
                <w:rFonts w:ascii="宋体" w:hAnsi="宋体" w:cs="Arial"/>
                <w:color w:val="auto"/>
                <w:sz w:val="21"/>
                <w:szCs w:val="21"/>
                <w:highlight w:val="none"/>
              </w:rPr>
            </w:pPr>
            <w:r>
              <w:rPr>
                <w:rFonts w:ascii="宋体" w:hAnsi="宋体" w:cs="Arial"/>
                <w:color w:val="auto"/>
                <w:sz w:val="21"/>
                <w:szCs w:val="21"/>
                <w:highlight w:val="none"/>
                <w:lang w:bidi="ar"/>
              </w:rPr>
              <w:t>1分/处</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936" w:hRule="atLeast"/>
          <w:jc w:val="center"/>
        </w:trPr>
        <w:tc>
          <w:tcPr>
            <w:tcW w:w="690" w:type="dxa"/>
            <w:vMerge w:val="continue"/>
            <w:noWrap w:val="0"/>
            <w:vAlign w:val="center"/>
          </w:tcPr>
          <w:p>
            <w:pPr>
              <w:spacing w:line="300" w:lineRule="exact"/>
              <w:jc w:val="center"/>
              <w:rPr>
                <w:rFonts w:ascii="宋体" w:hAnsi="宋体" w:cs="Arial"/>
                <w:color w:val="auto"/>
                <w:sz w:val="21"/>
                <w:szCs w:val="21"/>
                <w:highlight w:val="none"/>
              </w:rPr>
            </w:pPr>
          </w:p>
        </w:tc>
        <w:tc>
          <w:tcPr>
            <w:tcW w:w="3720" w:type="dxa"/>
            <w:vMerge w:val="continue"/>
            <w:noWrap w:val="0"/>
            <w:vAlign w:val="center"/>
          </w:tcPr>
          <w:p>
            <w:pPr>
              <w:spacing w:line="300" w:lineRule="exact"/>
              <w:rPr>
                <w:rFonts w:ascii="宋体" w:hAnsi="宋体" w:cs="Arial"/>
                <w:color w:val="auto"/>
                <w:sz w:val="21"/>
                <w:szCs w:val="21"/>
                <w:highlight w:val="none"/>
              </w:rPr>
            </w:pPr>
          </w:p>
        </w:tc>
        <w:tc>
          <w:tcPr>
            <w:tcW w:w="3480" w:type="dxa"/>
            <w:noWrap w:val="0"/>
            <w:vAlign w:val="center"/>
          </w:tcPr>
          <w:p>
            <w:pPr>
              <w:spacing w:line="300" w:lineRule="exact"/>
              <w:textAlignment w:val="center"/>
              <w:rPr>
                <w:rFonts w:ascii="宋体" w:hAnsi="宋体" w:cs="Arial"/>
                <w:color w:val="auto"/>
                <w:sz w:val="21"/>
                <w:szCs w:val="21"/>
                <w:highlight w:val="none"/>
              </w:rPr>
            </w:pPr>
            <w:r>
              <w:rPr>
                <w:rFonts w:ascii="宋体" w:hAnsi="宋体" w:cs="Arial"/>
                <w:color w:val="auto"/>
                <w:sz w:val="21"/>
                <w:szCs w:val="21"/>
                <w:highlight w:val="none"/>
                <w:lang w:bidi="ar"/>
              </w:rPr>
              <w:t>3. 普扫后垃圾未及时清理的</w:t>
            </w:r>
          </w:p>
        </w:tc>
        <w:tc>
          <w:tcPr>
            <w:tcW w:w="1305" w:type="dxa"/>
            <w:noWrap w:val="0"/>
            <w:vAlign w:val="center"/>
          </w:tcPr>
          <w:p>
            <w:pPr>
              <w:spacing w:line="300" w:lineRule="exact"/>
              <w:jc w:val="center"/>
              <w:textAlignment w:val="center"/>
              <w:rPr>
                <w:rFonts w:ascii="宋体" w:hAnsi="宋体" w:cs="Arial"/>
                <w:color w:val="auto"/>
                <w:sz w:val="21"/>
                <w:szCs w:val="21"/>
                <w:highlight w:val="none"/>
              </w:rPr>
            </w:pPr>
            <w:r>
              <w:rPr>
                <w:rFonts w:ascii="宋体" w:hAnsi="宋体" w:cs="Arial"/>
                <w:color w:val="auto"/>
                <w:sz w:val="21"/>
                <w:szCs w:val="21"/>
                <w:highlight w:val="none"/>
                <w:lang w:bidi="ar"/>
              </w:rPr>
              <w:t>0.5分/处</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936" w:hRule="atLeast"/>
          <w:jc w:val="center"/>
        </w:trPr>
        <w:tc>
          <w:tcPr>
            <w:tcW w:w="690" w:type="dxa"/>
            <w:vMerge w:val="continue"/>
            <w:noWrap w:val="0"/>
            <w:vAlign w:val="center"/>
          </w:tcPr>
          <w:p>
            <w:pPr>
              <w:spacing w:line="300" w:lineRule="exact"/>
              <w:jc w:val="center"/>
              <w:rPr>
                <w:rFonts w:ascii="宋体" w:hAnsi="宋体" w:cs="Arial"/>
                <w:color w:val="auto"/>
                <w:sz w:val="21"/>
                <w:szCs w:val="21"/>
                <w:highlight w:val="none"/>
              </w:rPr>
            </w:pPr>
          </w:p>
        </w:tc>
        <w:tc>
          <w:tcPr>
            <w:tcW w:w="3720" w:type="dxa"/>
            <w:vMerge w:val="continue"/>
            <w:noWrap w:val="0"/>
            <w:vAlign w:val="center"/>
          </w:tcPr>
          <w:p>
            <w:pPr>
              <w:spacing w:line="300" w:lineRule="exact"/>
              <w:rPr>
                <w:rFonts w:ascii="宋体" w:hAnsi="宋体" w:cs="Arial"/>
                <w:color w:val="auto"/>
                <w:sz w:val="21"/>
                <w:szCs w:val="21"/>
                <w:highlight w:val="none"/>
              </w:rPr>
            </w:pPr>
          </w:p>
        </w:tc>
        <w:tc>
          <w:tcPr>
            <w:tcW w:w="3480" w:type="dxa"/>
            <w:noWrap w:val="0"/>
            <w:vAlign w:val="center"/>
          </w:tcPr>
          <w:p>
            <w:pPr>
              <w:spacing w:line="300" w:lineRule="exact"/>
              <w:textAlignment w:val="center"/>
              <w:rPr>
                <w:rFonts w:ascii="宋体" w:hAnsi="宋体" w:cs="Arial"/>
                <w:color w:val="auto"/>
                <w:sz w:val="21"/>
                <w:szCs w:val="21"/>
                <w:highlight w:val="none"/>
              </w:rPr>
            </w:pPr>
            <w:r>
              <w:rPr>
                <w:rFonts w:ascii="宋体" w:hAnsi="宋体" w:cs="Arial"/>
                <w:color w:val="auto"/>
                <w:sz w:val="21"/>
                <w:szCs w:val="21"/>
                <w:highlight w:val="none"/>
                <w:lang w:bidi="ar"/>
              </w:rPr>
              <w:t>4. 窨井盖沟槽不洁、沟眼堵塞的</w:t>
            </w:r>
          </w:p>
        </w:tc>
        <w:tc>
          <w:tcPr>
            <w:tcW w:w="1305" w:type="dxa"/>
            <w:noWrap w:val="0"/>
            <w:vAlign w:val="center"/>
          </w:tcPr>
          <w:p>
            <w:pPr>
              <w:spacing w:line="300" w:lineRule="exact"/>
              <w:jc w:val="center"/>
              <w:textAlignment w:val="center"/>
              <w:rPr>
                <w:rFonts w:ascii="宋体" w:hAnsi="宋体" w:cs="Arial"/>
                <w:color w:val="auto"/>
                <w:sz w:val="21"/>
                <w:szCs w:val="21"/>
                <w:highlight w:val="none"/>
              </w:rPr>
            </w:pPr>
            <w:r>
              <w:rPr>
                <w:rFonts w:ascii="宋体" w:hAnsi="宋体" w:cs="Arial"/>
                <w:color w:val="auto"/>
                <w:sz w:val="21"/>
                <w:szCs w:val="21"/>
                <w:highlight w:val="none"/>
                <w:lang w:bidi="ar"/>
              </w:rPr>
              <w:t>0.5分/处</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00" w:hRule="atLeast"/>
          <w:jc w:val="center"/>
        </w:trPr>
        <w:tc>
          <w:tcPr>
            <w:tcW w:w="690" w:type="dxa"/>
            <w:vMerge w:val="restart"/>
            <w:noWrap w:val="0"/>
            <w:vAlign w:val="center"/>
          </w:tcPr>
          <w:p>
            <w:pPr>
              <w:spacing w:line="300" w:lineRule="exact"/>
              <w:jc w:val="center"/>
              <w:textAlignment w:val="center"/>
              <w:rPr>
                <w:rFonts w:ascii="宋体" w:hAnsi="宋体" w:cs="Arial"/>
                <w:color w:val="auto"/>
                <w:sz w:val="21"/>
                <w:szCs w:val="21"/>
                <w:highlight w:val="none"/>
              </w:rPr>
            </w:pPr>
            <w:r>
              <w:rPr>
                <w:rFonts w:ascii="宋体" w:hAnsi="宋体" w:cs="Arial"/>
                <w:color w:val="auto"/>
                <w:sz w:val="21"/>
                <w:szCs w:val="21"/>
                <w:highlight w:val="none"/>
                <w:lang w:bidi="ar"/>
              </w:rPr>
              <w:t>动态保洁</w:t>
            </w:r>
          </w:p>
        </w:tc>
        <w:tc>
          <w:tcPr>
            <w:tcW w:w="3720" w:type="dxa"/>
            <w:vMerge w:val="restart"/>
            <w:noWrap w:val="0"/>
            <w:vAlign w:val="center"/>
          </w:tcPr>
          <w:p>
            <w:pPr>
              <w:spacing w:line="300" w:lineRule="exact"/>
              <w:textAlignment w:val="center"/>
              <w:rPr>
                <w:rFonts w:hint="eastAsia" w:ascii="宋体" w:hAnsi="宋体" w:cs="Arial"/>
                <w:color w:val="auto"/>
                <w:sz w:val="21"/>
                <w:szCs w:val="21"/>
                <w:highlight w:val="none"/>
                <w:lang w:bidi="ar"/>
              </w:rPr>
            </w:pPr>
            <w:r>
              <w:rPr>
                <w:rFonts w:ascii="宋体" w:hAnsi="宋体" w:cs="Arial"/>
                <w:color w:val="auto"/>
                <w:sz w:val="21"/>
                <w:szCs w:val="21"/>
                <w:highlight w:val="none"/>
                <w:lang w:bidi="ar"/>
              </w:rPr>
              <w:t>1、 动态保洁时间段内，道路路面（含附属绿地、绿化带）的果皮果壳、纸屑、痰迹，烟蒂等废弃物指标律控制在每500 米，一、二级道路保洁区域可视范围少于10处；三、四级道路保洁区域可视范围少于15处。</w:t>
            </w:r>
          </w:p>
          <w:p>
            <w:pPr>
              <w:spacing w:line="300" w:lineRule="exact"/>
              <w:textAlignment w:val="center"/>
              <w:rPr>
                <w:rFonts w:hint="eastAsia" w:ascii="宋体" w:hAnsi="宋体" w:cs="Arial"/>
                <w:color w:val="auto"/>
                <w:sz w:val="21"/>
                <w:szCs w:val="21"/>
                <w:highlight w:val="none"/>
                <w:lang w:bidi="ar"/>
              </w:rPr>
            </w:pPr>
            <w:r>
              <w:rPr>
                <w:rFonts w:ascii="宋体" w:hAnsi="宋体" w:cs="Arial"/>
                <w:color w:val="auto"/>
                <w:sz w:val="21"/>
                <w:szCs w:val="21"/>
                <w:highlight w:val="none"/>
                <w:lang w:bidi="ar"/>
              </w:rPr>
              <w:t>2、 路面无积泥沙、无积污水、边角侧石干净、无垃圾堆、无绿化带垃圾、无明显杂草、无树穴不洁、无袋装垃圾等。</w:t>
            </w:r>
          </w:p>
          <w:p>
            <w:pPr>
              <w:spacing w:line="300" w:lineRule="exact"/>
              <w:textAlignment w:val="center"/>
              <w:rPr>
                <w:rFonts w:ascii="宋体" w:hAnsi="宋体" w:cs="Arial"/>
                <w:color w:val="auto"/>
                <w:sz w:val="21"/>
                <w:szCs w:val="21"/>
                <w:highlight w:val="none"/>
              </w:rPr>
            </w:pPr>
            <w:r>
              <w:rPr>
                <w:rFonts w:ascii="宋体" w:hAnsi="宋体" w:cs="Arial"/>
                <w:color w:val="auto"/>
                <w:sz w:val="21"/>
                <w:szCs w:val="21"/>
                <w:highlight w:val="none"/>
                <w:lang w:bidi="ar"/>
              </w:rPr>
              <w:t>3、 果壳箱及时加盖、关门；废物箱（果壳箱、垃圾桶）垃圾 收集车辆（含机动车和非机动车）垃圾坞、路灯杆、交通隔 离栏等城市家具即脏即洗、及时清空，保证距垃圾分类收集容器0.5米外无臭味且周围2-3米内应无散落、存留垃圾 及污水。垃圾容器封闭，无四害孳生，管理规范，做到日产日清。</w:t>
            </w:r>
          </w:p>
        </w:tc>
        <w:tc>
          <w:tcPr>
            <w:tcW w:w="3480" w:type="dxa"/>
            <w:noWrap w:val="0"/>
            <w:vAlign w:val="center"/>
          </w:tcPr>
          <w:p>
            <w:pPr>
              <w:spacing w:line="300" w:lineRule="exact"/>
              <w:textAlignment w:val="center"/>
              <w:rPr>
                <w:rFonts w:ascii="宋体" w:hAnsi="宋体" w:cs="Arial"/>
                <w:color w:val="auto"/>
                <w:sz w:val="21"/>
                <w:szCs w:val="21"/>
                <w:highlight w:val="none"/>
              </w:rPr>
            </w:pPr>
            <w:r>
              <w:rPr>
                <w:rFonts w:ascii="宋体" w:hAnsi="宋体" w:cs="Arial"/>
                <w:color w:val="auto"/>
                <w:sz w:val="21"/>
                <w:szCs w:val="21"/>
                <w:highlight w:val="none"/>
                <w:lang w:bidi="ar"/>
              </w:rPr>
              <w:t>1. 发现路面果皮果壳、纸屑、痰迹，烟蒂以及零星散落、袋 装垃圾超出废弃物指标的</w:t>
            </w:r>
          </w:p>
        </w:tc>
        <w:tc>
          <w:tcPr>
            <w:tcW w:w="1305" w:type="dxa"/>
            <w:noWrap w:val="0"/>
            <w:vAlign w:val="center"/>
          </w:tcPr>
          <w:p>
            <w:pPr>
              <w:spacing w:line="300" w:lineRule="exact"/>
              <w:jc w:val="center"/>
              <w:textAlignment w:val="center"/>
              <w:rPr>
                <w:rFonts w:ascii="宋体" w:hAnsi="宋体" w:cs="Arial"/>
                <w:color w:val="auto"/>
                <w:sz w:val="21"/>
                <w:szCs w:val="21"/>
                <w:highlight w:val="none"/>
              </w:rPr>
            </w:pPr>
            <w:r>
              <w:rPr>
                <w:rFonts w:ascii="宋体" w:hAnsi="宋体" w:cs="Arial"/>
                <w:color w:val="auto"/>
                <w:sz w:val="21"/>
                <w:szCs w:val="21"/>
                <w:highlight w:val="none"/>
                <w:lang w:bidi="ar"/>
              </w:rPr>
              <w:t>0.5分/处</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00" w:hRule="atLeast"/>
          <w:jc w:val="center"/>
        </w:trPr>
        <w:tc>
          <w:tcPr>
            <w:tcW w:w="690" w:type="dxa"/>
            <w:vMerge w:val="continue"/>
            <w:noWrap w:val="0"/>
            <w:vAlign w:val="center"/>
          </w:tcPr>
          <w:p>
            <w:pPr>
              <w:spacing w:line="300" w:lineRule="exact"/>
              <w:jc w:val="center"/>
              <w:rPr>
                <w:rFonts w:ascii="宋体" w:hAnsi="宋体" w:cs="Arial"/>
                <w:color w:val="auto"/>
                <w:sz w:val="21"/>
                <w:szCs w:val="21"/>
                <w:highlight w:val="none"/>
              </w:rPr>
            </w:pPr>
          </w:p>
        </w:tc>
        <w:tc>
          <w:tcPr>
            <w:tcW w:w="3720" w:type="dxa"/>
            <w:vMerge w:val="continue"/>
            <w:noWrap w:val="0"/>
            <w:vAlign w:val="center"/>
          </w:tcPr>
          <w:p>
            <w:pPr>
              <w:spacing w:line="300" w:lineRule="exact"/>
              <w:rPr>
                <w:rFonts w:ascii="宋体" w:hAnsi="宋体" w:cs="Arial"/>
                <w:color w:val="auto"/>
                <w:sz w:val="21"/>
                <w:szCs w:val="21"/>
                <w:highlight w:val="none"/>
              </w:rPr>
            </w:pPr>
          </w:p>
        </w:tc>
        <w:tc>
          <w:tcPr>
            <w:tcW w:w="3480" w:type="dxa"/>
            <w:noWrap w:val="0"/>
            <w:vAlign w:val="center"/>
          </w:tcPr>
          <w:p>
            <w:pPr>
              <w:spacing w:line="300" w:lineRule="exact"/>
              <w:textAlignment w:val="center"/>
              <w:rPr>
                <w:rFonts w:ascii="宋体" w:hAnsi="宋体" w:cs="Arial"/>
                <w:color w:val="auto"/>
                <w:sz w:val="21"/>
                <w:szCs w:val="21"/>
                <w:highlight w:val="none"/>
              </w:rPr>
            </w:pPr>
            <w:r>
              <w:rPr>
                <w:rFonts w:ascii="宋体" w:hAnsi="宋体" w:cs="Arial"/>
                <w:color w:val="auto"/>
                <w:sz w:val="21"/>
                <w:szCs w:val="21"/>
                <w:highlight w:val="none"/>
                <w:lang w:bidi="ar"/>
              </w:rPr>
              <w:t>2. 人行道、步阶等杂草、杂物</w:t>
            </w:r>
          </w:p>
        </w:tc>
        <w:tc>
          <w:tcPr>
            <w:tcW w:w="1305" w:type="dxa"/>
            <w:noWrap w:val="0"/>
            <w:vAlign w:val="center"/>
          </w:tcPr>
          <w:p>
            <w:pPr>
              <w:spacing w:line="300" w:lineRule="exact"/>
              <w:jc w:val="center"/>
              <w:textAlignment w:val="center"/>
              <w:rPr>
                <w:rFonts w:ascii="宋体" w:hAnsi="宋体" w:cs="Arial"/>
                <w:color w:val="auto"/>
                <w:sz w:val="21"/>
                <w:szCs w:val="21"/>
                <w:highlight w:val="none"/>
              </w:rPr>
            </w:pPr>
            <w:r>
              <w:rPr>
                <w:rFonts w:ascii="宋体" w:hAnsi="宋体" w:cs="Arial"/>
                <w:color w:val="auto"/>
                <w:sz w:val="21"/>
                <w:szCs w:val="21"/>
                <w:highlight w:val="none"/>
                <w:lang w:bidi="ar"/>
              </w:rPr>
              <w:t>0.5分/处</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00" w:hRule="atLeast"/>
          <w:jc w:val="center"/>
        </w:trPr>
        <w:tc>
          <w:tcPr>
            <w:tcW w:w="690" w:type="dxa"/>
            <w:vMerge w:val="continue"/>
            <w:noWrap w:val="0"/>
            <w:vAlign w:val="center"/>
          </w:tcPr>
          <w:p>
            <w:pPr>
              <w:spacing w:line="300" w:lineRule="exact"/>
              <w:jc w:val="center"/>
              <w:rPr>
                <w:rFonts w:ascii="宋体" w:hAnsi="宋体" w:cs="Arial"/>
                <w:color w:val="auto"/>
                <w:sz w:val="21"/>
                <w:szCs w:val="21"/>
                <w:highlight w:val="none"/>
              </w:rPr>
            </w:pPr>
          </w:p>
        </w:tc>
        <w:tc>
          <w:tcPr>
            <w:tcW w:w="3720" w:type="dxa"/>
            <w:vMerge w:val="continue"/>
            <w:noWrap w:val="0"/>
            <w:vAlign w:val="center"/>
          </w:tcPr>
          <w:p>
            <w:pPr>
              <w:spacing w:line="300" w:lineRule="exact"/>
              <w:rPr>
                <w:rFonts w:ascii="宋体" w:hAnsi="宋体" w:cs="Arial"/>
                <w:color w:val="auto"/>
                <w:sz w:val="21"/>
                <w:szCs w:val="21"/>
                <w:highlight w:val="none"/>
              </w:rPr>
            </w:pPr>
          </w:p>
        </w:tc>
        <w:tc>
          <w:tcPr>
            <w:tcW w:w="3480" w:type="dxa"/>
            <w:noWrap w:val="0"/>
            <w:vAlign w:val="center"/>
          </w:tcPr>
          <w:p>
            <w:pPr>
              <w:spacing w:line="300" w:lineRule="exact"/>
              <w:textAlignment w:val="center"/>
              <w:rPr>
                <w:rFonts w:ascii="宋体" w:hAnsi="宋体" w:cs="Arial"/>
                <w:color w:val="auto"/>
                <w:sz w:val="21"/>
                <w:szCs w:val="21"/>
                <w:highlight w:val="none"/>
              </w:rPr>
            </w:pPr>
            <w:r>
              <w:rPr>
                <w:rFonts w:ascii="宋体" w:hAnsi="宋体" w:cs="Arial"/>
                <w:color w:val="auto"/>
                <w:sz w:val="21"/>
                <w:szCs w:val="21"/>
                <w:highlight w:val="none"/>
                <w:lang w:bidi="ar"/>
              </w:rPr>
              <w:t>3. 路两旁及隔离护栏下存在积淤泥和积石（沙）</w:t>
            </w:r>
          </w:p>
        </w:tc>
        <w:tc>
          <w:tcPr>
            <w:tcW w:w="1305" w:type="dxa"/>
            <w:noWrap w:val="0"/>
            <w:vAlign w:val="center"/>
          </w:tcPr>
          <w:p>
            <w:pPr>
              <w:spacing w:line="300" w:lineRule="exact"/>
              <w:jc w:val="center"/>
              <w:textAlignment w:val="center"/>
              <w:rPr>
                <w:rFonts w:ascii="宋体" w:hAnsi="宋体" w:cs="Arial"/>
                <w:color w:val="auto"/>
                <w:sz w:val="21"/>
                <w:szCs w:val="21"/>
                <w:highlight w:val="none"/>
              </w:rPr>
            </w:pPr>
            <w:r>
              <w:rPr>
                <w:rFonts w:ascii="宋体" w:hAnsi="宋体" w:cs="Arial"/>
                <w:color w:val="auto"/>
                <w:sz w:val="21"/>
                <w:szCs w:val="21"/>
                <w:highlight w:val="none"/>
                <w:lang w:bidi="ar"/>
              </w:rPr>
              <w:t>0.5分/处</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00" w:hRule="atLeast"/>
          <w:jc w:val="center"/>
        </w:trPr>
        <w:tc>
          <w:tcPr>
            <w:tcW w:w="690" w:type="dxa"/>
            <w:vMerge w:val="continue"/>
            <w:noWrap w:val="0"/>
            <w:vAlign w:val="center"/>
          </w:tcPr>
          <w:p>
            <w:pPr>
              <w:spacing w:line="300" w:lineRule="exact"/>
              <w:jc w:val="center"/>
              <w:rPr>
                <w:rFonts w:ascii="宋体" w:hAnsi="宋体" w:cs="Arial"/>
                <w:color w:val="auto"/>
                <w:sz w:val="21"/>
                <w:szCs w:val="21"/>
                <w:highlight w:val="none"/>
              </w:rPr>
            </w:pPr>
          </w:p>
        </w:tc>
        <w:tc>
          <w:tcPr>
            <w:tcW w:w="3720" w:type="dxa"/>
            <w:vMerge w:val="continue"/>
            <w:noWrap w:val="0"/>
            <w:vAlign w:val="center"/>
          </w:tcPr>
          <w:p>
            <w:pPr>
              <w:spacing w:line="300" w:lineRule="exact"/>
              <w:rPr>
                <w:rFonts w:ascii="宋体" w:hAnsi="宋体" w:cs="Arial"/>
                <w:color w:val="auto"/>
                <w:sz w:val="21"/>
                <w:szCs w:val="21"/>
                <w:highlight w:val="none"/>
              </w:rPr>
            </w:pPr>
          </w:p>
        </w:tc>
        <w:tc>
          <w:tcPr>
            <w:tcW w:w="3480" w:type="dxa"/>
            <w:noWrap w:val="0"/>
            <w:vAlign w:val="center"/>
          </w:tcPr>
          <w:p>
            <w:pPr>
              <w:spacing w:line="300" w:lineRule="exact"/>
              <w:textAlignment w:val="center"/>
              <w:rPr>
                <w:rFonts w:ascii="宋体" w:hAnsi="宋体" w:cs="Arial"/>
                <w:color w:val="auto"/>
                <w:sz w:val="21"/>
                <w:szCs w:val="21"/>
                <w:highlight w:val="none"/>
              </w:rPr>
            </w:pPr>
            <w:r>
              <w:rPr>
                <w:rFonts w:ascii="宋体" w:hAnsi="宋体" w:cs="Arial"/>
                <w:color w:val="auto"/>
                <w:sz w:val="21"/>
                <w:szCs w:val="21"/>
                <w:highlight w:val="none"/>
                <w:lang w:bidi="ar"/>
              </w:rPr>
              <w:t>4. 存在污水或蚊蝇孳生地</w:t>
            </w:r>
          </w:p>
        </w:tc>
        <w:tc>
          <w:tcPr>
            <w:tcW w:w="1305" w:type="dxa"/>
            <w:noWrap w:val="0"/>
            <w:vAlign w:val="center"/>
          </w:tcPr>
          <w:p>
            <w:pPr>
              <w:spacing w:line="300" w:lineRule="exact"/>
              <w:jc w:val="center"/>
              <w:textAlignment w:val="center"/>
              <w:rPr>
                <w:rFonts w:ascii="宋体" w:hAnsi="宋体" w:cs="Arial"/>
                <w:color w:val="auto"/>
                <w:sz w:val="21"/>
                <w:szCs w:val="21"/>
                <w:highlight w:val="none"/>
              </w:rPr>
            </w:pPr>
            <w:r>
              <w:rPr>
                <w:rFonts w:ascii="宋体" w:hAnsi="宋体" w:cs="Arial"/>
                <w:color w:val="auto"/>
                <w:sz w:val="21"/>
                <w:szCs w:val="21"/>
                <w:highlight w:val="none"/>
                <w:lang w:bidi="ar"/>
              </w:rPr>
              <w:t>0.5分/处</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00" w:hRule="atLeast"/>
          <w:jc w:val="center"/>
        </w:trPr>
        <w:tc>
          <w:tcPr>
            <w:tcW w:w="690" w:type="dxa"/>
            <w:vMerge w:val="continue"/>
            <w:noWrap w:val="0"/>
            <w:vAlign w:val="center"/>
          </w:tcPr>
          <w:p>
            <w:pPr>
              <w:spacing w:line="300" w:lineRule="exact"/>
              <w:jc w:val="center"/>
              <w:rPr>
                <w:rFonts w:ascii="宋体" w:hAnsi="宋体" w:cs="Arial"/>
                <w:color w:val="auto"/>
                <w:sz w:val="21"/>
                <w:szCs w:val="21"/>
                <w:highlight w:val="none"/>
              </w:rPr>
            </w:pPr>
          </w:p>
        </w:tc>
        <w:tc>
          <w:tcPr>
            <w:tcW w:w="3720" w:type="dxa"/>
            <w:vMerge w:val="continue"/>
            <w:noWrap w:val="0"/>
            <w:vAlign w:val="center"/>
          </w:tcPr>
          <w:p>
            <w:pPr>
              <w:spacing w:line="300" w:lineRule="exact"/>
              <w:rPr>
                <w:rFonts w:ascii="宋体" w:hAnsi="宋体" w:cs="Arial"/>
                <w:color w:val="auto"/>
                <w:sz w:val="21"/>
                <w:szCs w:val="21"/>
                <w:highlight w:val="none"/>
              </w:rPr>
            </w:pPr>
          </w:p>
        </w:tc>
        <w:tc>
          <w:tcPr>
            <w:tcW w:w="3480" w:type="dxa"/>
            <w:noWrap w:val="0"/>
            <w:vAlign w:val="center"/>
          </w:tcPr>
          <w:p>
            <w:pPr>
              <w:spacing w:line="300" w:lineRule="exact"/>
              <w:textAlignment w:val="center"/>
              <w:rPr>
                <w:rFonts w:ascii="宋体" w:hAnsi="宋体" w:cs="Arial"/>
                <w:color w:val="auto"/>
                <w:sz w:val="21"/>
                <w:szCs w:val="21"/>
                <w:highlight w:val="none"/>
              </w:rPr>
            </w:pPr>
            <w:r>
              <w:rPr>
                <w:rFonts w:ascii="宋体" w:hAnsi="宋体" w:cs="Arial"/>
                <w:color w:val="auto"/>
                <w:sz w:val="21"/>
                <w:szCs w:val="21"/>
                <w:highlight w:val="none"/>
                <w:lang w:bidi="ar"/>
              </w:rPr>
              <w:t>5. 绿化带内发现果皮果壳、纸屑、痰迹、烟蒂以及零星散落、袋装垃圾</w:t>
            </w:r>
          </w:p>
        </w:tc>
        <w:tc>
          <w:tcPr>
            <w:tcW w:w="1305" w:type="dxa"/>
            <w:noWrap w:val="0"/>
            <w:vAlign w:val="center"/>
          </w:tcPr>
          <w:p>
            <w:pPr>
              <w:spacing w:line="300" w:lineRule="exact"/>
              <w:jc w:val="center"/>
              <w:textAlignment w:val="center"/>
              <w:rPr>
                <w:rFonts w:ascii="宋体" w:hAnsi="宋体" w:cs="Arial"/>
                <w:color w:val="auto"/>
                <w:sz w:val="21"/>
                <w:szCs w:val="21"/>
                <w:highlight w:val="none"/>
              </w:rPr>
            </w:pPr>
            <w:r>
              <w:rPr>
                <w:rFonts w:ascii="宋体" w:hAnsi="宋体" w:cs="Arial"/>
                <w:color w:val="auto"/>
                <w:sz w:val="21"/>
                <w:szCs w:val="21"/>
                <w:highlight w:val="none"/>
                <w:lang w:bidi="ar"/>
              </w:rPr>
              <w:t>0.5分/处</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00" w:hRule="atLeast"/>
          <w:jc w:val="center"/>
        </w:trPr>
        <w:tc>
          <w:tcPr>
            <w:tcW w:w="690" w:type="dxa"/>
            <w:vMerge w:val="continue"/>
            <w:noWrap w:val="0"/>
            <w:vAlign w:val="center"/>
          </w:tcPr>
          <w:p>
            <w:pPr>
              <w:spacing w:line="300" w:lineRule="exact"/>
              <w:jc w:val="center"/>
              <w:rPr>
                <w:rFonts w:ascii="宋体" w:hAnsi="宋体" w:cs="Arial"/>
                <w:color w:val="auto"/>
                <w:sz w:val="21"/>
                <w:szCs w:val="21"/>
                <w:highlight w:val="none"/>
              </w:rPr>
            </w:pPr>
          </w:p>
        </w:tc>
        <w:tc>
          <w:tcPr>
            <w:tcW w:w="3720" w:type="dxa"/>
            <w:vMerge w:val="continue"/>
            <w:noWrap w:val="0"/>
            <w:vAlign w:val="center"/>
          </w:tcPr>
          <w:p>
            <w:pPr>
              <w:spacing w:line="300" w:lineRule="exact"/>
              <w:rPr>
                <w:rFonts w:ascii="宋体" w:hAnsi="宋体" w:cs="Arial"/>
                <w:color w:val="auto"/>
                <w:sz w:val="21"/>
                <w:szCs w:val="21"/>
                <w:highlight w:val="none"/>
              </w:rPr>
            </w:pPr>
          </w:p>
        </w:tc>
        <w:tc>
          <w:tcPr>
            <w:tcW w:w="3480" w:type="dxa"/>
            <w:noWrap w:val="0"/>
            <w:vAlign w:val="center"/>
          </w:tcPr>
          <w:p>
            <w:pPr>
              <w:spacing w:line="300" w:lineRule="exact"/>
              <w:textAlignment w:val="center"/>
              <w:rPr>
                <w:rFonts w:ascii="宋体" w:hAnsi="宋体" w:cs="Arial"/>
                <w:color w:val="auto"/>
                <w:sz w:val="21"/>
                <w:szCs w:val="21"/>
                <w:highlight w:val="none"/>
              </w:rPr>
            </w:pPr>
            <w:r>
              <w:rPr>
                <w:rFonts w:ascii="宋体" w:hAnsi="宋体" w:cs="Arial"/>
                <w:color w:val="auto"/>
                <w:sz w:val="21"/>
                <w:szCs w:val="21"/>
                <w:highlight w:val="none"/>
                <w:lang w:bidi="ar"/>
              </w:rPr>
              <w:t>6. 伸缩缝未清理、树穴不洁</w:t>
            </w:r>
          </w:p>
        </w:tc>
        <w:tc>
          <w:tcPr>
            <w:tcW w:w="1305" w:type="dxa"/>
            <w:noWrap w:val="0"/>
            <w:vAlign w:val="center"/>
          </w:tcPr>
          <w:p>
            <w:pPr>
              <w:spacing w:line="300" w:lineRule="exact"/>
              <w:jc w:val="center"/>
              <w:textAlignment w:val="center"/>
              <w:rPr>
                <w:rFonts w:ascii="宋体" w:hAnsi="宋体" w:cs="Arial"/>
                <w:color w:val="auto"/>
                <w:sz w:val="21"/>
                <w:szCs w:val="21"/>
                <w:highlight w:val="none"/>
              </w:rPr>
            </w:pPr>
            <w:r>
              <w:rPr>
                <w:rFonts w:ascii="宋体" w:hAnsi="宋体" w:cs="Arial"/>
                <w:color w:val="auto"/>
                <w:sz w:val="21"/>
                <w:szCs w:val="21"/>
                <w:highlight w:val="none"/>
                <w:lang w:bidi="ar"/>
              </w:rPr>
              <w:t>0.5分/辆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00" w:hRule="atLeast"/>
          <w:jc w:val="center"/>
        </w:trPr>
        <w:tc>
          <w:tcPr>
            <w:tcW w:w="690" w:type="dxa"/>
            <w:vMerge w:val="continue"/>
            <w:noWrap w:val="0"/>
            <w:vAlign w:val="center"/>
          </w:tcPr>
          <w:p>
            <w:pPr>
              <w:spacing w:line="300" w:lineRule="exact"/>
              <w:jc w:val="center"/>
              <w:rPr>
                <w:rFonts w:ascii="宋体" w:hAnsi="宋体" w:cs="Arial"/>
                <w:color w:val="auto"/>
                <w:sz w:val="21"/>
                <w:szCs w:val="21"/>
                <w:highlight w:val="none"/>
              </w:rPr>
            </w:pPr>
          </w:p>
        </w:tc>
        <w:tc>
          <w:tcPr>
            <w:tcW w:w="3720" w:type="dxa"/>
            <w:vMerge w:val="continue"/>
            <w:noWrap w:val="0"/>
            <w:vAlign w:val="center"/>
          </w:tcPr>
          <w:p>
            <w:pPr>
              <w:spacing w:line="300" w:lineRule="exact"/>
              <w:rPr>
                <w:rFonts w:ascii="宋体" w:hAnsi="宋体" w:cs="Arial"/>
                <w:color w:val="auto"/>
                <w:sz w:val="21"/>
                <w:szCs w:val="21"/>
                <w:highlight w:val="none"/>
              </w:rPr>
            </w:pPr>
          </w:p>
        </w:tc>
        <w:tc>
          <w:tcPr>
            <w:tcW w:w="3480" w:type="dxa"/>
            <w:noWrap w:val="0"/>
            <w:vAlign w:val="center"/>
          </w:tcPr>
          <w:p>
            <w:pPr>
              <w:spacing w:line="300" w:lineRule="exact"/>
              <w:textAlignment w:val="center"/>
              <w:rPr>
                <w:rFonts w:ascii="宋体" w:hAnsi="宋体" w:cs="Arial"/>
                <w:color w:val="auto"/>
                <w:sz w:val="21"/>
                <w:szCs w:val="21"/>
                <w:highlight w:val="none"/>
              </w:rPr>
            </w:pPr>
            <w:r>
              <w:rPr>
                <w:rFonts w:ascii="宋体" w:hAnsi="宋体" w:cs="Arial"/>
                <w:color w:val="auto"/>
                <w:sz w:val="21"/>
                <w:szCs w:val="21"/>
                <w:highlight w:val="none"/>
                <w:lang w:bidi="ar"/>
              </w:rPr>
              <w:t>7. 果壳箱、垃圾收集车等设施破损、不洁、标识设置不规范， 垃圾桶、果壳箱未按规定设置或丢失未及时更换（12小时内）或发现路面擅自摆放垃圾桶</w:t>
            </w:r>
          </w:p>
        </w:tc>
        <w:tc>
          <w:tcPr>
            <w:tcW w:w="1305" w:type="dxa"/>
            <w:noWrap w:val="0"/>
            <w:vAlign w:val="center"/>
          </w:tcPr>
          <w:p>
            <w:pPr>
              <w:spacing w:line="300" w:lineRule="exact"/>
              <w:jc w:val="center"/>
              <w:textAlignment w:val="center"/>
              <w:rPr>
                <w:rFonts w:ascii="宋体" w:hAnsi="宋体" w:cs="Arial"/>
                <w:color w:val="auto"/>
                <w:sz w:val="21"/>
                <w:szCs w:val="21"/>
                <w:highlight w:val="none"/>
              </w:rPr>
            </w:pPr>
            <w:r>
              <w:rPr>
                <w:rFonts w:ascii="宋体" w:hAnsi="宋体" w:cs="Arial"/>
                <w:color w:val="auto"/>
                <w:sz w:val="21"/>
                <w:szCs w:val="21"/>
                <w:highlight w:val="none"/>
                <w:lang w:bidi="ar"/>
              </w:rPr>
              <w:t>1分/处</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900" w:hRule="atLeast"/>
          <w:jc w:val="center"/>
        </w:trPr>
        <w:tc>
          <w:tcPr>
            <w:tcW w:w="690" w:type="dxa"/>
            <w:vMerge w:val="continue"/>
            <w:noWrap w:val="0"/>
            <w:vAlign w:val="center"/>
          </w:tcPr>
          <w:p>
            <w:pPr>
              <w:spacing w:line="300" w:lineRule="exact"/>
              <w:jc w:val="center"/>
              <w:rPr>
                <w:rFonts w:ascii="宋体" w:hAnsi="宋体" w:cs="Arial"/>
                <w:color w:val="auto"/>
                <w:sz w:val="21"/>
                <w:szCs w:val="21"/>
                <w:highlight w:val="none"/>
              </w:rPr>
            </w:pPr>
          </w:p>
        </w:tc>
        <w:tc>
          <w:tcPr>
            <w:tcW w:w="3720" w:type="dxa"/>
            <w:vMerge w:val="continue"/>
            <w:noWrap w:val="0"/>
            <w:vAlign w:val="center"/>
          </w:tcPr>
          <w:p>
            <w:pPr>
              <w:spacing w:line="300" w:lineRule="exact"/>
              <w:rPr>
                <w:rFonts w:ascii="宋体" w:hAnsi="宋体" w:cs="Arial"/>
                <w:color w:val="auto"/>
                <w:sz w:val="21"/>
                <w:szCs w:val="21"/>
                <w:highlight w:val="none"/>
              </w:rPr>
            </w:pPr>
          </w:p>
        </w:tc>
        <w:tc>
          <w:tcPr>
            <w:tcW w:w="3480" w:type="dxa"/>
            <w:noWrap w:val="0"/>
            <w:vAlign w:val="center"/>
          </w:tcPr>
          <w:p>
            <w:pPr>
              <w:spacing w:line="300" w:lineRule="exact"/>
              <w:textAlignment w:val="center"/>
              <w:rPr>
                <w:rFonts w:ascii="宋体" w:hAnsi="宋体" w:cs="Arial"/>
                <w:color w:val="auto"/>
                <w:sz w:val="21"/>
                <w:szCs w:val="21"/>
                <w:highlight w:val="none"/>
              </w:rPr>
            </w:pPr>
            <w:r>
              <w:rPr>
                <w:rFonts w:ascii="宋体" w:hAnsi="宋体" w:cs="Arial"/>
                <w:color w:val="auto"/>
                <w:sz w:val="21"/>
                <w:szCs w:val="21"/>
                <w:highlight w:val="none"/>
                <w:lang w:bidi="ar"/>
              </w:rPr>
              <w:t>8. 路面两侧乱粘贴、乱涂写、有小广告</w:t>
            </w:r>
          </w:p>
        </w:tc>
        <w:tc>
          <w:tcPr>
            <w:tcW w:w="1305" w:type="dxa"/>
            <w:noWrap w:val="0"/>
            <w:vAlign w:val="center"/>
          </w:tcPr>
          <w:p>
            <w:pPr>
              <w:spacing w:line="300" w:lineRule="exact"/>
              <w:jc w:val="center"/>
              <w:textAlignment w:val="center"/>
              <w:rPr>
                <w:rFonts w:ascii="宋体" w:hAnsi="宋体" w:cs="Arial"/>
                <w:color w:val="auto"/>
                <w:sz w:val="21"/>
                <w:szCs w:val="21"/>
                <w:highlight w:val="none"/>
              </w:rPr>
            </w:pPr>
            <w:r>
              <w:rPr>
                <w:rFonts w:ascii="宋体" w:hAnsi="宋体" w:cs="Arial"/>
                <w:color w:val="auto"/>
                <w:sz w:val="21"/>
                <w:szCs w:val="21"/>
                <w:highlight w:val="none"/>
                <w:lang w:bidi="ar"/>
              </w:rPr>
              <w:t>0.5分/处</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00" w:hRule="atLeast"/>
          <w:jc w:val="center"/>
        </w:trPr>
        <w:tc>
          <w:tcPr>
            <w:tcW w:w="690" w:type="dxa"/>
            <w:vMerge w:val="continue"/>
            <w:noWrap w:val="0"/>
            <w:vAlign w:val="center"/>
          </w:tcPr>
          <w:p>
            <w:pPr>
              <w:spacing w:line="300" w:lineRule="exact"/>
              <w:jc w:val="center"/>
              <w:rPr>
                <w:rFonts w:ascii="宋体" w:hAnsi="宋体" w:cs="Arial"/>
                <w:color w:val="auto"/>
                <w:sz w:val="21"/>
                <w:szCs w:val="21"/>
                <w:highlight w:val="none"/>
              </w:rPr>
            </w:pPr>
          </w:p>
        </w:tc>
        <w:tc>
          <w:tcPr>
            <w:tcW w:w="3720" w:type="dxa"/>
            <w:vMerge w:val="continue"/>
            <w:noWrap w:val="0"/>
            <w:vAlign w:val="center"/>
          </w:tcPr>
          <w:p>
            <w:pPr>
              <w:spacing w:line="300" w:lineRule="exact"/>
              <w:rPr>
                <w:rFonts w:ascii="宋体" w:hAnsi="宋体" w:cs="Arial"/>
                <w:color w:val="auto"/>
                <w:sz w:val="21"/>
                <w:szCs w:val="21"/>
                <w:highlight w:val="none"/>
              </w:rPr>
            </w:pPr>
          </w:p>
        </w:tc>
        <w:tc>
          <w:tcPr>
            <w:tcW w:w="3480" w:type="dxa"/>
            <w:noWrap w:val="0"/>
            <w:vAlign w:val="center"/>
          </w:tcPr>
          <w:p>
            <w:pPr>
              <w:spacing w:line="300" w:lineRule="exact"/>
              <w:textAlignment w:val="center"/>
              <w:rPr>
                <w:rFonts w:ascii="宋体" w:hAnsi="宋体" w:cs="Arial"/>
                <w:color w:val="auto"/>
                <w:sz w:val="21"/>
                <w:szCs w:val="21"/>
                <w:highlight w:val="none"/>
              </w:rPr>
            </w:pPr>
            <w:r>
              <w:rPr>
                <w:rFonts w:ascii="宋体" w:hAnsi="宋体" w:cs="Arial"/>
                <w:color w:val="auto"/>
                <w:sz w:val="21"/>
                <w:szCs w:val="21"/>
                <w:highlight w:val="none"/>
                <w:lang w:bidi="ar"/>
              </w:rPr>
              <w:t>9. 果壳箱未及时加盖、关门、满溢、日产日清的。</w:t>
            </w:r>
          </w:p>
        </w:tc>
        <w:tc>
          <w:tcPr>
            <w:tcW w:w="1305" w:type="dxa"/>
            <w:noWrap w:val="0"/>
            <w:vAlign w:val="center"/>
          </w:tcPr>
          <w:p>
            <w:pPr>
              <w:spacing w:line="300" w:lineRule="exact"/>
              <w:jc w:val="center"/>
              <w:textAlignment w:val="center"/>
              <w:rPr>
                <w:rFonts w:ascii="宋体" w:hAnsi="宋体" w:cs="Arial"/>
                <w:color w:val="auto"/>
                <w:sz w:val="21"/>
                <w:szCs w:val="21"/>
                <w:highlight w:val="none"/>
              </w:rPr>
            </w:pPr>
            <w:r>
              <w:rPr>
                <w:rFonts w:ascii="宋体" w:hAnsi="宋体" w:cs="Arial"/>
                <w:color w:val="auto"/>
                <w:sz w:val="21"/>
                <w:szCs w:val="21"/>
                <w:highlight w:val="none"/>
                <w:lang w:bidi="ar"/>
              </w:rPr>
              <w:t>0.5分/处</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00" w:hRule="atLeast"/>
          <w:jc w:val="center"/>
        </w:trPr>
        <w:tc>
          <w:tcPr>
            <w:tcW w:w="690" w:type="dxa"/>
            <w:vMerge w:val="continue"/>
            <w:noWrap w:val="0"/>
            <w:vAlign w:val="center"/>
          </w:tcPr>
          <w:p>
            <w:pPr>
              <w:spacing w:line="300" w:lineRule="exact"/>
              <w:jc w:val="center"/>
              <w:rPr>
                <w:rFonts w:ascii="宋体" w:hAnsi="宋体" w:cs="Arial"/>
                <w:color w:val="auto"/>
                <w:sz w:val="21"/>
                <w:szCs w:val="21"/>
                <w:highlight w:val="none"/>
              </w:rPr>
            </w:pPr>
          </w:p>
        </w:tc>
        <w:tc>
          <w:tcPr>
            <w:tcW w:w="3720" w:type="dxa"/>
            <w:vMerge w:val="continue"/>
            <w:noWrap w:val="0"/>
            <w:vAlign w:val="center"/>
          </w:tcPr>
          <w:p>
            <w:pPr>
              <w:spacing w:line="300" w:lineRule="exact"/>
              <w:rPr>
                <w:rFonts w:ascii="宋体" w:hAnsi="宋体" w:cs="Arial"/>
                <w:color w:val="auto"/>
                <w:sz w:val="21"/>
                <w:szCs w:val="21"/>
                <w:highlight w:val="none"/>
              </w:rPr>
            </w:pPr>
          </w:p>
        </w:tc>
        <w:tc>
          <w:tcPr>
            <w:tcW w:w="3480" w:type="dxa"/>
            <w:noWrap w:val="0"/>
            <w:vAlign w:val="center"/>
          </w:tcPr>
          <w:p>
            <w:pPr>
              <w:spacing w:line="300" w:lineRule="exact"/>
              <w:textAlignment w:val="center"/>
              <w:rPr>
                <w:rFonts w:ascii="宋体" w:hAnsi="宋体" w:cs="Arial"/>
                <w:color w:val="auto"/>
                <w:sz w:val="21"/>
                <w:szCs w:val="21"/>
                <w:highlight w:val="none"/>
              </w:rPr>
            </w:pPr>
            <w:r>
              <w:rPr>
                <w:rFonts w:ascii="宋体" w:hAnsi="宋体" w:cs="Arial"/>
                <w:color w:val="auto"/>
                <w:sz w:val="21"/>
                <w:szCs w:val="21"/>
                <w:highlight w:val="none"/>
                <w:lang w:bidi="ar"/>
              </w:rPr>
              <w:t>10. 垃圾坞、路灯杆、护栏、交通隔离栏、公交站台（除已有维养单位外）、站牌、灯箱、广告牌、报刊（信息）亭、电话亭、邮政信箱、固定室外座椅等城市家具未清洗的，每处扣1分；清洗不到位的，每处扣0.5分。</w:t>
            </w:r>
          </w:p>
        </w:tc>
        <w:tc>
          <w:tcPr>
            <w:tcW w:w="1305" w:type="dxa"/>
            <w:noWrap w:val="0"/>
            <w:vAlign w:val="center"/>
          </w:tcPr>
          <w:p>
            <w:pPr>
              <w:spacing w:line="300" w:lineRule="exact"/>
              <w:jc w:val="center"/>
              <w:textAlignment w:val="center"/>
              <w:rPr>
                <w:rFonts w:ascii="宋体" w:hAnsi="宋体" w:cs="Arial"/>
                <w:color w:val="auto"/>
                <w:sz w:val="21"/>
                <w:szCs w:val="21"/>
                <w:highlight w:val="none"/>
              </w:rPr>
            </w:pPr>
            <w:r>
              <w:rPr>
                <w:rFonts w:ascii="宋体" w:hAnsi="宋体" w:cs="Arial"/>
                <w:color w:val="auto"/>
                <w:sz w:val="21"/>
                <w:szCs w:val="21"/>
                <w:highlight w:val="none"/>
                <w:lang w:bidi="ar"/>
              </w:rPr>
              <w:t>0.5-1分/处</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00" w:hRule="atLeast"/>
          <w:jc w:val="center"/>
        </w:trPr>
        <w:tc>
          <w:tcPr>
            <w:tcW w:w="690" w:type="dxa"/>
            <w:vMerge w:val="continue"/>
            <w:noWrap w:val="0"/>
            <w:vAlign w:val="center"/>
          </w:tcPr>
          <w:p>
            <w:pPr>
              <w:spacing w:line="300" w:lineRule="exact"/>
              <w:jc w:val="center"/>
              <w:rPr>
                <w:rFonts w:ascii="宋体" w:hAnsi="宋体" w:cs="Arial"/>
                <w:color w:val="auto"/>
                <w:sz w:val="21"/>
                <w:szCs w:val="21"/>
                <w:highlight w:val="none"/>
              </w:rPr>
            </w:pPr>
          </w:p>
        </w:tc>
        <w:tc>
          <w:tcPr>
            <w:tcW w:w="3720" w:type="dxa"/>
            <w:vMerge w:val="continue"/>
            <w:noWrap w:val="0"/>
            <w:vAlign w:val="center"/>
          </w:tcPr>
          <w:p>
            <w:pPr>
              <w:spacing w:line="300" w:lineRule="exact"/>
              <w:rPr>
                <w:rFonts w:ascii="宋体" w:hAnsi="宋体" w:cs="Arial"/>
                <w:color w:val="auto"/>
                <w:sz w:val="21"/>
                <w:szCs w:val="21"/>
                <w:highlight w:val="none"/>
              </w:rPr>
            </w:pPr>
          </w:p>
        </w:tc>
        <w:tc>
          <w:tcPr>
            <w:tcW w:w="3480" w:type="dxa"/>
            <w:noWrap w:val="0"/>
            <w:vAlign w:val="center"/>
          </w:tcPr>
          <w:p>
            <w:pPr>
              <w:spacing w:line="300" w:lineRule="exact"/>
              <w:textAlignment w:val="center"/>
              <w:rPr>
                <w:rFonts w:ascii="宋体" w:hAnsi="宋体" w:cs="Arial"/>
                <w:color w:val="auto"/>
                <w:sz w:val="21"/>
                <w:szCs w:val="21"/>
                <w:highlight w:val="none"/>
              </w:rPr>
            </w:pPr>
            <w:r>
              <w:rPr>
                <w:rFonts w:ascii="宋体" w:hAnsi="宋体" w:cs="Arial"/>
                <w:color w:val="auto"/>
                <w:sz w:val="21"/>
                <w:szCs w:val="21"/>
                <w:highlight w:val="none"/>
                <w:lang w:bidi="ar"/>
              </w:rPr>
              <w:t>11 装修垃圾、大件垃圾、房前屋后乱堆放杂物、田间废弃农具、废弃农膜未清运或物主阻挠未报告的。</w:t>
            </w:r>
          </w:p>
        </w:tc>
        <w:tc>
          <w:tcPr>
            <w:tcW w:w="1305" w:type="dxa"/>
            <w:noWrap w:val="0"/>
            <w:vAlign w:val="center"/>
          </w:tcPr>
          <w:p>
            <w:pPr>
              <w:spacing w:line="300" w:lineRule="exact"/>
              <w:jc w:val="center"/>
              <w:textAlignment w:val="center"/>
              <w:rPr>
                <w:rFonts w:ascii="宋体" w:hAnsi="宋体" w:cs="Arial"/>
                <w:color w:val="auto"/>
                <w:sz w:val="21"/>
                <w:szCs w:val="21"/>
                <w:highlight w:val="none"/>
              </w:rPr>
            </w:pPr>
            <w:r>
              <w:rPr>
                <w:rFonts w:ascii="宋体" w:hAnsi="宋体" w:cs="Arial"/>
                <w:color w:val="auto"/>
                <w:sz w:val="21"/>
                <w:szCs w:val="21"/>
                <w:highlight w:val="none"/>
                <w:lang w:bidi="ar"/>
              </w:rPr>
              <w:t>1分/处</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00" w:hRule="atLeast"/>
          <w:jc w:val="center"/>
        </w:trPr>
        <w:tc>
          <w:tcPr>
            <w:tcW w:w="690" w:type="dxa"/>
            <w:vMerge w:val="continue"/>
            <w:noWrap w:val="0"/>
            <w:vAlign w:val="center"/>
          </w:tcPr>
          <w:p>
            <w:pPr>
              <w:spacing w:line="300" w:lineRule="exact"/>
              <w:jc w:val="center"/>
              <w:rPr>
                <w:rFonts w:ascii="宋体" w:hAnsi="宋体" w:cs="Arial"/>
                <w:color w:val="auto"/>
                <w:sz w:val="21"/>
                <w:szCs w:val="21"/>
                <w:highlight w:val="none"/>
              </w:rPr>
            </w:pPr>
          </w:p>
        </w:tc>
        <w:tc>
          <w:tcPr>
            <w:tcW w:w="3720" w:type="dxa"/>
            <w:vMerge w:val="continue"/>
            <w:noWrap w:val="0"/>
            <w:vAlign w:val="center"/>
          </w:tcPr>
          <w:p>
            <w:pPr>
              <w:spacing w:line="300" w:lineRule="exact"/>
              <w:rPr>
                <w:rFonts w:ascii="宋体" w:hAnsi="宋体" w:cs="Arial"/>
                <w:color w:val="auto"/>
                <w:sz w:val="21"/>
                <w:szCs w:val="21"/>
                <w:highlight w:val="none"/>
              </w:rPr>
            </w:pPr>
          </w:p>
        </w:tc>
        <w:tc>
          <w:tcPr>
            <w:tcW w:w="3480" w:type="dxa"/>
            <w:noWrap w:val="0"/>
            <w:vAlign w:val="center"/>
          </w:tcPr>
          <w:p>
            <w:pPr>
              <w:spacing w:line="300" w:lineRule="exact"/>
              <w:textAlignment w:val="center"/>
              <w:rPr>
                <w:rFonts w:ascii="宋体" w:hAnsi="宋体" w:cs="Arial"/>
                <w:color w:val="auto"/>
                <w:sz w:val="21"/>
                <w:szCs w:val="21"/>
                <w:highlight w:val="none"/>
              </w:rPr>
            </w:pPr>
            <w:r>
              <w:rPr>
                <w:rFonts w:ascii="宋体" w:hAnsi="宋体" w:cs="Arial"/>
                <w:color w:val="auto"/>
                <w:sz w:val="21"/>
                <w:szCs w:val="21"/>
                <w:highlight w:val="none"/>
                <w:lang w:bidi="ar"/>
              </w:rPr>
              <w:t>12. 绿化带内发现共享单车</w:t>
            </w:r>
          </w:p>
        </w:tc>
        <w:tc>
          <w:tcPr>
            <w:tcW w:w="1305" w:type="dxa"/>
            <w:noWrap w:val="0"/>
            <w:vAlign w:val="center"/>
          </w:tcPr>
          <w:p>
            <w:pPr>
              <w:spacing w:line="300" w:lineRule="exact"/>
              <w:jc w:val="center"/>
              <w:textAlignment w:val="center"/>
              <w:rPr>
                <w:rFonts w:ascii="宋体" w:hAnsi="宋体" w:cs="Arial"/>
                <w:color w:val="auto"/>
                <w:sz w:val="21"/>
                <w:szCs w:val="21"/>
                <w:highlight w:val="none"/>
              </w:rPr>
            </w:pPr>
            <w:r>
              <w:rPr>
                <w:rFonts w:ascii="宋体" w:hAnsi="宋体" w:cs="Arial"/>
                <w:color w:val="auto"/>
                <w:sz w:val="21"/>
                <w:szCs w:val="21"/>
                <w:highlight w:val="none"/>
                <w:lang w:bidi="ar"/>
              </w:rPr>
              <w:t>1分/处</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20" w:hRule="atLeast"/>
          <w:jc w:val="center"/>
        </w:trPr>
        <w:tc>
          <w:tcPr>
            <w:tcW w:w="690" w:type="dxa"/>
            <w:vMerge w:val="restart"/>
            <w:noWrap w:val="0"/>
            <w:vAlign w:val="center"/>
          </w:tcPr>
          <w:p>
            <w:pPr>
              <w:spacing w:line="300" w:lineRule="exact"/>
              <w:jc w:val="center"/>
              <w:textAlignment w:val="center"/>
              <w:rPr>
                <w:rFonts w:ascii="宋体" w:hAnsi="宋体" w:cs="Arial"/>
                <w:color w:val="auto"/>
                <w:sz w:val="21"/>
                <w:szCs w:val="21"/>
                <w:highlight w:val="none"/>
              </w:rPr>
            </w:pPr>
            <w:r>
              <w:rPr>
                <w:rFonts w:ascii="宋体" w:hAnsi="宋体" w:cs="Arial"/>
                <w:color w:val="auto"/>
                <w:sz w:val="21"/>
                <w:szCs w:val="21"/>
                <w:highlight w:val="none"/>
                <w:lang w:bidi="ar"/>
              </w:rPr>
              <w:t>规范作业</w:t>
            </w:r>
          </w:p>
        </w:tc>
        <w:tc>
          <w:tcPr>
            <w:tcW w:w="3720" w:type="dxa"/>
            <w:vMerge w:val="restart"/>
            <w:noWrap w:val="0"/>
            <w:vAlign w:val="center"/>
          </w:tcPr>
          <w:p>
            <w:pPr>
              <w:spacing w:line="300" w:lineRule="exact"/>
              <w:textAlignment w:val="center"/>
              <w:rPr>
                <w:rFonts w:hint="eastAsia" w:ascii="宋体" w:hAnsi="宋体" w:cs="Arial"/>
                <w:color w:val="auto"/>
                <w:sz w:val="21"/>
                <w:szCs w:val="21"/>
                <w:highlight w:val="none"/>
                <w:lang w:bidi="ar"/>
              </w:rPr>
            </w:pPr>
            <w:r>
              <w:rPr>
                <w:rFonts w:ascii="宋体" w:hAnsi="宋体" w:cs="Arial"/>
                <w:color w:val="auto"/>
                <w:sz w:val="21"/>
                <w:szCs w:val="21"/>
                <w:highlight w:val="none"/>
                <w:lang w:bidi="ar"/>
              </w:rPr>
              <w:t>1、保洁作业人员需配证上岗，不得擅自离（脱）岗，不与人闲谈，工间休息时间不得超过 15 分钟。保洁作业人员按规定穿着工作服或反光安全服，保持衣冠整齐。</w:t>
            </w:r>
          </w:p>
          <w:p>
            <w:pPr>
              <w:spacing w:line="300" w:lineRule="exact"/>
              <w:textAlignment w:val="center"/>
              <w:rPr>
                <w:rFonts w:hint="eastAsia" w:ascii="宋体" w:hAnsi="宋体" w:cs="Arial"/>
                <w:color w:val="auto"/>
                <w:sz w:val="21"/>
                <w:szCs w:val="21"/>
                <w:highlight w:val="none"/>
                <w:lang w:bidi="ar"/>
              </w:rPr>
            </w:pPr>
            <w:r>
              <w:rPr>
                <w:rFonts w:ascii="宋体" w:hAnsi="宋体" w:cs="Arial"/>
                <w:color w:val="auto"/>
                <w:sz w:val="21"/>
                <w:szCs w:val="21"/>
                <w:highlight w:val="none"/>
                <w:lang w:bidi="ar"/>
              </w:rPr>
              <w:t>2、不得将垃圾扫入窨井、花坛、绿化带；清扫作业中不得漏扫、甩扫，清扫过程中要控制扬尘，避免妨碍行人。2、不得将垃圾扫入窨井、花坛、绿化带；清扫作业中不得漏扫、甩扫，清扫过程中要控制扬尘，避免妨碍行人。</w:t>
            </w:r>
          </w:p>
          <w:p>
            <w:pPr>
              <w:spacing w:line="300" w:lineRule="exact"/>
              <w:textAlignment w:val="center"/>
              <w:rPr>
                <w:rFonts w:hint="eastAsia" w:ascii="宋体" w:hAnsi="宋体" w:cs="Arial"/>
                <w:color w:val="auto"/>
                <w:sz w:val="21"/>
                <w:szCs w:val="21"/>
                <w:highlight w:val="none"/>
                <w:lang w:bidi="ar"/>
              </w:rPr>
            </w:pPr>
            <w:r>
              <w:rPr>
                <w:rFonts w:ascii="宋体" w:hAnsi="宋体" w:cs="Arial"/>
                <w:color w:val="auto"/>
                <w:sz w:val="21"/>
                <w:szCs w:val="21"/>
                <w:highlight w:val="none"/>
                <w:lang w:bidi="ar"/>
              </w:rPr>
              <w:t>3、交接班不得出现空档，责任区交界处清扫保洁各过界 10米。</w:t>
            </w:r>
          </w:p>
          <w:p>
            <w:pPr>
              <w:spacing w:line="300" w:lineRule="exact"/>
              <w:textAlignment w:val="center"/>
              <w:rPr>
                <w:rFonts w:hint="eastAsia" w:ascii="宋体" w:hAnsi="宋体" w:cs="Arial"/>
                <w:color w:val="auto"/>
                <w:sz w:val="21"/>
                <w:szCs w:val="21"/>
                <w:highlight w:val="none"/>
                <w:lang w:bidi="ar"/>
              </w:rPr>
            </w:pPr>
            <w:r>
              <w:rPr>
                <w:rFonts w:ascii="宋体" w:hAnsi="宋体" w:cs="Arial"/>
                <w:color w:val="auto"/>
                <w:sz w:val="21"/>
                <w:szCs w:val="21"/>
                <w:highlight w:val="none"/>
                <w:lang w:bidi="ar"/>
              </w:rPr>
              <w:t>4、垃圾在指定地点倾倒，不得焚烧垃圾；垃圾运输实行密闭，不得超高运输和吊挂杂物。</w:t>
            </w:r>
          </w:p>
          <w:p>
            <w:pPr>
              <w:spacing w:line="300" w:lineRule="exact"/>
              <w:textAlignment w:val="center"/>
              <w:rPr>
                <w:rFonts w:ascii="宋体" w:hAnsi="宋体" w:cs="Arial"/>
                <w:color w:val="auto"/>
                <w:sz w:val="21"/>
                <w:szCs w:val="21"/>
                <w:highlight w:val="none"/>
              </w:rPr>
            </w:pPr>
            <w:r>
              <w:rPr>
                <w:rFonts w:ascii="宋体" w:hAnsi="宋体" w:cs="Arial"/>
                <w:color w:val="auto"/>
                <w:sz w:val="21"/>
                <w:szCs w:val="21"/>
                <w:highlight w:val="none"/>
                <w:lang w:bidi="ar"/>
              </w:rPr>
              <w:t>5、已开展定时定点垃圾收运的道路，保洁人员应在规定时间内按规定分类收集，禁止混装混运。严禁作业人员擅自向责任区内单位收取各种费用；沿街商铺，保洁人员应上门搜集垃圾并进行广播提示。严禁拖拽垃圾桶进行保洁作业。实行垃圾定点定时投放区域，应派驻劝导员。</w:t>
            </w:r>
          </w:p>
        </w:tc>
        <w:tc>
          <w:tcPr>
            <w:tcW w:w="3480" w:type="dxa"/>
            <w:noWrap w:val="0"/>
            <w:vAlign w:val="center"/>
          </w:tcPr>
          <w:p>
            <w:pPr>
              <w:spacing w:line="300" w:lineRule="exact"/>
              <w:textAlignment w:val="center"/>
              <w:rPr>
                <w:rFonts w:ascii="宋体" w:hAnsi="宋体" w:cs="Arial"/>
                <w:color w:val="auto"/>
                <w:sz w:val="21"/>
                <w:szCs w:val="21"/>
                <w:highlight w:val="none"/>
              </w:rPr>
            </w:pPr>
            <w:r>
              <w:rPr>
                <w:rFonts w:ascii="宋体" w:hAnsi="宋体" w:cs="Arial"/>
                <w:color w:val="auto"/>
                <w:sz w:val="21"/>
                <w:szCs w:val="21"/>
                <w:highlight w:val="none"/>
                <w:lang w:bidi="ar"/>
              </w:rPr>
              <w:t>1. 未穿着工作服或反光安全服</w:t>
            </w:r>
          </w:p>
        </w:tc>
        <w:tc>
          <w:tcPr>
            <w:tcW w:w="1305" w:type="dxa"/>
            <w:noWrap w:val="0"/>
            <w:vAlign w:val="center"/>
          </w:tcPr>
          <w:p>
            <w:pPr>
              <w:spacing w:line="300" w:lineRule="exact"/>
              <w:jc w:val="center"/>
              <w:textAlignment w:val="center"/>
              <w:rPr>
                <w:rFonts w:ascii="宋体" w:hAnsi="宋体" w:cs="Arial"/>
                <w:color w:val="auto"/>
                <w:sz w:val="21"/>
                <w:szCs w:val="21"/>
                <w:highlight w:val="none"/>
              </w:rPr>
            </w:pPr>
            <w:r>
              <w:rPr>
                <w:rFonts w:ascii="宋体" w:hAnsi="宋体" w:cs="Arial"/>
                <w:color w:val="auto"/>
                <w:sz w:val="21"/>
                <w:szCs w:val="21"/>
                <w:highlight w:val="none"/>
                <w:lang w:bidi="ar"/>
              </w:rPr>
              <w:t>0.5分/人次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690" w:type="dxa"/>
            <w:vMerge w:val="continue"/>
            <w:noWrap w:val="0"/>
            <w:vAlign w:val="center"/>
          </w:tcPr>
          <w:p>
            <w:pPr>
              <w:spacing w:line="300" w:lineRule="exact"/>
              <w:jc w:val="center"/>
              <w:rPr>
                <w:rFonts w:ascii="宋体" w:hAnsi="宋体" w:cs="Arial"/>
                <w:color w:val="auto"/>
                <w:sz w:val="21"/>
                <w:szCs w:val="21"/>
                <w:highlight w:val="none"/>
              </w:rPr>
            </w:pPr>
          </w:p>
        </w:tc>
        <w:tc>
          <w:tcPr>
            <w:tcW w:w="3720" w:type="dxa"/>
            <w:vMerge w:val="continue"/>
            <w:noWrap w:val="0"/>
            <w:vAlign w:val="center"/>
          </w:tcPr>
          <w:p>
            <w:pPr>
              <w:spacing w:line="300" w:lineRule="exact"/>
              <w:rPr>
                <w:rFonts w:ascii="宋体" w:hAnsi="宋体" w:cs="Arial"/>
                <w:color w:val="auto"/>
                <w:sz w:val="21"/>
                <w:szCs w:val="21"/>
                <w:highlight w:val="none"/>
              </w:rPr>
            </w:pPr>
          </w:p>
        </w:tc>
        <w:tc>
          <w:tcPr>
            <w:tcW w:w="3480" w:type="dxa"/>
            <w:noWrap w:val="0"/>
            <w:vAlign w:val="center"/>
          </w:tcPr>
          <w:p>
            <w:pPr>
              <w:spacing w:line="300" w:lineRule="exact"/>
              <w:textAlignment w:val="center"/>
              <w:rPr>
                <w:rFonts w:ascii="宋体" w:hAnsi="宋体" w:cs="Arial"/>
                <w:color w:val="auto"/>
                <w:sz w:val="21"/>
                <w:szCs w:val="21"/>
                <w:highlight w:val="none"/>
              </w:rPr>
            </w:pPr>
            <w:r>
              <w:rPr>
                <w:rFonts w:ascii="宋体" w:hAnsi="宋体" w:cs="Arial"/>
                <w:color w:val="auto"/>
                <w:sz w:val="21"/>
                <w:szCs w:val="21"/>
                <w:highlight w:val="none"/>
                <w:lang w:bidi="ar"/>
              </w:rPr>
              <w:t>2.垃圾未实行密闭运输一次扣0.5分；存在垃圾拖挂行为的，每次扣1分。</w:t>
            </w:r>
          </w:p>
        </w:tc>
        <w:tc>
          <w:tcPr>
            <w:tcW w:w="1305" w:type="dxa"/>
            <w:noWrap w:val="0"/>
            <w:vAlign w:val="center"/>
          </w:tcPr>
          <w:p>
            <w:pPr>
              <w:spacing w:line="300" w:lineRule="exact"/>
              <w:jc w:val="center"/>
              <w:textAlignment w:val="center"/>
              <w:rPr>
                <w:rFonts w:ascii="宋体" w:hAnsi="宋体" w:cs="Arial"/>
                <w:color w:val="auto"/>
                <w:sz w:val="21"/>
                <w:szCs w:val="21"/>
                <w:highlight w:val="none"/>
              </w:rPr>
            </w:pPr>
            <w:r>
              <w:rPr>
                <w:rFonts w:ascii="宋体" w:hAnsi="宋体" w:cs="Arial"/>
                <w:color w:val="auto"/>
                <w:sz w:val="21"/>
                <w:szCs w:val="21"/>
                <w:highlight w:val="none"/>
                <w:lang w:bidi="ar"/>
              </w:rPr>
              <w:t>0.5-1分/次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40" w:hRule="atLeast"/>
          <w:jc w:val="center"/>
        </w:trPr>
        <w:tc>
          <w:tcPr>
            <w:tcW w:w="690" w:type="dxa"/>
            <w:vMerge w:val="continue"/>
            <w:noWrap w:val="0"/>
            <w:vAlign w:val="center"/>
          </w:tcPr>
          <w:p>
            <w:pPr>
              <w:spacing w:line="300" w:lineRule="exact"/>
              <w:jc w:val="center"/>
              <w:rPr>
                <w:rFonts w:ascii="宋体" w:hAnsi="宋体" w:cs="Arial"/>
                <w:color w:val="auto"/>
                <w:sz w:val="21"/>
                <w:szCs w:val="21"/>
                <w:highlight w:val="none"/>
              </w:rPr>
            </w:pPr>
          </w:p>
        </w:tc>
        <w:tc>
          <w:tcPr>
            <w:tcW w:w="3720" w:type="dxa"/>
            <w:vMerge w:val="continue"/>
            <w:noWrap w:val="0"/>
            <w:vAlign w:val="center"/>
          </w:tcPr>
          <w:p>
            <w:pPr>
              <w:spacing w:line="300" w:lineRule="exact"/>
              <w:rPr>
                <w:rFonts w:ascii="宋体" w:hAnsi="宋体" w:cs="Arial"/>
                <w:color w:val="auto"/>
                <w:sz w:val="21"/>
                <w:szCs w:val="21"/>
                <w:highlight w:val="none"/>
              </w:rPr>
            </w:pPr>
          </w:p>
        </w:tc>
        <w:tc>
          <w:tcPr>
            <w:tcW w:w="3480" w:type="dxa"/>
            <w:noWrap w:val="0"/>
            <w:vAlign w:val="center"/>
          </w:tcPr>
          <w:p>
            <w:pPr>
              <w:spacing w:line="300" w:lineRule="exact"/>
              <w:textAlignment w:val="center"/>
              <w:rPr>
                <w:rFonts w:ascii="宋体" w:hAnsi="宋体" w:cs="Arial"/>
                <w:color w:val="auto"/>
                <w:sz w:val="21"/>
                <w:szCs w:val="21"/>
                <w:highlight w:val="none"/>
              </w:rPr>
            </w:pPr>
            <w:r>
              <w:rPr>
                <w:rFonts w:ascii="宋体" w:hAnsi="宋体" w:cs="Arial"/>
                <w:color w:val="auto"/>
                <w:sz w:val="21"/>
                <w:szCs w:val="21"/>
                <w:highlight w:val="none"/>
                <w:lang w:bidi="ar"/>
              </w:rPr>
              <w:t>3. 故意将垃圾扫入或倒入窨井、花坛、绿化带、果壳箱</w:t>
            </w:r>
          </w:p>
        </w:tc>
        <w:tc>
          <w:tcPr>
            <w:tcW w:w="1305" w:type="dxa"/>
            <w:noWrap w:val="0"/>
            <w:vAlign w:val="center"/>
          </w:tcPr>
          <w:p>
            <w:pPr>
              <w:spacing w:line="300" w:lineRule="exact"/>
              <w:jc w:val="center"/>
              <w:textAlignment w:val="center"/>
              <w:rPr>
                <w:rFonts w:ascii="宋体" w:hAnsi="宋体" w:cs="Arial"/>
                <w:color w:val="auto"/>
                <w:sz w:val="21"/>
                <w:szCs w:val="21"/>
                <w:highlight w:val="none"/>
              </w:rPr>
            </w:pPr>
            <w:r>
              <w:rPr>
                <w:rFonts w:ascii="宋体" w:hAnsi="宋体" w:cs="Arial"/>
                <w:color w:val="auto"/>
                <w:sz w:val="21"/>
                <w:szCs w:val="21"/>
                <w:highlight w:val="none"/>
                <w:lang w:bidi="ar"/>
              </w:rPr>
              <w:t>1分/次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20" w:hRule="atLeast"/>
          <w:jc w:val="center"/>
        </w:trPr>
        <w:tc>
          <w:tcPr>
            <w:tcW w:w="690" w:type="dxa"/>
            <w:vMerge w:val="continue"/>
            <w:noWrap w:val="0"/>
            <w:vAlign w:val="center"/>
          </w:tcPr>
          <w:p>
            <w:pPr>
              <w:spacing w:line="300" w:lineRule="exact"/>
              <w:jc w:val="center"/>
              <w:rPr>
                <w:rFonts w:ascii="宋体" w:hAnsi="宋体" w:cs="Arial"/>
                <w:color w:val="auto"/>
                <w:sz w:val="21"/>
                <w:szCs w:val="21"/>
                <w:highlight w:val="none"/>
              </w:rPr>
            </w:pPr>
          </w:p>
        </w:tc>
        <w:tc>
          <w:tcPr>
            <w:tcW w:w="3720" w:type="dxa"/>
            <w:vMerge w:val="continue"/>
            <w:noWrap w:val="0"/>
            <w:vAlign w:val="center"/>
          </w:tcPr>
          <w:p>
            <w:pPr>
              <w:spacing w:line="300" w:lineRule="exact"/>
              <w:rPr>
                <w:rFonts w:ascii="宋体" w:hAnsi="宋体" w:cs="Arial"/>
                <w:color w:val="auto"/>
                <w:sz w:val="21"/>
                <w:szCs w:val="21"/>
                <w:highlight w:val="none"/>
              </w:rPr>
            </w:pPr>
          </w:p>
        </w:tc>
        <w:tc>
          <w:tcPr>
            <w:tcW w:w="3480" w:type="dxa"/>
            <w:noWrap w:val="0"/>
            <w:vAlign w:val="center"/>
          </w:tcPr>
          <w:p>
            <w:pPr>
              <w:spacing w:line="300" w:lineRule="exact"/>
              <w:textAlignment w:val="center"/>
              <w:rPr>
                <w:rFonts w:ascii="宋体" w:hAnsi="宋体" w:cs="Arial"/>
                <w:color w:val="auto"/>
                <w:sz w:val="21"/>
                <w:szCs w:val="21"/>
                <w:highlight w:val="none"/>
              </w:rPr>
            </w:pPr>
            <w:r>
              <w:rPr>
                <w:rFonts w:ascii="宋体" w:hAnsi="宋体" w:cs="Arial"/>
                <w:color w:val="auto"/>
                <w:sz w:val="21"/>
                <w:szCs w:val="21"/>
                <w:highlight w:val="none"/>
                <w:lang w:bidi="ar"/>
              </w:rPr>
              <w:t>4. 作业中发现甩扫的、路面扬尘、妨碍行人</w:t>
            </w:r>
          </w:p>
        </w:tc>
        <w:tc>
          <w:tcPr>
            <w:tcW w:w="1305" w:type="dxa"/>
            <w:noWrap w:val="0"/>
            <w:vAlign w:val="center"/>
          </w:tcPr>
          <w:p>
            <w:pPr>
              <w:spacing w:line="300" w:lineRule="exact"/>
              <w:jc w:val="center"/>
              <w:textAlignment w:val="center"/>
              <w:rPr>
                <w:rFonts w:ascii="宋体" w:hAnsi="宋体" w:cs="Arial"/>
                <w:color w:val="auto"/>
                <w:sz w:val="21"/>
                <w:szCs w:val="21"/>
                <w:highlight w:val="none"/>
              </w:rPr>
            </w:pPr>
            <w:r>
              <w:rPr>
                <w:rFonts w:ascii="宋体" w:hAnsi="宋体" w:cs="Arial"/>
                <w:color w:val="auto"/>
                <w:sz w:val="21"/>
                <w:szCs w:val="21"/>
                <w:highlight w:val="none"/>
                <w:lang w:bidi="ar"/>
              </w:rPr>
              <w:t>1分/次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20" w:hRule="atLeast"/>
          <w:jc w:val="center"/>
        </w:trPr>
        <w:tc>
          <w:tcPr>
            <w:tcW w:w="690" w:type="dxa"/>
            <w:vMerge w:val="continue"/>
            <w:noWrap w:val="0"/>
            <w:vAlign w:val="center"/>
          </w:tcPr>
          <w:p>
            <w:pPr>
              <w:spacing w:line="300" w:lineRule="exact"/>
              <w:jc w:val="center"/>
              <w:rPr>
                <w:rFonts w:ascii="宋体" w:hAnsi="宋体" w:cs="Arial"/>
                <w:color w:val="auto"/>
                <w:sz w:val="21"/>
                <w:szCs w:val="21"/>
                <w:highlight w:val="none"/>
              </w:rPr>
            </w:pPr>
          </w:p>
        </w:tc>
        <w:tc>
          <w:tcPr>
            <w:tcW w:w="3720" w:type="dxa"/>
            <w:vMerge w:val="continue"/>
            <w:noWrap w:val="0"/>
            <w:vAlign w:val="center"/>
          </w:tcPr>
          <w:p>
            <w:pPr>
              <w:spacing w:line="300" w:lineRule="exact"/>
              <w:rPr>
                <w:rFonts w:ascii="宋体" w:hAnsi="宋体" w:cs="Arial"/>
                <w:color w:val="auto"/>
                <w:sz w:val="21"/>
                <w:szCs w:val="21"/>
                <w:highlight w:val="none"/>
              </w:rPr>
            </w:pPr>
          </w:p>
        </w:tc>
        <w:tc>
          <w:tcPr>
            <w:tcW w:w="3480" w:type="dxa"/>
            <w:noWrap w:val="0"/>
            <w:vAlign w:val="center"/>
          </w:tcPr>
          <w:p>
            <w:pPr>
              <w:spacing w:line="300" w:lineRule="exact"/>
              <w:textAlignment w:val="center"/>
              <w:rPr>
                <w:rFonts w:ascii="宋体" w:hAnsi="宋体" w:cs="Arial"/>
                <w:color w:val="auto"/>
                <w:sz w:val="21"/>
                <w:szCs w:val="21"/>
                <w:highlight w:val="none"/>
              </w:rPr>
            </w:pPr>
            <w:r>
              <w:rPr>
                <w:rFonts w:ascii="宋体" w:hAnsi="宋体" w:cs="Arial"/>
                <w:color w:val="auto"/>
                <w:sz w:val="21"/>
                <w:szCs w:val="21"/>
                <w:highlight w:val="none"/>
                <w:lang w:bidi="ar"/>
              </w:rPr>
              <w:t>5. 交接班出现空档或交界处清扫未过界10米</w:t>
            </w:r>
          </w:p>
        </w:tc>
        <w:tc>
          <w:tcPr>
            <w:tcW w:w="1305" w:type="dxa"/>
            <w:noWrap w:val="0"/>
            <w:vAlign w:val="center"/>
          </w:tcPr>
          <w:p>
            <w:pPr>
              <w:spacing w:line="300" w:lineRule="exact"/>
              <w:jc w:val="center"/>
              <w:textAlignment w:val="center"/>
              <w:rPr>
                <w:rFonts w:ascii="宋体" w:hAnsi="宋体" w:cs="Arial"/>
                <w:color w:val="auto"/>
                <w:sz w:val="21"/>
                <w:szCs w:val="21"/>
                <w:highlight w:val="none"/>
              </w:rPr>
            </w:pPr>
            <w:r>
              <w:rPr>
                <w:rFonts w:ascii="宋体" w:hAnsi="宋体" w:cs="Arial"/>
                <w:color w:val="auto"/>
                <w:sz w:val="21"/>
                <w:szCs w:val="21"/>
                <w:highlight w:val="none"/>
                <w:lang w:bidi="ar"/>
              </w:rPr>
              <w:t>0.5分/次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20" w:hRule="atLeast"/>
          <w:jc w:val="center"/>
        </w:trPr>
        <w:tc>
          <w:tcPr>
            <w:tcW w:w="690" w:type="dxa"/>
            <w:vMerge w:val="continue"/>
            <w:noWrap w:val="0"/>
            <w:vAlign w:val="center"/>
          </w:tcPr>
          <w:p>
            <w:pPr>
              <w:spacing w:line="300" w:lineRule="exact"/>
              <w:jc w:val="center"/>
              <w:rPr>
                <w:rFonts w:ascii="宋体" w:hAnsi="宋体" w:cs="Arial"/>
                <w:color w:val="auto"/>
                <w:sz w:val="21"/>
                <w:szCs w:val="21"/>
                <w:highlight w:val="none"/>
              </w:rPr>
            </w:pPr>
          </w:p>
        </w:tc>
        <w:tc>
          <w:tcPr>
            <w:tcW w:w="3720" w:type="dxa"/>
            <w:vMerge w:val="continue"/>
            <w:noWrap w:val="0"/>
            <w:vAlign w:val="center"/>
          </w:tcPr>
          <w:p>
            <w:pPr>
              <w:spacing w:line="300" w:lineRule="exact"/>
              <w:rPr>
                <w:rFonts w:ascii="宋体" w:hAnsi="宋体" w:cs="Arial"/>
                <w:color w:val="auto"/>
                <w:sz w:val="21"/>
                <w:szCs w:val="21"/>
                <w:highlight w:val="none"/>
              </w:rPr>
            </w:pPr>
          </w:p>
        </w:tc>
        <w:tc>
          <w:tcPr>
            <w:tcW w:w="3480" w:type="dxa"/>
            <w:noWrap w:val="0"/>
            <w:vAlign w:val="center"/>
          </w:tcPr>
          <w:p>
            <w:pPr>
              <w:spacing w:line="300" w:lineRule="exact"/>
              <w:textAlignment w:val="center"/>
              <w:rPr>
                <w:rFonts w:ascii="宋体" w:hAnsi="宋体" w:cs="Arial"/>
                <w:color w:val="auto"/>
                <w:sz w:val="21"/>
                <w:szCs w:val="21"/>
                <w:highlight w:val="none"/>
              </w:rPr>
            </w:pPr>
            <w:r>
              <w:rPr>
                <w:rFonts w:ascii="宋体" w:hAnsi="宋体" w:cs="Arial"/>
                <w:color w:val="auto"/>
                <w:sz w:val="21"/>
                <w:szCs w:val="21"/>
                <w:highlight w:val="none"/>
                <w:lang w:bidi="ar"/>
              </w:rPr>
              <w:t>6. 垃圾未在指定地点倾倒或焚烧</w:t>
            </w:r>
          </w:p>
        </w:tc>
        <w:tc>
          <w:tcPr>
            <w:tcW w:w="1305" w:type="dxa"/>
            <w:noWrap w:val="0"/>
            <w:vAlign w:val="center"/>
          </w:tcPr>
          <w:p>
            <w:pPr>
              <w:spacing w:line="300" w:lineRule="exact"/>
              <w:jc w:val="center"/>
              <w:textAlignment w:val="center"/>
              <w:rPr>
                <w:rFonts w:ascii="宋体" w:hAnsi="宋体" w:cs="Arial"/>
                <w:color w:val="auto"/>
                <w:sz w:val="21"/>
                <w:szCs w:val="21"/>
                <w:highlight w:val="none"/>
              </w:rPr>
            </w:pPr>
            <w:r>
              <w:rPr>
                <w:rFonts w:ascii="宋体" w:hAnsi="宋体" w:cs="Arial"/>
                <w:color w:val="auto"/>
                <w:sz w:val="21"/>
                <w:szCs w:val="21"/>
                <w:highlight w:val="none"/>
                <w:lang w:bidi="ar"/>
              </w:rPr>
              <w:t>3分/处</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20" w:hRule="atLeast"/>
          <w:jc w:val="center"/>
        </w:trPr>
        <w:tc>
          <w:tcPr>
            <w:tcW w:w="690" w:type="dxa"/>
            <w:vMerge w:val="continue"/>
            <w:noWrap w:val="0"/>
            <w:vAlign w:val="center"/>
          </w:tcPr>
          <w:p>
            <w:pPr>
              <w:spacing w:line="300" w:lineRule="exact"/>
              <w:jc w:val="center"/>
              <w:rPr>
                <w:rFonts w:ascii="宋体" w:hAnsi="宋体" w:cs="Arial"/>
                <w:color w:val="auto"/>
                <w:sz w:val="21"/>
                <w:szCs w:val="21"/>
                <w:highlight w:val="none"/>
              </w:rPr>
            </w:pPr>
          </w:p>
        </w:tc>
        <w:tc>
          <w:tcPr>
            <w:tcW w:w="3720" w:type="dxa"/>
            <w:vMerge w:val="continue"/>
            <w:noWrap w:val="0"/>
            <w:vAlign w:val="center"/>
          </w:tcPr>
          <w:p>
            <w:pPr>
              <w:spacing w:line="300" w:lineRule="exact"/>
              <w:rPr>
                <w:rFonts w:ascii="宋体" w:hAnsi="宋体" w:cs="Arial"/>
                <w:color w:val="auto"/>
                <w:sz w:val="21"/>
                <w:szCs w:val="21"/>
                <w:highlight w:val="none"/>
              </w:rPr>
            </w:pPr>
          </w:p>
        </w:tc>
        <w:tc>
          <w:tcPr>
            <w:tcW w:w="3480" w:type="dxa"/>
            <w:noWrap w:val="0"/>
            <w:vAlign w:val="center"/>
          </w:tcPr>
          <w:p>
            <w:pPr>
              <w:spacing w:line="300" w:lineRule="exact"/>
              <w:textAlignment w:val="center"/>
              <w:rPr>
                <w:rFonts w:ascii="宋体" w:hAnsi="宋体" w:cs="Arial"/>
                <w:color w:val="auto"/>
                <w:sz w:val="21"/>
                <w:szCs w:val="21"/>
                <w:highlight w:val="none"/>
              </w:rPr>
            </w:pPr>
            <w:r>
              <w:rPr>
                <w:rFonts w:ascii="宋体" w:hAnsi="宋体" w:cs="Arial"/>
                <w:color w:val="auto"/>
                <w:sz w:val="21"/>
                <w:szCs w:val="21"/>
                <w:highlight w:val="none"/>
                <w:lang w:bidi="ar"/>
              </w:rPr>
              <w:t>7. 保洁人员未在规定时间内做好分类收集、混装混运</w:t>
            </w:r>
          </w:p>
        </w:tc>
        <w:tc>
          <w:tcPr>
            <w:tcW w:w="1305" w:type="dxa"/>
            <w:noWrap w:val="0"/>
            <w:vAlign w:val="center"/>
          </w:tcPr>
          <w:p>
            <w:pPr>
              <w:spacing w:line="300" w:lineRule="exact"/>
              <w:jc w:val="center"/>
              <w:textAlignment w:val="center"/>
              <w:rPr>
                <w:rFonts w:ascii="宋体" w:hAnsi="宋体" w:cs="Arial"/>
                <w:color w:val="auto"/>
                <w:sz w:val="21"/>
                <w:szCs w:val="21"/>
                <w:highlight w:val="none"/>
              </w:rPr>
            </w:pPr>
            <w:r>
              <w:rPr>
                <w:rFonts w:ascii="宋体" w:hAnsi="宋体" w:cs="Arial"/>
                <w:color w:val="auto"/>
                <w:sz w:val="21"/>
                <w:szCs w:val="21"/>
                <w:highlight w:val="none"/>
                <w:lang w:bidi="ar"/>
              </w:rPr>
              <w:t>0.5分/次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0" w:hRule="atLeast"/>
          <w:jc w:val="center"/>
        </w:trPr>
        <w:tc>
          <w:tcPr>
            <w:tcW w:w="690" w:type="dxa"/>
            <w:vMerge w:val="continue"/>
            <w:noWrap w:val="0"/>
            <w:vAlign w:val="center"/>
          </w:tcPr>
          <w:p>
            <w:pPr>
              <w:spacing w:line="300" w:lineRule="exact"/>
              <w:jc w:val="center"/>
              <w:rPr>
                <w:rFonts w:ascii="宋体" w:hAnsi="宋体" w:cs="Arial"/>
                <w:color w:val="auto"/>
                <w:sz w:val="21"/>
                <w:szCs w:val="21"/>
                <w:highlight w:val="none"/>
              </w:rPr>
            </w:pPr>
          </w:p>
        </w:tc>
        <w:tc>
          <w:tcPr>
            <w:tcW w:w="3720" w:type="dxa"/>
            <w:vMerge w:val="continue"/>
            <w:noWrap w:val="0"/>
            <w:vAlign w:val="center"/>
          </w:tcPr>
          <w:p>
            <w:pPr>
              <w:spacing w:line="300" w:lineRule="exact"/>
              <w:rPr>
                <w:rFonts w:ascii="宋体" w:hAnsi="宋体" w:cs="Arial"/>
                <w:color w:val="auto"/>
                <w:sz w:val="21"/>
                <w:szCs w:val="21"/>
                <w:highlight w:val="none"/>
              </w:rPr>
            </w:pPr>
          </w:p>
        </w:tc>
        <w:tc>
          <w:tcPr>
            <w:tcW w:w="3480" w:type="dxa"/>
            <w:noWrap w:val="0"/>
            <w:vAlign w:val="center"/>
          </w:tcPr>
          <w:p>
            <w:pPr>
              <w:spacing w:line="300" w:lineRule="exact"/>
              <w:textAlignment w:val="center"/>
              <w:rPr>
                <w:rFonts w:ascii="宋体" w:hAnsi="宋体" w:cs="Arial"/>
                <w:color w:val="auto"/>
                <w:sz w:val="21"/>
                <w:szCs w:val="21"/>
                <w:highlight w:val="none"/>
              </w:rPr>
            </w:pPr>
            <w:r>
              <w:rPr>
                <w:rFonts w:ascii="宋体" w:hAnsi="宋体" w:cs="Arial"/>
                <w:color w:val="auto"/>
                <w:sz w:val="21"/>
                <w:szCs w:val="21"/>
                <w:highlight w:val="none"/>
                <w:lang w:bidi="ar"/>
              </w:rPr>
              <w:t>8. 保洁人员乱穿、乱闯交通信号灯，攀爬隔离护栏</w:t>
            </w:r>
          </w:p>
        </w:tc>
        <w:tc>
          <w:tcPr>
            <w:tcW w:w="1305" w:type="dxa"/>
            <w:noWrap w:val="0"/>
            <w:vAlign w:val="center"/>
          </w:tcPr>
          <w:p>
            <w:pPr>
              <w:spacing w:line="300" w:lineRule="exact"/>
              <w:jc w:val="center"/>
              <w:textAlignment w:val="center"/>
              <w:rPr>
                <w:rFonts w:ascii="宋体" w:hAnsi="宋体" w:cs="Arial"/>
                <w:color w:val="auto"/>
                <w:sz w:val="21"/>
                <w:szCs w:val="21"/>
                <w:highlight w:val="none"/>
              </w:rPr>
            </w:pPr>
            <w:r>
              <w:rPr>
                <w:rFonts w:ascii="宋体" w:hAnsi="宋体" w:cs="Arial"/>
                <w:color w:val="auto"/>
                <w:sz w:val="21"/>
                <w:szCs w:val="21"/>
                <w:highlight w:val="none"/>
                <w:lang w:bidi="ar"/>
              </w:rPr>
              <w:t>1分/次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20" w:hRule="atLeast"/>
          <w:jc w:val="center"/>
        </w:trPr>
        <w:tc>
          <w:tcPr>
            <w:tcW w:w="690" w:type="dxa"/>
            <w:vMerge w:val="continue"/>
            <w:noWrap w:val="0"/>
            <w:vAlign w:val="center"/>
          </w:tcPr>
          <w:p>
            <w:pPr>
              <w:spacing w:line="300" w:lineRule="exact"/>
              <w:jc w:val="center"/>
              <w:rPr>
                <w:rFonts w:ascii="宋体" w:hAnsi="宋体" w:cs="Arial"/>
                <w:color w:val="auto"/>
                <w:sz w:val="21"/>
                <w:szCs w:val="21"/>
                <w:highlight w:val="none"/>
              </w:rPr>
            </w:pPr>
          </w:p>
        </w:tc>
        <w:tc>
          <w:tcPr>
            <w:tcW w:w="3720" w:type="dxa"/>
            <w:vMerge w:val="continue"/>
            <w:noWrap w:val="0"/>
            <w:vAlign w:val="center"/>
          </w:tcPr>
          <w:p>
            <w:pPr>
              <w:spacing w:line="300" w:lineRule="exact"/>
              <w:rPr>
                <w:rFonts w:ascii="宋体" w:hAnsi="宋体" w:cs="Arial"/>
                <w:color w:val="auto"/>
                <w:sz w:val="21"/>
                <w:szCs w:val="21"/>
                <w:highlight w:val="none"/>
              </w:rPr>
            </w:pPr>
          </w:p>
        </w:tc>
        <w:tc>
          <w:tcPr>
            <w:tcW w:w="3480" w:type="dxa"/>
            <w:noWrap w:val="0"/>
            <w:vAlign w:val="center"/>
          </w:tcPr>
          <w:p>
            <w:pPr>
              <w:spacing w:line="300" w:lineRule="exact"/>
              <w:textAlignment w:val="center"/>
              <w:rPr>
                <w:rFonts w:ascii="宋体" w:hAnsi="宋体" w:cs="Arial"/>
                <w:color w:val="auto"/>
                <w:sz w:val="21"/>
                <w:szCs w:val="21"/>
                <w:highlight w:val="none"/>
              </w:rPr>
            </w:pPr>
            <w:r>
              <w:rPr>
                <w:rFonts w:ascii="宋体" w:hAnsi="宋体" w:cs="Arial"/>
                <w:color w:val="auto"/>
                <w:sz w:val="21"/>
                <w:szCs w:val="21"/>
                <w:highlight w:val="none"/>
                <w:lang w:bidi="ar"/>
              </w:rPr>
              <w:t>9. 拖拽垃圾桶进行保洁作业</w:t>
            </w:r>
          </w:p>
        </w:tc>
        <w:tc>
          <w:tcPr>
            <w:tcW w:w="1305" w:type="dxa"/>
            <w:noWrap w:val="0"/>
            <w:vAlign w:val="center"/>
          </w:tcPr>
          <w:p>
            <w:pPr>
              <w:spacing w:line="300" w:lineRule="exact"/>
              <w:jc w:val="center"/>
              <w:textAlignment w:val="center"/>
              <w:rPr>
                <w:rFonts w:ascii="宋体" w:hAnsi="宋体" w:cs="Arial"/>
                <w:color w:val="auto"/>
                <w:sz w:val="21"/>
                <w:szCs w:val="21"/>
                <w:highlight w:val="none"/>
              </w:rPr>
            </w:pPr>
            <w:r>
              <w:rPr>
                <w:rFonts w:ascii="宋体" w:hAnsi="宋体" w:cs="Arial"/>
                <w:color w:val="auto"/>
                <w:sz w:val="21"/>
                <w:szCs w:val="21"/>
                <w:highlight w:val="none"/>
                <w:lang w:bidi="ar"/>
              </w:rPr>
              <w:t>1分/次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0" w:hRule="atLeast"/>
          <w:jc w:val="center"/>
        </w:trPr>
        <w:tc>
          <w:tcPr>
            <w:tcW w:w="690" w:type="dxa"/>
            <w:vMerge w:val="continue"/>
            <w:noWrap w:val="0"/>
            <w:vAlign w:val="center"/>
          </w:tcPr>
          <w:p>
            <w:pPr>
              <w:spacing w:line="300" w:lineRule="exact"/>
              <w:jc w:val="center"/>
              <w:rPr>
                <w:rFonts w:ascii="宋体" w:hAnsi="宋体" w:cs="Arial"/>
                <w:color w:val="auto"/>
                <w:sz w:val="21"/>
                <w:szCs w:val="21"/>
                <w:highlight w:val="none"/>
              </w:rPr>
            </w:pPr>
          </w:p>
        </w:tc>
        <w:tc>
          <w:tcPr>
            <w:tcW w:w="3720" w:type="dxa"/>
            <w:vMerge w:val="continue"/>
            <w:noWrap w:val="0"/>
            <w:vAlign w:val="center"/>
          </w:tcPr>
          <w:p>
            <w:pPr>
              <w:spacing w:line="300" w:lineRule="exact"/>
              <w:rPr>
                <w:rFonts w:ascii="宋体" w:hAnsi="宋体" w:cs="Arial"/>
                <w:color w:val="auto"/>
                <w:sz w:val="21"/>
                <w:szCs w:val="21"/>
                <w:highlight w:val="none"/>
              </w:rPr>
            </w:pPr>
          </w:p>
        </w:tc>
        <w:tc>
          <w:tcPr>
            <w:tcW w:w="3480" w:type="dxa"/>
            <w:noWrap w:val="0"/>
            <w:vAlign w:val="center"/>
          </w:tcPr>
          <w:p>
            <w:pPr>
              <w:spacing w:line="300" w:lineRule="exact"/>
              <w:textAlignment w:val="center"/>
              <w:rPr>
                <w:rFonts w:ascii="宋体" w:hAnsi="宋体" w:cs="Arial"/>
                <w:color w:val="auto"/>
                <w:sz w:val="21"/>
                <w:szCs w:val="21"/>
                <w:highlight w:val="none"/>
              </w:rPr>
            </w:pPr>
            <w:r>
              <w:rPr>
                <w:rFonts w:ascii="宋体" w:hAnsi="宋体" w:cs="Arial"/>
                <w:color w:val="auto"/>
                <w:sz w:val="21"/>
                <w:szCs w:val="21"/>
                <w:highlight w:val="none"/>
                <w:lang w:bidi="ar"/>
              </w:rPr>
              <w:t>10. 未按作业规范要求对沿街商铺上门搜集垃圾并进行广播提示</w:t>
            </w:r>
          </w:p>
        </w:tc>
        <w:tc>
          <w:tcPr>
            <w:tcW w:w="1305" w:type="dxa"/>
            <w:noWrap w:val="0"/>
            <w:vAlign w:val="center"/>
          </w:tcPr>
          <w:p>
            <w:pPr>
              <w:spacing w:line="300" w:lineRule="exact"/>
              <w:jc w:val="center"/>
              <w:textAlignment w:val="center"/>
              <w:rPr>
                <w:rFonts w:ascii="宋体" w:hAnsi="宋体" w:cs="Arial"/>
                <w:color w:val="auto"/>
                <w:sz w:val="21"/>
                <w:szCs w:val="21"/>
                <w:highlight w:val="none"/>
              </w:rPr>
            </w:pPr>
            <w:r>
              <w:rPr>
                <w:rFonts w:ascii="宋体" w:hAnsi="宋体" w:cs="Arial"/>
                <w:color w:val="auto"/>
                <w:sz w:val="21"/>
                <w:szCs w:val="21"/>
                <w:highlight w:val="none"/>
                <w:lang w:bidi="ar"/>
              </w:rPr>
              <w:t>0.5分/次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20" w:hRule="atLeast"/>
          <w:jc w:val="center"/>
        </w:trPr>
        <w:tc>
          <w:tcPr>
            <w:tcW w:w="690" w:type="dxa"/>
            <w:vMerge w:val="continue"/>
            <w:noWrap w:val="0"/>
            <w:vAlign w:val="center"/>
          </w:tcPr>
          <w:p>
            <w:pPr>
              <w:spacing w:line="300" w:lineRule="exact"/>
              <w:jc w:val="center"/>
              <w:rPr>
                <w:rFonts w:ascii="宋体" w:hAnsi="宋体" w:cs="Arial"/>
                <w:color w:val="auto"/>
                <w:sz w:val="21"/>
                <w:szCs w:val="21"/>
                <w:highlight w:val="none"/>
              </w:rPr>
            </w:pPr>
          </w:p>
        </w:tc>
        <w:tc>
          <w:tcPr>
            <w:tcW w:w="3720" w:type="dxa"/>
            <w:vMerge w:val="continue"/>
            <w:noWrap w:val="0"/>
            <w:vAlign w:val="center"/>
          </w:tcPr>
          <w:p>
            <w:pPr>
              <w:spacing w:line="300" w:lineRule="exact"/>
              <w:rPr>
                <w:rFonts w:ascii="宋体" w:hAnsi="宋体" w:cs="Arial"/>
                <w:color w:val="auto"/>
                <w:sz w:val="21"/>
                <w:szCs w:val="21"/>
                <w:highlight w:val="none"/>
              </w:rPr>
            </w:pPr>
          </w:p>
        </w:tc>
        <w:tc>
          <w:tcPr>
            <w:tcW w:w="3480" w:type="dxa"/>
            <w:noWrap w:val="0"/>
            <w:vAlign w:val="center"/>
          </w:tcPr>
          <w:p>
            <w:pPr>
              <w:spacing w:line="300" w:lineRule="exact"/>
              <w:textAlignment w:val="center"/>
              <w:rPr>
                <w:rFonts w:ascii="宋体" w:hAnsi="宋体" w:cs="Arial"/>
                <w:color w:val="auto"/>
                <w:sz w:val="21"/>
                <w:szCs w:val="21"/>
                <w:highlight w:val="none"/>
              </w:rPr>
            </w:pPr>
            <w:r>
              <w:rPr>
                <w:rFonts w:ascii="宋体" w:hAnsi="宋体" w:cs="Arial"/>
                <w:color w:val="auto"/>
                <w:sz w:val="21"/>
                <w:szCs w:val="21"/>
                <w:highlight w:val="none"/>
                <w:lang w:bidi="ar"/>
              </w:rPr>
              <w:t>11. 投放时间未派驻劝导员</w:t>
            </w:r>
          </w:p>
        </w:tc>
        <w:tc>
          <w:tcPr>
            <w:tcW w:w="1305" w:type="dxa"/>
            <w:noWrap w:val="0"/>
            <w:vAlign w:val="center"/>
          </w:tcPr>
          <w:p>
            <w:pPr>
              <w:spacing w:line="300" w:lineRule="exact"/>
              <w:jc w:val="center"/>
              <w:textAlignment w:val="center"/>
              <w:rPr>
                <w:rFonts w:ascii="宋体" w:hAnsi="宋体" w:cs="Arial"/>
                <w:color w:val="auto"/>
                <w:sz w:val="21"/>
                <w:szCs w:val="21"/>
                <w:highlight w:val="none"/>
              </w:rPr>
            </w:pPr>
            <w:r>
              <w:rPr>
                <w:rFonts w:ascii="宋体" w:hAnsi="宋体" w:cs="Arial"/>
                <w:color w:val="auto"/>
                <w:sz w:val="21"/>
                <w:szCs w:val="21"/>
                <w:highlight w:val="none"/>
                <w:lang w:bidi="ar"/>
              </w:rPr>
              <w:t>1分/人次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860" w:hRule="atLeast"/>
          <w:jc w:val="center"/>
        </w:trPr>
        <w:tc>
          <w:tcPr>
            <w:tcW w:w="690" w:type="dxa"/>
            <w:vMerge w:val="continue"/>
            <w:noWrap w:val="0"/>
            <w:vAlign w:val="center"/>
          </w:tcPr>
          <w:p>
            <w:pPr>
              <w:spacing w:line="300" w:lineRule="exact"/>
              <w:jc w:val="center"/>
              <w:rPr>
                <w:rFonts w:ascii="宋体" w:hAnsi="宋体" w:cs="Arial"/>
                <w:color w:val="auto"/>
                <w:sz w:val="21"/>
                <w:szCs w:val="21"/>
                <w:highlight w:val="none"/>
              </w:rPr>
            </w:pPr>
          </w:p>
        </w:tc>
        <w:tc>
          <w:tcPr>
            <w:tcW w:w="3720" w:type="dxa"/>
            <w:vMerge w:val="continue"/>
            <w:noWrap w:val="0"/>
            <w:vAlign w:val="center"/>
          </w:tcPr>
          <w:p>
            <w:pPr>
              <w:spacing w:line="300" w:lineRule="exact"/>
              <w:rPr>
                <w:rFonts w:ascii="宋体" w:hAnsi="宋体" w:cs="Arial"/>
                <w:color w:val="auto"/>
                <w:sz w:val="21"/>
                <w:szCs w:val="21"/>
                <w:highlight w:val="none"/>
              </w:rPr>
            </w:pPr>
          </w:p>
        </w:tc>
        <w:tc>
          <w:tcPr>
            <w:tcW w:w="3480" w:type="dxa"/>
            <w:noWrap w:val="0"/>
            <w:vAlign w:val="center"/>
          </w:tcPr>
          <w:p>
            <w:pPr>
              <w:spacing w:line="300" w:lineRule="exact"/>
              <w:textAlignment w:val="center"/>
              <w:rPr>
                <w:rFonts w:ascii="宋体" w:hAnsi="宋体" w:cs="Arial"/>
                <w:color w:val="auto"/>
                <w:sz w:val="21"/>
                <w:szCs w:val="21"/>
                <w:highlight w:val="none"/>
              </w:rPr>
            </w:pPr>
            <w:r>
              <w:rPr>
                <w:rFonts w:ascii="宋体" w:hAnsi="宋体" w:cs="Arial"/>
                <w:color w:val="auto"/>
                <w:sz w:val="21"/>
                <w:szCs w:val="21"/>
                <w:highlight w:val="none"/>
                <w:lang w:bidi="ar"/>
              </w:rPr>
              <w:t>12. 建筑垃圾、装修垃圾、废弃家具、大件垃圾未消纳到各镇街指定地点，或者接到通知后未在12小时内清运完毕</w:t>
            </w:r>
          </w:p>
        </w:tc>
        <w:tc>
          <w:tcPr>
            <w:tcW w:w="1305" w:type="dxa"/>
            <w:noWrap w:val="0"/>
            <w:vAlign w:val="center"/>
          </w:tcPr>
          <w:p>
            <w:pPr>
              <w:spacing w:line="300" w:lineRule="exact"/>
              <w:jc w:val="center"/>
              <w:textAlignment w:val="center"/>
              <w:rPr>
                <w:rFonts w:ascii="宋体" w:hAnsi="宋体" w:cs="Arial"/>
                <w:color w:val="auto"/>
                <w:sz w:val="21"/>
                <w:szCs w:val="21"/>
                <w:highlight w:val="none"/>
              </w:rPr>
            </w:pPr>
            <w:r>
              <w:rPr>
                <w:rFonts w:ascii="宋体" w:hAnsi="宋体" w:cs="Arial"/>
                <w:color w:val="auto"/>
                <w:sz w:val="21"/>
                <w:szCs w:val="21"/>
                <w:highlight w:val="none"/>
                <w:lang w:bidi="ar"/>
              </w:rPr>
              <w:t>1分/次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60" w:hRule="atLeast"/>
          <w:jc w:val="center"/>
        </w:trPr>
        <w:tc>
          <w:tcPr>
            <w:tcW w:w="690" w:type="dxa"/>
            <w:vMerge w:val="continue"/>
            <w:noWrap w:val="0"/>
            <w:vAlign w:val="center"/>
          </w:tcPr>
          <w:p>
            <w:pPr>
              <w:spacing w:line="300" w:lineRule="exact"/>
              <w:jc w:val="center"/>
              <w:rPr>
                <w:rFonts w:ascii="宋体" w:hAnsi="宋体" w:cs="Arial"/>
                <w:color w:val="auto"/>
                <w:sz w:val="21"/>
                <w:szCs w:val="21"/>
                <w:highlight w:val="none"/>
              </w:rPr>
            </w:pPr>
          </w:p>
        </w:tc>
        <w:tc>
          <w:tcPr>
            <w:tcW w:w="3720" w:type="dxa"/>
            <w:vMerge w:val="continue"/>
            <w:noWrap w:val="0"/>
            <w:vAlign w:val="center"/>
          </w:tcPr>
          <w:p>
            <w:pPr>
              <w:spacing w:line="300" w:lineRule="exact"/>
              <w:rPr>
                <w:rFonts w:ascii="宋体" w:hAnsi="宋体" w:cs="Arial"/>
                <w:color w:val="auto"/>
                <w:sz w:val="21"/>
                <w:szCs w:val="21"/>
                <w:highlight w:val="none"/>
              </w:rPr>
            </w:pPr>
          </w:p>
        </w:tc>
        <w:tc>
          <w:tcPr>
            <w:tcW w:w="3480" w:type="dxa"/>
            <w:noWrap w:val="0"/>
            <w:vAlign w:val="center"/>
          </w:tcPr>
          <w:p>
            <w:pPr>
              <w:spacing w:line="300" w:lineRule="exact"/>
              <w:textAlignment w:val="center"/>
              <w:rPr>
                <w:rFonts w:ascii="宋体" w:hAnsi="宋体" w:cs="Arial"/>
                <w:color w:val="auto"/>
                <w:sz w:val="21"/>
                <w:szCs w:val="21"/>
                <w:highlight w:val="none"/>
              </w:rPr>
            </w:pPr>
            <w:r>
              <w:rPr>
                <w:rFonts w:ascii="宋体" w:hAnsi="宋体" w:cs="Arial"/>
                <w:color w:val="auto"/>
                <w:sz w:val="21"/>
                <w:szCs w:val="21"/>
                <w:highlight w:val="none"/>
                <w:lang w:bidi="ar"/>
              </w:rPr>
              <w:t>13. 保洁范围内出现大面积遗撒物、交通安全事故，自接到通知后，未按要求及时清理干净</w:t>
            </w:r>
          </w:p>
        </w:tc>
        <w:tc>
          <w:tcPr>
            <w:tcW w:w="1305" w:type="dxa"/>
            <w:noWrap w:val="0"/>
            <w:vAlign w:val="center"/>
          </w:tcPr>
          <w:p>
            <w:pPr>
              <w:spacing w:line="300" w:lineRule="exact"/>
              <w:jc w:val="center"/>
              <w:textAlignment w:val="center"/>
              <w:rPr>
                <w:rFonts w:ascii="宋体" w:hAnsi="宋体" w:cs="Arial"/>
                <w:color w:val="auto"/>
                <w:sz w:val="21"/>
                <w:szCs w:val="21"/>
                <w:highlight w:val="none"/>
              </w:rPr>
            </w:pPr>
            <w:r>
              <w:rPr>
                <w:rFonts w:ascii="宋体" w:hAnsi="宋体" w:cs="Arial"/>
                <w:color w:val="auto"/>
                <w:sz w:val="21"/>
                <w:szCs w:val="21"/>
                <w:highlight w:val="none"/>
                <w:lang w:bidi="ar"/>
              </w:rPr>
              <w:t>1分/次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0" w:hRule="atLeast"/>
          <w:jc w:val="center"/>
        </w:trPr>
        <w:tc>
          <w:tcPr>
            <w:tcW w:w="690" w:type="dxa"/>
            <w:vMerge w:val="restart"/>
            <w:noWrap w:val="0"/>
            <w:vAlign w:val="center"/>
          </w:tcPr>
          <w:p>
            <w:pPr>
              <w:spacing w:line="300" w:lineRule="exact"/>
              <w:jc w:val="center"/>
              <w:textAlignment w:val="center"/>
              <w:rPr>
                <w:rFonts w:ascii="宋体" w:hAnsi="宋体" w:cs="Arial"/>
                <w:color w:val="auto"/>
                <w:sz w:val="21"/>
                <w:szCs w:val="21"/>
                <w:highlight w:val="none"/>
              </w:rPr>
            </w:pPr>
            <w:r>
              <w:rPr>
                <w:rFonts w:ascii="宋体" w:hAnsi="宋体" w:cs="Arial"/>
                <w:color w:val="auto"/>
                <w:sz w:val="21"/>
                <w:szCs w:val="21"/>
                <w:highlight w:val="none"/>
                <w:lang w:bidi="ar"/>
              </w:rPr>
              <w:t>机械作业</w:t>
            </w:r>
          </w:p>
        </w:tc>
        <w:tc>
          <w:tcPr>
            <w:tcW w:w="3720" w:type="dxa"/>
            <w:vMerge w:val="restart"/>
            <w:noWrap w:val="0"/>
            <w:vAlign w:val="center"/>
          </w:tcPr>
          <w:p>
            <w:pPr>
              <w:spacing w:line="300" w:lineRule="exact"/>
              <w:textAlignment w:val="center"/>
              <w:rPr>
                <w:rFonts w:hint="eastAsia" w:ascii="宋体" w:hAnsi="宋体" w:cs="Arial"/>
                <w:color w:val="auto"/>
                <w:sz w:val="21"/>
                <w:szCs w:val="21"/>
                <w:highlight w:val="none"/>
                <w:lang w:bidi="ar"/>
              </w:rPr>
            </w:pPr>
            <w:r>
              <w:rPr>
                <w:rFonts w:ascii="宋体" w:hAnsi="宋体" w:cs="Arial"/>
                <w:color w:val="auto"/>
                <w:sz w:val="21"/>
                <w:szCs w:val="21"/>
                <w:highlight w:val="none"/>
                <w:lang w:bidi="ar"/>
              </w:rPr>
              <w:t>1、道路机动车道为机械冲洗路段；人行道实行人工冲洗。冲洗后无灰尘、无烟蒂、无果壳等杂物散落、无乱张贴乱涂写，冲洗路面时如发现路面有垃圾应及时清理。</w:t>
            </w:r>
          </w:p>
          <w:p>
            <w:pPr>
              <w:spacing w:line="300" w:lineRule="exact"/>
              <w:textAlignment w:val="center"/>
              <w:rPr>
                <w:rFonts w:hint="eastAsia" w:ascii="宋体" w:hAnsi="宋体" w:cs="Arial"/>
                <w:color w:val="auto"/>
                <w:sz w:val="21"/>
                <w:szCs w:val="21"/>
                <w:highlight w:val="none"/>
                <w:lang w:bidi="ar"/>
              </w:rPr>
            </w:pPr>
            <w:r>
              <w:rPr>
                <w:rFonts w:ascii="宋体" w:hAnsi="宋体" w:cs="Arial"/>
                <w:color w:val="auto"/>
                <w:sz w:val="21"/>
                <w:szCs w:val="21"/>
                <w:highlight w:val="none"/>
                <w:lang w:bidi="ar"/>
              </w:rPr>
              <w:t>2、机械化清扫到边、刷盘放置到位效果明显，沿车行道侧石进行全路段清扫。机扫后路面无垃圾、无积泥、无积沙、无沙石；作业期间基本无扬尘、清扫途中无垃圾撒落；垃圾按相关规定在指定地点倾倒，不得随意倾倒、偷倒、乱倒垃圾。</w:t>
            </w:r>
          </w:p>
          <w:p>
            <w:pPr>
              <w:spacing w:line="300" w:lineRule="exact"/>
              <w:textAlignment w:val="center"/>
              <w:rPr>
                <w:rFonts w:ascii="宋体" w:hAnsi="宋体" w:cs="Arial"/>
                <w:color w:val="auto"/>
                <w:sz w:val="21"/>
                <w:szCs w:val="21"/>
                <w:highlight w:val="none"/>
              </w:rPr>
            </w:pPr>
            <w:r>
              <w:rPr>
                <w:rFonts w:ascii="宋体" w:hAnsi="宋体" w:cs="Arial"/>
                <w:color w:val="auto"/>
                <w:sz w:val="21"/>
                <w:szCs w:val="21"/>
                <w:highlight w:val="none"/>
                <w:lang w:bidi="ar"/>
              </w:rPr>
              <w:t>3、作业时车辆开启警示灯、设置反光标识，保持车容车貌整洁。</w:t>
            </w:r>
          </w:p>
        </w:tc>
        <w:tc>
          <w:tcPr>
            <w:tcW w:w="3480" w:type="dxa"/>
            <w:noWrap w:val="0"/>
            <w:vAlign w:val="center"/>
          </w:tcPr>
          <w:p>
            <w:pPr>
              <w:spacing w:line="300" w:lineRule="exact"/>
              <w:textAlignment w:val="center"/>
              <w:rPr>
                <w:rFonts w:ascii="宋体" w:hAnsi="宋体" w:cs="Arial"/>
                <w:color w:val="auto"/>
                <w:sz w:val="21"/>
                <w:szCs w:val="21"/>
                <w:highlight w:val="none"/>
              </w:rPr>
            </w:pPr>
            <w:r>
              <w:rPr>
                <w:rFonts w:ascii="宋体" w:hAnsi="宋体" w:cs="Arial"/>
                <w:color w:val="auto"/>
                <w:sz w:val="21"/>
                <w:szCs w:val="21"/>
                <w:highlight w:val="none"/>
                <w:lang w:bidi="ar"/>
              </w:rPr>
              <w:t>1. 机动车道、人行道等区域洒水、冲洗作业不到位或路面存在扬尘污染</w:t>
            </w:r>
          </w:p>
        </w:tc>
        <w:tc>
          <w:tcPr>
            <w:tcW w:w="1305" w:type="dxa"/>
            <w:noWrap w:val="0"/>
            <w:vAlign w:val="center"/>
          </w:tcPr>
          <w:p>
            <w:pPr>
              <w:spacing w:line="300" w:lineRule="exact"/>
              <w:jc w:val="center"/>
              <w:textAlignment w:val="center"/>
              <w:rPr>
                <w:rFonts w:ascii="宋体" w:hAnsi="宋体" w:cs="Arial"/>
                <w:color w:val="auto"/>
                <w:sz w:val="21"/>
                <w:szCs w:val="21"/>
                <w:highlight w:val="none"/>
              </w:rPr>
            </w:pPr>
            <w:r>
              <w:rPr>
                <w:rFonts w:ascii="宋体" w:hAnsi="宋体" w:cs="Arial"/>
                <w:color w:val="auto"/>
                <w:sz w:val="21"/>
                <w:szCs w:val="21"/>
                <w:highlight w:val="none"/>
                <w:lang w:bidi="ar"/>
              </w:rPr>
              <w:t>1分/次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0" w:hRule="atLeast"/>
          <w:jc w:val="center"/>
        </w:trPr>
        <w:tc>
          <w:tcPr>
            <w:tcW w:w="690" w:type="dxa"/>
            <w:vMerge w:val="continue"/>
            <w:noWrap w:val="0"/>
            <w:vAlign w:val="center"/>
          </w:tcPr>
          <w:p>
            <w:pPr>
              <w:spacing w:line="300" w:lineRule="exact"/>
              <w:jc w:val="center"/>
              <w:rPr>
                <w:rFonts w:ascii="宋体" w:hAnsi="宋体" w:cs="Arial"/>
                <w:color w:val="auto"/>
                <w:sz w:val="21"/>
                <w:szCs w:val="21"/>
                <w:highlight w:val="none"/>
              </w:rPr>
            </w:pPr>
          </w:p>
        </w:tc>
        <w:tc>
          <w:tcPr>
            <w:tcW w:w="3720" w:type="dxa"/>
            <w:vMerge w:val="continue"/>
            <w:noWrap w:val="0"/>
            <w:vAlign w:val="center"/>
          </w:tcPr>
          <w:p>
            <w:pPr>
              <w:spacing w:line="300" w:lineRule="exact"/>
              <w:rPr>
                <w:rFonts w:ascii="宋体" w:hAnsi="宋体" w:cs="Arial"/>
                <w:color w:val="auto"/>
                <w:sz w:val="21"/>
                <w:szCs w:val="21"/>
                <w:highlight w:val="none"/>
              </w:rPr>
            </w:pPr>
          </w:p>
        </w:tc>
        <w:tc>
          <w:tcPr>
            <w:tcW w:w="3480" w:type="dxa"/>
            <w:noWrap w:val="0"/>
            <w:vAlign w:val="center"/>
          </w:tcPr>
          <w:p>
            <w:pPr>
              <w:spacing w:line="300" w:lineRule="exact"/>
              <w:textAlignment w:val="center"/>
              <w:rPr>
                <w:rFonts w:ascii="宋体" w:hAnsi="宋体" w:cs="Arial"/>
                <w:color w:val="auto"/>
                <w:sz w:val="21"/>
                <w:szCs w:val="21"/>
                <w:highlight w:val="none"/>
              </w:rPr>
            </w:pPr>
            <w:r>
              <w:rPr>
                <w:rFonts w:ascii="宋体" w:hAnsi="宋体" w:cs="Arial"/>
                <w:color w:val="auto"/>
                <w:sz w:val="21"/>
                <w:szCs w:val="21"/>
                <w:highlight w:val="none"/>
                <w:lang w:bidi="ar"/>
              </w:rPr>
              <w:t>2. 机动车道、人行道等区域机械清扫不到位，路面垃圾、积泥、积沙、沙石等污染严重</w:t>
            </w:r>
          </w:p>
        </w:tc>
        <w:tc>
          <w:tcPr>
            <w:tcW w:w="1305" w:type="dxa"/>
            <w:noWrap w:val="0"/>
            <w:vAlign w:val="center"/>
          </w:tcPr>
          <w:p>
            <w:pPr>
              <w:spacing w:line="300" w:lineRule="exact"/>
              <w:jc w:val="center"/>
              <w:textAlignment w:val="center"/>
              <w:rPr>
                <w:rFonts w:ascii="宋体" w:hAnsi="宋体" w:cs="Arial"/>
                <w:color w:val="auto"/>
                <w:sz w:val="21"/>
                <w:szCs w:val="21"/>
                <w:highlight w:val="none"/>
              </w:rPr>
            </w:pPr>
            <w:r>
              <w:rPr>
                <w:rFonts w:ascii="宋体" w:hAnsi="宋体" w:cs="Arial"/>
                <w:color w:val="auto"/>
                <w:sz w:val="21"/>
                <w:szCs w:val="21"/>
                <w:highlight w:val="none"/>
                <w:lang w:bidi="ar"/>
              </w:rPr>
              <w:t>3-5分/次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960" w:hRule="atLeast"/>
          <w:jc w:val="center"/>
        </w:trPr>
        <w:tc>
          <w:tcPr>
            <w:tcW w:w="690" w:type="dxa"/>
            <w:vMerge w:val="continue"/>
            <w:noWrap w:val="0"/>
            <w:vAlign w:val="center"/>
          </w:tcPr>
          <w:p>
            <w:pPr>
              <w:spacing w:line="300" w:lineRule="exact"/>
              <w:jc w:val="center"/>
              <w:rPr>
                <w:rFonts w:ascii="宋体" w:hAnsi="宋体" w:cs="Arial"/>
                <w:color w:val="auto"/>
                <w:sz w:val="21"/>
                <w:szCs w:val="21"/>
                <w:highlight w:val="none"/>
              </w:rPr>
            </w:pPr>
          </w:p>
        </w:tc>
        <w:tc>
          <w:tcPr>
            <w:tcW w:w="3720" w:type="dxa"/>
            <w:vMerge w:val="continue"/>
            <w:noWrap w:val="0"/>
            <w:vAlign w:val="center"/>
          </w:tcPr>
          <w:p>
            <w:pPr>
              <w:spacing w:line="300" w:lineRule="exact"/>
              <w:rPr>
                <w:rFonts w:ascii="宋体" w:hAnsi="宋体" w:cs="Arial"/>
                <w:color w:val="auto"/>
                <w:sz w:val="21"/>
                <w:szCs w:val="21"/>
                <w:highlight w:val="none"/>
              </w:rPr>
            </w:pPr>
          </w:p>
        </w:tc>
        <w:tc>
          <w:tcPr>
            <w:tcW w:w="3480" w:type="dxa"/>
            <w:noWrap w:val="0"/>
            <w:vAlign w:val="center"/>
          </w:tcPr>
          <w:p>
            <w:pPr>
              <w:spacing w:line="300" w:lineRule="exact"/>
              <w:textAlignment w:val="center"/>
              <w:rPr>
                <w:rFonts w:ascii="宋体" w:hAnsi="宋体" w:cs="Arial"/>
                <w:color w:val="auto"/>
                <w:sz w:val="21"/>
                <w:szCs w:val="21"/>
                <w:highlight w:val="none"/>
              </w:rPr>
            </w:pPr>
            <w:r>
              <w:rPr>
                <w:rFonts w:ascii="宋体" w:hAnsi="宋体" w:cs="Arial"/>
                <w:color w:val="auto"/>
                <w:sz w:val="21"/>
                <w:szCs w:val="21"/>
                <w:highlight w:val="none"/>
                <w:lang w:bidi="ar"/>
              </w:rPr>
              <w:t>3. 机动车道、人行道等区域机械化作业时未机扫到边、未沿车行道侧石进行全路段清扫、刷盘未到位、未实行喷水压尘、作业时扬尘或清扫途中垃圾撒落</w:t>
            </w:r>
          </w:p>
        </w:tc>
        <w:tc>
          <w:tcPr>
            <w:tcW w:w="1305" w:type="dxa"/>
            <w:noWrap w:val="0"/>
            <w:vAlign w:val="center"/>
          </w:tcPr>
          <w:p>
            <w:pPr>
              <w:spacing w:line="300" w:lineRule="exact"/>
              <w:jc w:val="center"/>
              <w:textAlignment w:val="center"/>
              <w:rPr>
                <w:rFonts w:ascii="宋体" w:hAnsi="宋体" w:cs="Arial"/>
                <w:color w:val="auto"/>
                <w:sz w:val="21"/>
                <w:szCs w:val="21"/>
                <w:highlight w:val="none"/>
              </w:rPr>
            </w:pPr>
            <w:r>
              <w:rPr>
                <w:rFonts w:ascii="宋体" w:hAnsi="宋体" w:cs="Arial"/>
                <w:color w:val="auto"/>
                <w:sz w:val="21"/>
                <w:szCs w:val="21"/>
                <w:highlight w:val="none"/>
                <w:lang w:bidi="ar"/>
              </w:rPr>
              <w:t>1分/次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40" w:hRule="atLeast"/>
          <w:jc w:val="center"/>
        </w:trPr>
        <w:tc>
          <w:tcPr>
            <w:tcW w:w="690" w:type="dxa"/>
            <w:vMerge w:val="continue"/>
            <w:noWrap w:val="0"/>
            <w:vAlign w:val="center"/>
          </w:tcPr>
          <w:p>
            <w:pPr>
              <w:spacing w:line="300" w:lineRule="exact"/>
              <w:jc w:val="center"/>
              <w:rPr>
                <w:rFonts w:ascii="宋体" w:hAnsi="宋体" w:cs="Arial"/>
                <w:color w:val="auto"/>
                <w:sz w:val="21"/>
                <w:szCs w:val="21"/>
                <w:highlight w:val="none"/>
              </w:rPr>
            </w:pPr>
          </w:p>
        </w:tc>
        <w:tc>
          <w:tcPr>
            <w:tcW w:w="3720" w:type="dxa"/>
            <w:vMerge w:val="continue"/>
            <w:noWrap w:val="0"/>
            <w:vAlign w:val="center"/>
          </w:tcPr>
          <w:p>
            <w:pPr>
              <w:spacing w:line="300" w:lineRule="exact"/>
              <w:rPr>
                <w:rFonts w:ascii="宋体" w:hAnsi="宋体" w:cs="Arial"/>
                <w:color w:val="auto"/>
                <w:sz w:val="21"/>
                <w:szCs w:val="21"/>
                <w:highlight w:val="none"/>
              </w:rPr>
            </w:pPr>
          </w:p>
        </w:tc>
        <w:tc>
          <w:tcPr>
            <w:tcW w:w="3480" w:type="dxa"/>
            <w:noWrap w:val="0"/>
            <w:vAlign w:val="center"/>
          </w:tcPr>
          <w:p>
            <w:pPr>
              <w:spacing w:line="300" w:lineRule="exact"/>
              <w:textAlignment w:val="center"/>
              <w:rPr>
                <w:rFonts w:ascii="宋体" w:hAnsi="宋体" w:cs="Arial"/>
                <w:color w:val="auto"/>
                <w:sz w:val="21"/>
                <w:szCs w:val="21"/>
                <w:highlight w:val="none"/>
              </w:rPr>
            </w:pPr>
            <w:r>
              <w:rPr>
                <w:rFonts w:ascii="宋体" w:hAnsi="宋体" w:cs="Arial"/>
                <w:color w:val="auto"/>
                <w:sz w:val="21"/>
                <w:szCs w:val="21"/>
                <w:highlight w:val="none"/>
                <w:lang w:bidi="ar"/>
              </w:rPr>
              <w:t>4. 作业时车辆未开启警示灯、设置反光标识、车容车貌不洁</w:t>
            </w:r>
          </w:p>
        </w:tc>
        <w:tc>
          <w:tcPr>
            <w:tcW w:w="1305" w:type="dxa"/>
            <w:noWrap w:val="0"/>
            <w:vAlign w:val="center"/>
          </w:tcPr>
          <w:p>
            <w:pPr>
              <w:spacing w:line="300" w:lineRule="exact"/>
              <w:jc w:val="center"/>
              <w:textAlignment w:val="center"/>
              <w:rPr>
                <w:rFonts w:ascii="宋体" w:hAnsi="宋体" w:cs="Arial"/>
                <w:color w:val="auto"/>
                <w:sz w:val="21"/>
                <w:szCs w:val="21"/>
                <w:highlight w:val="none"/>
              </w:rPr>
            </w:pPr>
            <w:r>
              <w:rPr>
                <w:rFonts w:ascii="宋体" w:hAnsi="宋体" w:cs="Arial"/>
                <w:color w:val="auto"/>
                <w:sz w:val="21"/>
                <w:szCs w:val="21"/>
                <w:highlight w:val="none"/>
                <w:lang w:bidi="ar"/>
              </w:rPr>
              <w:t>1分/次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00" w:hRule="atLeast"/>
          <w:jc w:val="center"/>
        </w:trPr>
        <w:tc>
          <w:tcPr>
            <w:tcW w:w="690" w:type="dxa"/>
            <w:vMerge w:val="continue"/>
            <w:noWrap w:val="0"/>
            <w:vAlign w:val="center"/>
          </w:tcPr>
          <w:p>
            <w:pPr>
              <w:spacing w:line="300" w:lineRule="exact"/>
              <w:jc w:val="center"/>
              <w:rPr>
                <w:rFonts w:ascii="宋体" w:hAnsi="宋体" w:cs="Arial"/>
                <w:color w:val="auto"/>
                <w:sz w:val="21"/>
                <w:szCs w:val="21"/>
                <w:highlight w:val="none"/>
              </w:rPr>
            </w:pPr>
          </w:p>
        </w:tc>
        <w:tc>
          <w:tcPr>
            <w:tcW w:w="3720" w:type="dxa"/>
            <w:vMerge w:val="continue"/>
            <w:noWrap w:val="0"/>
            <w:vAlign w:val="center"/>
          </w:tcPr>
          <w:p>
            <w:pPr>
              <w:spacing w:line="300" w:lineRule="exact"/>
              <w:rPr>
                <w:rFonts w:ascii="宋体" w:hAnsi="宋体" w:cs="Arial"/>
                <w:color w:val="auto"/>
                <w:sz w:val="21"/>
                <w:szCs w:val="21"/>
                <w:highlight w:val="none"/>
              </w:rPr>
            </w:pPr>
          </w:p>
        </w:tc>
        <w:tc>
          <w:tcPr>
            <w:tcW w:w="3480" w:type="dxa"/>
            <w:noWrap w:val="0"/>
            <w:vAlign w:val="center"/>
          </w:tcPr>
          <w:p>
            <w:pPr>
              <w:spacing w:line="300" w:lineRule="exact"/>
              <w:textAlignment w:val="center"/>
              <w:rPr>
                <w:rFonts w:ascii="宋体" w:hAnsi="宋体" w:cs="Arial"/>
                <w:color w:val="auto"/>
                <w:sz w:val="21"/>
                <w:szCs w:val="21"/>
                <w:highlight w:val="none"/>
              </w:rPr>
            </w:pPr>
            <w:r>
              <w:rPr>
                <w:rFonts w:ascii="宋体" w:hAnsi="宋体" w:cs="Arial"/>
                <w:color w:val="auto"/>
                <w:sz w:val="21"/>
                <w:szCs w:val="21"/>
                <w:highlight w:val="none"/>
                <w:lang w:bidi="ar"/>
              </w:rPr>
              <w:t>5. 随意倾倒、偷到、乱倒垃圾</w:t>
            </w:r>
          </w:p>
        </w:tc>
        <w:tc>
          <w:tcPr>
            <w:tcW w:w="1305" w:type="dxa"/>
            <w:noWrap w:val="0"/>
            <w:vAlign w:val="center"/>
          </w:tcPr>
          <w:p>
            <w:pPr>
              <w:spacing w:line="300" w:lineRule="exact"/>
              <w:jc w:val="center"/>
              <w:textAlignment w:val="center"/>
              <w:rPr>
                <w:rFonts w:ascii="宋体" w:hAnsi="宋体" w:cs="Arial"/>
                <w:color w:val="auto"/>
                <w:sz w:val="21"/>
                <w:szCs w:val="21"/>
                <w:highlight w:val="none"/>
              </w:rPr>
            </w:pPr>
            <w:r>
              <w:rPr>
                <w:rFonts w:ascii="宋体" w:hAnsi="宋体" w:cs="Arial"/>
                <w:color w:val="auto"/>
                <w:sz w:val="21"/>
                <w:szCs w:val="21"/>
                <w:highlight w:val="none"/>
                <w:lang w:bidi="ar"/>
              </w:rPr>
              <w:t>1分/次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0" w:hRule="atLeast"/>
          <w:jc w:val="center"/>
        </w:trPr>
        <w:tc>
          <w:tcPr>
            <w:tcW w:w="690" w:type="dxa"/>
            <w:vMerge w:val="restart"/>
            <w:noWrap w:val="0"/>
            <w:vAlign w:val="center"/>
          </w:tcPr>
          <w:p>
            <w:pPr>
              <w:spacing w:line="300" w:lineRule="exact"/>
              <w:jc w:val="center"/>
              <w:textAlignment w:val="center"/>
              <w:rPr>
                <w:rFonts w:ascii="宋体" w:hAnsi="宋体" w:cs="Arial"/>
                <w:color w:val="auto"/>
                <w:sz w:val="21"/>
                <w:szCs w:val="21"/>
                <w:highlight w:val="none"/>
              </w:rPr>
            </w:pPr>
            <w:r>
              <w:rPr>
                <w:rFonts w:ascii="宋体" w:hAnsi="宋体" w:cs="Arial"/>
                <w:color w:val="auto"/>
                <w:sz w:val="21"/>
                <w:szCs w:val="21"/>
                <w:highlight w:val="none"/>
                <w:lang w:bidi="ar"/>
              </w:rPr>
              <w:t>平台管控</w:t>
            </w:r>
          </w:p>
        </w:tc>
        <w:tc>
          <w:tcPr>
            <w:tcW w:w="3720" w:type="dxa"/>
            <w:vMerge w:val="restart"/>
            <w:noWrap w:val="0"/>
            <w:vAlign w:val="center"/>
          </w:tcPr>
          <w:p>
            <w:pPr>
              <w:spacing w:line="300" w:lineRule="exact"/>
              <w:textAlignment w:val="center"/>
              <w:rPr>
                <w:rFonts w:hint="eastAsia" w:ascii="宋体" w:hAnsi="宋体" w:cs="Arial"/>
                <w:color w:val="auto"/>
                <w:sz w:val="21"/>
                <w:szCs w:val="21"/>
                <w:highlight w:val="none"/>
                <w:lang w:bidi="ar"/>
              </w:rPr>
            </w:pPr>
            <w:r>
              <w:rPr>
                <w:rFonts w:ascii="宋体" w:hAnsi="宋体" w:cs="Arial"/>
                <w:color w:val="auto"/>
                <w:sz w:val="21"/>
                <w:szCs w:val="21"/>
                <w:highlight w:val="none"/>
                <w:lang w:bidi="ar"/>
              </w:rPr>
              <w:t>1、春秋季，每日道路洒水频次作为基准遍次，即一级道路4次/日，二级道路3次/日；三四级道路根据路段情况合理安排洒水作业。夏季，各道路洒水作业在基准频次上每日分别增加1次；冬季，各级道路洒水作业在基准频次上每日分别减少1次。</w:t>
            </w:r>
          </w:p>
          <w:p>
            <w:pPr>
              <w:spacing w:line="300" w:lineRule="exact"/>
              <w:textAlignment w:val="center"/>
              <w:rPr>
                <w:rFonts w:hint="eastAsia" w:ascii="宋体" w:hAnsi="宋体" w:cs="Arial"/>
                <w:color w:val="auto"/>
                <w:sz w:val="21"/>
                <w:szCs w:val="21"/>
                <w:highlight w:val="none"/>
                <w:lang w:bidi="ar"/>
              </w:rPr>
            </w:pPr>
            <w:r>
              <w:rPr>
                <w:rFonts w:ascii="宋体" w:hAnsi="宋体" w:cs="Arial"/>
                <w:color w:val="auto"/>
                <w:sz w:val="21"/>
                <w:szCs w:val="21"/>
                <w:highlight w:val="none"/>
                <w:lang w:bidi="ar"/>
              </w:rPr>
              <w:t>2、一、二级道路机动车道冲洗2次/日、人行道冲洗不少于1次/周；三、四级道路根据路段合理安排冲洗作业，原则上机动车道冲洗不少于2次/日、人行道冲洗不少于1次/周。</w:t>
            </w:r>
          </w:p>
          <w:p>
            <w:pPr>
              <w:spacing w:line="300" w:lineRule="exact"/>
              <w:textAlignment w:val="center"/>
              <w:rPr>
                <w:rFonts w:hint="eastAsia" w:ascii="宋体" w:hAnsi="宋体" w:cs="Arial"/>
                <w:color w:val="auto"/>
                <w:sz w:val="21"/>
                <w:szCs w:val="21"/>
                <w:highlight w:val="none"/>
                <w:lang w:bidi="ar"/>
              </w:rPr>
            </w:pPr>
            <w:r>
              <w:rPr>
                <w:rFonts w:ascii="宋体" w:hAnsi="宋体" w:cs="Arial"/>
                <w:color w:val="auto"/>
                <w:sz w:val="21"/>
                <w:szCs w:val="21"/>
                <w:highlight w:val="none"/>
                <w:lang w:bidi="ar"/>
              </w:rPr>
              <w:t>3、一、二级道路（含人行道）机械清扫保洁作业方式为“一日三扫”。三、四级道路（含人行道）根据路段情况合理安排机械清扫作业。</w:t>
            </w:r>
          </w:p>
          <w:p>
            <w:pPr>
              <w:spacing w:line="300" w:lineRule="exact"/>
              <w:textAlignment w:val="center"/>
              <w:rPr>
                <w:rFonts w:hint="eastAsia" w:ascii="宋体" w:hAnsi="宋体" w:cs="Arial"/>
                <w:color w:val="auto"/>
                <w:sz w:val="21"/>
                <w:szCs w:val="21"/>
                <w:highlight w:val="none"/>
                <w:lang w:bidi="ar"/>
              </w:rPr>
            </w:pPr>
            <w:r>
              <w:rPr>
                <w:rFonts w:ascii="宋体" w:hAnsi="宋体" w:cs="Arial"/>
                <w:color w:val="auto"/>
                <w:sz w:val="21"/>
                <w:szCs w:val="21"/>
                <w:highlight w:val="none"/>
                <w:lang w:bidi="ar"/>
              </w:rPr>
              <w:t>4、机械化作业时确保车辆GPS正常开启、按照规定路线、时间、频次作业，不得随意变更。</w:t>
            </w:r>
          </w:p>
          <w:p>
            <w:pPr>
              <w:spacing w:line="300" w:lineRule="exact"/>
              <w:textAlignment w:val="center"/>
              <w:rPr>
                <w:rFonts w:ascii="宋体" w:hAnsi="宋体" w:cs="Arial"/>
                <w:color w:val="auto"/>
                <w:sz w:val="21"/>
                <w:szCs w:val="21"/>
                <w:highlight w:val="none"/>
              </w:rPr>
            </w:pPr>
            <w:r>
              <w:rPr>
                <w:rFonts w:ascii="宋体" w:hAnsi="宋体" w:cs="Arial"/>
                <w:color w:val="auto"/>
                <w:sz w:val="21"/>
                <w:szCs w:val="21"/>
                <w:highlight w:val="none"/>
                <w:lang w:bidi="ar"/>
              </w:rPr>
              <w:t>5、洒水车车速不宜超过25Km/h,高压冲洗车和机械清扫车 车速不宜超过15Km/h。</w:t>
            </w:r>
          </w:p>
        </w:tc>
        <w:tc>
          <w:tcPr>
            <w:tcW w:w="3480" w:type="dxa"/>
            <w:vMerge w:val="restart"/>
            <w:noWrap w:val="0"/>
            <w:vAlign w:val="center"/>
          </w:tcPr>
          <w:p>
            <w:pPr>
              <w:spacing w:line="300" w:lineRule="exact"/>
              <w:textAlignment w:val="center"/>
              <w:rPr>
                <w:rFonts w:ascii="宋体" w:hAnsi="宋体" w:cs="Arial"/>
                <w:color w:val="auto"/>
                <w:sz w:val="21"/>
                <w:szCs w:val="21"/>
                <w:highlight w:val="none"/>
              </w:rPr>
            </w:pPr>
            <w:r>
              <w:rPr>
                <w:rFonts w:ascii="宋体" w:hAnsi="宋体" w:cs="Arial"/>
                <w:color w:val="auto"/>
                <w:sz w:val="21"/>
                <w:szCs w:val="21"/>
                <w:highlight w:val="none"/>
                <w:lang w:bidi="ar"/>
              </w:rPr>
              <w:t>1. 机动车道机械冲洗、洒水、清扫等作业里程数不达标的，按未完成比例扣分</w:t>
            </w:r>
          </w:p>
        </w:tc>
        <w:tc>
          <w:tcPr>
            <w:tcW w:w="1305" w:type="dxa"/>
            <w:vMerge w:val="restart"/>
            <w:noWrap w:val="0"/>
            <w:vAlign w:val="center"/>
          </w:tcPr>
          <w:p>
            <w:pPr>
              <w:spacing w:line="300" w:lineRule="exact"/>
              <w:jc w:val="center"/>
              <w:textAlignment w:val="center"/>
              <w:rPr>
                <w:rFonts w:ascii="宋体" w:hAnsi="宋体" w:cs="Arial"/>
                <w:color w:val="auto"/>
                <w:sz w:val="21"/>
                <w:szCs w:val="21"/>
                <w:highlight w:val="none"/>
              </w:rPr>
            </w:pPr>
            <w:r>
              <w:rPr>
                <w:rFonts w:ascii="宋体" w:hAnsi="宋体" w:cs="Arial"/>
                <w:color w:val="auto"/>
                <w:sz w:val="21"/>
                <w:szCs w:val="21"/>
                <w:highlight w:val="none"/>
                <w:lang w:bidi="ar"/>
              </w:rPr>
              <w:t>每少1%扣1分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00" w:hRule="atLeast"/>
          <w:jc w:val="center"/>
        </w:trPr>
        <w:tc>
          <w:tcPr>
            <w:tcW w:w="690" w:type="dxa"/>
            <w:vMerge w:val="continue"/>
            <w:noWrap w:val="0"/>
            <w:vAlign w:val="center"/>
          </w:tcPr>
          <w:p>
            <w:pPr>
              <w:spacing w:line="300" w:lineRule="exact"/>
              <w:jc w:val="center"/>
              <w:rPr>
                <w:rFonts w:ascii="宋体" w:hAnsi="宋体" w:cs="Arial"/>
                <w:color w:val="auto"/>
                <w:sz w:val="21"/>
                <w:szCs w:val="21"/>
                <w:highlight w:val="none"/>
              </w:rPr>
            </w:pPr>
          </w:p>
        </w:tc>
        <w:tc>
          <w:tcPr>
            <w:tcW w:w="3720" w:type="dxa"/>
            <w:vMerge w:val="continue"/>
            <w:noWrap w:val="0"/>
            <w:vAlign w:val="center"/>
          </w:tcPr>
          <w:p>
            <w:pPr>
              <w:spacing w:line="300" w:lineRule="exact"/>
              <w:rPr>
                <w:rFonts w:ascii="宋体" w:hAnsi="宋体" w:cs="Arial"/>
                <w:color w:val="auto"/>
                <w:sz w:val="21"/>
                <w:szCs w:val="21"/>
                <w:highlight w:val="none"/>
              </w:rPr>
            </w:pPr>
          </w:p>
        </w:tc>
        <w:tc>
          <w:tcPr>
            <w:tcW w:w="3480" w:type="dxa"/>
            <w:vMerge w:val="continue"/>
            <w:noWrap w:val="0"/>
            <w:vAlign w:val="center"/>
          </w:tcPr>
          <w:p>
            <w:pPr>
              <w:spacing w:line="300" w:lineRule="exact"/>
              <w:rPr>
                <w:rFonts w:ascii="宋体" w:hAnsi="宋体" w:cs="Arial"/>
                <w:color w:val="auto"/>
                <w:sz w:val="21"/>
                <w:szCs w:val="21"/>
                <w:highlight w:val="none"/>
              </w:rPr>
            </w:pPr>
          </w:p>
        </w:tc>
        <w:tc>
          <w:tcPr>
            <w:tcW w:w="1305" w:type="dxa"/>
            <w:vMerge w:val="continue"/>
            <w:noWrap w:val="0"/>
            <w:vAlign w:val="center"/>
          </w:tcPr>
          <w:p>
            <w:pPr>
              <w:spacing w:line="300" w:lineRule="exact"/>
              <w:jc w:val="center"/>
              <w:rPr>
                <w:rFonts w:ascii="宋体" w:hAnsi="宋体" w:cs="Arial"/>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960" w:hRule="atLeast"/>
          <w:jc w:val="center"/>
        </w:trPr>
        <w:tc>
          <w:tcPr>
            <w:tcW w:w="690" w:type="dxa"/>
            <w:vMerge w:val="continue"/>
            <w:noWrap w:val="0"/>
            <w:vAlign w:val="center"/>
          </w:tcPr>
          <w:p>
            <w:pPr>
              <w:spacing w:line="300" w:lineRule="exact"/>
              <w:jc w:val="center"/>
              <w:rPr>
                <w:rFonts w:ascii="宋体" w:hAnsi="宋体" w:cs="Arial"/>
                <w:color w:val="auto"/>
                <w:sz w:val="21"/>
                <w:szCs w:val="21"/>
                <w:highlight w:val="none"/>
              </w:rPr>
            </w:pPr>
          </w:p>
        </w:tc>
        <w:tc>
          <w:tcPr>
            <w:tcW w:w="3720" w:type="dxa"/>
            <w:vMerge w:val="continue"/>
            <w:noWrap w:val="0"/>
            <w:vAlign w:val="center"/>
          </w:tcPr>
          <w:p>
            <w:pPr>
              <w:spacing w:line="300" w:lineRule="exact"/>
              <w:rPr>
                <w:rFonts w:ascii="宋体" w:hAnsi="宋体" w:cs="Arial"/>
                <w:color w:val="auto"/>
                <w:sz w:val="21"/>
                <w:szCs w:val="21"/>
                <w:highlight w:val="none"/>
              </w:rPr>
            </w:pPr>
          </w:p>
        </w:tc>
        <w:tc>
          <w:tcPr>
            <w:tcW w:w="3480" w:type="dxa"/>
            <w:noWrap w:val="0"/>
            <w:vAlign w:val="center"/>
          </w:tcPr>
          <w:p>
            <w:pPr>
              <w:spacing w:line="300" w:lineRule="exact"/>
              <w:textAlignment w:val="center"/>
              <w:rPr>
                <w:rFonts w:ascii="宋体" w:hAnsi="宋体" w:cs="Arial"/>
                <w:color w:val="auto"/>
                <w:sz w:val="21"/>
                <w:szCs w:val="21"/>
                <w:highlight w:val="none"/>
              </w:rPr>
            </w:pPr>
            <w:r>
              <w:rPr>
                <w:rFonts w:ascii="宋体" w:hAnsi="宋体" w:cs="Arial"/>
                <w:color w:val="auto"/>
                <w:sz w:val="21"/>
                <w:szCs w:val="21"/>
                <w:highlight w:val="none"/>
                <w:lang w:bidi="ar"/>
              </w:rPr>
              <w:t>2. 车辆GPS出现问题未及时报备、维修</w:t>
            </w:r>
          </w:p>
        </w:tc>
        <w:tc>
          <w:tcPr>
            <w:tcW w:w="1305" w:type="dxa"/>
            <w:noWrap w:val="0"/>
            <w:vAlign w:val="center"/>
          </w:tcPr>
          <w:p>
            <w:pPr>
              <w:spacing w:line="300" w:lineRule="exact"/>
              <w:jc w:val="center"/>
              <w:textAlignment w:val="center"/>
              <w:rPr>
                <w:rFonts w:ascii="宋体" w:hAnsi="宋体" w:cs="Arial"/>
                <w:color w:val="auto"/>
                <w:sz w:val="21"/>
                <w:szCs w:val="21"/>
                <w:highlight w:val="none"/>
              </w:rPr>
            </w:pPr>
            <w:r>
              <w:rPr>
                <w:rFonts w:ascii="宋体" w:hAnsi="宋体" w:cs="Arial"/>
                <w:color w:val="auto"/>
                <w:sz w:val="21"/>
                <w:szCs w:val="21"/>
                <w:highlight w:val="none"/>
                <w:lang w:bidi="ar"/>
              </w:rPr>
              <w:t>1分/次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880" w:hRule="atLeast"/>
          <w:jc w:val="center"/>
        </w:trPr>
        <w:tc>
          <w:tcPr>
            <w:tcW w:w="690" w:type="dxa"/>
            <w:vMerge w:val="continue"/>
            <w:noWrap w:val="0"/>
            <w:vAlign w:val="center"/>
          </w:tcPr>
          <w:p>
            <w:pPr>
              <w:spacing w:line="300" w:lineRule="exact"/>
              <w:jc w:val="center"/>
              <w:rPr>
                <w:rFonts w:ascii="宋体" w:hAnsi="宋体" w:cs="Arial"/>
                <w:color w:val="auto"/>
                <w:sz w:val="21"/>
                <w:szCs w:val="21"/>
                <w:highlight w:val="none"/>
              </w:rPr>
            </w:pPr>
          </w:p>
        </w:tc>
        <w:tc>
          <w:tcPr>
            <w:tcW w:w="3720" w:type="dxa"/>
            <w:vMerge w:val="continue"/>
            <w:noWrap w:val="0"/>
            <w:vAlign w:val="center"/>
          </w:tcPr>
          <w:p>
            <w:pPr>
              <w:spacing w:line="300" w:lineRule="exact"/>
              <w:rPr>
                <w:rFonts w:ascii="宋体" w:hAnsi="宋体" w:cs="Arial"/>
                <w:color w:val="auto"/>
                <w:sz w:val="21"/>
                <w:szCs w:val="21"/>
                <w:highlight w:val="none"/>
              </w:rPr>
            </w:pPr>
          </w:p>
        </w:tc>
        <w:tc>
          <w:tcPr>
            <w:tcW w:w="3480" w:type="dxa"/>
            <w:noWrap w:val="0"/>
            <w:vAlign w:val="center"/>
          </w:tcPr>
          <w:p>
            <w:pPr>
              <w:spacing w:line="300" w:lineRule="exact"/>
              <w:textAlignment w:val="center"/>
              <w:rPr>
                <w:rFonts w:ascii="宋体" w:hAnsi="宋体" w:cs="Arial"/>
                <w:color w:val="auto"/>
                <w:sz w:val="21"/>
                <w:szCs w:val="21"/>
                <w:highlight w:val="none"/>
              </w:rPr>
            </w:pPr>
            <w:r>
              <w:rPr>
                <w:rFonts w:ascii="宋体" w:hAnsi="宋体" w:cs="Arial"/>
                <w:color w:val="auto"/>
                <w:sz w:val="21"/>
                <w:szCs w:val="21"/>
                <w:highlight w:val="none"/>
                <w:lang w:bidi="ar"/>
              </w:rPr>
              <w:t>3. 作业车辆随意变更洒水、冲洗范围、路线、时间</w:t>
            </w:r>
          </w:p>
        </w:tc>
        <w:tc>
          <w:tcPr>
            <w:tcW w:w="1305" w:type="dxa"/>
            <w:noWrap w:val="0"/>
            <w:vAlign w:val="center"/>
          </w:tcPr>
          <w:p>
            <w:pPr>
              <w:spacing w:line="300" w:lineRule="exact"/>
              <w:jc w:val="center"/>
              <w:textAlignment w:val="center"/>
              <w:rPr>
                <w:rFonts w:ascii="宋体" w:hAnsi="宋体" w:cs="Arial"/>
                <w:color w:val="auto"/>
                <w:sz w:val="21"/>
                <w:szCs w:val="21"/>
                <w:highlight w:val="none"/>
              </w:rPr>
            </w:pPr>
            <w:r>
              <w:rPr>
                <w:rFonts w:ascii="宋体" w:hAnsi="宋体" w:cs="Arial"/>
                <w:color w:val="auto"/>
                <w:sz w:val="21"/>
                <w:szCs w:val="21"/>
                <w:highlight w:val="none"/>
                <w:lang w:bidi="ar"/>
              </w:rPr>
              <w:t>1分/次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08" w:hRule="atLeast"/>
          <w:jc w:val="center"/>
        </w:trPr>
        <w:tc>
          <w:tcPr>
            <w:tcW w:w="690" w:type="dxa"/>
            <w:vMerge w:val="continue"/>
            <w:noWrap w:val="0"/>
            <w:vAlign w:val="center"/>
          </w:tcPr>
          <w:p>
            <w:pPr>
              <w:spacing w:line="300" w:lineRule="exact"/>
              <w:jc w:val="center"/>
              <w:rPr>
                <w:rFonts w:ascii="宋体" w:hAnsi="宋体" w:cs="Arial"/>
                <w:color w:val="auto"/>
                <w:sz w:val="21"/>
                <w:szCs w:val="21"/>
                <w:highlight w:val="none"/>
              </w:rPr>
            </w:pPr>
          </w:p>
        </w:tc>
        <w:tc>
          <w:tcPr>
            <w:tcW w:w="3720" w:type="dxa"/>
            <w:vMerge w:val="continue"/>
            <w:noWrap w:val="0"/>
            <w:vAlign w:val="center"/>
          </w:tcPr>
          <w:p>
            <w:pPr>
              <w:spacing w:line="300" w:lineRule="exact"/>
              <w:rPr>
                <w:rFonts w:ascii="宋体" w:hAnsi="宋体" w:cs="Arial"/>
                <w:color w:val="auto"/>
                <w:sz w:val="21"/>
                <w:szCs w:val="21"/>
                <w:highlight w:val="none"/>
              </w:rPr>
            </w:pPr>
          </w:p>
        </w:tc>
        <w:tc>
          <w:tcPr>
            <w:tcW w:w="3480" w:type="dxa"/>
            <w:noWrap w:val="0"/>
            <w:vAlign w:val="center"/>
          </w:tcPr>
          <w:p>
            <w:pPr>
              <w:spacing w:line="300" w:lineRule="exact"/>
              <w:textAlignment w:val="center"/>
              <w:rPr>
                <w:rFonts w:ascii="宋体" w:hAnsi="宋体" w:cs="Arial"/>
                <w:color w:val="auto"/>
                <w:sz w:val="21"/>
                <w:szCs w:val="21"/>
                <w:highlight w:val="none"/>
              </w:rPr>
            </w:pPr>
            <w:r>
              <w:rPr>
                <w:rFonts w:ascii="宋体" w:hAnsi="宋体" w:cs="Arial"/>
                <w:color w:val="auto"/>
                <w:sz w:val="21"/>
                <w:szCs w:val="21"/>
                <w:highlight w:val="none"/>
                <w:lang w:bidi="ar"/>
              </w:rPr>
              <w:t>4. 车辆设备日常维养、安全检查不到位，作业时发生故障</w:t>
            </w:r>
          </w:p>
        </w:tc>
        <w:tc>
          <w:tcPr>
            <w:tcW w:w="1305" w:type="dxa"/>
            <w:noWrap w:val="0"/>
            <w:vAlign w:val="center"/>
          </w:tcPr>
          <w:p>
            <w:pPr>
              <w:spacing w:line="300" w:lineRule="exact"/>
              <w:jc w:val="center"/>
              <w:textAlignment w:val="center"/>
              <w:rPr>
                <w:rFonts w:ascii="宋体" w:hAnsi="宋体" w:cs="Arial"/>
                <w:color w:val="auto"/>
                <w:sz w:val="21"/>
                <w:szCs w:val="21"/>
                <w:highlight w:val="none"/>
              </w:rPr>
            </w:pPr>
            <w:r>
              <w:rPr>
                <w:rFonts w:ascii="宋体" w:hAnsi="宋体" w:cs="Arial"/>
                <w:color w:val="auto"/>
                <w:sz w:val="21"/>
                <w:szCs w:val="21"/>
                <w:highlight w:val="none"/>
                <w:lang w:bidi="ar"/>
              </w:rPr>
              <w:t>2分/次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800" w:hRule="atLeast"/>
          <w:jc w:val="center"/>
        </w:trPr>
        <w:tc>
          <w:tcPr>
            <w:tcW w:w="690" w:type="dxa"/>
            <w:vMerge w:val="restart"/>
            <w:noWrap/>
            <w:vAlign w:val="center"/>
          </w:tcPr>
          <w:p>
            <w:pPr>
              <w:spacing w:line="300" w:lineRule="exact"/>
              <w:jc w:val="center"/>
              <w:textAlignment w:val="center"/>
              <w:rPr>
                <w:rFonts w:ascii="宋体" w:hAnsi="宋体" w:cs="Arial"/>
                <w:color w:val="auto"/>
                <w:sz w:val="21"/>
                <w:szCs w:val="21"/>
                <w:highlight w:val="none"/>
              </w:rPr>
            </w:pPr>
            <w:r>
              <w:rPr>
                <w:rFonts w:ascii="宋体" w:hAnsi="宋体" w:cs="Arial"/>
                <w:color w:val="auto"/>
                <w:sz w:val="21"/>
                <w:szCs w:val="21"/>
                <w:highlight w:val="none"/>
                <w:lang w:bidi="ar"/>
              </w:rPr>
              <w:t>监督管理</w:t>
            </w:r>
          </w:p>
        </w:tc>
        <w:tc>
          <w:tcPr>
            <w:tcW w:w="3720" w:type="dxa"/>
            <w:vMerge w:val="restart"/>
            <w:noWrap w:val="0"/>
            <w:vAlign w:val="center"/>
          </w:tcPr>
          <w:p>
            <w:pPr>
              <w:spacing w:line="300" w:lineRule="exact"/>
              <w:textAlignment w:val="center"/>
              <w:rPr>
                <w:rFonts w:hint="eastAsia" w:ascii="宋体" w:hAnsi="宋体" w:cs="Arial"/>
                <w:color w:val="auto"/>
                <w:sz w:val="21"/>
                <w:szCs w:val="21"/>
                <w:highlight w:val="none"/>
                <w:lang w:bidi="ar"/>
              </w:rPr>
            </w:pPr>
            <w:r>
              <w:rPr>
                <w:rFonts w:ascii="宋体" w:hAnsi="宋体" w:cs="Arial"/>
                <w:color w:val="auto"/>
                <w:sz w:val="21"/>
                <w:szCs w:val="21"/>
                <w:highlight w:val="none"/>
                <w:lang w:bidi="ar"/>
              </w:rPr>
              <w:t>1、及时处理各类交办件。</w:t>
            </w:r>
          </w:p>
          <w:p>
            <w:pPr>
              <w:spacing w:line="300" w:lineRule="exact"/>
              <w:textAlignment w:val="center"/>
              <w:rPr>
                <w:rFonts w:ascii="宋体" w:hAnsi="宋体" w:cs="Arial"/>
                <w:color w:val="auto"/>
                <w:sz w:val="21"/>
                <w:szCs w:val="21"/>
                <w:highlight w:val="none"/>
              </w:rPr>
            </w:pPr>
            <w:r>
              <w:rPr>
                <w:rFonts w:ascii="宋体" w:hAnsi="宋体" w:cs="Arial"/>
                <w:color w:val="auto"/>
                <w:sz w:val="21"/>
                <w:szCs w:val="21"/>
                <w:highlight w:val="none"/>
                <w:lang w:bidi="ar"/>
              </w:rPr>
              <w:t>2、无市民投诉、媒体反映或曝光的环境卫生等问题发生。</w:t>
            </w:r>
          </w:p>
        </w:tc>
        <w:tc>
          <w:tcPr>
            <w:tcW w:w="3480" w:type="dxa"/>
            <w:noWrap w:val="0"/>
            <w:vAlign w:val="center"/>
          </w:tcPr>
          <w:p>
            <w:pPr>
              <w:spacing w:line="300" w:lineRule="exact"/>
              <w:textAlignment w:val="center"/>
              <w:rPr>
                <w:rFonts w:ascii="宋体" w:hAnsi="宋体" w:cs="Arial"/>
                <w:color w:val="auto"/>
                <w:sz w:val="21"/>
                <w:szCs w:val="21"/>
                <w:highlight w:val="none"/>
              </w:rPr>
            </w:pPr>
            <w:r>
              <w:rPr>
                <w:rFonts w:ascii="宋体" w:hAnsi="宋体" w:cs="Arial"/>
                <w:color w:val="auto"/>
                <w:sz w:val="21"/>
                <w:szCs w:val="21"/>
                <w:highlight w:val="none"/>
              </w:rPr>
              <w:t>1、指挥中心、智慧城管、12345热线等交办问题未处置（办理）的，每次扣2分；未按期处置（办理）或处置（办理）不到位的，每次扣1分。</w:t>
            </w:r>
          </w:p>
        </w:tc>
        <w:tc>
          <w:tcPr>
            <w:tcW w:w="1305" w:type="dxa"/>
            <w:noWrap w:val="0"/>
            <w:vAlign w:val="center"/>
          </w:tcPr>
          <w:p>
            <w:pPr>
              <w:spacing w:line="300" w:lineRule="exact"/>
              <w:jc w:val="center"/>
              <w:textAlignment w:val="center"/>
              <w:rPr>
                <w:rFonts w:ascii="宋体" w:hAnsi="宋体" w:cs="Arial"/>
                <w:color w:val="auto"/>
                <w:sz w:val="21"/>
                <w:szCs w:val="21"/>
                <w:highlight w:val="none"/>
              </w:rPr>
            </w:pPr>
            <w:r>
              <w:rPr>
                <w:rFonts w:ascii="宋体" w:hAnsi="宋体" w:cs="Arial"/>
                <w:color w:val="auto"/>
                <w:sz w:val="21"/>
                <w:szCs w:val="21"/>
                <w:highlight w:val="none"/>
                <w:lang w:bidi="ar"/>
              </w:rPr>
              <w:t>1-2分/次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800" w:hRule="atLeast"/>
          <w:jc w:val="center"/>
        </w:trPr>
        <w:tc>
          <w:tcPr>
            <w:tcW w:w="690" w:type="dxa"/>
            <w:vMerge w:val="continue"/>
            <w:noWrap/>
            <w:vAlign w:val="center"/>
          </w:tcPr>
          <w:p>
            <w:pPr>
              <w:spacing w:line="300" w:lineRule="exact"/>
              <w:jc w:val="center"/>
              <w:rPr>
                <w:rFonts w:ascii="宋体" w:hAnsi="宋体" w:cs="Arial"/>
                <w:color w:val="auto"/>
                <w:sz w:val="21"/>
                <w:szCs w:val="21"/>
                <w:highlight w:val="none"/>
              </w:rPr>
            </w:pPr>
          </w:p>
        </w:tc>
        <w:tc>
          <w:tcPr>
            <w:tcW w:w="3720" w:type="dxa"/>
            <w:vMerge w:val="continue"/>
            <w:noWrap w:val="0"/>
            <w:vAlign w:val="center"/>
          </w:tcPr>
          <w:p>
            <w:pPr>
              <w:spacing w:line="300" w:lineRule="exact"/>
              <w:rPr>
                <w:rFonts w:ascii="宋体" w:hAnsi="宋体" w:cs="Arial"/>
                <w:color w:val="auto"/>
                <w:sz w:val="21"/>
                <w:szCs w:val="21"/>
                <w:highlight w:val="none"/>
              </w:rPr>
            </w:pPr>
          </w:p>
        </w:tc>
        <w:tc>
          <w:tcPr>
            <w:tcW w:w="3480" w:type="dxa"/>
            <w:noWrap w:val="0"/>
            <w:vAlign w:val="center"/>
          </w:tcPr>
          <w:p>
            <w:pPr>
              <w:spacing w:line="300" w:lineRule="exact"/>
              <w:textAlignment w:val="center"/>
              <w:rPr>
                <w:rFonts w:ascii="宋体" w:hAnsi="宋体" w:cs="Arial"/>
                <w:color w:val="auto"/>
                <w:sz w:val="21"/>
                <w:szCs w:val="21"/>
                <w:highlight w:val="none"/>
              </w:rPr>
            </w:pPr>
            <w:r>
              <w:rPr>
                <w:rFonts w:ascii="宋体" w:hAnsi="宋体" w:cs="Arial"/>
                <w:color w:val="auto"/>
                <w:sz w:val="21"/>
                <w:szCs w:val="21"/>
                <w:highlight w:val="none"/>
                <w:lang w:bidi="ar"/>
              </w:rPr>
              <w:t>2、社会反映的热点、焦点问题和市政府阶段重点工作保障任务、领导重要批示要求、市局巡查督办等重点督办件办理、回复不及时、不到位的，每件扣5分。</w:t>
            </w:r>
          </w:p>
        </w:tc>
        <w:tc>
          <w:tcPr>
            <w:tcW w:w="1305" w:type="dxa"/>
            <w:noWrap w:val="0"/>
            <w:vAlign w:val="center"/>
          </w:tcPr>
          <w:p>
            <w:pPr>
              <w:spacing w:line="300" w:lineRule="exact"/>
              <w:jc w:val="center"/>
              <w:textAlignment w:val="center"/>
              <w:rPr>
                <w:rFonts w:ascii="宋体" w:hAnsi="宋体" w:cs="Arial"/>
                <w:color w:val="auto"/>
                <w:sz w:val="21"/>
                <w:szCs w:val="21"/>
                <w:highlight w:val="none"/>
              </w:rPr>
            </w:pPr>
            <w:r>
              <w:rPr>
                <w:rFonts w:ascii="宋体" w:hAnsi="宋体" w:cs="Arial"/>
                <w:color w:val="auto"/>
                <w:sz w:val="21"/>
                <w:szCs w:val="21"/>
                <w:highlight w:val="none"/>
                <w:lang w:bidi="ar"/>
              </w:rPr>
              <w:t>5分/次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800" w:hRule="atLeast"/>
          <w:jc w:val="center"/>
        </w:trPr>
        <w:tc>
          <w:tcPr>
            <w:tcW w:w="690" w:type="dxa"/>
            <w:vMerge w:val="continue"/>
            <w:noWrap/>
            <w:vAlign w:val="center"/>
          </w:tcPr>
          <w:p>
            <w:pPr>
              <w:spacing w:line="300" w:lineRule="exact"/>
              <w:jc w:val="center"/>
              <w:rPr>
                <w:rFonts w:ascii="宋体" w:hAnsi="宋体" w:cs="Arial"/>
                <w:color w:val="auto"/>
                <w:sz w:val="21"/>
                <w:szCs w:val="21"/>
                <w:highlight w:val="none"/>
              </w:rPr>
            </w:pPr>
          </w:p>
        </w:tc>
        <w:tc>
          <w:tcPr>
            <w:tcW w:w="3720" w:type="dxa"/>
            <w:vMerge w:val="continue"/>
            <w:noWrap w:val="0"/>
            <w:vAlign w:val="center"/>
          </w:tcPr>
          <w:p>
            <w:pPr>
              <w:spacing w:line="300" w:lineRule="exact"/>
              <w:rPr>
                <w:rFonts w:ascii="宋体" w:hAnsi="宋体" w:cs="Arial"/>
                <w:color w:val="auto"/>
                <w:sz w:val="21"/>
                <w:szCs w:val="21"/>
                <w:highlight w:val="none"/>
              </w:rPr>
            </w:pPr>
          </w:p>
        </w:tc>
        <w:tc>
          <w:tcPr>
            <w:tcW w:w="3480" w:type="dxa"/>
            <w:noWrap w:val="0"/>
            <w:vAlign w:val="center"/>
          </w:tcPr>
          <w:p>
            <w:pPr>
              <w:spacing w:line="300" w:lineRule="exact"/>
              <w:textAlignment w:val="center"/>
              <w:rPr>
                <w:rFonts w:ascii="宋体" w:hAnsi="宋体" w:cs="Arial"/>
                <w:color w:val="auto"/>
                <w:sz w:val="21"/>
                <w:szCs w:val="21"/>
                <w:highlight w:val="none"/>
              </w:rPr>
            </w:pPr>
            <w:r>
              <w:rPr>
                <w:rFonts w:ascii="宋体" w:hAnsi="宋体" w:cs="Arial"/>
                <w:color w:val="auto"/>
                <w:sz w:val="21"/>
                <w:szCs w:val="21"/>
                <w:highlight w:val="none"/>
                <w:lang w:bidi="ar"/>
              </w:rPr>
              <w:t>3、对因管理不当被媒体曝光并造成社会恶劣影响的，每次扣10分。</w:t>
            </w:r>
          </w:p>
        </w:tc>
        <w:tc>
          <w:tcPr>
            <w:tcW w:w="1305" w:type="dxa"/>
            <w:noWrap w:val="0"/>
            <w:vAlign w:val="center"/>
          </w:tcPr>
          <w:p>
            <w:pPr>
              <w:spacing w:line="300" w:lineRule="exact"/>
              <w:jc w:val="center"/>
              <w:textAlignment w:val="center"/>
              <w:rPr>
                <w:rFonts w:ascii="宋体" w:hAnsi="宋体" w:cs="Arial"/>
                <w:color w:val="auto"/>
                <w:sz w:val="21"/>
                <w:szCs w:val="21"/>
                <w:highlight w:val="none"/>
              </w:rPr>
            </w:pPr>
            <w:r>
              <w:rPr>
                <w:rFonts w:ascii="宋体" w:hAnsi="宋体" w:cs="Arial"/>
                <w:color w:val="auto"/>
                <w:sz w:val="21"/>
                <w:szCs w:val="21"/>
                <w:highlight w:val="none"/>
                <w:lang w:bidi="ar"/>
              </w:rPr>
              <w:t>10分/次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800" w:hRule="atLeast"/>
          <w:jc w:val="center"/>
        </w:trPr>
        <w:tc>
          <w:tcPr>
            <w:tcW w:w="690" w:type="dxa"/>
            <w:vMerge w:val="continue"/>
            <w:noWrap/>
            <w:vAlign w:val="center"/>
          </w:tcPr>
          <w:p>
            <w:pPr>
              <w:spacing w:line="300" w:lineRule="exact"/>
              <w:jc w:val="center"/>
              <w:rPr>
                <w:rFonts w:ascii="宋体" w:hAnsi="宋体" w:cs="Arial"/>
                <w:color w:val="auto"/>
                <w:sz w:val="21"/>
                <w:szCs w:val="21"/>
                <w:highlight w:val="none"/>
              </w:rPr>
            </w:pPr>
          </w:p>
        </w:tc>
        <w:tc>
          <w:tcPr>
            <w:tcW w:w="3720" w:type="dxa"/>
            <w:vMerge w:val="continue"/>
            <w:noWrap w:val="0"/>
            <w:vAlign w:val="center"/>
          </w:tcPr>
          <w:p>
            <w:pPr>
              <w:spacing w:line="300" w:lineRule="exact"/>
              <w:rPr>
                <w:rFonts w:ascii="宋体" w:hAnsi="宋体" w:cs="Arial"/>
                <w:color w:val="auto"/>
                <w:sz w:val="21"/>
                <w:szCs w:val="21"/>
                <w:highlight w:val="none"/>
              </w:rPr>
            </w:pPr>
          </w:p>
        </w:tc>
        <w:tc>
          <w:tcPr>
            <w:tcW w:w="3480" w:type="dxa"/>
            <w:noWrap w:val="0"/>
            <w:vAlign w:val="center"/>
          </w:tcPr>
          <w:p>
            <w:pPr>
              <w:spacing w:line="300" w:lineRule="exact"/>
              <w:textAlignment w:val="center"/>
              <w:rPr>
                <w:rFonts w:ascii="宋体" w:hAnsi="宋体" w:cs="Arial"/>
                <w:color w:val="auto"/>
                <w:sz w:val="21"/>
                <w:szCs w:val="21"/>
                <w:highlight w:val="none"/>
              </w:rPr>
            </w:pPr>
            <w:r>
              <w:rPr>
                <w:rFonts w:ascii="宋体" w:hAnsi="宋体" w:cs="Arial"/>
                <w:color w:val="auto"/>
                <w:sz w:val="21"/>
                <w:szCs w:val="21"/>
                <w:highlight w:val="none"/>
                <w:lang w:bidi="ar"/>
              </w:rPr>
              <w:t>4、如有市民投诉、媒体曝光的重大环境卫生负面影响事件,经核实是由承包单位或作业人员责任引起的，扣10分 ；由于日常保洁作业、管理不到位造成市民投诉、媒体反映的环境卫生问题（如车辆高峰作业、未避让行人等），经核实的，每次扣5分。</w:t>
            </w:r>
          </w:p>
        </w:tc>
        <w:tc>
          <w:tcPr>
            <w:tcW w:w="1305" w:type="dxa"/>
            <w:noWrap w:val="0"/>
            <w:vAlign w:val="center"/>
          </w:tcPr>
          <w:p>
            <w:pPr>
              <w:spacing w:line="300" w:lineRule="exact"/>
              <w:jc w:val="center"/>
              <w:textAlignment w:val="center"/>
              <w:rPr>
                <w:rFonts w:ascii="宋体" w:hAnsi="宋体" w:cs="Arial"/>
                <w:color w:val="auto"/>
                <w:sz w:val="21"/>
                <w:szCs w:val="21"/>
                <w:highlight w:val="none"/>
              </w:rPr>
            </w:pPr>
            <w:r>
              <w:rPr>
                <w:rFonts w:ascii="宋体" w:hAnsi="宋体" w:cs="Arial"/>
                <w:color w:val="auto"/>
                <w:sz w:val="21"/>
                <w:szCs w:val="21"/>
                <w:highlight w:val="none"/>
                <w:lang w:bidi="ar"/>
              </w:rPr>
              <w:t>5-10分/次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840" w:hRule="atLeast"/>
          <w:jc w:val="center"/>
        </w:trPr>
        <w:tc>
          <w:tcPr>
            <w:tcW w:w="690" w:type="dxa"/>
            <w:vMerge w:val="continue"/>
            <w:noWrap/>
            <w:vAlign w:val="center"/>
          </w:tcPr>
          <w:p>
            <w:pPr>
              <w:spacing w:line="300" w:lineRule="exact"/>
              <w:jc w:val="center"/>
              <w:rPr>
                <w:rFonts w:ascii="宋体" w:hAnsi="宋体" w:cs="Arial"/>
                <w:color w:val="auto"/>
                <w:sz w:val="21"/>
                <w:szCs w:val="21"/>
                <w:highlight w:val="none"/>
              </w:rPr>
            </w:pPr>
          </w:p>
        </w:tc>
        <w:tc>
          <w:tcPr>
            <w:tcW w:w="3720" w:type="dxa"/>
            <w:vMerge w:val="continue"/>
            <w:noWrap w:val="0"/>
            <w:vAlign w:val="center"/>
          </w:tcPr>
          <w:p>
            <w:pPr>
              <w:spacing w:line="300" w:lineRule="exact"/>
              <w:rPr>
                <w:rFonts w:ascii="宋体" w:hAnsi="宋体" w:cs="Arial"/>
                <w:color w:val="auto"/>
                <w:sz w:val="21"/>
                <w:szCs w:val="21"/>
                <w:highlight w:val="none"/>
              </w:rPr>
            </w:pPr>
          </w:p>
        </w:tc>
        <w:tc>
          <w:tcPr>
            <w:tcW w:w="3480" w:type="dxa"/>
            <w:noWrap w:val="0"/>
            <w:vAlign w:val="center"/>
          </w:tcPr>
          <w:p>
            <w:pPr>
              <w:spacing w:line="300" w:lineRule="exact"/>
              <w:textAlignment w:val="center"/>
              <w:rPr>
                <w:rFonts w:ascii="宋体" w:hAnsi="宋体" w:cs="Arial"/>
                <w:color w:val="auto"/>
                <w:sz w:val="21"/>
                <w:szCs w:val="21"/>
                <w:highlight w:val="none"/>
              </w:rPr>
            </w:pPr>
            <w:r>
              <w:rPr>
                <w:rFonts w:ascii="宋体" w:hAnsi="宋体" w:cs="Arial"/>
                <w:color w:val="auto"/>
                <w:sz w:val="21"/>
                <w:szCs w:val="21"/>
                <w:highlight w:val="none"/>
                <w:lang w:bidi="ar"/>
              </w:rPr>
              <w:t>5. 重大活动或抗台、暴雨等突发事件，不服从甲方的统一指挥和调动参加抢险救灾工作，人员未及时到位或未根据应急命令决定早到和离岗</w:t>
            </w:r>
          </w:p>
        </w:tc>
        <w:tc>
          <w:tcPr>
            <w:tcW w:w="1305" w:type="dxa"/>
            <w:noWrap w:val="0"/>
            <w:vAlign w:val="center"/>
          </w:tcPr>
          <w:p>
            <w:pPr>
              <w:spacing w:line="300" w:lineRule="exact"/>
              <w:jc w:val="center"/>
              <w:textAlignment w:val="center"/>
              <w:rPr>
                <w:rFonts w:ascii="宋体" w:hAnsi="宋体" w:cs="Arial"/>
                <w:color w:val="auto"/>
                <w:sz w:val="21"/>
                <w:szCs w:val="21"/>
                <w:highlight w:val="none"/>
              </w:rPr>
            </w:pPr>
            <w:r>
              <w:rPr>
                <w:rFonts w:ascii="宋体" w:hAnsi="宋体" w:cs="Arial"/>
                <w:color w:val="auto"/>
                <w:sz w:val="21"/>
                <w:szCs w:val="21"/>
                <w:highlight w:val="none"/>
                <w:lang w:bidi="ar"/>
              </w:rPr>
              <w:t>5分/次</w:t>
            </w:r>
          </w:p>
        </w:tc>
      </w:tr>
    </w:tbl>
    <w:p>
      <w:pPr>
        <w:spacing w:line="400" w:lineRule="exact"/>
        <w:jc w:val="left"/>
        <w:rPr>
          <w:rFonts w:ascii="宋体" w:hAnsi="宋体" w:cs="Arial"/>
          <w:color w:val="auto"/>
          <w:sz w:val="21"/>
          <w:szCs w:val="21"/>
          <w:highlight w:val="none"/>
        </w:rPr>
      </w:pPr>
    </w:p>
    <w:p>
      <w:pPr>
        <w:spacing w:line="400" w:lineRule="exact"/>
        <w:jc w:val="left"/>
        <w:textAlignment w:val="center"/>
        <w:rPr>
          <w:rFonts w:ascii="宋体" w:hAnsi="宋体" w:cs="Arial"/>
          <w:color w:val="auto"/>
          <w:sz w:val="21"/>
          <w:szCs w:val="21"/>
          <w:highlight w:val="none"/>
          <w:lang w:bidi="ar"/>
        </w:rPr>
      </w:pPr>
      <w:r>
        <w:rPr>
          <w:rFonts w:ascii="宋体" w:hAnsi="宋体" w:cs="Arial"/>
          <w:color w:val="auto"/>
          <w:sz w:val="21"/>
          <w:szCs w:val="21"/>
          <w:highlight w:val="none"/>
        </w:rPr>
        <w:br w:type="page"/>
      </w:r>
      <w:r>
        <w:rPr>
          <w:rFonts w:ascii="宋体" w:hAnsi="宋体" w:cs="Arial"/>
          <w:color w:val="auto"/>
          <w:sz w:val="21"/>
          <w:szCs w:val="21"/>
          <w:highlight w:val="none"/>
          <w:lang w:bidi="ar"/>
        </w:rPr>
        <w:t>附表1-2：</w:t>
      </w:r>
    </w:p>
    <w:p>
      <w:pPr>
        <w:spacing w:line="400" w:lineRule="exact"/>
        <w:jc w:val="center"/>
        <w:rPr>
          <w:rFonts w:ascii="宋体" w:hAnsi="宋体" w:cs="Arial"/>
          <w:b/>
          <w:color w:val="auto"/>
          <w:sz w:val="21"/>
          <w:szCs w:val="21"/>
          <w:highlight w:val="none"/>
        </w:rPr>
      </w:pPr>
      <w:r>
        <w:rPr>
          <w:rFonts w:ascii="宋体" w:hAnsi="宋体" w:cs="Arial"/>
          <w:b/>
          <w:color w:val="auto"/>
          <w:sz w:val="21"/>
          <w:szCs w:val="21"/>
          <w:highlight w:val="none"/>
          <w:lang w:bidi="ar"/>
        </w:rPr>
        <w:t>二、</w:t>
      </w:r>
      <w:r>
        <w:rPr>
          <w:rFonts w:hint="eastAsia" w:ascii="宋体" w:hAnsi="宋体" w:cs="Arial"/>
          <w:b/>
          <w:color w:val="auto"/>
          <w:sz w:val="21"/>
          <w:szCs w:val="21"/>
          <w:highlight w:val="none"/>
          <w:lang w:bidi="ar"/>
        </w:rPr>
        <w:t>龙湾区</w:t>
      </w:r>
      <w:r>
        <w:rPr>
          <w:rFonts w:ascii="宋体" w:hAnsi="宋体" w:cs="Arial"/>
          <w:b/>
          <w:color w:val="auto"/>
          <w:sz w:val="21"/>
          <w:szCs w:val="21"/>
          <w:highlight w:val="none"/>
          <w:lang w:bidi="ar"/>
        </w:rPr>
        <w:t>河道精细化作业质量评分细则（100分）</w:t>
      </w:r>
    </w:p>
    <w:tbl>
      <w:tblPr>
        <w:tblStyle w:val="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3924"/>
        <w:gridCol w:w="3375"/>
        <w:gridCol w:w="1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blHeader/>
        </w:trPr>
        <w:tc>
          <w:tcPr>
            <w:tcW w:w="738" w:type="dxa"/>
            <w:noWrap w:val="0"/>
            <w:vAlign w:val="center"/>
          </w:tcPr>
          <w:p>
            <w:pPr>
              <w:spacing w:line="300" w:lineRule="exact"/>
              <w:jc w:val="left"/>
              <w:textAlignment w:val="center"/>
              <w:rPr>
                <w:rFonts w:hint="eastAsia" w:ascii="宋体" w:hAnsi="宋体" w:cs="Arial"/>
                <w:b/>
                <w:bCs/>
                <w:color w:val="auto"/>
                <w:sz w:val="21"/>
                <w:szCs w:val="21"/>
                <w:highlight w:val="none"/>
                <w:lang w:bidi="ar"/>
              </w:rPr>
            </w:pPr>
            <w:r>
              <w:rPr>
                <w:rFonts w:hint="eastAsia" w:ascii="宋体" w:hAnsi="宋体" w:cs="Arial"/>
                <w:b/>
                <w:bCs/>
                <w:color w:val="auto"/>
                <w:sz w:val="21"/>
                <w:szCs w:val="21"/>
                <w:highlight w:val="none"/>
                <w:lang w:bidi="ar"/>
              </w:rPr>
              <w:t>项目</w:t>
            </w:r>
          </w:p>
        </w:tc>
        <w:tc>
          <w:tcPr>
            <w:tcW w:w="3924" w:type="dxa"/>
            <w:noWrap w:val="0"/>
            <w:vAlign w:val="center"/>
          </w:tcPr>
          <w:p>
            <w:pPr>
              <w:spacing w:line="300" w:lineRule="exact"/>
              <w:jc w:val="center"/>
              <w:textAlignment w:val="center"/>
              <w:rPr>
                <w:rFonts w:hint="eastAsia" w:ascii="宋体" w:hAnsi="宋体" w:cs="Arial"/>
                <w:b/>
                <w:bCs/>
                <w:color w:val="auto"/>
                <w:sz w:val="21"/>
                <w:szCs w:val="21"/>
                <w:highlight w:val="none"/>
                <w:lang w:bidi="ar"/>
              </w:rPr>
            </w:pPr>
            <w:r>
              <w:rPr>
                <w:rFonts w:ascii="宋体" w:hAnsi="宋体" w:cs="Arial"/>
                <w:b/>
                <w:bCs/>
                <w:color w:val="auto"/>
                <w:sz w:val="21"/>
                <w:szCs w:val="21"/>
                <w:highlight w:val="none"/>
                <w:lang w:bidi="ar"/>
              </w:rPr>
              <w:t>质量（工作）标准</w:t>
            </w:r>
          </w:p>
        </w:tc>
        <w:tc>
          <w:tcPr>
            <w:tcW w:w="3375" w:type="dxa"/>
            <w:noWrap w:val="0"/>
            <w:vAlign w:val="center"/>
          </w:tcPr>
          <w:p>
            <w:pPr>
              <w:spacing w:line="300" w:lineRule="exact"/>
              <w:jc w:val="center"/>
              <w:textAlignment w:val="center"/>
              <w:rPr>
                <w:rFonts w:hint="eastAsia" w:ascii="宋体" w:hAnsi="宋体" w:cs="Arial"/>
                <w:b/>
                <w:bCs/>
                <w:color w:val="auto"/>
                <w:sz w:val="21"/>
                <w:szCs w:val="21"/>
                <w:highlight w:val="none"/>
                <w:lang w:val="en-GB" w:bidi="ar"/>
              </w:rPr>
            </w:pPr>
            <w:r>
              <w:rPr>
                <w:rFonts w:ascii="宋体" w:hAnsi="宋体" w:cs="Arial"/>
                <w:b/>
                <w:bCs/>
                <w:color w:val="auto"/>
                <w:sz w:val="21"/>
                <w:szCs w:val="21"/>
                <w:highlight w:val="none"/>
                <w:lang w:bidi="ar"/>
              </w:rPr>
              <w:t>评分标准</w:t>
            </w:r>
          </w:p>
        </w:tc>
        <w:tc>
          <w:tcPr>
            <w:tcW w:w="1006" w:type="dxa"/>
            <w:noWrap w:val="0"/>
            <w:vAlign w:val="center"/>
          </w:tcPr>
          <w:p>
            <w:pPr>
              <w:spacing w:line="300" w:lineRule="exact"/>
              <w:jc w:val="center"/>
              <w:textAlignment w:val="center"/>
              <w:rPr>
                <w:rFonts w:hint="eastAsia" w:ascii="宋体" w:hAnsi="宋体" w:cs="Arial"/>
                <w:b/>
                <w:bCs/>
                <w:color w:val="auto"/>
                <w:sz w:val="21"/>
                <w:szCs w:val="21"/>
                <w:highlight w:val="none"/>
                <w:lang w:bidi="ar"/>
              </w:rPr>
            </w:pPr>
            <w:r>
              <w:rPr>
                <w:rFonts w:hint="eastAsia" w:ascii="宋体" w:hAnsi="宋体" w:cs="Arial"/>
                <w:b/>
                <w:bCs/>
                <w:color w:val="auto"/>
                <w:sz w:val="21"/>
                <w:szCs w:val="21"/>
                <w:highlight w:val="none"/>
                <w:lang w:bidi="ar"/>
              </w:rPr>
              <w:t>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738" w:type="dxa"/>
            <w:vMerge w:val="restart"/>
            <w:noWrap w:val="0"/>
            <w:vAlign w:val="center"/>
          </w:tcPr>
          <w:p>
            <w:pPr>
              <w:spacing w:line="300" w:lineRule="exact"/>
              <w:jc w:val="left"/>
              <w:rPr>
                <w:rFonts w:hint="eastAsia" w:ascii="宋体" w:hAnsi="宋体" w:cs="仿宋_GB2312"/>
                <w:color w:val="auto"/>
                <w:sz w:val="21"/>
                <w:szCs w:val="21"/>
                <w:highlight w:val="none"/>
              </w:rPr>
            </w:pPr>
            <w:r>
              <w:rPr>
                <w:rFonts w:hint="eastAsia" w:ascii="宋体" w:hAnsi="宋体" w:cs="仿宋_GB2312"/>
                <w:color w:val="auto"/>
                <w:sz w:val="21"/>
                <w:szCs w:val="21"/>
                <w:highlight w:val="none"/>
              </w:rPr>
              <w:t>日常保洁</w:t>
            </w:r>
          </w:p>
        </w:tc>
        <w:tc>
          <w:tcPr>
            <w:tcW w:w="3924" w:type="dxa"/>
            <w:vMerge w:val="restart"/>
            <w:noWrap w:val="0"/>
            <w:vAlign w:val="center"/>
          </w:tcPr>
          <w:p>
            <w:pPr>
              <w:spacing w:line="300" w:lineRule="exact"/>
              <w:rPr>
                <w:rFonts w:hint="eastAsia" w:ascii="宋体" w:hAnsi="宋体" w:cs="仿宋_GB2312"/>
                <w:color w:val="auto"/>
                <w:sz w:val="21"/>
                <w:szCs w:val="21"/>
                <w:highlight w:val="none"/>
              </w:rPr>
            </w:pPr>
            <w:r>
              <w:rPr>
                <w:rFonts w:hint="eastAsia" w:ascii="宋体" w:hAnsi="宋体" w:cs="仿宋_GB2312"/>
                <w:color w:val="auto"/>
                <w:sz w:val="21"/>
                <w:szCs w:val="21"/>
                <w:highlight w:val="none"/>
              </w:rPr>
              <w:t>河面、河滩、堤岸无垃圾和漂浮物，无明显水生植物（用于河水净化而专门设置的水生植物例外）；水面打捞物集中堆放妥善处置，无二次污染；河道通畅，河中无障碍物。河岸两旁及隔离护栏下无垃圾、淤泥；河岸绿化带内无杂物、纸屑。</w:t>
            </w:r>
          </w:p>
        </w:tc>
        <w:tc>
          <w:tcPr>
            <w:tcW w:w="3375" w:type="dxa"/>
            <w:noWrap w:val="0"/>
            <w:vAlign w:val="center"/>
          </w:tcPr>
          <w:p>
            <w:pPr>
              <w:spacing w:line="300" w:lineRule="exact"/>
              <w:rPr>
                <w:rFonts w:hint="eastAsia" w:ascii="宋体" w:hAnsi="宋体" w:cs="仿宋_GB2312"/>
                <w:color w:val="auto"/>
                <w:sz w:val="21"/>
                <w:szCs w:val="21"/>
                <w:highlight w:val="none"/>
              </w:rPr>
            </w:pPr>
            <w:r>
              <w:rPr>
                <w:rFonts w:hint="eastAsia" w:ascii="宋体" w:hAnsi="宋体" w:cs="仿宋_GB2312"/>
                <w:color w:val="auto"/>
                <w:sz w:val="21"/>
                <w:szCs w:val="21"/>
                <w:highlight w:val="none"/>
              </w:rPr>
              <w:t>每处漂浮物(面积1-2m</w:t>
            </w:r>
            <w:r>
              <w:rPr>
                <w:rFonts w:hint="eastAsia" w:ascii="宋体" w:hAnsi="宋体" w:cs="仿宋_GB2312"/>
                <w:color w:val="auto"/>
                <w:sz w:val="21"/>
                <w:szCs w:val="21"/>
                <w:highlight w:val="none"/>
                <w:vertAlign w:val="superscript"/>
              </w:rPr>
              <w:t>2</w:t>
            </w:r>
            <w:r>
              <w:rPr>
                <w:rFonts w:hint="eastAsia" w:ascii="宋体" w:hAnsi="宋体" w:cs="仿宋_GB2312"/>
                <w:color w:val="auto"/>
                <w:sz w:val="21"/>
                <w:szCs w:val="21"/>
                <w:highlight w:val="none"/>
              </w:rPr>
              <w:t>以内)</w:t>
            </w:r>
          </w:p>
        </w:tc>
        <w:tc>
          <w:tcPr>
            <w:tcW w:w="1006" w:type="dxa"/>
            <w:noWrap w:val="0"/>
            <w:vAlign w:val="center"/>
          </w:tcPr>
          <w:p>
            <w:pPr>
              <w:spacing w:line="300" w:lineRule="exact"/>
              <w:jc w:val="center"/>
              <w:textAlignment w:val="center"/>
              <w:rPr>
                <w:rFonts w:hint="eastAsia" w:ascii="宋体" w:hAnsi="宋体" w:cs="Arial"/>
                <w:color w:val="auto"/>
                <w:sz w:val="21"/>
                <w:szCs w:val="21"/>
                <w:highlight w:val="none"/>
                <w:lang w:bidi="ar"/>
              </w:rPr>
            </w:pPr>
            <w:r>
              <w:rPr>
                <w:rFonts w:hint="eastAsia" w:ascii="宋体" w:hAnsi="宋体" w:cs="Arial"/>
                <w:color w:val="auto"/>
                <w:sz w:val="21"/>
                <w:szCs w:val="21"/>
                <w:highlight w:val="none"/>
                <w:lang w:bidi="ar"/>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738" w:type="dxa"/>
            <w:vMerge w:val="continue"/>
            <w:noWrap w:val="0"/>
            <w:vAlign w:val="center"/>
          </w:tcPr>
          <w:p>
            <w:pPr>
              <w:spacing w:line="300" w:lineRule="exact"/>
              <w:jc w:val="left"/>
              <w:rPr>
                <w:rFonts w:hint="eastAsia" w:ascii="宋体" w:hAnsi="宋体" w:cs="仿宋_GB2312"/>
                <w:color w:val="auto"/>
                <w:sz w:val="21"/>
                <w:szCs w:val="21"/>
                <w:highlight w:val="none"/>
              </w:rPr>
            </w:pPr>
          </w:p>
        </w:tc>
        <w:tc>
          <w:tcPr>
            <w:tcW w:w="3924" w:type="dxa"/>
            <w:vMerge w:val="continue"/>
            <w:noWrap w:val="0"/>
            <w:vAlign w:val="center"/>
          </w:tcPr>
          <w:p>
            <w:pPr>
              <w:spacing w:line="300" w:lineRule="exact"/>
              <w:rPr>
                <w:rFonts w:hint="eastAsia" w:ascii="宋体" w:hAnsi="宋体" w:cs="仿宋_GB2312"/>
                <w:color w:val="auto"/>
                <w:sz w:val="21"/>
                <w:szCs w:val="21"/>
                <w:highlight w:val="none"/>
              </w:rPr>
            </w:pPr>
          </w:p>
        </w:tc>
        <w:tc>
          <w:tcPr>
            <w:tcW w:w="3375" w:type="dxa"/>
            <w:noWrap w:val="0"/>
            <w:vAlign w:val="center"/>
          </w:tcPr>
          <w:p>
            <w:pPr>
              <w:spacing w:line="300" w:lineRule="exact"/>
              <w:rPr>
                <w:rFonts w:hint="eastAsia" w:ascii="宋体" w:hAnsi="宋体" w:cs="仿宋_GB2312"/>
                <w:color w:val="auto"/>
                <w:sz w:val="21"/>
                <w:szCs w:val="21"/>
                <w:highlight w:val="none"/>
              </w:rPr>
            </w:pPr>
            <w:r>
              <w:rPr>
                <w:rFonts w:hint="eastAsia" w:ascii="宋体" w:hAnsi="宋体" w:cs="仿宋_GB2312"/>
                <w:color w:val="auto"/>
                <w:sz w:val="21"/>
                <w:szCs w:val="21"/>
                <w:highlight w:val="none"/>
              </w:rPr>
              <w:t>每处漂浮物(面积2-5m</w:t>
            </w:r>
            <w:r>
              <w:rPr>
                <w:rFonts w:hint="eastAsia" w:ascii="宋体" w:hAnsi="宋体" w:cs="仿宋_GB2312"/>
                <w:color w:val="auto"/>
                <w:sz w:val="21"/>
                <w:szCs w:val="21"/>
                <w:highlight w:val="none"/>
                <w:vertAlign w:val="superscript"/>
              </w:rPr>
              <w:t>2</w:t>
            </w:r>
            <w:r>
              <w:rPr>
                <w:rFonts w:hint="eastAsia" w:ascii="宋体" w:hAnsi="宋体" w:cs="仿宋_GB2312"/>
                <w:color w:val="auto"/>
                <w:sz w:val="21"/>
                <w:szCs w:val="21"/>
                <w:highlight w:val="none"/>
              </w:rPr>
              <w:t>以内)</w:t>
            </w:r>
          </w:p>
        </w:tc>
        <w:tc>
          <w:tcPr>
            <w:tcW w:w="1006" w:type="dxa"/>
            <w:noWrap w:val="0"/>
            <w:vAlign w:val="center"/>
          </w:tcPr>
          <w:p>
            <w:pPr>
              <w:spacing w:line="300" w:lineRule="exact"/>
              <w:jc w:val="center"/>
              <w:textAlignment w:val="center"/>
              <w:rPr>
                <w:rFonts w:hint="eastAsia" w:ascii="宋体" w:hAnsi="宋体" w:cs="Arial"/>
                <w:color w:val="auto"/>
                <w:sz w:val="21"/>
                <w:szCs w:val="21"/>
                <w:highlight w:val="none"/>
                <w:lang w:bidi="ar"/>
              </w:rPr>
            </w:pPr>
            <w:r>
              <w:rPr>
                <w:rFonts w:hint="eastAsia" w:ascii="宋体" w:hAnsi="宋体" w:cs="Arial"/>
                <w:color w:val="auto"/>
                <w:sz w:val="21"/>
                <w:szCs w:val="21"/>
                <w:highlight w:val="none"/>
                <w:lang w:bidi="ar"/>
              </w:rPr>
              <w:t>3-4分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738" w:type="dxa"/>
            <w:vMerge w:val="continue"/>
            <w:noWrap w:val="0"/>
            <w:vAlign w:val="center"/>
          </w:tcPr>
          <w:p>
            <w:pPr>
              <w:spacing w:line="300" w:lineRule="exact"/>
              <w:jc w:val="left"/>
              <w:rPr>
                <w:rFonts w:hint="eastAsia" w:ascii="宋体" w:hAnsi="宋体" w:cs="仿宋_GB2312"/>
                <w:color w:val="auto"/>
                <w:sz w:val="21"/>
                <w:szCs w:val="21"/>
                <w:highlight w:val="none"/>
              </w:rPr>
            </w:pPr>
          </w:p>
        </w:tc>
        <w:tc>
          <w:tcPr>
            <w:tcW w:w="3924" w:type="dxa"/>
            <w:vMerge w:val="continue"/>
            <w:noWrap w:val="0"/>
            <w:vAlign w:val="center"/>
          </w:tcPr>
          <w:p>
            <w:pPr>
              <w:spacing w:line="300" w:lineRule="exact"/>
              <w:rPr>
                <w:rFonts w:hint="eastAsia" w:ascii="宋体" w:hAnsi="宋体" w:cs="仿宋_GB2312"/>
                <w:color w:val="auto"/>
                <w:sz w:val="21"/>
                <w:szCs w:val="21"/>
                <w:highlight w:val="none"/>
              </w:rPr>
            </w:pPr>
          </w:p>
        </w:tc>
        <w:tc>
          <w:tcPr>
            <w:tcW w:w="3375" w:type="dxa"/>
            <w:noWrap w:val="0"/>
            <w:vAlign w:val="center"/>
          </w:tcPr>
          <w:p>
            <w:pPr>
              <w:spacing w:line="300" w:lineRule="exact"/>
              <w:rPr>
                <w:rFonts w:hint="eastAsia" w:ascii="宋体" w:hAnsi="宋体" w:cs="仿宋_GB2312"/>
                <w:color w:val="auto"/>
                <w:sz w:val="21"/>
                <w:szCs w:val="21"/>
                <w:highlight w:val="none"/>
              </w:rPr>
            </w:pPr>
            <w:r>
              <w:rPr>
                <w:rFonts w:hint="eastAsia" w:ascii="宋体" w:hAnsi="宋体" w:cs="仿宋_GB2312"/>
                <w:color w:val="auto"/>
                <w:sz w:val="21"/>
                <w:szCs w:val="21"/>
                <w:highlight w:val="none"/>
              </w:rPr>
              <w:t>每处漂浮物(面积5m</w:t>
            </w:r>
            <w:r>
              <w:rPr>
                <w:rFonts w:hint="eastAsia" w:ascii="宋体" w:hAnsi="宋体" w:cs="仿宋_GB2312"/>
                <w:color w:val="auto"/>
                <w:sz w:val="21"/>
                <w:szCs w:val="21"/>
                <w:highlight w:val="none"/>
                <w:vertAlign w:val="superscript"/>
              </w:rPr>
              <w:t>2</w:t>
            </w:r>
            <w:r>
              <w:rPr>
                <w:rFonts w:hint="eastAsia" w:ascii="宋体" w:hAnsi="宋体" w:cs="仿宋_GB2312"/>
                <w:color w:val="auto"/>
                <w:sz w:val="21"/>
                <w:szCs w:val="21"/>
                <w:highlight w:val="none"/>
              </w:rPr>
              <w:t>以上)</w:t>
            </w:r>
          </w:p>
        </w:tc>
        <w:tc>
          <w:tcPr>
            <w:tcW w:w="1006" w:type="dxa"/>
            <w:noWrap w:val="0"/>
            <w:vAlign w:val="center"/>
          </w:tcPr>
          <w:p>
            <w:pPr>
              <w:spacing w:line="300" w:lineRule="exact"/>
              <w:jc w:val="center"/>
              <w:textAlignment w:val="center"/>
              <w:rPr>
                <w:rFonts w:hint="eastAsia" w:ascii="宋体" w:hAnsi="宋体" w:cs="Arial"/>
                <w:color w:val="auto"/>
                <w:sz w:val="21"/>
                <w:szCs w:val="21"/>
                <w:highlight w:val="none"/>
                <w:lang w:bidi="ar"/>
              </w:rPr>
            </w:pPr>
            <w:r>
              <w:rPr>
                <w:rFonts w:hint="eastAsia" w:ascii="宋体" w:hAnsi="宋体" w:cs="Arial"/>
                <w:color w:val="auto"/>
                <w:sz w:val="21"/>
                <w:szCs w:val="21"/>
                <w:highlight w:val="none"/>
                <w:lang w:bidi="ar"/>
              </w:rPr>
              <w:t>4-6分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738" w:type="dxa"/>
            <w:vMerge w:val="continue"/>
            <w:noWrap w:val="0"/>
            <w:vAlign w:val="center"/>
          </w:tcPr>
          <w:p>
            <w:pPr>
              <w:spacing w:line="300" w:lineRule="exact"/>
              <w:jc w:val="left"/>
              <w:rPr>
                <w:rFonts w:hint="eastAsia" w:ascii="宋体" w:hAnsi="宋体" w:cs="仿宋_GB2312"/>
                <w:color w:val="auto"/>
                <w:sz w:val="21"/>
                <w:szCs w:val="21"/>
                <w:highlight w:val="none"/>
              </w:rPr>
            </w:pPr>
          </w:p>
        </w:tc>
        <w:tc>
          <w:tcPr>
            <w:tcW w:w="3924" w:type="dxa"/>
            <w:vMerge w:val="continue"/>
            <w:noWrap w:val="0"/>
            <w:vAlign w:val="center"/>
          </w:tcPr>
          <w:p>
            <w:pPr>
              <w:spacing w:line="300" w:lineRule="exact"/>
              <w:rPr>
                <w:rFonts w:hint="eastAsia" w:ascii="宋体" w:hAnsi="宋体" w:cs="仿宋_GB2312"/>
                <w:color w:val="auto"/>
                <w:sz w:val="21"/>
                <w:szCs w:val="21"/>
                <w:highlight w:val="none"/>
              </w:rPr>
            </w:pPr>
          </w:p>
        </w:tc>
        <w:tc>
          <w:tcPr>
            <w:tcW w:w="3375" w:type="dxa"/>
            <w:noWrap w:val="0"/>
            <w:vAlign w:val="center"/>
          </w:tcPr>
          <w:p>
            <w:pPr>
              <w:spacing w:line="300" w:lineRule="exact"/>
              <w:rPr>
                <w:rFonts w:hint="eastAsia" w:ascii="宋体" w:hAnsi="宋体" w:cs="仿宋_GB2312"/>
                <w:color w:val="auto"/>
                <w:sz w:val="21"/>
                <w:szCs w:val="21"/>
                <w:highlight w:val="none"/>
              </w:rPr>
            </w:pPr>
            <w:r>
              <w:rPr>
                <w:rFonts w:hint="eastAsia" w:ascii="宋体" w:hAnsi="宋体" w:cs="仿宋_GB2312"/>
                <w:color w:val="auto"/>
                <w:sz w:val="21"/>
                <w:szCs w:val="21"/>
                <w:highlight w:val="none"/>
              </w:rPr>
              <w:t>河道内发现有动物尸体、木头等较大物品</w:t>
            </w:r>
          </w:p>
        </w:tc>
        <w:tc>
          <w:tcPr>
            <w:tcW w:w="1006" w:type="dxa"/>
            <w:noWrap w:val="0"/>
            <w:vAlign w:val="center"/>
          </w:tcPr>
          <w:p>
            <w:pPr>
              <w:spacing w:line="300" w:lineRule="exact"/>
              <w:jc w:val="center"/>
              <w:textAlignment w:val="center"/>
              <w:rPr>
                <w:rFonts w:hint="eastAsia" w:ascii="宋体" w:hAnsi="宋体" w:cs="Arial"/>
                <w:color w:val="auto"/>
                <w:sz w:val="21"/>
                <w:szCs w:val="21"/>
                <w:highlight w:val="none"/>
                <w:lang w:bidi="ar"/>
              </w:rPr>
            </w:pPr>
            <w:r>
              <w:rPr>
                <w:rFonts w:hint="eastAsia" w:ascii="宋体" w:hAnsi="宋体" w:cs="Arial"/>
                <w:color w:val="auto"/>
                <w:sz w:val="21"/>
                <w:szCs w:val="21"/>
                <w:highlight w:val="none"/>
                <w:lang w:bidi="ar"/>
              </w:rPr>
              <w:t>2分/处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738" w:type="dxa"/>
            <w:vMerge w:val="continue"/>
            <w:noWrap w:val="0"/>
            <w:vAlign w:val="center"/>
          </w:tcPr>
          <w:p>
            <w:pPr>
              <w:spacing w:line="300" w:lineRule="exact"/>
              <w:jc w:val="left"/>
              <w:rPr>
                <w:rFonts w:hint="eastAsia" w:ascii="宋体" w:hAnsi="宋体" w:cs="仿宋_GB2312"/>
                <w:color w:val="auto"/>
                <w:sz w:val="21"/>
                <w:szCs w:val="21"/>
                <w:highlight w:val="none"/>
              </w:rPr>
            </w:pPr>
          </w:p>
        </w:tc>
        <w:tc>
          <w:tcPr>
            <w:tcW w:w="3924" w:type="dxa"/>
            <w:vMerge w:val="continue"/>
            <w:noWrap w:val="0"/>
            <w:vAlign w:val="center"/>
          </w:tcPr>
          <w:p>
            <w:pPr>
              <w:spacing w:line="300" w:lineRule="exact"/>
              <w:rPr>
                <w:rFonts w:hint="eastAsia" w:ascii="宋体" w:hAnsi="宋体" w:cs="仿宋_GB2312"/>
                <w:color w:val="auto"/>
                <w:sz w:val="21"/>
                <w:szCs w:val="21"/>
                <w:highlight w:val="none"/>
              </w:rPr>
            </w:pPr>
          </w:p>
        </w:tc>
        <w:tc>
          <w:tcPr>
            <w:tcW w:w="3375" w:type="dxa"/>
            <w:noWrap w:val="0"/>
            <w:vAlign w:val="center"/>
          </w:tcPr>
          <w:p>
            <w:pPr>
              <w:spacing w:line="300" w:lineRule="exact"/>
              <w:rPr>
                <w:rFonts w:hint="eastAsia" w:ascii="宋体" w:hAnsi="宋体" w:cs="仿宋_GB2312"/>
                <w:color w:val="auto"/>
                <w:sz w:val="21"/>
                <w:szCs w:val="21"/>
                <w:highlight w:val="none"/>
              </w:rPr>
            </w:pPr>
            <w:r>
              <w:rPr>
                <w:rFonts w:hint="eastAsia" w:ascii="宋体" w:hAnsi="宋体" w:cs="仿宋_GB2312"/>
                <w:color w:val="auto"/>
                <w:sz w:val="21"/>
                <w:szCs w:val="21"/>
                <w:highlight w:val="none"/>
              </w:rPr>
              <w:t>河道和岸边（包括岸边5米范围内）垃圾有堆放现象</w:t>
            </w:r>
          </w:p>
        </w:tc>
        <w:tc>
          <w:tcPr>
            <w:tcW w:w="1006" w:type="dxa"/>
            <w:noWrap w:val="0"/>
            <w:vAlign w:val="center"/>
          </w:tcPr>
          <w:p>
            <w:pPr>
              <w:spacing w:line="300" w:lineRule="exact"/>
              <w:jc w:val="center"/>
              <w:textAlignment w:val="center"/>
              <w:rPr>
                <w:rFonts w:hint="eastAsia" w:ascii="宋体" w:hAnsi="宋体" w:cs="Arial"/>
                <w:color w:val="auto"/>
                <w:sz w:val="21"/>
                <w:szCs w:val="21"/>
                <w:highlight w:val="none"/>
                <w:lang w:bidi="ar"/>
              </w:rPr>
            </w:pPr>
            <w:r>
              <w:rPr>
                <w:rFonts w:hint="eastAsia" w:ascii="宋体" w:hAnsi="宋体" w:cs="Arial"/>
                <w:color w:val="auto"/>
                <w:sz w:val="21"/>
                <w:szCs w:val="21"/>
                <w:highlight w:val="none"/>
                <w:lang w:bidi="ar"/>
              </w:rPr>
              <w:t>3分/处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738" w:type="dxa"/>
            <w:vMerge w:val="continue"/>
            <w:noWrap w:val="0"/>
            <w:vAlign w:val="center"/>
          </w:tcPr>
          <w:p>
            <w:pPr>
              <w:spacing w:line="300" w:lineRule="exact"/>
              <w:jc w:val="left"/>
              <w:rPr>
                <w:rFonts w:hint="eastAsia" w:ascii="宋体" w:hAnsi="宋体" w:cs="仿宋_GB2312"/>
                <w:color w:val="auto"/>
                <w:sz w:val="21"/>
                <w:szCs w:val="21"/>
                <w:highlight w:val="none"/>
              </w:rPr>
            </w:pPr>
          </w:p>
        </w:tc>
        <w:tc>
          <w:tcPr>
            <w:tcW w:w="3924" w:type="dxa"/>
            <w:vMerge w:val="continue"/>
            <w:noWrap w:val="0"/>
            <w:vAlign w:val="center"/>
          </w:tcPr>
          <w:p>
            <w:pPr>
              <w:spacing w:line="300" w:lineRule="exact"/>
              <w:rPr>
                <w:rFonts w:hint="eastAsia" w:ascii="宋体" w:hAnsi="宋体" w:cs="仿宋_GB2312"/>
                <w:color w:val="auto"/>
                <w:sz w:val="21"/>
                <w:szCs w:val="21"/>
                <w:highlight w:val="none"/>
              </w:rPr>
            </w:pPr>
          </w:p>
        </w:tc>
        <w:tc>
          <w:tcPr>
            <w:tcW w:w="3375" w:type="dxa"/>
            <w:noWrap w:val="0"/>
            <w:vAlign w:val="center"/>
          </w:tcPr>
          <w:p>
            <w:pPr>
              <w:spacing w:line="300" w:lineRule="exact"/>
              <w:rPr>
                <w:rFonts w:hint="eastAsia" w:ascii="宋体" w:hAnsi="宋体" w:cs="仿宋_GB2312"/>
                <w:color w:val="auto"/>
                <w:sz w:val="21"/>
                <w:szCs w:val="21"/>
                <w:highlight w:val="none"/>
              </w:rPr>
            </w:pPr>
            <w:r>
              <w:rPr>
                <w:rFonts w:hint="eastAsia" w:ascii="宋体" w:hAnsi="宋体" w:cs="仿宋_GB2312"/>
                <w:color w:val="auto"/>
                <w:sz w:val="21"/>
                <w:szCs w:val="21"/>
                <w:highlight w:val="none"/>
              </w:rPr>
              <w:t>河面有影响水生态的杂草</w:t>
            </w:r>
          </w:p>
        </w:tc>
        <w:tc>
          <w:tcPr>
            <w:tcW w:w="1006" w:type="dxa"/>
            <w:noWrap w:val="0"/>
            <w:vAlign w:val="center"/>
          </w:tcPr>
          <w:p>
            <w:pPr>
              <w:spacing w:line="300" w:lineRule="exact"/>
              <w:jc w:val="center"/>
              <w:textAlignment w:val="center"/>
              <w:rPr>
                <w:rFonts w:hint="eastAsia" w:ascii="宋体" w:hAnsi="宋体" w:cs="Arial"/>
                <w:color w:val="auto"/>
                <w:sz w:val="21"/>
                <w:szCs w:val="21"/>
                <w:highlight w:val="none"/>
                <w:lang w:bidi="ar"/>
              </w:rPr>
            </w:pPr>
            <w:r>
              <w:rPr>
                <w:rFonts w:hint="eastAsia" w:ascii="宋体" w:hAnsi="宋体" w:cs="Arial"/>
                <w:color w:val="auto"/>
                <w:sz w:val="21"/>
                <w:szCs w:val="21"/>
                <w:highlight w:val="none"/>
                <w:lang w:bidi="ar"/>
              </w:rPr>
              <w:t>1分/处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738" w:type="dxa"/>
            <w:vMerge w:val="continue"/>
            <w:noWrap w:val="0"/>
            <w:vAlign w:val="center"/>
          </w:tcPr>
          <w:p>
            <w:pPr>
              <w:spacing w:line="300" w:lineRule="exact"/>
              <w:jc w:val="left"/>
              <w:rPr>
                <w:rFonts w:hint="eastAsia" w:ascii="宋体" w:hAnsi="宋体" w:cs="仿宋_GB2312"/>
                <w:color w:val="auto"/>
                <w:sz w:val="21"/>
                <w:szCs w:val="21"/>
                <w:highlight w:val="none"/>
              </w:rPr>
            </w:pPr>
          </w:p>
        </w:tc>
        <w:tc>
          <w:tcPr>
            <w:tcW w:w="3924" w:type="dxa"/>
            <w:vMerge w:val="continue"/>
            <w:noWrap w:val="0"/>
            <w:vAlign w:val="center"/>
          </w:tcPr>
          <w:p>
            <w:pPr>
              <w:spacing w:line="300" w:lineRule="exact"/>
              <w:rPr>
                <w:rFonts w:hint="eastAsia" w:ascii="宋体" w:hAnsi="宋体" w:cs="仿宋_GB2312"/>
                <w:color w:val="auto"/>
                <w:sz w:val="21"/>
                <w:szCs w:val="21"/>
                <w:highlight w:val="none"/>
              </w:rPr>
            </w:pPr>
          </w:p>
        </w:tc>
        <w:tc>
          <w:tcPr>
            <w:tcW w:w="3375" w:type="dxa"/>
            <w:noWrap w:val="0"/>
            <w:vAlign w:val="center"/>
          </w:tcPr>
          <w:p>
            <w:pPr>
              <w:spacing w:line="300" w:lineRule="exact"/>
              <w:rPr>
                <w:rFonts w:hint="eastAsia" w:ascii="宋体" w:hAnsi="宋体" w:cs="仿宋_GB2312"/>
                <w:color w:val="auto"/>
                <w:sz w:val="21"/>
                <w:szCs w:val="21"/>
                <w:highlight w:val="none"/>
              </w:rPr>
            </w:pPr>
            <w:r>
              <w:rPr>
                <w:rFonts w:hint="eastAsia" w:ascii="宋体" w:hAnsi="宋体" w:cs="仿宋_GB2312"/>
                <w:color w:val="auto"/>
                <w:sz w:val="21"/>
                <w:szCs w:val="21"/>
                <w:highlight w:val="none"/>
              </w:rPr>
              <w:t>打捞上岸的垃圾、杂物没有堆放在指定的堆放点</w:t>
            </w:r>
          </w:p>
        </w:tc>
        <w:tc>
          <w:tcPr>
            <w:tcW w:w="1006" w:type="dxa"/>
            <w:noWrap w:val="0"/>
            <w:vAlign w:val="center"/>
          </w:tcPr>
          <w:p>
            <w:pPr>
              <w:spacing w:line="300" w:lineRule="exact"/>
              <w:jc w:val="center"/>
              <w:textAlignment w:val="center"/>
              <w:rPr>
                <w:rFonts w:hint="eastAsia" w:ascii="宋体" w:hAnsi="宋体" w:cs="Arial"/>
                <w:color w:val="auto"/>
                <w:sz w:val="21"/>
                <w:szCs w:val="21"/>
                <w:highlight w:val="none"/>
                <w:lang w:bidi="ar"/>
              </w:rPr>
            </w:pPr>
            <w:r>
              <w:rPr>
                <w:rFonts w:hint="eastAsia" w:ascii="宋体" w:hAnsi="宋体" w:cs="Arial"/>
                <w:color w:val="auto"/>
                <w:sz w:val="21"/>
                <w:szCs w:val="21"/>
                <w:highlight w:val="none"/>
                <w:lang w:bidi="ar"/>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738" w:type="dxa"/>
            <w:vMerge w:val="continue"/>
            <w:noWrap w:val="0"/>
            <w:vAlign w:val="center"/>
          </w:tcPr>
          <w:p>
            <w:pPr>
              <w:spacing w:line="300" w:lineRule="exact"/>
              <w:jc w:val="left"/>
              <w:rPr>
                <w:rFonts w:hint="eastAsia" w:ascii="宋体" w:hAnsi="宋体" w:cs="仿宋_GB2312"/>
                <w:color w:val="auto"/>
                <w:sz w:val="21"/>
                <w:szCs w:val="21"/>
                <w:highlight w:val="none"/>
              </w:rPr>
            </w:pPr>
          </w:p>
        </w:tc>
        <w:tc>
          <w:tcPr>
            <w:tcW w:w="3924" w:type="dxa"/>
            <w:vMerge w:val="continue"/>
            <w:noWrap w:val="0"/>
            <w:vAlign w:val="center"/>
          </w:tcPr>
          <w:p>
            <w:pPr>
              <w:spacing w:line="300" w:lineRule="exact"/>
              <w:rPr>
                <w:rFonts w:hint="eastAsia" w:ascii="宋体" w:hAnsi="宋体" w:cs="仿宋_GB2312"/>
                <w:color w:val="auto"/>
                <w:sz w:val="21"/>
                <w:szCs w:val="21"/>
                <w:highlight w:val="none"/>
              </w:rPr>
            </w:pPr>
          </w:p>
        </w:tc>
        <w:tc>
          <w:tcPr>
            <w:tcW w:w="3375" w:type="dxa"/>
            <w:noWrap w:val="0"/>
            <w:vAlign w:val="center"/>
          </w:tcPr>
          <w:p>
            <w:pPr>
              <w:spacing w:line="300" w:lineRule="exact"/>
              <w:rPr>
                <w:rFonts w:hint="eastAsia" w:ascii="宋体" w:hAnsi="宋体" w:cs="仿宋_GB2312"/>
                <w:color w:val="auto"/>
                <w:sz w:val="21"/>
                <w:szCs w:val="21"/>
                <w:highlight w:val="none"/>
              </w:rPr>
            </w:pPr>
            <w:r>
              <w:rPr>
                <w:rFonts w:hint="eastAsia" w:ascii="宋体" w:hAnsi="宋体" w:cs="仿宋_GB2312"/>
                <w:color w:val="auto"/>
                <w:sz w:val="21"/>
                <w:szCs w:val="21"/>
                <w:highlight w:val="none"/>
              </w:rPr>
              <w:t>河岸两旁及隔离护栏下有垃圾、淤泥，河岸绿化带内有杂物、纸屑</w:t>
            </w:r>
          </w:p>
        </w:tc>
        <w:tc>
          <w:tcPr>
            <w:tcW w:w="1006" w:type="dxa"/>
            <w:noWrap w:val="0"/>
            <w:vAlign w:val="center"/>
          </w:tcPr>
          <w:p>
            <w:pPr>
              <w:spacing w:line="300" w:lineRule="exact"/>
              <w:jc w:val="center"/>
              <w:textAlignment w:val="center"/>
              <w:rPr>
                <w:rFonts w:hint="eastAsia" w:ascii="宋体" w:hAnsi="宋体" w:cs="Arial"/>
                <w:color w:val="auto"/>
                <w:sz w:val="21"/>
                <w:szCs w:val="21"/>
                <w:highlight w:val="none"/>
                <w:lang w:bidi="ar"/>
              </w:rPr>
            </w:pPr>
            <w:r>
              <w:rPr>
                <w:rFonts w:hint="eastAsia" w:ascii="宋体" w:hAnsi="宋体" w:cs="Arial"/>
                <w:color w:val="auto"/>
                <w:sz w:val="21"/>
                <w:szCs w:val="21"/>
                <w:highlight w:val="none"/>
                <w:lang w:bidi="ar"/>
              </w:rPr>
              <w:t>1分/处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738" w:type="dxa"/>
            <w:vMerge w:val="restart"/>
            <w:noWrap w:val="0"/>
            <w:vAlign w:val="center"/>
          </w:tcPr>
          <w:p>
            <w:pPr>
              <w:spacing w:line="300" w:lineRule="exact"/>
              <w:jc w:val="left"/>
              <w:rPr>
                <w:rFonts w:hint="eastAsia" w:ascii="宋体" w:hAnsi="宋体" w:cs="仿宋_GB2312"/>
                <w:color w:val="auto"/>
                <w:sz w:val="21"/>
                <w:szCs w:val="21"/>
                <w:highlight w:val="none"/>
              </w:rPr>
            </w:pPr>
            <w:r>
              <w:rPr>
                <w:rFonts w:hint="eastAsia" w:ascii="宋体" w:hAnsi="宋体" w:cs="仿宋_GB2312"/>
                <w:color w:val="auto"/>
                <w:sz w:val="21"/>
                <w:szCs w:val="21"/>
                <w:highlight w:val="none"/>
              </w:rPr>
              <w:t>垃圾清运</w:t>
            </w:r>
          </w:p>
        </w:tc>
        <w:tc>
          <w:tcPr>
            <w:tcW w:w="3924" w:type="dxa"/>
            <w:vMerge w:val="restart"/>
            <w:noWrap w:val="0"/>
            <w:vAlign w:val="center"/>
          </w:tcPr>
          <w:p>
            <w:pPr>
              <w:spacing w:line="300" w:lineRule="exact"/>
              <w:rPr>
                <w:rFonts w:hint="eastAsia" w:ascii="宋体" w:hAnsi="宋体" w:cs="仿宋_GB2312"/>
                <w:color w:val="auto"/>
                <w:sz w:val="21"/>
                <w:szCs w:val="21"/>
                <w:highlight w:val="none"/>
              </w:rPr>
            </w:pPr>
            <w:r>
              <w:rPr>
                <w:rFonts w:hint="eastAsia" w:ascii="宋体" w:hAnsi="宋体" w:cs="仿宋_GB2312"/>
                <w:color w:val="auto"/>
                <w:sz w:val="21"/>
                <w:szCs w:val="21"/>
                <w:highlight w:val="none"/>
              </w:rPr>
              <w:t>街道结合村庄与河道分布，完善垃圾集中清运点布置，打捞物堆放、清运按街道生活垃圾处置方式，集中堆放，清运至垃圾填埋点或处理站进行集中处理；堆放的打捞物对河道无二次污染。垃圾转运至指定地点倾倒，不得焚烧垃圾。</w:t>
            </w:r>
          </w:p>
        </w:tc>
        <w:tc>
          <w:tcPr>
            <w:tcW w:w="3375" w:type="dxa"/>
            <w:noWrap w:val="0"/>
            <w:vAlign w:val="center"/>
          </w:tcPr>
          <w:p>
            <w:pPr>
              <w:spacing w:line="300" w:lineRule="exact"/>
              <w:rPr>
                <w:rFonts w:hint="eastAsia" w:ascii="宋体" w:hAnsi="宋体" w:cs="仿宋_GB2312"/>
                <w:color w:val="auto"/>
                <w:sz w:val="21"/>
                <w:szCs w:val="21"/>
                <w:highlight w:val="none"/>
              </w:rPr>
            </w:pPr>
            <w:r>
              <w:rPr>
                <w:rFonts w:hint="eastAsia" w:ascii="宋体" w:hAnsi="宋体" w:cs="仿宋_GB2312"/>
                <w:color w:val="auto"/>
                <w:sz w:val="21"/>
                <w:szCs w:val="21"/>
                <w:highlight w:val="none"/>
              </w:rPr>
              <w:t>发现不符合规定要求作业的；</w:t>
            </w:r>
          </w:p>
        </w:tc>
        <w:tc>
          <w:tcPr>
            <w:tcW w:w="1006" w:type="dxa"/>
            <w:noWrap w:val="0"/>
            <w:vAlign w:val="center"/>
          </w:tcPr>
          <w:p>
            <w:pPr>
              <w:spacing w:line="300" w:lineRule="exact"/>
              <w:jc w:val="center"/>
              <w:textAlignment w:val="center"/>
              <w:rPr>
                <w:rFonts w:hint="eastAsia" w:ascii="宋体" w:hAnsi="宋体" w:cs="Arial"/>
                <w:color w:val="auto"/>
                <w:sz w:val="21"/>
                <w:szCs w:val="21"/>
                <w:highlight w:val="none"/>
                <w:lang w:bidi="ar"/>
              </w:rPr>
            </w:pPr>
            <w:r>
              <w:rPr>
                <w:rFonts w:hint="eastAsia" w:ascii="宋体" w:hAnsi="宋体" w:cs="Arial"/>
                <w:color w:val="auto"/>
                <w:sz w:val="21"/>
                <w:szCs w:val="21"/>
                <w:highlight w:val="none"/>
                <w:lang w:bidi="ar"/>
              </w:rPr>
              <w:t>3分/处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738" w:type="dxa"/>
            <w:vMerge w:val="continue"/>
            <w:noWrap w:val="0"/>
            <w:vAlign w:val="center"/>
          </w:tcPr>
          <w:p>
            <w:pPr>
              <w:spacing w:line="300" w:lineRule="exact"/>
              <w:jc w:val="left"/>
              <w:rPr>
                <w:rFonts w:hint="eastAsia" w:ascii="宋体" w:hAnsi="宋体" w:cs="仿宋_GB2312"/>
                <w:color w:val="auto"/>
                <w:sz w:val="21"/>
                <w:szCs w:val="21"/>
                <w:highlight w:val="none"/>
              </w:rPr>
            </w:pPr>
          </w:p>
        </w:tc>
        <w:tc>
          <w:tcPr>
            <w:tcW w:w="3924" w:type="dxa"/>
            <w:vMerge w:val="continue"/>
            <w:noWrap w:val="0"/>
            <w:vAlign w:val="center"/>
          </w:tcPr>
          <w:p>
            <w:pPr>
              <w:spacing w:line="300" w:lineRule="exact"/>
              <w:rPr>
                <w:rFonts w:hint="eastAsia" w:ascii="宋体" w:hAnsi="宋体" w:cs="仿宋_GB2312"/>
                <w:color w:val="auto"/>
                <w:sz w:val="21"/>
                <w:szCs w:val="21"/>
                <w:highlight w:val="none"/>
              </w:rPr>
            </w:pPr>
          </w:p>
        </w:tc>
        <w:tc>
          <w:tcPr>
            <w:tcW w:w="3375" w:type="dxa"/>
            <w:noWrap w:val="0"/>
            <w:vAlign w:val="center"/>
          </w:tcPr>
          <w:p>
            <w:pPr>
              <w:spacing w:line="300" w:lineRule="exact"/>
              <w:rPr>
                <w:rFonts w:hint="eastAsia" w:ascii="宋体" w:hAnsi="宋体" w:cs="仿宋_GB2312"/>
                <w:color w:val="auto"/>
                <w:sz w:val="21"/>
                <w:szCs w:val="21"/>
                <w:highlight w:val="none"/>
              </w:rPr>
            </w:pPr>
            <w:r>
              <w:rPr>
                <w:rFonts w:hint="eastAsia" w:ascii="宋体" w:hAnsi="宋体" w:cs="仿宋_GB2312"/>
                <w:color w:val="auto"/>
                <w:sz w:val="21"/>
                <w:szCs w:val="21"/>
                <w:highlight w:val="none"/>
              </w:rPr>
              <w:t>垃圾未在指定地点倾倒或焚烧的</w:t>
            </w:r>
          </w:p>
        </w:tc>
        <w:tc>
          <w:tcPr>
            <w:tcW w:w="1006" w:type="dxa"/>
            <w:noWrap w:val="0"/>
            <w:vAlign w:val="center"/>
          </w:tcPr>
          <w:p>
            <w:pPr>
              <w:spacing w:line="300" w:lineRule="exact"/>
              <w:jc w:val="center"/>
              <w:textAlignment w:val="center"/>
              <w:rPr>
                <w:rFonts w:hint="eastAsia" w:ascii="宋体" w:hAnsi="宋体" w:cs="Arial"/>
                <w:color w:val="auto"/>
                <w:sz w:val="21"/>
                <w:szCs w:val="21"/>
                <w:highlight w:val="none"/>
                <w:lang w:bidi="ar"/>
              </w:rPr>
            </w:pPr>
            <w:r>
              <w:rPr>
                <w:rFonts w:hint="eastAsia" w:ascii="宋体" w:hAnsi="宋体" w:cs="Arial"/>
                <w:color w:val="auto"/>
                <w:sz w:val="21"/>
                <w:szCs w:val="21"/>
                <w:highlight w:val="none"/>
                <w:lang w:bidi="ar"/>
              </w:rPr>
              <w:t>5分/处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3" w:hRule="atLeast"/>
        </w:trPr>
        <w:tc>
          <w:tcPr>
            <w:tcW w:w="738" w:type="dxa"/>
            <w:vMerge w:val="restart"/>
            <w:noWrap w:val="0"/>
            <w:vAlign w:val="center"/>
          </w:tcPr>
          <w:p>
            <w:pPr>
              <w:spacing w:line="300" w:lineRule="exact"/>
              <w:jc w:val="left"/>
              <w:rPr>
                <w:rFonts w:hint="eastAsia" w:ascii="宋体" w:hAnsi="宋体" w:cs="仿宋_GB2312"/>
                <w:color w:val="auto"/>
                <w:sz w:val="21"/>
                <w:szCs w:val="21"/>
                <w:highlight w:val="none"/>
              </w:rPr>
            </w:pPr>
            <w:r>
              <w:rPr>
                <w:rFonts w:hint="eastAsia" w:ascii="宋体" w:hAnsi="宋体" w:cs="仿宋_GB2312"/>
                <w:color w:val="auto"/>
                <w:sz w:val="21"/>
                <w:szCs w:val="21"/>
                <w:highlight w:val="none"/>
              </w:rPr>
              <w:t>规范作业</w:t>
            </w:r>
          </w:p>
        </w:tc>
        <w:tc>
          <w:tcPr>
            <w:tcW w:w="3924" w:type="dxa"/>
            <w:noWrap w:val="0"/>
            <w:vAlign w:val="center"/>
          </w:tcPr>
          <w:p>
            <w:pPr>
              <w:spacing w:line="300" w:lineRule="exact"/>
              <w:rPr>
                <w:rFonts w:hint="eastAsia" w:ascii="宋体" w:hAnsi="宋体" w:cs="仿宋_GB2312"/>
                <w:color w:val="auto"/>
                <w:sz w:val="21"/>
                <w:szCs w:val="21"/>
                <w:highlight w:val="none"/>
              </w:rPr>
            </w:pPr>
            <w:r>
              <w:rPr>
                <w:rFonts w:hint="eastAsia" w:ascii="宋体" w:hAnsi="宋体" w:cs="仿宋_GB2312"/>
                <w:color w:val="auto"/>
                <w:sz w:val="21"/>
                <w:szCs w:val="21"/>
                <w:highlight w:val="none"/>
              </w:rPr>
              <w:t>各街道保洁人员应按河道保洁要求足额配置，并统一穿着“河道保洁”字样反光安全服，各作业人员必须佩证上岗，必须熟悉水性，同时禁止饮酒作业；使用有统一编号的船只，保持船况良好，船容整洁并配备救生设备，做到规范文明作业。</w:t>
            </w:r>
          </w:p>
        </w:tc>
        <w:tc>
          <w:tcPr>
            <w:tcW w:w="3375" w:type="dxa"/>
            <w:noWrap w:val="0"/>
            <w:vAlign w:val="center"/>
          </w:tcPr>
          <w:p>
            <w:pPr>
              <w:spacing w:line="300" w:lineRule="exact"/>
              <w:rPr>
                <w:rFonts w:hint="eastAsia" w:ascii="宋体" w:hAnsi="宋体" w:cs="仿宋_GB2312"/>
                <w:color w:val="auto"/>
                <w:sz w:val="21"/>
                <w:szCs w:val="21"/>
                <w:highlight w:val="none"/>
              </w:rPr>
            </w:pPr>
            <w:r>
              <w:rPr>
                <w:rFonts w:hint="eastAsia" w:ascii="宋体" w:hAnsi="宋体" w:cs="仿宋_GB2312"/>
                <w:color w:val="auto"/>
                <w:sz w:val="21"/>
                <w:szCs w:val="21"/>
                <w:highlight w:val="none"/>
              </w:rPr>
              <w:t>发现不符合规定要求的扣。</w:t>
            </w:r>
          </w:p>
        </w:tc>
        <w:tc>
          <w:tcPr>
            <w:tcW w:w="1006" w:type="dxa"/>
            <w:noWrap w:val="0"/>
            <w:vAlign w:val="center"/>
          </w:tcPr>
          <w:p>
            <w:pPr>
              <w:spacing w:line="300" w:lineRule="exact"/>
              <w:jc w:val="center"/>
              <w:textAlignment w:val="center"/>
              <w:rPr>
                <w:rFonts w:hint="eastAsia" w:ascii="宋体" w:hAnsi="宋体" w:cs="Arial"/>
                <w:color w:val="auto"/>
                <w:sz w:val="21"/>
                <w:szCs w:val="21"/>
                <w:highlight w:val="none"/>
                <w:lang w:bidi="ar"/>
              </w:rPr>
            </w:pPr>
            <w:r>
              <w:rPr>
                <w:rFonts w:hint="eastAsia" w:ascii="宋体" w:hAnsi="宋体" w:cs="Arial"/>
                <w:color w:val="auto"/>
                <w:sz w:val="21"/>
                <w:szCs w:val="21"/>
                <w:highlight w:val="none"/>
                <w:lang w:bidi="ar"/>
              </w:rPr>
              <w:t>1分/处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3" w:hRule="atLeast"/>
        </w:trPr>
        <w:tc>
          <w:tcPr>
            <w:tcW w:w="738" w:type="dxa"/>
            <w:vMerge w:val="continue"/>
            <w:noWrap w:val="0"/>
            <w:vAlign w:val="center"/>
          </w:tcPr>
          <w:p>
            <w:pPr>
              <w:spacing w:line="300" w:lineRule="exact"/>
              <w:jc w:val="left"/>
              <w:rPr>
                <w:rFonts w:hint="eastAsia" w:ascii="宋体" w:hAnsi="宋体" w:cs="仿宋_GB2312"/>
                <w:color w:val="auto"/>
                <w:sz w:val="21"/>
                <w:szCs w:val="21"/>
                <w:highlight w:val="none"/>
              </w:rPr>
            </w:pPr>
          </w:p>
        </w:tc>
        <w:tc>
          <w:tcPr>
            <w:tcW w:w="3924" w:type="dxa"/>
            <w:noWrap w:val="0"/>
            <w:vAlign w:val="center"/>
          </w:tcPr>
          <w:p>
            <w:pPr>
              <w:spacing w:line="300" w:lineRule="exact"/>
              <w:rPr>
                <w:rFonts w:hint="eastAsia" w:ascii="宋体" w:hAnsi="宋体" w:cs="仿宋_GB2312"/>
                <w:color w:val="auto"/>
                <w:sz w:val="21"/>
                <w:szCs w:val="21"/>
                <w:highlight w:val="none"/>
              </w:rPr>
            </w:pPr>
            <w:r>
              <w:rPr>
                <w:rFonts w:hint="eastAsia" w:ascii="宋体" w:hAnsi="宋体" w:cs="仿宋_GB2312"/>
                <w:color w:val="auto"/>
                <w:sz w:val="21"/>
                <w:szCs w:val="21"/>
                <w:highlight w:val="none"/>
              </w:rPr>
              <w:t>要求各街道保洁人员每天实行自7时起连续保洁8个小时。河道水面基本没有漂浮物，河坡3米范围内没有垃圾，临界处必须交叉保洁5米以上，河道内没有影响景观和通航的草生植物。</w:t>
            </w:r>
          </w:p>
        </w:tc>
        <w:tc>
          <w:tcPr>
            <w:tcW w:w="3375" w:type="dxa"/>
            <w:noWrap w:val="0"/>
            <w:vAlign w:val="center"/>
          </w:tcPr>
          <w:p>
            <w:pPr>
              <w:spacing w:line="300" w:lineRule="exact"/>
              <w:rPr>
                <w:rFonts w:hint="eastAsia" w:ascii="宋体" w:hAnsi="宋体" w:cs="仿宋_GB2312"/>
                <w:color w:val="auto"/>
                <w:sz w:val="21"/>
                <w:szCs w:val="21"/>
                <w:highlight w:val="none"/>
              </w:rPr>
            </w:pPr>
            <w:r>
              <w:rPr>
                <w:rFonts w:hint="eastAsia" w:ascii="宋体" w:hAnsi="宋体" w:cs="仿宋_GB2312"/>
                <w:color w:val="auto"/>
                <w:sz w:val="21"/>
                <w:szCs w:val="21"/>
                <w:highlight w:val="none"/>
              </w:rPr>
              <w:t>发现不符合规定要求作业的</w:t>
            </w:r>
          </w:p>
        </w:tc>
        <w:tc>
          <w:tcPr>
            <w:tcW w:w="1006" w:type="dxa"/>
            <w:noWrap w:val="0"/>
            <w:vAlign w:val="center"/>
          </w:tcPr>
          <w:p>
            <w:pPr>
              <w:spacing w:line="300" w:lineRule="exact"/>
              <w:jc w:val="center"/>
              <w:textAlignment w:val="center"/>
              <w:rPr>
                <w:rFonts w:hint="eastAsia" w:ascii="宋体" w:hAnsi="宋体" w:cs="Arial"/>
                <w:color w:val="auto"/>
                <w:sz w:val="21"/>
                <w:szCs w:val="21"/>
                <w:highlight w:val="none"/>
                <w:lang w:bidi="ar"/>
              </w:rPr>
            </w:pPr>
            <w:r>
              <w:rPr>
                <w:rFonts w:hint="eastAsia" w:ascii="宋体" w:hAnsi="宋体" w:cs="Arial"/>
                <w:color w:val="auto"/>
                <w:sz w:val="21"/>
                <w:szCs w:val="21"/>
                <w:highlight w:val="none"/>
                <w:lang w:bidi="ar"/>
              </w:rPr>
              <w:t>3分/处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738" w:type="dxa"/>
            <w:noWrap w:val="0"/>
            <w:vAlign w:val="center"/>
          </w:tcPr>
          <w:p>
            <w:pPr>
              <w:spacing w:line="300" w:lineRule="exact"/>
              <w:jc w:val="left"/>
              <w:rPr>
                <w:rFonts w:hint="eastAsia" w:ascii="宋体" w:hAnsi="宋体" w:cs="仿宋_GB2312"/>
                <w:color w:val="auto"/>
                <w:sz w:val="21"/>
                <w:szCs w:val="21"/>
                <w:highlight w:val="none"/>
              </w:rPr>
            </w:pPr>
            <w:r>
              <w:rPr>
                <w:rFonts w:hint="eastAsia" w:ascii="宋体" w:hAnsi="宋体" w:cs="仿宋_GB2312"/>
                <w:color w:val="auto"/>
                <w:sz w:val="21"/>
                <w:szCs w:val="21"/>
                <w:highlight w:val="none"/>
              </w:rPr>
              <w:t>环卫设施</w:t>
            </w:r>
          </w:p>
        </w:tc>
        <w:tc>
          <w:tcPr>
            <w:tcW w:w="3924" w:type="dxa"/>
            <w:noWrap w:val="0"/>
            <w:vAlign w:val="center"/>
          </w:tcPr>
          <w:p>
            <w:pPr>
              <w:spacing w:line="300" w:lineRule="exact"/>
              <w:rPr>
                <w:rFonts w:hint="eastAsia" w:ascii="宋体" w:hAnsi="宋体" w:cs="仿宋_GB2312"/>
                <w:color w:val="auto"/>
                <w:sz w:val="21"/>
                <w:szCs w:val="21"/>
                <w:highlight w:val="none"/>
              </w:rPr>
            </w:pPr>
            <w:r>
              <w:rPr>
                <w:rFonts w:hint="eastAsia" w:ascii="宋体" w:hAnsi="宋体" w:cs="仿宋_GB2312"/>
                <w:color w:val="auto"/>
                <w:sz w:val="21"/>
                <w:szCs w:val="21"/>
                <w:highlight w:val="none"/>
              </w:rPr>
              <w:t>环卫设施无破损；定期清洗保持外观清洁；果壳箱每日清洗一次、垃圾收集船只和车辆每日清洗后方可投入使用；垃圾容器封闭无四害孳生，周围无垃圾散落，管理规范，垃圾做到日产日清。河道和河岸道路引导标志牌每月冲刷次数不得少于一次。确保河道两侧沿线无小广告。</w:t>
            </w:r>
          </w:p>
        </w:tc>
        <w:tc>
          <w:tcPr>
            <w:tcW w:w="3375" w:type="dxa"/>
            <w:noWrap w:val="0"/>
            <w:vAlign w:val="center"/>
          </w:tcPr>
          <w:p>
            <w:pPr>
              <w:spacing w:line="300" w:lineRule="exact"/>
              <w:rPr>
                <w:rFonts w:hint="eastAsia" w:ascii="宋体" w:hAnsi="宋体" w:cs="仿宋_GB2312"/>
                <w:color w:val="auto"/>
                <w:sz w:val="21"/>
                <w:szCs w:val="21"/>
                <w:highlight w:val="none"/>
              </w:rPr>
            </w:pPr>
            <w:r>
              <w:rPr>
                <w:rFonts w:hint="eastAsia" w:ascii="宋体" w:hAnsi="宋体" w:cs="仿宋_GB2312"/>
                <w:color w:val="auto"/>
                <w:sz w:val="21"/>
                <w:szCs w:val="21"/>
                <w:highlight w:val="none"/>
              </w:rPr>
              <w:t>发现不符合规定要求作业的扣。</w:t>
            </w:r>
          </w:p>
        </w:tc>
        <w:tc>
          <w:tcPr>
            <w:tcW w:w="1006" w:type="dxa"/>
            <w:noWrap w:val="0"/>
            <w:vAlign w:val="center"/>
          </w:tcPr>
          <w:p>
            <w:pPr>
              <w:spacing w:line="300" w:lineRule="exact"/>
              <w:jc w:val="center"/>
              <w:textAlignment w:val="center"/>
              <w:rPr>
                <w:rFonts w:hint="eastAsia" w:ascii="宋体" w:hAnsi="宋体" w:cs="Arial"/>
                <w:color w:val="auto"/>
                <w:sz w:val="21"/>
                <w:szCs w:val="21"/>
                <w:highlight w:val="none"/>
                <w:lang w:bidi="ar"/>
              </w:rPr>
            </w:pPr>
            <w:r>
              <w:rPr>
                <w:rFonts w:hint="eastAsia" w:ascii="宋体" w:hAnsi="宋体" w:cs="Arial"/>
                <w:color w:val="auto"/>
                <w:sz w:val="21"/>
                <w:szCs w:val="21"/>
                <w:highlight w:val="none"/>
                <w:lang w:bidi="ar"/>
              </w:rPr>
              <w:t>1分/处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2" w:hRule="atLeast"/>
        </w:trPr>
        <w:tc>
          <w:tcPr>
            <w:tcW w:w="738" w:type="dxa"/>
            <w:noWrap w:val="0"/>
            <w:vAlign w:val="center"/>
          </w:tcPr>
          <w:p>
            <w:pPr>
              <w:spacing w:line="300" w:lineRule="exact"/>
              <w:jc w:val="left"/>
              <w:rPr>
                <w:rFonts w:hint="eastAsia" w:ascii="宋体" w:hAnsi="宋体" w:cs="仿宋_GB2312"/>
                <w:color w:val="auto"/>
                <w:sz w:val="21"/>
                <w:szCs w:val="21"/>
                <w:highlight w:val="none"/>
              </w:rPr>
            </w:pPr>
            <w:r>
              <w:rPr>
                <w:rFonts w:hint="eastAsia" w:ascii="宋体" w:hAnsi="宋体" w:cs="仿宋_GB2312"/>
                <w:color w:val="auto"/>
                <w:sz w:val="21"/>
                <w:szCs w:val="21"/>
                <w:highlight w:val="none"/>
              </w:rPr>
              <w:t>特殊保洁</w:t>
            </w:r>
          </w:p>
        </w:tc>
        <w:tc>
          <w:tcPr>
            <w:tcW w:w="3924" w:type="dxa"/>
            <w:noWrap w:val="0"/>
            <w:vAlign w:val="center"/>
          </w:tcPr>
          <w:p>
            <w:pPr>
              <w:spacing w:line="300" w:lineRule="exact"/>
              <w:rPr>
                <w:rFonts w:hint="eastAsia" w:ascii="宋体" w:hAnsi="宋体" w:cs="仿宋_GB2312"/>
                <w:color w:val="auto"/>
                <w:sz w:val="21"/>
                <w:szCs w:val="21"/>
                <w:highlight w:val="none"/>
              </w:rPr>
            </w:pPr>
            <w:r>
              <w:rPr>
                <w:rFonts w:hint="eastAsia" w:ascii="宋体" w:hAnsi="宋体" w:cs="仿宋_GB2312"/>
                <w:color w:val="auto"/>
                <w:sz w:val="21"/>
                <w:szCs w:val="21"/>
                <w:highlight w:val="none"/>
              </w:rPr>
              <w:t>1.风暴雨过后，各保洁单位应在三天内清理完垃圾、漂浮物、杂草、障碍物等，确保河道畅通和河面干净整洁。</w:t>
            </w:r>
          </w:p>
          <w:p>
            <w:pPr>
              <w:spacing w:line="300" w:lineRule="exact"/>
              <w:rPr>
                <w:rFonts w:hint="eastAsia" w:ascii="宋体" w:hAnsi="宋体" w:cs="仿宋_GB2312"/>
                <w:color w:val="auto"/>
                <w:sz w:val="21"/>
                <w:szCs w:val="21"/>
                <w:highlight w:val="none"/>
              </w:rPr>
            </w:pPr>
            <w:r>
              <w:rPr>
                <w:rFonts w:hint="eastAsia" w:ascii="宋体" w:hAnsi="宋体" w:cs="仿宋_GB2312"/>
                <w:color w:val="auto"/>
                <w:sz w:val="21"/>
                <w:szCs w:val="21"/>
                <w:highlight w:val="none"/>
              </w:rPr>
              <w:t>2.发现病死动物或病死动物产品的，应及时报告；保洁工作人员拖延处置或违规处置，造成不良后果的，按有关规定追究相应责任。</w:t>
            </w:r>
          </w:p>
          <w:p>
            <w:pPr>
              <w:spacing w:line="300" w:lineRule="exact"/>
              <w:rPr>
                <w:rFonts w:hint="eastAsia" w:ascii="宋体" w:hAnsi="宋体" w:cs="仿宋_GB2312"/>
                <w:color w:val="auto"/>
                <w:sz w:val="21"/>
                <w:szCs w:val="21"/>
                <w:highlight w:val="none"/>
              </w:rPr>
            </w:pPr>
            <w:r>
              <w:rPr>
                <w:rFonts w:hint="eastAsia" w:ascii="宋体" w:hAnsi="宋体" w:cs="仿宋_GB2312"/>
                <w:color w:val="auto"/>
                <w:sz w:val="21"/>
                <w:szCs w:val="21"/>
                <w:highlight w:val="none"/>
              </w:rPr>
              <w:t>3.发现大范围的鱼类或其他水生生物群体死亡的，应及时报告；保洁工作人员拖延处置或违规处置，造成不良后果的，按有关规定追究相应责任。</w:t>
            </w:r>
          </w:p>
          <w:p>
            <w:pPr>
              <w:spacing w:line="300" w:lineRule="exact"/>
              <w:rPr>
                <w:rFonts w:hint="eastAsia" w:ascii="宋体" w:hAnsi="宋体" w:cs="仿宋_GB2312"/>
                <w:color w:val="auto"/>
                <w:sz w:val="21"/>
                <w:szCs w:val="21"/>
                <w:highlight w:val="none"/>
              </w:rPr>
            </w:pPr>
            <w:r>
              <w:rPr>
                <w:rFonts w:hint="eastAsia" w:ascii="宋体" w:hAnsi="宋体" w:cs="仿宋_GB2312"/>
                <w:color w:val="auto"/>
                <w:sz w:val="21"/>
                <w:szCs w:val="21"/>
                <w:highlight w:val="none"/>
              </w:rPr>
              <w:t>4.发生突发污染事件、河水水质(水发黑、发黄、异味重)问题及其他影响河道保洁事件的，保洁责任单位应立即报告，并积极配合和妥善组织处置。</w:t>
            </w:r>
          </w:p>
        </w:tc>
        <w:tc>
          <w:tcPr>
            <w:tcW w:w="3375" w:type="dxa"/>
            <w:noWrap w:val="0"/>
            <w:vAlign w:val="center"/>
          </w:tcPr>
          <w:p>
            <w:pPr>
              <w:spacing w:line="300" w:lineRule="exact"/>
              <w:rPr>
                <w:rFonts w:hint="eastAsia" w:ascii="宋体" w:hAnsi="宋体" w:cs="仿宋_GB2312"/>
                <w:color w:val="auto"/>
                <w:sz w:val="21"/>
                <w:szCs w:val="21"/>
                <w:highlight w:val="none"/>
              </w:rPr>
            </w:pPr>
            <w:r>
              <w:rPr>
                <w:rFonts w:hint="eastAsia" w:ascii="宋体" w:hAnsi="宋体" w:cs="仿宋_GB2312"/>
                <w:color w:val="auto"/>
                <w:sz w:val="21"/>
                <w:szCs w:val="21"/>
                <w:highlight w:val="none"/>
              </w:rPr>
              <w:t>每发现未按规定落实的</w:t>
            </w:r>
          </w:p>
        </w:tc>
        <w:tc>
          <w:tcPr>
            <w:tcW w:w="1006" w:type="dxa"/>
            <w:noWrap w:val="0"/>
            <w:vAlign w:val="center"/>
          </w:tcPr>
          <w:p>
            <w:pPr>
              <w:spacing w:line="300" w:lineRule="exact"/>
              <w:jc w:val="center"/>
              <w:textAlignment w:val="center"/>
              <w:rPr>
                <w:rFonts w:hint="eastAsia" w:ascii="宋体" w:hAnsi="宋体" w:cs="Arial"/>
                <w:color w:val="auto"/>
                <w:sz w:val="21"/>
                <w:szCs w:val="21"/>
                <w:highlight w:val="none"/>
                <w:lang w:bidi="ar"/>
              </w:rPr>
            </w:pPr>
            <w:r>
              <w:rPr>
                <w:rFonts w:hint="eastAsia" w:ascii="宋体" w:hAnsi="宋体" w:cs="Arial"/>
                <w:color w:val="auto"/>
                <w:sz w:val="21"/>
                <w:szCs w:val="21"/>
                <w:highlight w:val="none"/>
                <w:lang w:bidi="ar"/>
              </w:rPr>
              <w:t>3分/处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2" w:hRule="atLeast"/>
        </w:trPr>
        <w:tc>
          <w:tcPr>
            <w:tcW w:w="738" w:type="dxa"/>
            <w:vMerge w:val="restart"/>
            <w:noWrap w:val="0"/>
            <w:vAlign w:val="center"/>
          </w:tcPr>
          <w:p>
            <w:pPr>
              <w:spacing w:line="300" w:lineRule="exact"/>
              <w:jc w:val="left"/>
              <w:textAlignment w:val="center"/>
              <w:rPr>
                <w:rFonts w:hint="eastAsia" w:ascii="宋体" w:hAnsi="宋体" w:cs="Arial"/>
                <w:color w:val="auto"/>
                <w:sz w:val="21"/>
                <w:szCs w:val="21"/>
                <w:highlight w:val="none"/>
              </w:rPr>
            </w:pPr>
            <w:r>
              <w:rPr>
                <w:rFonts w:ascii="宋体" w:hAnsi="宋体" w:cs="Arial"/>
                <w:color w:val="auto"/>
                <w:sz w:val="21"/>
                <w:szCs w:val="21"/>
                <w:highlight w:val="none"/>
                <w:lang w:bidi="ar"/>
              </w:rPr>
              <w:t>监督管理</w:t>
            </w:r>
          </w:p>
        </w:tc>
        <w:tc>
          <w:tcPr>
            <w:tcW w:w="3924" w:type="dxa"/>
            <w:vMerge w:val="restart"/>
            <w:noWrap w:val="0"/>
            <w:vAlign w:val="center"/>
          </w:tcPr>
          <w:p>
            <w:pPr>
              <w:spacing w:line="300" w:lineRule="exact"/>
              <w:textAlignment w:val="center"/>
              <w:rPr>
                <w:rFonts w:ascii="宋体" w:hAnsi="宋体" w:cs="Arial"/>
                <w:color w:val="auto"/>
                <w:sz w:val="21"/>
                <w:szCs w:val="21"/>
                <w:highlight w:val="none"/>
                <w:lang w:bidi="ar"/>
              </w:rPr>
            </w:pPr>
            <w:r>
              <w:rPr>
                <w:rFonts w:ascii="宋体" w:hAnsi="宋体" w:cs="Arial"/>
                <w:color w:val="auto"/>
                <w:sz w:val="21"/>
                <w:szCs w:val="21"/>
                <w:highlight w:val="none"/>
                <w:lang w:bidi="ar"/>
              </w:rPr>
              <w:t>1、及时处理各类交办件。</w:t>
            </w:r>
          </w:p>
          <w:p>
            <w:pPr>
              <w:spacing w:line="300" w:lineRule="exact"/>
              <w:textAlignment w:val="center"/>
              <w:rPr>
                <w:rFonts w:hint="eastAsia" w:ascii="宋体" w:hAnsi="宋体" w:cs="Arial"/>
                <w:color w:val="auto"/>
                <w:sz w:val="21"/>
                <w:szCs w:val="21"/>
                <w:highlight w:val="none"/>
              </w:rPr>
            </w:pPr>
            <w:r>
              <w:rPr>
                <w:rFonts w:ascii="宋体" w:hAnsi="宋体" w:cs="Arial"/>
                <w:color w:val="auto"/>
                <w:sz w:val="21"/>
                <w:szCs w:val="21"/>
                <w:highlight w:val="none"/>
                <w:lang w:bidi="ar"/>
              </w:rPr>
              <w:t>2、无市民投诉、媒体反映或曝光的环境卫生等问题发生。</w:t>
            </w:r>
          </w:p>
        </w:tc>
        <w:tc>
          <w:tcPr>
            <w:tcW w:w="3375" w:type="dxa"/>
            <w:noWrap w:val="0"/>
            <w:vAlign w:val="center"/>
          </w:tcPr>
          <w:p>
            <w:pPr>
              <w:spacing w:line="300" w:lineRule="exact"/>
              <w:textAlignment w:val="center"/>
              <w:rPr>
                <w:rFonts w:hint="eastAsia" w:ascii="宋体" w:hAnsi="宋体" w:cs="仿宋_GB2312"/>
                <w:color w:val="auto"/>
                <w:sz w:val="21"/>
                <w:szCs w:val="21"/>
                <w:highlight w:val="none"/>
              </w:rPr>
            </w:pPr>
            <w:r>
              <w:rPr>
                <w:rFonts w:ascii="宋体" w:hAnsi="宋体" w:cs="Arial"/>
                <w:color w:val="auto"/>
                <w:sz w:val="21"/>
                <w:szCs w:val="21"/>
                <w:highlight w:val="none"/>
              </w:rPr>
              <w:t>1、指挥中心、智慧城管、12345热线等交办问题未处置（办理）的，每次扣2分；未按期处置（办理）或处置（办理）不到位的，每次扣1分。</w:t>
            </w:r>
          </w:p>
        </w:tc>
        <w:tc>
          <w:tcPr>
            <w:tcW w:w="1006" w:type="dxa"/>
            <w:noWrap w:val="0"/>
            <w:vAlign w:val="center"/>
          </w:tcPr>
          <w:p>
            <w:pPr>
              <w:spacing w:line="300" w:lineRule="exact"/>
              <w:jc w:val="center"/>
              <w:textAlignment w:val="center"/>
              <w:rPr>
                <w:rFonts w:hint="eastAsia" w:ascii="宋体" w:hAnsi="宋体" w:cs="Arial"/>
                <w:color w:val="auto"/>
                <w:sz w:val="21"/>
                <w:szCs w:val="21"/>
                <w:highlight w:val="none"/>
                <w:lang w:bidi="ar"/>
              </w:rPr>
            </w:pPr>
            <w:r>
              <w:rPr>
                <w:rFonts w:ascii="宋体" w:hAnsi="宋体" w:cs="Arial"/>
                <w:color w:val="auto"/>
                <w:sz w:val="21"/>
                <w:szCs w:val="21"/>
                <w:highlight w:val="none"/>
                <w:lang w:bidi="ar"/>
              </w:rPr>
              <w:t>1-2分/次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2" w:hRule="atLeast"/>
        </w:trPr>
        <w:tc>
          <w:tcPr>
            <w:tcW w:w="738" w:type="dxa"/>
            <w:vMerge w:val="continue"/>
            <w:noWrap w:val="0"/>
            <w:vAlign w:val="center"/>
          </w:tcPr>
          <w:p>
            <w:pPr>
              <w:spacing w:line="300" w:lineRule="exact"/>
              <w:jc w:val="left"/>
              <w:rPr>
                <w:rFonts w:hint="eastAsia" w:ascii="宋体" w:hAnsi="宋体" w:cs="仿宋_GB2312"/>
                <w:color w:val="auto"/>
                <w:sz w:val="21"/>
                <w:szCs w:val="21"/>
                <w:highlight w:val="none"/>
              </w:rPr>
            </w:pPr>
          </w:p>
        </w:tc>
        <w:tc>
          <w:tcPr>
            <w:tcW w:w="3924" w:type="dxa"/>
            <w:vMerge w:val="continue"/>
            <w:noWrap w:val="0"/>
            <w:vAlign w:val="center"/>
          </w:tcPr>
          <w:p>
            <w:pPr>
              <w:spacing w:line="300" w:lineRule="exact"/>
              <w:rPr>
                <w:rFonts w:hint="eastAsia" w:ascii="宋体" w:hAnsi="宋体" w:cs="仿宋_GB2312"/>
                <w:color w:val="auto"/>
                <w:sz w:val="21"/>
                <w:szCs w:val="21"/>
                <w:highlight w:val="none"/>
              </w:rPr>
            </w:pPr>
          </w:p>
        </w:tc>
        <w:tc>
          <w:tcPr>
            <w:tcW w:w="3375" w:type="dxa"/>
            <w:noWrap w:val="0"/>
            <w:vAlign w:val="center"/>
          </w:tcPr>
          <w:p>
            <w:pPr>
              <w:spacing w:line="300" w:lineRule="exact"/>
              <w:textAlignment w:val="center"/>
              <w:rPr>
                <w:rFonts w:hint="eastAsia" w:ascii="宋体" w:hAnsi="宋体" w:cs="仿宋_GB2312"/>
                <w:color w:val="auto"/>
                <w:sz w:val="21"/>
                <w:szCs w:val="21"/>
                <w:highlight w:val="none"/>
              </w:rPr>
            </w:pPr>
            <w:r>
              <w:rPr>
                <w:rFonts w:ascii="宋体" w:hAnsi="宋体" w:cs="Arial"/>
                <w:color w:val="auto"/>
                <w:sz w:val="21"/>
                <w:szCs w:val="21"/>
                <w:highlight w:val="none"/>
                <w:lang w:bidi="ar"/>
              </w:rPr>
              <w:t>2、社会反映的热点、焦点问题和市政府阶段重点工作保障任务、领导重要批示要求、市局巡查督办等重点督办件办理、回复不及时、不到位的，每件扣5分。</w:t>
            </w:r>
          </w:p>
        </w:tc>
        <w:tc>
          <w:tcPr>
            <w:tcW w:w="1006" w:type="dxa"/>
            <w:noWrap w:val="0"/>
            <w:vAlign w:val="center"/>
          </w:tcPr>
          <w:p>
            <w:pPr>
              <w:spacing w:line="300" w:lineRule="exact"/>
              <w:jc w:val="center"/>
              <w:textAlignment w:val="center"/>
              <w:rPr>
                <w:rFonts w:hint="eastAsia" w:ascii="宋体" w:hAnsi="宋体" w:cs="Arial"/>
                <w:color w:val="auto"/>
                <w:sz w:val="21"/>
                <w:szCs w:val="21"/>
                <w:highlight w:val="none"/>
                <w:lang w:bidi="ar"/>
              </w:rPr>
            </w:pPr>
            <w:r>
              <w:rPr>
                <w:rFonts w:ascii="宋体" w:hAnsi="宋体" w:cs="Arial"/>
                <w:color w:val="auto"/>
                <w:sz w:val="21"/>
                <w:szCs w:val="21"/>
                <w:highlight w:val="none"/>
                <w:lang w:bidi="ar"/>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738" w:type="dxa"/>
            <w:vMerge w:val="continue"/>
            <w:noWrap w:val="0"/>
            <w:vAlign w:val="center"/>
          </w:tcPr>
          <w:p>
            <w:pPr>
              <w:spacing w:line="300" w:lineRule="exact"/>
              <w:jc w:val="left"/>
              <w:rPr>
                <w:rFonts w:hint="eastAsia" w:ascii="宋体" w:hAnsi="宋体" w:cs="仿宋_GB2312"/>
                <w:color w:val="auto"/>
                <w:sz w:val="21"/>
                <w:szCs w:val="21"/>
                <w:highlight w:val="none"/>
              </w:rPr>
            </w:pPr>
          </w:p>
        </w:tc>
        <w:tc>
          <w:tcPr>
            <w:tcW w:w="3924" w:type="dxa"/>
            <w:vMerge w:val="continue"/>
            <w:noWrap w:val="0"/>
            <w:vAlign w:val="center"/>
          </w:tcPr>
          <w:p>
            <w:pPr>
              <w:spacing w:line="300" w:lineRule="exact"/>
              <w:rPr>
                <w:rFonts w:hint="eastAsia" w:ascii="宋体" w:hAnsi="宋体" w:cs="仿宋_GB2312"/>
                <w:color w:val="auto"/>
                <w:sz w:val="21"/>
                <w:szCs w:val="21"/>
                <w:highlight w:val="none"/>
              </w:rPr>
            </w:pPr>
          </w:p>
        </w:tc>
        <w:tc>
          <w:tcPr>
            <w:tcW w:w="3375" w:type="dxa"/>
            <w:noWrap w:val="0"/>
            <w:vAlign w:val="center"/>
          </w:tcPr>
          <w:p>
            <w:pPr>
              <w:spacing w:line="300" w:lineRule="exact"/>
              <w:textAlignment w:val="center"/>
              <w:rPr>
                <w:rFonts w:hint="eastAsia" w:ascii="宋体" w:hAnsi="宋体" w:cs="仿宋_GB2312"/>
                <w:color w:val="auto"/>
                <w:sz w:val="21"/>
                <w:szCs w:val="21"/>
                <w:highlight w:val="none"/>
              </w:rPr>
            </w:pPr>
            <w:r>
              <w:rPr>
                <w:rFonts w:ascii="宋体" w:hAnsi="宋体" w:cs="Arial"/>
                <w:color w:val="auto"/>
                <w:sz w:val="21"/>
                <w:szCs w:val="21"/>
                <w:highlight w:val="none"/>
                <w:lang w:bidi="ar"/>
              </w:rPr>
              <w:t>3、对因管理不当被媒体曝光并造成社会恶劣影响的，每次扣10分。</w:t>
            </w:r>
          </w:p>
        </w:tc>
        <w:tc>
          <w:tcPr>
            <w:tcW w:w="1006" w:type="dxa"/>
            <w:noWrap w:val="0"/>
            <w:vAlign w:val="center"/>
          </w:tcPr>
          <w:p>
            <w:pPr>
              <w:spacing w:line="300" w:lineRule="exact"/>
              <w:jc w:val="center"/>
              <w:textAlignment w:val="center"/>
              <w:rPr>
                <w:rFonts w:hint="eastAsia" w:ascii="宋体" w:hAnsi="宋体" w:cs="Arial"/>
                <w:color w:val="auto"/>
                <w:sz w:val="21"/>
                <w:szCs w:val="21"/>
                <w:highlight w:val="none"/>
                <w:lang w:bidi="ar"/>
              </w:rPr>
            </w:pPr>
            <w:r>
              <w:rPr>
                <w:rFonts w:ascii="宋体" w:hAnsi="宋体" w:cs="Arial"/>
                <w:color w:val="auto"/>
                <w:sz w:val="21"/>
                <w:szCs w:val="21"/>
                <w:highlight w:val="none"/>
                <w:lang w:bidi="ar"/>
              </w:rPr>
              <w:t>10分/次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2" w:hRule="atLeast"/>
        </w:trPr>
        <w:tc>
          <w:tcPr>
            <w:tcW w:w="738" w:type="dxa"/>
            <w:vMerge w:val="continue"/>
            <w:noWrap w:val="0"/>
            <w:vAlign w:val="center"/>
          </w:tcPr>
          <w:p>
            <w:pPr>
              <w:spacing w:line="300" w:lineRule="exact"/>
              <w:jc w:val="left"/>
              <w:rPr>
                <w:rFonts w:hint="eastAsia" w:ascii="宋体" w:hAnsi="宋体" w:cs="仿宋_GB2312"/>
                <w:color w:val="auto"/>
                <w:sz w:val="21"/>
                <w:szCs w:val="21"/>
                <w:highlight w:val="none"/>
              </w:rPr>
            </w:pPr>
          </w:p>
        </w:tc>
        <w:tc>
          <w:tcPr>
            <w:tcW w:w="3924" w:type="dxa"/>
            <w:vMerge w:val="continue"/>
            <w:noWrap w:val="0"/>
            <w:vAlign w:val="center"/>
          </w:tcPr>
          <w:p>
            <w:pPr>
              <w:spacing w:line="300" w:lineRule="exact"/>
              <w:rPr>
                <w:rFonts w:hint="eastAsia" w:ascii="宋体" w:hAnsi="宋体" w:cs="仿宋_GB2312"/>
                <w:color w:val="auto"/>
                <w:sz w:val="21"/>
                <w:szCs w:val="21"/>
                <w:highlight w:val="none"/>
              </w:rPr>
            </w:pPr>
          </w:p>
        </w:tc>
        <w:tc>
          <w:tcPr>
            <w:tcW w:w="3375" w:type="dxa"/>
            <w:noWrap w:val="0"/>
            <w:vAlign w:val="center"/>
          </w:tcPr>
          <w:p>
            <w:pPr>
              <w:spacing w:line="300" w:lineRule="exact"/>
              <w:textAlignment w:val="center"/>
              <w:rPr>
                <w:rFonts w:hint="eastAsia" w:ascii="宋体" w:hAnsi="宋体" w:cs="仿宋_GB2312"/>
                <w:color w:val="auto"/>
                <w:sz w:val="21"/>
                <w:szCs w:val="21"/>
                <w:highlight w:val="none"/>
              </w:rPr>
            </w:pPr>
            <w:r>
              <w:rPr>
                <w:rFonts w:ascii="宋体" w:hAnsi="宋体" w:cs="Arial"/>
                <w:color w:val="auto"/>
                <w:sz w:val="21"/>
                <w:szCs w:val="21"/>
                <w:highlight w:val="none"/>
                <w:lang w:bidi="ar"/>
              </w:rPr>
              <w:t>4、如有市民投诉、媒体曝光的重大环境卫生负面影响事件,经核实是由承包单位或作业人员责任引起的，扣10分；由于日常保洁作业、管理不到位造成市民投诉、媒体反映的环境卫生问题（如车辆高峰作业、未避让行人等），经核实的，每次扣5分。</w:t>
            </w:r>
          </w:p>
        </w:tc>
        <w:tc>
          <w:tcPr>
            <w:tcW w:w="1006" w:type="dxa"/>
            <w:noWrap w:val="0"/>
            <w:vAlign w:val="center"/>
          </w:tcPr>
          <w:p>
            <w:pPr>
              <w:spacing w:line="300" w:lineRule="exact"/>
              <w:jc w:val="center"/>
              <w:textAlignment w:val="center"/>
              <w:rPr>
                <w:rFonts w:hint="eastAsia" w:ascii="宋体" w:hAnsi="宋体" w:cs="Arial"/>
                <w:color w:val="auto"/>
                <w:sz w:val="21"/>
                <w:szCs w:val="21"/>
                <w:highlight w:val="none"/>
                <w:lang w:bidi="ar"/>
              </w:rPr>
            </w:pPr>
            <w:r>
              <w:rPr>
                <w:rFonts w:ascii="宋体" w:hAnsi="宋体" w:cs="Arial"/>
                <w:color w:val="auto"/>
                <w:sz w:val="21"/>
                <w:szCs w:val="21"/>
                <w:highlight w:val="none"/>
                <w:lang w:bidi="ar"/>
              </w:rPr>
              <w:t>5-10分/次</w:t>
            </w:r>
          </w:p>
        </w:tc>
      </w:tr>
    </w:tbl>
    <w:p>
      <w:pPr>
        <w:spacing w:line="400" w:lineRule="exact"/>
        <w:jc w:val="left"/>
        <w:textAlignment w:val="center"/>
        <w:rPr>
          <w:rFonts w:ascii="宋体" w:hAnsi="宋体" w:cs="Arial"/>
          <w:color w:val="auto"/>
          <w:sz w:val="21"/>
          <w:szCs w:val="21"/>
          <w:highlight w:val="none"/>
        </w:rPr>
      </w:pPr>
    </w:p>
    <w:p>
      <w:pPr>
        <w:spacing w:line="400" w:lineRule="exact"/>
        <w:jc w:val="left"/>
        <w:textAlignment w:val="center"/>
        <w:rPr>
          <w:rFonts w:ascii="宋体" w:hAnsi="宋体" w:cs="Arial"/>
          <w:color w:val="auto"/>
          <w:sz w:val="21"/>
          <w:szCs w:val="21"/>
          <w:highlight w:val="none"/>
        </w:rPr>
      </w:pPr>
    </w:p>
    <w:p>
      <w:pPr>
        <w:spacing w:line="400" w:lineRule="exact"/>
        <w:jc w:val="left"/>
        <w:textAlignment w:val="center"/>
        <w:rPr>
          <w:rFonts w:ascii="宋体" w:hAnsi="宋体" w:cs="Arial"/>
          <w:color w:val="auto"/>
          <w:sz w:val="21"/>
          <w:szCs w:val="21"/>
          <w:highlight w:val="none"/>
        </w:rPr>
      </w:pPr>
    </w:p>
    <w:p>
      <w:pPr>
        <w:spacing w:line="400" w:lineRule="exact"/>
        <w:jc w:val="left"/>
        <w:textAlignment w:val="center"/>
        <w:rPr>
          <w:rFonts w:ascii="宋体" w:hAnsi="宋体" w:cs="Arial"/>
          <w:color w:val="auto"/>
          <w:sz w:val="21"/>
          <w:szCs w:val="21"/>
          <w:highlight w:val="none"/>
          <w:lang w:bidi="ar"/>
        </w:rPr>
      </w:pPr>
      <w:r>
        <w:rPr>
          <w:rFonts w:ascii="宋体" w:hAnsi="宋体" w:cs="Arial"/>
          <w:color w:val="auto"/>
          <w:sz w:val="21"/>
          <w:szCs w:val="21"/>
          <w:highlight w:val="none"/>
        </w:rPr>
        <w:br w:type="page"/>
      </w:r>
      <w:r>
        <w:rPr>
          <w:rFonts w:ascii="宋体" w:hAnsi="宋体" w:cs="Arial"/>
          <w:color w:val="auto"/>
          <w:sz w:val="21"/>
          <w:szCs w:val="21"/>
          <w:highlight w:val="none"/>
          <w:lang w:bidi="ar"/>
        </w:rPr>
        <w:t>附表1-3：</w:t>
      </w:r>
    </w:p>
    <w:p>
      <w:pPr>
        <w:pStyle w:val="41"/>
        <w:spacing w:after="0" w:line="400" w:lineRule="exact"/>
        <w:ind w:left="0" w:leftChars="0" w:firstLine="0" w:firstLineChars="0"/>
        <w:jc w:val="center"/>
        <w:rPr>
          <w:rFonts w:ascii="宋体" w:hAnsi="宋体" w:cs="Arial"/>
          <w:b/>
          <w:color w:val="auto"/>
          <w:sz w:val="21"/>
          <w:szCs w:val="21"/>
          <w:highlight w:val="none"/>
        </w:rPr>
      </w:pPr>
      <w:r>
        <w:rPr>
          <w:rFonts w:ascii="宋体" w:hAnsi="宋体" w:cs="Arial"/>
          <w:b/>
          <w:color w:val="auto"/>
          <w:sz w:val="21"/>
          <w:szCs w:val="21"/>
          <w:highlight w:val="none"/>
          <w:lang w:bidi="ar"/>
        </w:rPr>
        <w:t>三、</w:t>
      </w:r>
      <w:r>
        <w:rPr>
          <w:rFonts w:hint="eastAsia" w:ascii="宋体" w:hAnsi="宋体" w:cs="Arial"/>
          <w:b/>
          <w:color w:val="auto"/>
          <w:sz w:val="21"/>
          <w:szCs w:val="21"/>
          <w:highlight w:val="none"/>
          <w:lang w:bidi="ar"/>
        </w:rPr>
        <w:t>龙湾区</w:t>
      </w:r>
      <w:r>
        <w:rPr>
          <w:rFonts w:ascii="宋体" w:hAnsi="宋体" w:cs="Arial"/>
          <w:b/>
          <w:color w:val="auto"/>
          <w:sz w:val="21"/>
          <w:szCs w:val="21"/>
          <w:highlight w:val="none"/>
          <w:lang w:bidi="ar"/>
        </w:rPr>
        <w:t>公厕保洁质量评分标准（100分）</w:t>
      </w:r>
    </w:p>
    <w:bookmarkEnd w:id="491"/>
    <w:bookmarkEnd w:id="492"/>
    <w:tbl>
      <w:tblPr>
        <w:tblStyle w:val="42"/>
        <w:tblW w:w="8998" w:type="dxa"/>
        <w:tblInd w:w="93"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096"/>
        <w:gridCol w:w="2905"/>
        <w:gridCol w:w="3527"/>
        <w:gridCol w:w="1470"/>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00" w:hRule="atLeast"/>
        </w:trPr>
        <w:tc>
          <w:tcPr>
            <w:tcW w:w="1096" w:type="dxa"/>
            <w:noWrap w:val="0"/>
            <w:vAlign w:val="center"/>
          </w:tcPr>
          <w:p>
            <w:pPr>
              <w:spacing w:line="300" w:lineRule="exact"/>
              <w:jc w:val="center"/>
              <w:textAlignment w:val="center"/>
              <w:rPr>
                <w:rFonts w:ascii="宋体" w:hAnsi="宋体" w:cs="Arial"/>
                <w:b/>
                <w:bCs/>
                <w:color w:val="auto"/>
                <w:sz w:val="21"/>
                <w:szCs w:val="21"/>
                <w:highlight w:val="none"/>
              </w:rPr>
            </w:pPr>
            <w:bookmarkStart w:id="493" w:name="_Toc28927"/>
            <w:bookmarkStart w:id="494" w:name="_Toc17120"/>
            <w:r>
              <w:rPr>
                <w:rFonts w:ascii="宋体" w:hAnsi="宋体" w:cs="Arial"/>
                <w:b/>
                <w:bCs/>
                <w:color w:val="auto"/>
                <w:sz w:val="21"/>
                <w:szCs w:val="21"/>
                <w:highlight w:val="none"/>
                <w:lang w:bidi="ar"/>
              </w:rPr>
              <w:t>项目</w:t>
            </w:r>
          </w:p>
        </w:tc>
        <w:tc>
          <w:tcPr>
            <w:tcW w:w="2905" w:type="dxa"/>
            <w:noWrap w:val="0"/>
            <w:vAlign w:val="center"/>
          </w:tcPr>
          <w:p>
            <w:pPr>
              <w:spacing w:line="300" w:lineRule="exact"/>
              <w:jc w:val="center"/>
              <w:textAlignment w:val="center"/>
              <w:rPr>
                <w:rFonts w:ascii="宋体" w:hAnsi="宋体" w:cs="Arial"/>
                <w:b/>
                <w:bCs/>
                <w:color w:val="auto"/>
                <w:sz w:val="21"/>
                <w:szCs w:val="21"/>
                <w:highlight w:val="none"/>
              </w:rPr>
            </w:pPr>
            <w:r>
              <w:rPr>
                <w:rFonts w:ascii="宋体" w:hAnsi="宋体" w:cs="Arial"/>
                <w:b/>
                <w:bCs/>
                <w:color w:val="auto"/>
                <w:sz w:val="21"/>
                <w:szCs w:val="21"/>
                <w:highlight w:val="none"/>
                <w:lang w:bidi="ar"/>
              </w:rPr>
              <w:t>质量（工作）标准</w:t>
            </w:r>
          </w:p>
        </w:tc>
        <w:tc>
          <w:tcPr>
            <w:tcW w:w="3527" w:type="dxa"/>
            <w:noWrap w:val="0"/>
            <w:vAlign w:val="center"/>
          </w:tcPr>
          <w:p>
            <w:pPr>
              <w:spacing w:line="300" w:lineRule="exact"/>
              <w:jc w:val="center"/>
              <w:textAlignment w:val="center"/>
              <w:rPr>
                <w:rFonts w:ascii="宋体" w:hAnsi="宋体" w:cs="Arial"/>
                <w:b/>
                <w:bCs/>
                <w:color w:val="auto"/>
                <w:sz w:val="21"/>
                <w:szCs w:val="21"/>
                <w:highlight w:val="none"/>
              </w:rPr>
            </w:pPr>
            <w:r>
              <w:rPr>
                <w:rFonts w:ascii="宋体" w:hAnsi="宋体" w:cs="Arial"/>
                <w:b/>
                <w:bCs/>
                <w:color w:val="auto"/>
                <w:sz w:val="21"/>
                <w:szCs w:val="21"/>
                <w:highlight w:val="none"/>
                <w:lang w:bidi="ar"/>
              </w:rPr>
              <w:t>评分标准</w:t>
            </w:r>
          </w:p>
        </w:tc>
        <w:tc>
          <w:tcPr>
            <w:tcW w:w="1470" w:type="dxa"/>
            <w:noWrap w:val="0"/>
            <w:vAlign w:val="center"/>
          </w:tcPr>
          <w:p>
            <w:pPr>
              <w:spacing w:line="300" w:lineRule="exact"/>
              <w:jc w:val="center"/>
              <w:textAlignment w:val="center"/>
              <w:rPr>
                <w:rFonts w:ascii="宋体" w:hAnsi="宋体" w:cs="Arial"/>
                <w:b/>
                <w:bCs/>
                <w:color w:val="auto"/>
                <w:sz w:val="21"/>
                <w:szCs w:val="21"/>
                <w:highlight w:val="none"/>
              </w:rPr>
            </w:pPr>
            <w:r>
              <w:rPr>
                <w:rFonts w:ascii="宋体" w:hAnsi="宋体" w:cs="Arial"/>
                <w:b/>
                <w:bCs/>
                <w:color w:val="auto"/>
                <w:sz w:val="21"/>
                <w:szCs w:val="21"/>
                <w:highlight w:val="none"/>
                <w:lang w:bidi="ar"/>
              </w:rPr>
              <w:t>扣分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00" w:hRule="atLeast"/>
        </w:trPr>
        <w:tc>
          <w:tcPr>
            <w:tcW w:w="1096" w:type="dxa"/>
            <w:vMerge w:val="restart"/>
            <w:noWrap w:val="0"/>
            <w:vAlign w:val="center"/>
          </w:tcPr>
          <w:p>
            <w:pPr>
              <w:spacing w:line="300" w:lineRule="exact"/>
              <w:jc w:val="center"/>
              <w:textAlignment w:val="center"/>
              <w:rPr>
                <w:rFonts w:ascii="宋体" w:hAnsi="宋体" w:cs="Arial"/>
                <w:color w:val="auto"/>
                <w:sz w:val="21"/>
                <w:szCs w:val="21"/>
                <w:highlight w:val="none"/>
              </w:rPr>
            </w:pPr>
            <w:r>
              <w:rPr>
                <w:rFonts w:ascii="宋体" w:hAnsi="宋体" w:cs="Arial"/>
                <w:color w:val="auto"/>
                <w:sz w:val="21"/>
                <w:szCs w:val="21"/>
                <w:highlight w:val="none"/>
                <w:lang w:bidi="ar"/>
              </w:rPr>
              <w:t>管 理 制 度</w:t>
            </w:r>
          </w:p>
        </w:tc>
        <w:tc>
          <w:tcPr>
            <w:tcW w:w="2905" w:type="dxa"/>
            <w:noWrap w:val="0"/>
            <w:vAlign w:val="center"/>
          </w:tcPr>
          <w:p>
            <w:pPr>
              <w:spacing w:line="300" w:lineRule="exact"/>
              <w:textAlignment w:val="center"/>
              <w:rPr>
                <w:rFonts w:ascii="宋体" w:hAnsi="宋体" w:cs="Arial"/>
                <w:color w:val="auto"/>
                <w:sz w:val="21"/>
                <w:szCs w:val="21"/>
                <w:highlight w:val="none"/>
              </w:rPr>
            </w:pPr>
            <w:r>
              <w:rPr>
                <w:rFonts w:ascii="宋体" w:hAnsi="宋体" w:cs="Arial"/>
                <w:color w:val="auto"/>
                <w:sz w:val="21"/>
                <w:szCs w:val="21"/>
                <w:highlight w:val="none"/>
                <w:lang w:bidi="ar"/>
              </w:rPr>
              <w:t>免费公厕面向社会实行免费开放， 不得销售任何商品。</w:t>
            </w:r>
          </w:p>
        </w:tc>
        <w:tc>
          <w:tcPr>
            <w:tcW w:w="3527" w:type="dxa"/>
            <w:noWrap w:val="0"/>
            <w:vAlign w:val="center"/>
          </w:tcPr>
          <w:p>
            <w:pPr>
              <w:spacing w:line="300" w:lineRule="exact"/>
              <w:textAlignment w:val="center"/>
              <w:rPr>
                <w:rFonts w:ascii="宋体" w:hAnsi="宋体" w:cs="Arial"/>
                <w:color w:val="auto"/>
                <w:sz w:val="21"/>
                <w:szCs w:val="21"/>
                <w:highlight w:val="none"/>
              </w:rPr>
            </w:pPr>
            <w:r>
              <w:rPr>
                <w:rFonts w:ascii="宋体" w:hAnsi="宋体" w:cs="Arial"/>
                <w:color w:val="auto"/>
                <w:sz w:val="21"/>
                <w:szCs w:val="21"/>
                <w:highlight w:val="none"/>
                <w:lang w:bidi="ar"/>
              </w:rPr>
              <w:t>1. 有收费或变相收费行为（出售商品等）</w:t>
            </w:r>
          </w:p>
        </w:tc>
        <w:tc>
          <w:tcPr>
            <w:tcW w:w="1470" w:type="dxa"/>
            <w:noWrap/>
            <w:vAlign w:val="center"/>
          </w:tcPr>
          <w:p>
            <w:pPr>
              <w:spacing w:line="300" w:lineRule="exact"/>
              <w:jc w:val="center"/>
              <w:textAlignment w:val="center"/>
              <w:rPr>
                <w:rFonts w:ascii="宋体" w:hAnsi="宋体" w:cs="Arial"/>
                <w:color w:val="auto"/>
                <w:sz w:val="21"/>
                <w:szCs w:val="21"/>
                <w:highlight w:val="none"/>
              </w:rPr>
            </w:pPr>
            <w:r>
              <w:rPr>
                <w:rFonts w:ascii="宋体" w:hAnsi="宋体" w:cs="Arial"/>
                <w:color w:val="auto"/>
                <w:sz w:val="21"/>
                <w:szCs w:val="21"/>
                <w:highlight w:val="none"/>
                <w:lang w:bidi="ar"/>
              </w:rPr>
              <w:t>10分/次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00" w:hRule="atLeast"/>
        </w:trPr>
        <w:tc>
          <w:tcPr>
            <w:tcW w:w="1096" w:type="dxa"/>
            <w:vMerge w:val="continue"/>
            <w:noWrap w:val="0"/>
            <w:vAlign w:val="center"/>
          </w:tcPr>
          <w:p>
            <w:pPr>
              <w:spacing w:line="300" w:lineRule="exact"/>
              <w:jc w:val="center"/>
              <w:rPr>
                <w:rFonts w:ascii="宋体" w:hAnsi="宋体" w:cs="Arial"/>
                <w:color w:val="auto"/>
                <w:sz w:val="21"/>
                <w:szCs w:val="21"/>
                <w:highlight w:val="none"/>
              </w:rPr>
            </w:pPr>
          </w:p>
        </w:tc>
        <w:tc>
          <w:tcPr>
            <w:tcW w:w="2905" w:type="dxa"/>
            <w:vMerge w:val="restart"/>
            <w:noWrap w:val="0"/>
            <w:vAlign w:val="center"/>
          </w:tcPr>
          <w:p>
            <w:pPr>
              <w:spacing w:line="300" w:lineRule="exact"/>
              <w:textAlignment w:val="center"/>
              <w:rPr>
                <w:rFonts w:ascii="宋体" w:hAnsi="宋体" w:cs="Arial"/>
                <w:color w:val="auto"/>
                <w:sz w:val="21"/>
                <w:szCs w:val="21"/>
                <w:highlight w:val="none"/>
              </w:rPr>
            </w:pPr>
            <w:r>
              <w:rPr>
                <w:rFonts w:ascii="宋体" w:hAnsi="宋体" w:cs="Arial"/>
                <w:color w:val="auto"/>
                <w:sz w:val="21"/>
                <w:szCs w:val="21"/>
                <w:highlight w:val="none"/>
                <w:lang w:bidi="ar"/>
              </w:rPr>
              <w:t>免费公厕按照规定时间开放，实行专人管理负责制，文明服务，管理人员在规定保洁时间内严禁出现脱岗现象。</w:t>
            </w:r>
          </w:p>
        </w:tc>
        <w:tc>
          <w:tcPr>
            <w:tcW w:w="3527" w:type="dxa"/>
            <w:noWrap w:val="0"/>
            <w:vAlign w:val="center"/>
          </w:tcPr>
          <w:p>
            <w:pPr>
              <w:spacing w:line="300" w:lineRule="exact"/>
              <w:textAlignment w:val="center"/>
              <w:rPr>
                <w:rFonts w:ascii="宋体" w:hAnsi="宋体" w:cs="Arial"/>
                <w:color w:val="auto"/>
                <w:sz w:val="21"/>
                <w:szCs w:val="21"/>
                <w:highlight w:val="none"/>
              </w:rPr>
            </w:pPr>
            <w:r>
              <w:rPr>
                <w:rFonts w:ascii="宋体" w:hAnsi="宋体" w:cs="Arial"/>
                <w:color w:val="auto"/>
                <w:sz w:val="21"/>
                <w:szCs w:val="21"/>
                <w:highlight w:val="none"/>
                <w:lang w:bidi="ar"/>
              </w:rPr>
              <w:t>2. 无故未按规定时间开放</w:t>
            </w:r>
          </w:p>
        </w:tc>
        <w:tc>
          <w:tcPr>
            <w:tcW w:w="1470" w:type="dxa"/>
            <w:noWrap/>
            <w:vAlign w:val="center"/>
          </w:tcPr>
          <w:p>
            <w:pPr>
              <w:spacing w:line="300" w:lineRule="exact"/>
              <w:jc w:val="center"/>
              <w:textAlignment w:val="center"/>
              <w:rPr>
                <w:rFonts w:ascii="宋体" w:hAnsi="宋体" w:cs="Arial"/>
                <w:color w:val="auto"/>
                <w:sz w:val="21"/>
                <w:szCs w:val="21"/>
                <w:highlight w:val="none"/>
              </w:rPr>
            </w:pPr>
            <w:r>
              <w:rPr>
                <w:rFonts w:ascii="宋体" w:hAnsi="宋体" w:cs="Arial"/>
                <w:color w:val="auto"/>
                <w:sz w:val="21"/>
                <w:szCs w:val="21"/>
                <w:highlight w:val="none"/>
                <w:lang w:bidi="ar"/>
              </w:rPr>
              <w:t>30分/次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00" w:hRule="atLeast"/>
        </w:trPr>
        <w:tc>
          <w:tcPr>
            <w:tcW w:w="1096" w:type="dxa"/>
            <w:vMerge w:val="continue"/>
            <w:noWrap w:val="0"/>
            <w:vAlign w:val="center"/>
          </w:tcPr>
          <w:p>
            <w:pPr>
              <w:spacing w:line="300" w:lineRule="exact"/>
              <w:jc w:val="center"/>
              <w:rPr>
                <w:rFonts w:ascii="宋体" w:hAnsi="宋体" w:cs="Arial"/>
                <w:color w:val="auto"/>
                <w:sz w:val="21"/>
                <w:szCs w:val="21"/>
                <w:highlight w:val="none"/>
              </w:rPr>
            </w:pPr>
          </w:p>
        </w:tc>
        <w:tc>
          <w:tcPr>
            <w:tcW w:w="2905" w:type="dxa"/>
            <w:vMerge w:val="continue"/>
            <w:noWrap w:val="0"/>
            <w:vAlign w:val="center"/>
          </w:tcPr>
          <w:p>
            <w:pPr>
              <w:spacing w:line="300" w:lineRule="exact"/>
              <w:rPr>
                <w:rFonts w:ascii="宋体" w:hAnsi="宋体" w:cs="Arial"/>
                <w:color w:val="auto"/>
                <w:sz w:val="21"/>
                <w:szCs w:val="21"/>
                <w:highlight w:val="none"/>
              </w:rPr>
            </w:pPr>
          </w:p>
        </w:tc>
        <w:tc>
          <w:tcPr>
            <w:tcW w:w="3527" w:type="dxa"/>
            <w:noWrap w:val="0"/>
            <w:vAlign w:val="center"/>
          </w:tcPr>
          <w:p>
            <w:pPr>
              <w:spacing w:line="300" w:lineRule="exact"/>
              <w:textAlignment w:val="center"/>
              <w:rPr>
                <w:rFonts w:ascii="宋体" w:hAnsi="宋体" w:cs="Arial"/>
                <w:color w:val="auto"/>
                <w:sz w:val="21"/>
                <w:szCs w:val="21"/>
                <w:highlight w:val="none"/>
              </w:rPr>
            </w:pPr>
            <w:r>
              <w:rPr>
                <w:rFonts w:ascii="宋体" w:hAnsi="宋体" w:cs="Arial"/>
                <w:color w:val="auto"/>
                <w:sz w:val="21"/>
                <w:szCs w:val="21"/>
                <w:highlight w:val="none"/>
                <w:lang w:bidi="ar"/>
              </w:rPr>
              <w:t>3. 未实行专人管理</w:t>
            </w:r>
          </w:p>
        </w:tc>
        <w:tc>
          <w:tcPr>
            <w:tcW w:w="1470" w:type="dxa"/>
            <w:noWrap/>
            <w:vAlign w:val="center"/>
          </w:tcPr>
          <w:p>
            <w:pPr>
              <w:spacing w:line="300" w:lineRule="exact"/>
              <w:jc w:val="center"/>
              <w:textAlignment w:val="center"/>
              <w:rPr>
                <w:rFonts w:ascii="宋体" w:hAnsi="宋体" w:cs="Arial"/>
                <w:color w:val="auto"/>
                <w:sz w:val="21"/>
                <w:szCs w:val="21"/>
                <w:highlight w:val="none"/>
              </w:rPr>
            </w:pPr>
            <w:r>
              <w:rPr>
                <w:rFonts w:ascii="宋体" w:hAnsi="宋体" w:cs="Arial"/>
                <w:color w:val="auto"/>
                <w:sz w:val="21"/>
                <w:szCs w:val="21"/>
                <w:highlight w:val="none"/>
                <w:lang w:bidi="ar"/>
              </w:rPr>
              <w:t>30分/次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00" w:hRule="atLeast"/>
        </w:trPr>
        <w:tc>
          <w:tcPr>
            <w:tcW w:w="1096" w:type="dxa"/>
            <w:vMerge w:val="continue"/>
            <w:noWrap w:val="0"/>
            <w:vAlign w:val="center"/>
          </w:tcPr>
          <w:p>
            <w:pPr>
              <w:spacing w:line="300" w:lineRule="exact"/>
              <w:jc w:val="center"/>
              <w:rPr>
                <w:rFonts w:ascii="宋体" w:hAnsi="宋体" w:cs="Arial"/>
                <w:color w:val="auto"/>
                <w:sz w:val="21"/>
                <w:szCs w:val="21"/>
                <w:highlight w:val="none"/>
              </w:rPr>
            </w:pPr>
          </w:p>
        </w:tc>
        <w:tc>
          <w:tcPr>
            <w:tcW w:w="2905" w:type="dxa"/>
            <w:vMerge w:val="continue"/>
            <w:noWrap w:val="0"/>
            <w:vAlign w:val="center"/>
          </w:tcPr>
          <w:p>
            <w:pPr>
              <w:spacing w:line="300" w:lineRule="exact"/>
              <w:rPr>
                <w:rFonts w:ascii="宋体" w:hAnsi="宋体" w:cs="Arial"/>
                <w:color w:val="auto"/>
                <w:sz w:val="21"/>
                <w:szCs w:val="21"/>
                <w:highlight w:val="none"/>
              </w:rPr>
            </w:pPr>
          </w:p>
        </w:tc>
        <w:tc>
          <w:tcPr>
            <w:tcW w:w="3527" w:type="dxa"/>
            <w:noWrap w:val="0"/>
            <w:vAlign w:val="center"/>
          </w:tcPr>
          <w:p>
            <w:pPr>
              <w:spacing w:line="300" w:lineRule="exact"/>
              <w:textAlignment w:val="center"/>
              <w:rPr>
                <w:rFonts w:ascii="宋体" w:hAnsi="宋体" w:cs="Arial"/>
                <w:color w:val="auto"/>
                <w:sz w:val="21"/>
                <w:szCs w:val="21"/>
                <w:highlight w:val="none"/>
              </w:rPr>
            </w:pPr>
            <w:r>
              <w:rPr>
                <w:rFonts w:ascii="宋体" w:hAnsi="宋体" w:cs="Arial"/>
                <w:color w:val="auto"/>
                <w:sz w:val="21"/>
                <w:szCs w:val="21"/>
                <w:highlight w:val="none"/>
                <w:lang w:bidi="ar"/>
              </w:rPr>
              <w:t>4. 规定保洁时间内管理员脱岗</w:t>
            </w:r>
          </w:p>
        </w:tc>
        <w:tc>
          <w:tcPr>
            <w:tcW w:w="1470" w:type="dxa"/>
            <w:noWrap/>
            <w:vAlign w:val="center"/>
          </w:tcPr>
          <w:p>
            <w:pPr>
              <w:spacing w:line="300" w:lineRule="exact"/>
              <w:jc w:val="center"/>
              <w:textAlignment w:val="center"/>
              <w:rPr>
                <w:rFonts w:ascii="宋体" w:hAnsi="宋体" w:cs="Arial"/>
                <w:color w:val="auto"/>
                <w:sz w:val="21"/>
                <w:szCs w:val="21"/>
                <w:highlight w:val="none"/>
              </w:rPr>
            </w:pPr>
            <w:r>
              <w:rPr>
                <w:rFonts w:ascii="宋体" w:hAnsi="宋体" w:cs="Arial"/>
                <w:color w:val="auto"/>
                <w:sz w:val="21"/>
                <w:szCs w:val="21"/>
                <w:highlight w:val="none"/>
                <w:lang w:bidi="ar"/>
              </w:rPr>
              <w:t>10分/次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00" w:hRule="atLeast"/>
        </w:trPr>
        <w:tc>
          <w:tcPr>
            <w:tcW w:w="1096" w:type="dxa"/>
            <w:vMerge w:val="continue"/>
            <w:noWrap w:val="0"/>
            <w:vAlign w:val="center"/>
          </w:tcPr>
          <w:p>
            <w:pPr>
              <w:spacing w:line="300" w:lineRule="exact"/>
              <w:jc w:val="center"/>
              <w:rPr>
                <w:rFonts w:ascii="宋体" w:hAnsi="宋体" w:cs="Arial"/>
                <w:color w:val="auto"/>
                <w:sz w:val="21"/>
                <w:szCs w:val="21"/>
                <w:highlight w:val="none"/>
              </w:rPr>
            </w:pPr>
          </w:p>
        </w:tc>
        <w:tc>
          <w:tcPr>
            <w:tcW w:w="2905" w:type="dxa"/>
            <w:vMerge w:val="restart"/>
            <w:noWrap w:val="0"/>
            <w:vAlign w:val="center"/>
          </w:tcPr>
          <w:p>
            <w:pPr>
              <w:spacing w:line="300" w:lineRule="exact"/>
              <w:textAlignment w:val="center"/>
              <w:rPr>
                <w:rFonts w:ascii="宋体" w:hAnsi="宋体" w:cs="Arial"/>
                <w:color w:val="auto"/>
                <w:sz w:val="21"/>
                <w:szCs w:val="21"/>
                <w:highlight w:val="none"/>
              </w:rPr>
            </w:pPr>
            <w:r>
              <w:rPr>
                <w:rFonts w:ascii="宋体" w:hAnsi="宋体" w:cs="Arial"/>
                <w:color w:val="auto"/>
                <w:sz w:val="21"/>
                <w:szCs w:val="21"/>
                <w:highlight w:val="none"/>
                <w:lang w:bidi="ar"/>
              </w:rPr>
              <w:t>免费公厕的导向牌、各项规章制度、 服务承诺开放时间和监督电话等信息应上墙，免费公厕标牌、男女标识牌、无障碍 设施标识牌等各类标识牌设置规范、醒目， 保持标识牌整洁和完好。</w:t>
            </w:r>
          </w:p>
        </w:tc>
        <w:tc>
          <w:tcPr>
            <w:tcW w:w="3527" w:type="dxa"/>
            <w:noWrap w:val="0"/>
            <w:vAlign w:val="center"/>
          </w:tcPr>
          <w:p>
            <w:pPr>
              <w:spacing w:line="300" w:lineRule="exact"/>
              <w:textAlignment w:val="center"/>
              <w:rPr>
                <w:rFonts w:ascii="宋体" w:hAnsi="宋体" w:cs="Arial"/>
                <w:color w:val="auto"/>
                <w:sz w:val="21"/>
                <w:szCs w:val="21"/>
                <w:highlight w:val="none"/>
              </w:rPr>
            </w:pPr>
            <w:r>
              <w:rPr>
                <w:rFonts w:ascii="宋体" w:hAnsi="宋体" w:cs="Arial"/>
                <w:color w:val="auto"/>
                <w:sz w:val="21"/>
                <w:szCs w:val="21"/>
                <w:highlight w:val="none"/>
                <w:lang w:bidi="ar"/>
              </w:rPr>
              <w:t>5. 未设置门帘、纱窗、灭蝇灯等防蝇设施。</w:t>
            </w:r>
          </w:p>
        </w:tc>
        <w:tc>
          <w:tcPr>
            <w:tcW w:w="1470" w:type="dxa"/>
            <w:noWrap/>
            <w:vAlign w:val="center"/>
          </w:tcPr>
          <w:p>
            <w:pPr>
              <w:spacing w:line="300" w:lineRule="exact"/>
              <w:jc w:val="center"/>
              <w:textAlignment w:val="center"/>
              <w:rPr>
                <w:rFonts w:ascii="宋体" w:hAnsi="宋体" w:cs="Arial"/>
                <w:color w:val="auto"/>
                <w:sz w:val="21"/>
                <w:szCs w:val="21"/>
                <w:highlight w:val="none"/>
              </w:rPr>
            </w:pPr>
            <w:r>
              <w:rPr>
                <w:rFonts w:ascii="宋体" w:hAnsi="宋体" w:cs="Arial"/>
                <w:color w:val="auto"/>
                <w:sz w:val="21"/>
                <w:szCs w:val="21"/>
                <w:highlight w:val="none"/>
                <w:lang w:bidi="ar"/>
              </w:rPr>
              <w:t>2分/次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900" w:hRule="atLeast"/>
        </w:trPr>
        <w:tc>
          <w:tcPr>
            <w:tcW w:w="1096" w:type="dxa"/>
            <w:vMerge w:val="continue"/>
            <w:noWrap w:val="0"/>
            <w:vAlign w:val="center"/>
          </w:tcPr>
          <w:p>
            <w:pPr>
              <w:spacing w:line="300" w:lineRule="exact"/>
              <w:jc w:val="center"/>
              <w:rPr>
                <w:rFonts w:ascii="宋体" w:hAnsi="宋体" w:cs="Arial"/>
                <w:color w:val="auto"/>
                <w:sz w:val="21"/>
                <w:szCs w:val="21"/>
                <w:highlight w:val="none"/>
              </w:rPr>
            </w:pPr>
          </w:p>
        </w:tc>
        <w:tc>
          <w:tcPr>
            <w:tcW w:w="2905" w:type="dxa"/>
            <w:vMerge w:val="continue"/>
            <w:noWrap w:val="0"/>
            <w:vAlign w:val="center"/>
          </w:tcPr>
          <w:p>
            <w:pPr>
              <w:spacing w:line="300" w:lineRule="exact"/>
              <w:rPr>
                <w:rFonts w:ascii="宋体" w:hAnsi="宋体" w:cs="Arial"/>
                <w:color w:val="auto"/>
                <w:sz w:val="21"/>
                <w:szCs w:val="21"/>
                <w:highlight w:val="none"/>
              </w:rPr>
            </w:pPr>
          </w:p>
        </w:tc>
        <w:tc>
          <w:tcPr>
            <w:tcW w:w="3527" w:type="dxa"/>
            <w:noWrap w:val="0"/>
            <w:vAlign w:val="center"/>
          </w:tcPr>
          <w:p>
            <w:pPr>
              <w:spacing w:line="300" w:lineRule="exact"/>
              <w:textAlignment w:val="center"/>
              <w:rPr>
                <w:rFonts w:ascii="宋体" w:hAnsi="宋体" w:cs="Arial"/>
                <w:color w:val="auto"/>
                <w:sz w:val="21"/>
                <w:szCs w:val="21"/>
                <w:highlight w:val="none"/>
              </w:rPr>
            </w:pPr>
            <w:r>
              <w:rPr>
                <w:rFonts w:ascii="宋体" w:hAnsi="宋体" w:cs="Arial"/>
                <w:color w:val="auto"/>
                <w:sz w:val="21"/>
                <w:szCs w:val="21"/>
                <w:highlight w:val="none"/>
                <w:lang w:bidi="ar"/>
              </w:rPr>
              <w:t>6. 各项制度、责任内容、服务承诺等规定要求上墙，文明规范用语按要求配置，未达要求的；显著位置无明显禁烟标识，节水节电相关提示标识。</w:t>
            </w:r>
          </w:p>
        </w:tc>
        <w:tc>
          <w:tcPr>
            <w:tcW w:w="1470" w:type="dxa"/>
            <w:noWrap/>
            <w:vAlign w:val="center"/>
          </w:tcPr>
          <w:p>
            <w:pPr>
              <w:spacing w:line="300" w:lineRule="exact"/>
              <w:jc w:val="center"/>
              <w:textAlignment w:val="center"/>
              <w:rPr>
                <w:rFonts w:ascii="宋体" w:hAnsi="宋体" w:cs="Arial"/>
                <w:color w:val="auto"/>
                <w:sz w:val="21"/>
                <w:szCs w:val="21"/>
                <w:highlight w:val="none"/>
              </w:rPr>
            </w:pPr>
            <w:r>
              <w:rPr>
                <w:rFonts w:ascii="宋体" w:hAnsi="宋体" w:cs="Arial"/>
                <w:color w:val="auto"/>
                <w:sz w:val="21"/>
                <w:szCs w:val="21"/>
                <w:highlight w:val="none"/>
                <w:lang w:bidi="ar"/>
              </w:rPr>
              <w:t>2分/次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60" w:hRule="atLeast"/>
        </w:trPr>
        <w:tc>
          <w:tcPr>
            <w:tcW w:w="1096" w:type="dxa"/>
            <w:vMerge w:val="continue"/>
            <w:noWrap w:val="0"/>
            <w:vAlign w:val="center"/>
          </w:tcPr>
          <w:p>
            <w:pPr>
              <w:spacing w:line="300" w:lineRule="exact"/>
              <w:jc w:val="center"/>
              <w:rPr>
                <w:rFonts w:ascii="宋体" w:hAnsi="宋体" w:cs="Arial"/>
                <w:color w:val="auto"/>
                <w:sz w:val="21"/>
                <w:szCs w:val="21"/>
                <w:highlight w:val="none"/>
              </w:rPr>
            </w:pPr>
          </w:p>
        </w:tc>
        <w:tc>
          <w:tcPr>
            <w:tcW w:w="2905" w:type="dxa"/>
            <w:vMerge w:val="continue"/>
            <w:noWrap w:val="0"/>
            <w:vAlign w:val="center"/>
          </w:tcPr>
          <w:p>
            <w:pPr>
              <w:spacing w:line="300" w:lineRule="exact"/>
              <w:rPr>
                <w:rFonts w:ascii="宋体" w:hAnsi="宋体" w:cs="Arial"/>
                <w:color w:val="auto"/>
                <w:sz w:val="21"/>
                <w:szCs w:val="21"/>
                <w:highlight w:val="none"/>
              </w:rPr>
            </w:pPr>
          </w:p>
        </w:tc>
        <w:tc>
          <w:tcPr>
            <w:tcW w:w="3527" w:type="dxa"/>
            <w:noWrap w:val="0"/>
            <w:vAlign w:val="center"/>
          </w:tcPr>
          <w:p>
            <w:pPr>
              <w:spacing w:line="300" w:lineRule="exact"/>
              <w:textAlignment w:val="center"/>
              <w:rPr>
                <w:rFonts w:ascii="宋体" w:hAnsi="宋体" w:cs="Arial"/>
                <w:color w:val="auto"/>
                <w:sz w:val="21"/>
                <w:szCs w:val="21"/>
                <w:highlight w:val="none"/>
              </w:rPr>
            </w:pPr>
            <w:r>
              <w:rPr>
                <w:rFonts w:ascii="宋体" w:hAnsi="宋体" w:cs="Arial"/>
                <w:color w:val="auto"/>
                <w:sz w:val="21"/>
                <w:szCs w:val="21"/>
                <w:highlight w:val="none"/>
                <w:lang w:bidi="ar"/>
              </w:rPr>
              <w:t>7. 公式牌上须有监督服务电话，门口需要设置指引牌。</w:t>
            </w:r>
          </w:p>
        </w:tc>
        <w:tc>
          <w:tcPr>
            <w:tcW w:w="1470" w:type="dxa"/>
            <w:noWrap/>
            <w:vAlign w:val="center"/>
          </w:tcPr>
          <w:p>
            <w:pPr>
              <w:spacing w:line="300" w:lineRule="exact"/>
              <w:jc w:val="center"/>
              <w:textAlignment w:val="center"/>
              <w:rPr>
                <w:rFonts w:ascii="宋体" w:hAnsi="宋体" w:cs="Arial"/>
                <w:color w:val="auto"/>
                <w:sz w:val="21"/>
                <w:szCs w:val="21"/>
                <w:highlight w:val="none"/>
              </w:rPr>
            </w:pPr>
            <w:r>
              <w:rPr>
                <w:rFonts w:ascii="宋体" w:hAnsi="宋体" w:cs="Arial"/>
                <w:color w:val="auto"/>
                <w:sz w:val="21"/>
                <w:szCs w:val="21"/>
                <w:highlight w:val="none"/>
                <w:lang w:bidi="ar"/>
              </w:rPr>
              <w:t>1分/次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00" w:hRule="atLeast"/>
        </w:trPr>
        <w:tc>
          <w:tcPr>
            <w:tcW w:w="1096" w:type="dxa"/>
            <w:vMerge w:val="continue"/>
            <w:noWrap w:val="0"/>
            <w:vAlign w:val="center"/>
          </w:tcPr>
          <w:p>
            <w:pPr>
              <w:spacing w:line="300" w:lineRule="exact"/>
              <w:jc w:val="center"/>
              <w:rPr>
                <w:rFonts w:ascii="宋体" w:hAnsi="宋体" w:cs="Arial"/>
                <w:color w:val="auto"/>
                <w:sz w:val="21"/>
                <w:szCs w:val="21"/>
                <w:highlight w:val="none"/>
              </w:rPr>
            </w:pPr>
          </w:p>
        </w:tc>
        <w:tc>
          <w:tcPr>
            <w:tcW w:w="2905" w:type="dxa"/>
            <w:vMerge w:val="continue"/>
            <w:noWrap w:val="0"/>
            <w:vAlign w:val="center"/>
          </w:tcPr>
          <w:p>
            <w:pPr>
              <w:spacing w:line="300" w:lineRule="exact"/>
              <w:rPr>
                <w:rFonts w:ascii="宋体" w:hAnsi="宋体" w:cs="Arial"/>
                <w:color w:val="auto"/>
                <w:sz w:val="21"/>
                <w:szCs w:val="21"/>
                <w:highlight w:val="none"/>
              </w:rPr>
            </w:pPr>
          </w:p>
        </w:tc>
        <w:tc>
          <w:tcPr>
            <w:tcW w:w="3527" w:type="dxa"/>
            <w:noWrap w:val="0"/>
            <w:vAlign w:val="center"/>
          </w:tcPr>
          <w:p>
            <w:pPr>
              <w:spacing w:line="300" w:lineRule="exact"/>
              <w:textAlignment w:val="center"/>
              <w:rPr>
                <w:rFonts w:ascii="宋体" w:hAnsi="宋体" w:cs="Arial"/>
                <w:color w:val="auto"/>
                <w:sz w:val="21"/>
                <w:szCs w:val="21"/>
                <w:highlight w:val="none"/>
              </w:rPr>
            </w:pPr>
            <w:r>
              <w:rPr>
                <w:rFonts w:ascii="宋体" w:hAnsi="宋体" w:cs="Arial"/>
                <w:color w:val="auto"/>
                <w:sz w:val="21"/>
                <w:szCs w:val="21"/>
                <w:highlight w:val="none"/>
                <w:lang w:bidi="ar"/>
              </w:rPr>
              <w:t>8. 标识牌重复设置</w:t>
            </w:r>
          </w:p>
        </w:tc>
        <w:tc>
          <w:tcPr>
            <w:tcW w:w="1470" w:type="dxa"/>
            <w:noWrap/>
            <w:vAlign w:val="center"/>
          </w:tcPr>
          <w:p>
            <w:pPr>
              <w:spacing w:line="300" w:lineRule="exact"/>
              <w:jc w:val="center"/>
              <w:textAlignment w:val="center"/>
              <w:rPr>
                <w:rFonts w:ascii="宋体" w:hAnsi="宋体" w:cs="Arial"/>
                <w:color w:val="auto"/>
                <w:sz w:val="21"/>
                <w:szCs w:val="21"/>
                <w:highlight w:val="none"/>
              </w:rPr>
            </w:pPr>
            <w:r>
              <w:rPr>
                <w:rFonts w:ascii="宋体" w:hAnsi="宋体" w:cs="Arial"/>
                <w:color w:val="auto"/>
                <w:sz w:val="21"/>
                <w:szCs w:val="21"/>
                <w:highlight w:val="none"/>
                <w:lang w:bidi="ar"/>
              </w:rPr>
              <w:t>1分/次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00" w:hRule="atLeast"/>
        </w:trPr>
        <w:tc>
          <w:tcPr>
            <w:tcW w:w="1096" w:type="dxa"/>
            <w:vMerge w:val="continue"/>
            <w:noWrap w:val="0"/>
            <w:vAlign w:val="center"/>
          </w:tcPr>
          <w:p>
            <w:pPr>
              <w:spacing w:line="300" w:lineRule="exact"/>
              <w:jc w:val="center"/>
              <w:rPr>
                <w:rFonts w:ascii="宋体" w:hAnsi="宋体" w:cs="Arial"/>
                <w:color w:val="auto"/>
                <w:sz w:val="21"/>
                <w:szCs w:val="21"/>
                <w:highlight w:val="none"/>
              </w:rPr>
            </w:pPr>
          </w:p>
        </w:tc>
        <w:tc>
          <w:tcPr>
            <w:tcW w:w="2905" w:type="dxa"/>
            <w:vMerge w:val="continue"/>
            <w:noWrap w:val="0"/>
            <w:vAlign w:val="center"/>
          </w:tcPr>
          <w:p>
            <w:pPr>
              <w:spacing w:line="300" w:lineRule="exact"/>
              <w:rPr>
                <w:rFonts w:ascii="宋体" w:hAnsi="宋体" w:cs="Arial"/>
                <w:color w:val="auto"/>
                <w:sz w:val="21"/>
                <w:szCs w:val="21"/>
                <w:highlight w:val="none"/>
              </w:rPr>
            </w:pPr>
          </w:p>
        </w:tc>
        <w:tc>
          <w:tcPr>
            <w:tcW w:w="3527" w:type="dxa"/>
            <w:noWrap w:val="0"/>
            <w:vAlign w:val="center"/>
          </w:tcPr>
          <w:p>
            <w:pPr>
              <w:spacing w:line="300" w:lineRule="exact"/>
              <w:textAlignment w:val="center"/>
              <w:rPr>
                <w:rFonts w:ascii="宋体" w:hAnsi="宋体" w:cs="Arial"/>
                <w:color w:val="auto"/>
                <w:sz w:val="21"/>
                <w:szCs w:val="21"/>
                <w:highlight w:val="none"/>
              </w:rPr>
            </w:pPr>
            <w:r>
              <w:rPr>
                <w:rFonts w:ascii="宋体" w:hAnsi="宋体" w:cs="Arial"/>
                <w:color w:val="auto"/>
                <w:sz w:val="21"/>
                <w:szCs w:val="21"/>
                <w:highlight w:val="none"/>
                <w:lang w:bidi="ar"/>
              </w:rPr>
              <w:t>9. 标识牌未保持整洁完好</w:t>
            </w:r>
          </w:p>
        </w:tc>
        <w:tc>
          <w:tcPr>
            <w:tcW w:w="1470" w:type="dxa"/>
            <w:noWrap/>
            <w:vAlign w:val="center"/>
          </w:tcPr>
          <w:p>
            <w:pPr>
              <w:spacing w:line="300" w:lineRule="exact"/>
              <w:jc w:val="center"/>
              <w:textAlignment w:val="center"/>
              <w:rPr>
                <w:rFonts w:ascii="宋体" w:hAnsi="宋体" w:cs="Arial"/>
                <w:color w:val="auto"/>
                <w:sz w:val="21"/>
                <w:szCs w:val="21"/>
                <w:highlight w:val="none"/>
              </w:rPr>
            </w:pPr>
            <w:r>
              <w:rPr>
                <w:rFonts w:ascii="宋体" w:hAnsi="宋体" w:cs="Arial"/>
                <w:color w:val="auto"/>
                <w:sz w:val="21"/>
                <w:szCs w:val="21"/>
                <w:highlight w:val="none"/>
                <w:lang w:bidi="ar"/>
              </w:rPr>
              <w:t>1分/次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00" w:hRule="atLeast"/>
        </w:trPr>
        <w:tc>
          <w:tcPr>
            <w:tcW w:w="1096" w:type="dxa"/>
            <w:vMerge w:val="restart"/>
            <w:noWrap w:val="0"/>
            <w:vAlign w:val="center"/>
          </w:tcPr>
          <w:p>
            <w:pPr>
              <w:spacing w:line="300" w:lineRule="exact"/>
              <w:jc w:val="center"/>
              <w:rPr>
                <w:rFonts w:ascii="宋体" w:hAnsi="宋体" w:cs="Arial"/>
                <w:color w:val="auto"/>
                <w:sz w:val="21"/>
                <w:szCs w:val="21"/>
                <w:highlight w:val="none"/>
              </w:rPr>
            </w:pPr>
            <w:r>
              <w:rPr>
                <w:rFonts w:ascii="宋体" w:hAnsi="宋体" w:cs="Arial"/>
                <w:color w:val="auto"/>
                <w:sz w:val="21"/>
                <w:szCs w:val="21"/>
                <w:highlight w:val="none"/>
              </w:rPr>
              <w:t>保洁质量</w:t>
            </w:r>
          </w:p>
        </w:tc>
        <w:tc>
          <w:tcPr>
            <w:tcW w:w="2905" w:type="dxa"/>
            <w:vMerge w:val="restart"/>
            <w:noWrap w:val="0"/>
            <w:vAlign w:val="center"/>
          </w:tcPr>
          <w:p>
            <w:pPr>
              <w:spacing w:line="300" w:lineRule="exact"/>
              <w:rPr>
                <w:rFonts w:ascii="宋体" w:hAnsi="宋体" w:cs="Arial"/>
                <w:color w:val="auto"/>
                <w:sz w:val="21"/>
                <w:szCs w:val="21"/>
                <w:highlight w:val="none"/>
              </w:rPr>
            </w:pPr>
          </w:p>
        </w:tc>
        <w:tc>
          <w:tcPr>
            <w:tcW w:w="3527" w:type="dxa"/>
            <w:noWrap w:val="0"/>
            <w:vAlign w:val="center"/>
          </w:tcPr>
          <w:p>
            <w:pPr>
              <w:spacing w:line="300" w:lineRule="exact"/>
              <w:textAlignment w:val="center"/>
              <w:rPr>
                <w:rFonts w:ascii="宋体" w:hAnsi="宋体" w:cs="Arial"/>
                <w:color w:val="auto"/>
                <w:sz w:val="21"/>
                <w:szCs w:val="21"/>
                <w:highlight w:val="none"/>
              </w:rPr>
            </w:pPr>
            <w:r>
              <w:rPr>
                <w:rFonts w:ascii="宋体" w:hAnsi="宋体" w:cs="Arial"/>
                <w:color w:val="auto"/>
                <w:sz w:val="21"/>
                <w:szCs w:val="21"/>
                <w:highlight w:val="none"/>
                <w:lang w:bidi="ar"/>
              </w:rPr>
              <w:t>1. 蹲坑便槽无杂物</w:t>
            </w:r>
          </w:p>
        </w:tc>
        <w:tc>
          <w:tcPr>
            <w:tcW w:w="1470" w:type="dxa"/>
            <w:noWrap/>
            <w:vAlign w:val="center"/>
          </w:tcPr>
          <w:p>
            <w:pPr>
              <w:spacing w:line="300" w:lineRule="exact"/>
              <w:jc w:val="center"/>
              <w:textAlignment w:val="center"/>
              <w:rPr>
                <w:rFonts w:ascii="宋体" w:hAnsi="宋体" w:cs="Arial"/>
                <w:color w:val="auto"/>
                <w:sz w:val="21"/>
                <w:szCs w:val="21"/>
                <w:highlight w:val="none"/>
              </w:rPr>
            </w:pPr>
            <w:r>
              <w:rPr>
                <w:rFonts w:ascii="宋体" w:hAnsi="宋体" w:cs="Arial"/>
                <w:color w:val="auto"/>
                <w:sz w:val="21"/>
                <w:szCs w:val="21"/>
                <w:highlight w:val="none"/>
                <w:lang w:bidi="ar"/>
              </w:rPr>
              <w:t>0.5分/处</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00" w:hRule="atLeast"/>
        </w:trPr>
        <w:tc>
          <w:tcPr>
            <w:tcW w:w="1096" w:type="dxa"/>
            <w:vMerge w:val="continue"/>
            <w:noWrap w:val="0"/>
            <w:vAlign w:val="center"/>
          </w:tcPr>
          <w:p>
            <w:pPr>
              <w:spacing w:line="300" w:lineRule="exact"/>
              <w:jc w:val="center"/>
              <w:rPr>
                <w:rFonts w:ascii="宋体" w:hAnsi="宋体" w:cs="Arial"/>
                <w:color w:val="auto"/>
                <w:sz w:val="21"/>
                <w:szCs w:val="21"/>
                <w:highlight w:val="none"/>
              </w:rPr>
            </w:pPr>
          </w:p>
        </w:tc>
        <w:tc>
          <w:tcPr>
            <w:tcW w:w="2905" w:type="dxa"/>
            <w:vMerge w:val="continue"/>
            <w:noWrap w:val="0"/>
            <w:vAlign w:val="center"/>
          </w:tcPr>
          <w:p>
            <w:pPr>
              <w:spacing w:line="300" w:lineRule="exact"/>
              <w:rPr>
                <w:rFonts w:ascii="宋体" w:hAnsi="宋体" w:cs="Arial"/>
                <w:color w:val="auto"/>
                <w:sz w:val="21"/>
                <w:szCs w:val="21"/>
                <w:highlight w:val="none"/>
              </w:rPr>
            </w:pPr>
          </w:p>
        </w:tc>
        <w:tc>
          <w:tcPr>
            <w:tcW w:w="3527" w:type="dxa"/>
            <w:noWrap w:val="0"/>
            <w:vAlign w:val="center"/>
          </w:tcPr>
          <w:p>
            <w:pPr>
              <w:spacing w:line="300" w:lineRule="exact"/>
              <w:textAlignment w:val="center"/>
              <w:rPr>
                <w:rFonts w:ascii="宋体" w:hAnsi="宋体" w:cs="Arial"/>
                <w:color w:val="auto"/>
                <w:sz w:val="21"/>
                <w:szCs w:val="21"/>
                <w:highlight w:val="none"/>
              </w:rPr>
            </w:pPr>
            <w:r>
              <w:rPr>
                <w:rFonts w:ascii="宋体" w:hAnsi="宋体" w:cs="Arial"/>
                <w:color w:val="auto"/>
                <w:sz w:val="21"/>
                <w:szCs w:val="21"/>
                <w:highlight w:val="none"/>
                <w:lang w:bidi="ar"/>
              </w:rPr>
              <w:t>2. 管理间、工具间干净整洁无杂物。</w:t>
            </w:r>
          </w:p>
        </w:tc>
        <w:tc>
          <w:tcPr>
            <w:tcW w:w="1470" w:type="dxa"/>
            <w:noWrap/>
            <w:vAlign w:val="center"/>
          </w:tcPr>
          <w:p>
            <w:pPr>
              <w:spacing w:line="300" w:lineRule="exact"/>
              <w:jc w:val="center"/>
              <w:textAlignment w:val="center"/>
              <w:rPr>
                <w:rFonts w:ascii="宋体" w:hAnsi="宋体" w:cs="Arial"/>
                <w:color w:val="auto"/>
                <w:sz w:val="21"/>
                <w:szCs w:val="21"/>
                <w:highlight w:val="none"/>
              </w:rPr>
            </w:pPr>
            <w:r>
              <w:rPr>
                <w:rFonts w:ascii="宋体" w:hAnsi="宋体" w:cs="Arial"/>
                <w:color w:val="auto"/>
                <w:sz w:val="21"/>
                <w:szCs w:val="21"/>
                <w:highlight w:val="none"/>
                <w:lang w:bidi="ar"/>
              </w:rPr>
              <w:t>0.5分/处</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00" w:hRule="atLeast"/>
        </w:trPr>
        <w:tc>
          <w:tcPr>
            <w:tcW w:w="1096" w:type="dxa"/>
            <w:vMerge w:val="continue"/>
            <w:noWrap w:val="0"/>
            <w:vAlign w:val="center"/>
          </w:tcPr>
          <w:p>
            <w:pPr>
              <w:spacing w:line="300" w:lineRule="exact"/>
              <w:jc w:val="center"/>
              <w:rPr>
                <w:rFonts w:ascii="宋体" w:hAnsi="宋体" w:cs="Arial"/>
                <w:color w:val="auto"/>
                <w:sz w:val="21"/>
                <w:szCs w:val="21"/>
                <w:highlight w:val="none"/>
              </w:rPr>
            </w:pPr>
          </w:p>
        </w:tc>
        <w:tc>
          <w:tcPr>
            <w:tcW w:w="2905" w:type="dxa"/>
            <w:vMerge w:val="continue"/>
            <w:noWrap w:val="0"/>
            <w:vAlign w:val="center"/>
          </w:tcPr>
          <w:p>
            <w:pPr>
              <w:spacing w:line="300" w:lineRule="exact"/>
              <w:rPr>
                <w:rFonts w:ascii="宋体" w:hAnsi="宋体" w:cs="Arial"/>
                <w:color w:val="auto"/>
                <w:sz w:val="21"/>
                <w:szCs w:val="21"/>
                <w:highlight w:val="none"/>
              </w:rPr>
            </w:pPr>
          </w:p>
        </w:tc>
        <w:tc>
          <w:tcPr>
            <w:tcW w:w="3527" w:type="dxa"/>
            <w:noWrap w:val="0"/>
            <w:vAlign w:val="center"/>
          </w:tcPr>
          <w:p>
            <w:pPr>
              <w:spacing w:line="300" w:lineRule="exact"/>
              <w:textAlignment w:val="center"/>
              <w:rPr>
                <w:rFonts w:ascii="宋体" w:hAnsi="宋体" w:cs="Arial"/>
                <w:color w:val="auto"/>
                <w:sz w:val="21"/>
                <w:szCs w:val="21"/>
                <w:highlight w:val="none"/>
                <w:lang w:bidi="ar"/>
              </w:rPr>
            </w:pPr>
            <w:r>
              <w:rPr>
                <w:rFonts w:ascii="宋体" w:hAnsi="宋体" w:cs="Arial"/>
                <w:color w:val="auto"/>
                <w:sz w:val="21"/>
                <w:szCs w:val="21"/>
                <w:highlight w:val="none"/>
                <w:lang w:bidi="ar"/>
              </w:rPr>
              <w:t>3.地面、蹲位、便池、墙壁、挡板等保持完好和整洁；无地面积水、纸屑、烟头、痰迹，无积存尿液、尿垢，无蚊蝇；换气、除臭等设施必须使用；</w:t>
            </w:r>
          </w:p>
        </w:tc>
        <w:tc>
          <w:tcPr>
            <w:tcW w:w="1470" w:type="dxa"/>
            <w:noWrap/>
            <w:vAlign w:val="center"/>
          </w:tcPr>
          <w:p>
            <w:pPr>
              <w:spacing w:line="300" w:lineRule="exact"/>
              <w:jc w:val="center"/>
              <w:textAlignment w:val="center"/>
              <w:rPr>
                <w:rFonts w:ascii="宋体" w:hAnsi="宋体" w:cs="Arial"/>
                <w:color w:val="auto"/>
                <w:sz w:val="21"/>
                <w:szCs w:val="21"/>
                <w:highlight w:val="none"/>
              </w:rPr>
            </w:pPr>
            <w:r>
              <w:rPr>
                <w:rFonts w:ascii="宋体" w:hAnsi="宋体" w:cs="Arial"/>
                <w:color w:val="auto"/>
                <w:sz w:val="21"/>
                <w:szCs w:val="21"/>
                <w:highlight w:val="none"/>
                <w:lang w:bidi="ar"/>
              </w:rPr>
              <w:t>0.5分/处</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00" w:hRule="atLeast"/>
        </w:trPr>
        <w:tc>
          <w:tcPr>
            <w:tcW w:w="1096" w:type="dxa"/>
            <w:vMerge w:val="continue"/>
            <w:noWrap w:val="0"/>
            <w:vAlign w:val="center"/>
          </w:tcPr>
          <w:p>
            <w:pPr>
              <w:spacing w:line="300" w:lineRule="exact"/>
              <w:jc w:val="center"/>
              <w:rPr>
                <w:rFonts w:ascii="宋体" w:hAnsi="宋体" w:cs="Arial"/>
                <w:color w:val="auto"/>
                <w:sz w:val="21"/>
                <w:szCs w:val="21"/>
                <w:highlight w:val="none"/>
              </w:rPr>
            </w:pPr>
          </w:p>
        </w:tc>
        <w:tc>
          <w:tcPr>
            <w:tcW w:w="2905" w:type="dxa"/>
            <w:vMerge w:val="continue"/>
            <w:noWrap w:val="0"/>
            <w:vAlign w:val="center"/>
          </w:tcPr>
          <w:p>
            <w:pPr>
              <w:spacing w:line="300" w:lineRule="exact"/>
              <w:rPr>
                <w:rFonts w:ascii="宋体" w:hAnsi="宋体" w:cs="Arial"/>
                <w:color w:val="auto"/>
                <w:sz w:val="21"/>
                <w:szCs w:val="21"/>
                <w:highlight w:val="none"/>
              </w:rPr>
            </w:pPr>
          </w:p>
        </w:tc>
        <w:tc>
          <w:tcPr>
            <w:tcW w:w="3527" w:type="dxa"/>
            <w:noWrap w:val="0"/>
            <w:vAlign w:val="center"/>
          </w:tcPr>
          <w:p>
            <w:pPr>
              <w:spacing w:line="300" w:lineRule="exact"/>
              <w:textAlignment w:val="center"/>
              <w:rPr>
                <w:rFonts w:ascii="宋体" w:hAnsi="宋体" w:cs="Arial"/>
                <w:color w:val="auto"/>
                <w:sz w:val="21"/>
                <w:szCs w:val="21"/>
                <w:highlight w:val="none"/>
              </w:rPr>
            </w:pPr>
            <w:r>
              <w:rPr>
                <w:rFonts w:ascii="宋体" w:hAnsi="宋体" w:cs="Arial"/>
                <w:color w:val="auto"/>
                <w:sz w:val="21"/>
                <w:szCs w:val="21"/>
                <w:highlight w:val="none"/>
                <w:lang w:bidi="ar"/>
              </w:rPr>
              <w:t>4. 保洁工具应放置整齐，照明灯具、洗手器具、镜子、挂衣钩、烘手器、冲水等设备完好，无积灰、污物；</w:t>
            </w:r>
          </w:p>
        </w:tc>
        <w:tc>
          <w:tcPr>
            <w:tcW w:w="1470" w:type="dxa"/>
            <w:noWrap/>
            <w:vAlign w:val="center"/>
          </w:tcPr>
          <w:p>
            <w:pPr>
              <w:spacing w:line="300" w:lineRule="exact"/>
              <w:jc w:val="center"/>
              <w:textAlignment w:val="center"/>
              <w:rPr>
                <w:rFonts w:ascii="宋体" w:hAnsi="宋体" w:cs="Arial"/>
                <w:color w:val="auto"/>
                <w:sz w:val="21"/>
                <w:szCs w:val="21"/>
                <w:highlight w:val="none"/>
              </w:rPr>
            </w:pPr>
            <w:r>
              <w:rPr>
                <w:rFonts w:ascii="宋体" w:hAnsi="宋体" w:cs="Arial"/>
                <w:color w:val="auto"/>
                <w:sz w:val="21"/>
                <w:szCs w:val="21"/>
                <w:highlight w:val="none"/>
                <w:lang w:bidi="ar"/>
              </w:rPr>
              <w:t>0.5分/处</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60" w:hRule="atLeast"/>
        </w:trPr>
        <w:tc>
          <w:tcPr>
            <w:tcW w:w="1096" w:type="dxa"/>
            <w:vMerge w:val="continue"/>
            <w:noWrap w:val="0"/>
            <w:vAlign w:val="center"/>
          </w:tcPr>
          <w:p>
            <w:pPr>
              <w:spacing w:line="300" w:lineRule="exact"/>
              <w:jc w:val="center"/>
              <w:rPr>
                <w:rFonts w:ascii="宋体" w:hAnsi="宋体" w:cs="Arial"/>
                <w:color w:val="auto"/>
                <w:sz w:val="21"/>
                <w:szCs w:val="21"/>
                <w:highlight w:val="none"/>
              </w:rPr>
            </w:pPr>
          </w:p>
        </w:tc>
        <w:tc>
          <w:tcPr>
            <w:tcW w:w="2905" w:type="dxa"/>
            <w:vMerge w:val="continue"/>
            <w:noWrap w:val="0"/>
            <w:vAlign w:val="center"/>
          </w:tcPr>
          <w:p>
            <w:pPr>
              <w:spacing w:line="300" w:lineRule="exact"/>
              <w:rPr>
                <w:rFonts w:ascii="宋体" w:hAnsi="宋体" w:cs="Arial"/>
                <w:color w:val="auto"/>
                <w:sz w:val="21"/>
                <w:szCs w:val="21"/>
                <w:highlight w:val="none"/>
              </w:rPr>
            </w:pPr>
          </w:p>
        </w:tc>
        <w:tc>
          <w:tcPr>
            <w:tcW w:w="3527" w:type="dxa"/>
            <w:noWrap w:val="0"/>
            <w:vAlign w:val="center"/>
          </w:tcPr>
          <w:p>
            <w:pPr>
              <w:spacing w:line="300" w:lineRule="exact"/>
              <w:textAlignment w:val="center"/>
              <w:rPr>
                <w:rFonts w:ascii="宋体" w:hAnsi="宋体" w:cs="Arial"/>
                <w:color w:val="auto"/>
                <w:sz w:val="21"/>
                <w:szCs w:val="21"/>
                <w:highlight w:val="none"/>
              </w:rPr>
            </w:pPr>
            <w:r>
              <w:rPr>
                <w:rFonts w:ascii="宋体" w:hAnsi="宋体" w:cs="Arial"/>
                <w:color w:val="auto"/>
                <w:sz w:val="21"/>
                <w:szCs w:val="21"/>
                <w:highlight w:val="none"/>
                <w:lang w:bidi="ar"/>
              </w:rPr>
              <w:t>5. 公厕内外各处有小广告，乱张贴、乱涂、乱画、乱印刷；</w:t>
            </w:r>
          </w:p>
        </w:tc>
        <w:tc>
          <w:tcPr>
            <w:tcW w:w="1470" w:type="dxa"/>
            <w:noWrap/>
            <w:vAlign w:val="center"/>
          </w:tcPr>
          <w:p>
            <w:pPr>
              <w:spacing w:line="300" w:lineRule="exact"/>
              <w:jc w:val="center"/>
              <w:textAlignment w:val="center"/>
              <w:rPr>
                <w:rFonts w:ascii="宋体" w:hAnsi="宋体" w:cs="Arial"/>
                <w:color w:val="auto"/>
                <w:sz w:val="21"/>
                <w:szCs w:val="21"/>
                <w:highlight w:val="none"/>
              </w:rPr>
            </w:pPr>
            <w:r>
              <w:rPr>
                <w:rFonts w:ascii="宋体" w:hAnsi="宋体" w:cs="Arial"/>
                <w:color w:val="auto"/>
                <w:sz w:val="21"/>
                <w:szCs w:val="21"/>
                <w:highlight w:val="none"/>
                <w:lang w:bidi="ar"/>
              </w:rPr>
              <w:t>0.5分/处</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80" w:hRule="atLeast"/>
        </w:trPr>
        <w:tc>
          <w:tcPr>
            <w:tcW w:w="1096" w:type="dxa"/>
            <w:vMerge w:val="continue"/>
            <w:noWrap w:val="0"/>
            <w:vAlign w:val="center"/>
          </w:tcPr>
          <w:p>
            <w:pPr>
              <w:spacing w:line="300" w:lineRule="exact"/>
              <w:jc w:val="center"/>
              <w:rPr>
                <w:rFonts w:ascii="宋体" w:hAnsi="宋体" w:cs="Arial"/>
                <w:color w:val="auto"/>
                <w:sz w:val="21"/>
                <w:szCs w:val="21"/>
                <w:highlight w:val="none"/>
              </w:rPr>
            </w:pPr>
          </w:p>
        </w:tc>
        <w:tc>
          <w:tcPr>
            <w:tcW w:w="2905" w:type="dxa"/>
            <w:vMerge w:val="continue"/>
            <w:noWrap w:val="0"/>
            <w:vAlign w:val="center"/>
          </w:tcPr>
          <w:p>
            <w:pPr>
              <w:spacing w:line="300" w:lineRule="exact"/>
              <w:rPr>
                <w:rFonts w:ascii="宋体" w:hAnsi="宋体" w:cs="Arial"/>
                <w:color w:val="auto"/>
                <w:sz w:val="21"/>
                <w:szCs w:val="21"/>
                <w:highlight w:val="none"/>
              </w:rPr>
            </w:pPr>
          </w:p>
        </w:tc>
        <w:tc>
          <w:tcPr>
            <w:tcW w:w="3527" w:type="dxa"/>
            <w:noWrap w:val="0"/>
            <w:vAlign w:val="center"/>
          </w:tcPr>
          <w:p>
            <w:pPr>
              <w:spacing w:line="300" w:lineRule="exact"/>
              <w:textAlignment w:val="center"/>
              <w:rPr>
                <w:rFonts w:ascii="宋体" w:hAnsi="宋体" w:cs="Arial"/>
                <w:color w:val="auto"/>
                <w:sz w:val="21"/>
                <w:szCs w:val="21"/>
                <w:highlight w:val="none"/>
              </w:rPr>
            </w:pPr>
            <w:r>
              <w:rPr>
                <w:rFonts w:ascii="宋体" w:hAnsi="宋体" w:cs="Arial"/>
                <w:color w:val="auto"/>
                <w:sz w:val="21"/>
                <w:szCs w:val="21"/>
                <w:highlight w:val="none"/>
                <w:lang w:bidi="ar"/>
              </w:rPr>
              <w:t>6. 消杀设备破损，或未定期消杀，有蝇蛆、四害孳生</w:t>
            </w:r>
          </w:p>
        </w:tc>
        <w:tc>
          <w:tcPr>
            <w:tcW w:w="1470" w:type="dxa"/>
            <w:noWrap/>
            <w:vAlign w:val="center"/>
          </w:tcPr>
          <w:p>
            <w:pPr>
              <w:spacing w:line="300" w:lineRule="exact"/>
              <w:jc w:val="center"/>
              <w:textAlignment w:val="center"/>
              <w:rPr>
                <w:rFonts w:ascii="宋体" w:hAnsi="宋体" w:cs="Arial"/>
                <w:color w:val="auto"/>
                <w:sz w:val="21"/>
                <w:szCs w:val="21"/>
                <w:highlight w:val="none"/>
              </w:rPr>
            </w:pPr>
            <w:r>
              <w:rPr>
                <w:rFonts w:ascii="宋体" w:hAnsi="宋体" w:cs="Arial"/>
                <w:color w:val="auto"/>
                <w:sz w:val="21"/>
                <w:szCs w:val="21"/>
                <w:highlight w:val="none"/>
                <w:lang w:bidi="ar"/>
              </w:rPr>
              <w:t>1分/项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00" w:hRule="atLeast"/>
        </w:trPr>
        <w:tc>
          <w:tcPr>
            <w:tcW w:w="1096" w:type="dxa"/>
            <w:vMerge w:val="continue"/>
            <w:noWrap w:val="0"/>
            <w:vAlign w:val="center"/>
          </w:tcPr>
          <w:p>
            <w:pPr>
              <w:spacing w:line="300" w:lineRule="exact"/>
              <w:jc w:val="center"/>
              <w:rPr>
                <w:rFonts w:ascii="宋体" w:hAnsi="宋体" w:cs="Arial"/>
                <w:color w:val="auto"/>
                <w:sz w:val="21"/>
                <w:szCs w:val="21"/>
                <w:highlight w:val="none"/>
              </w:rPr>
            </w:pPr>
          </w:p>
        </w:tc>
        <w:tc>
          <w:tcPr>
            <w:tcW w:w="2905" w:type="dxa"/>
            <w:vMerge w:val="continue"/>
            <w:noWrap w:val="0"/>
            <w:vAlign w:val="center"/>
          </w:tcPr>
          <w:p>
            <w:pPr>
              <w:spacing w:line="300" w:lineRule="exact"/>
              <w:rPr>
                <w:rFonts w:ascii="宋体" w:hAnsi="宋体" w:cs="Arial"/>
                <w:color w:val="auto"/>
                <w:sz w:val="21"/>
                <w:szCs w:val="21"/>
                <w:highlight w:val="none"/>
              </w:rPr>
            </w:pPr>
          </w:p>
        </w:tc>
        <w:tc>
          <w:tcPr>
            <w:tcW w:w="3527" w:type="dxa"/>
            <w:noWrap w:val="0"/>
            <w:vAlign w:val="center"/>
          </w:tcPr>
          <w:p>
            <w:pPr>
              <w:spacing w:line="300" w:lineRule="exact"/>
              <w:textAlignment w:val="center"/>
              <w:rPr>
                <w:rFonts w:ascii="宋体" w:hAnsi="宋体" w:cs="Arial"/>
                <w:color w:val="auto"/>
                <w:sz w:val="21"/>
                <w:szCs w:val="21"/>
                <w:highlight w:val="none"/>
              </w:rPr>
            </w:pPr>
            <w:r>
              <w:rPr>
                <w:rFonts w:ascii="宋体" w:hAnsi="宋体" w:cs="Arial"/>
                <w:color w:val="auto"/>
                <w:sz w:val="21"/>
                <w:szCs w:val="21"/>
                <w:highlight w:val="none"/>
                <w:lang w:bidi="ar"/>
              </w:rPr>
              <w:t>7. 公厕内有明显臭味</w:t>
            </w:r>
          </w:p>
        </w:tc>
        <w:tc>
          <w:tcPr>
            <w:tcW w:w="1470" w:type="dxa"/>
            <w:noWrap/>
            <w:vAlign w:val="center"/>
          </w:tcPr>
          <w:p>
            <w:pPr>
              <w:spacing w:line="300" w:lineRule="exact"/>
              <w:jc w:val="center"/>
              <w:textAlignment w:val="center"/>
              <w:rPr>
                <w:rFonts w:ascii="宋体" w:hAnsi="宋体" w:cs="Arial"/>
                <w:color w:val="auto"/>
                <w:sz w:val="21"/>
                <w:szCs w:val="21"/>
                <w:highlight w:val="none"/>
              </w:rPr>
            </w:pPr>
            <w:r>
              <w:rPr>
                <w:rFonts w:ascii="宋体" w:hAnsi="宋体" w:cs="Arial"/>
                <w:color w:val="auto"/>
                <w:sz w:val="21"/>
                <w:szCs w:val="21"/>
                <w:highlight w:val="none"/>
                <w:lang w:bidi="ar"/>
              </w:rPr>
              <w:t>1分/次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00" w:hRule="atLeast"/>
        </w:trPr>
        <w:tc>
          <w:tcPr>
            <w:tcW w:w="1096" w:type="dxa"/>
            <w:vMerge w:val="continue"/>
            <w:noWrap w:val="0"/>
            <w:vAlign w:val="center"/>
          </w:tcPr>
          <w:p>
            <w:pPr>
              <w:spacing w:line="300" w:lineRule="exact"/>
              <w:jc w:val="center"/>
              <w:rPr>
                <w:rFonts w:ascii="宋体" w:hAnsi="宋体" w:cs="Arial"/>
                <w:color w:val="auto"/>
                <w:sz w:val="21"/>
                <w:szCs w:val="21"/>
                <w:highlight w:val="none"/>
              </w:rPr>
            </w:pPr>
          </w:p>
        </w:tc>
        <w:tc>
          <w:tcPr>
            <w:tcW w:w="2905" w:type="dxa"/>
            <w:vMerge w:val="restart"/>
            <w:noWrap w:val="0"/>
            <w:vAlign w:val="center"/>
          </w:tcPr>
          <w:p>
            <w:pPr>
              <w:spacing w:line="300" w:lineRule="exact"/>
              <w:textAlignment w:val="center"/>
              <w:rPr>
                <w:rFonts w:ascii="宋体" w:hAnsi="宋体" w:cs="Arial"/>
                <w:color w:val="auto"/>
                <w:sz w:val="21"/>
                <w:szCs w:val="21"/>
                <w:highlight w:val="none"/>
              </w:rPr>
            </w:pPr>
            <w:r>
              <w:rPr>
                <w:rFonts w:ascii="宋体" w:hAnsi="宋体" w:cs="Arial"/>
                <w:color w:val="auto"/>
                <w:sz w:val="21"/>
                <w:szCs w:val="21"/>
                <w:highlight w:val="none"/>
                <w:lang w:bidi="ar"/>
              </w:rPr>
              <w:t>免费公厕外环境（有绿化带的以绿化带外围为界限，无绿化带的外墙起4米范围内）整洁有序，无垃圾， 无粪便，无晾晒衣物、无杂物堆放，严禁在公厕内擅自饲养/寄养动物、种植蔬菜。</w:t>
            </w:r>
          </w:p>
        </w:tc>
        <w:tc>
          <w:tcPr>
            <w:tcW w:w="3527" w:type="dxa"/>
            <w:noWrap w:val="0"/>
            <w:vAlign w:val="center"/>
          </w:tcPr>
          <w:p>
            <w:pPr>
              <w:spacing w:line="300" w:lineRule="exact"/>
              <w:textAlignment w:val="center"/>
              <w:rPr>
                <w:rFonts w:ascii="宋体" w:hAnsi="宋体" w:cs="Arial"/>
                <w:color w:val="auto"/>
                <w:sz w:val="21"/>
                <w:szCs w:val="21"/>
                <w:highlight w:val="none"/>
              </w:rPr>
            </w:pPr>
            <w:r>
              <w:rPr>
                <w:rFonts w:ascii="宋体" w:hAnsi="宋体" w:cs="Arial"/>
                <w:color w:val="auto"/>
                <w:sz w:val="21"/>
                <w:szCs w:val="21"/>
                <w:highlight w:val="none"/>
                <w:lang w:bidi="ar"/>
              </w:rPr>
              <w:t>8. 公厕外环境有垃圾堆放或有污水或有粪便的</w:t>
            </w:r>
          </w:p>
        </w:tc>
        <w:tc>
          <w:tcPr>
            <w:tcW w:w="1470" w:type="dxa"/>
            <w:noWrap/>
            <w:vAlign w:val="center"/>
          </w:tcPr>
          <w:p>
            <w:pPr>
              <w:spacing w:line="300" w:lineRule="exact"/>
              <w:jc w:val="center"/>
              <w:textAlignment w:val="center"/>
              <w:rPr>
                <w:rFonts w:ascii="宋体" w:hAnsi="宋体" w:cs="Arial"/>
                <w:color w:val="auto"/>
                <w:sz w:val="21"/>
                <w:szCs w:val="21"/>
                <w:highlight w:val="none"/>
              </w:rPr>
            </w:pPr>
            <w:r>
              <w:rPr>
                <w:rFonts w:ascii="宋体" w:hAnsi="宋体" w:cs="Arial"/>
                <w:color w:val="auto"/>
                <w:sz w:val="21"/>
                <w:szCs w:val="21"/>
                <w:highlight w:val="none"/>
                <w:lang w:bidi="ar"/>
              </w:rPr>
              <w:t>3分/处</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00" w:hRule="atLeast"/>
        </w:trPr>
        <w:tc>
          <w:tcPr>
            <w:tcW w:w="1096" w:type="dxa"/>
            <w:vMerge w:val="continue"/>
            <w:noWrap w:val="0"/>
            <w:vAlign w:val="center"/>
          </w:tcPr>
          <w:p>
            <w:pPr>
              <w:spacing w:line="300" w:lineRule="exact"/>
              <w:jc w:val="center"/>
              <w:rPr>
                <w:rFonts w:ascii="宋体" w:hAnsi="宋体" w:cs="Arial"/>
                <w:color w:val="auto"/>
                <w:sz w:val="21"/>
                <w:szCs w:val="21"/>
                <w:highlight w:val="none"/>
              </w:rPr>
            </w:pPr>
          </w:p>
        </w:tc>
        <w:tc>
          <w:tcPr>
            <w:tcW w:w="2905" w:type="dxa"/>
            <w:vMerge w:val="continue"/>
            <w:noWrap w:val="0"/>
            <w:vAlign w:val="center"/>
          </w:tcPr>
          <w:p>
            <w:pPr>
              <w:spacing w:line="300" w:lineRule="exact"/>
              <w:rPr>
                <w:rFonts w:ascii="宋体" w:hAnsi="宋体" w:cs="Arial"/>
                <w:color w:val="auto"/>
                <w:sz w:val="21"/>
                <w:szCs w:val="21"/>
                <w:highlight w:val="none"/>
              </w:rPr>
            </w:pPr>
          </w:p>
        </w:tc>
        <w:tc>
          <w:tcPr>
            <w:tcW w:w="3527" w:type="dxa"/>
            <w:noWrap w:val="0"/>
            <w:vAlign w:val="center"/>
          </w:tcPr>
          <w:p>
            <w:pPr>
              <w:spacing w:line="300" w:lineRule="exact"/>
              <w:textAlignment w:val="center"/>
              <w:rPr>
                <w:rFonts w:ascii="宋体" w:hAnsi="宋体" w:cs="Arial"/>
                <w:color w:val="auto"/>
                <w:sz w:val="21"/>
                <w:szCs w:val="21"/>
                <w:highlight w:val="none"/>
              </w:rPr>
            </w:pPr>
            <w:r>
              <w:rPr>
                <w:rFonts w:ascii="宋体" w:hAnsi="宋体" w:cs="Arial"/>
                <w:color w:val="auto"/>
                <w:sz w:val="21"/>
                <w:szCs w:val="21"/>
                <w:highlight w:val="none"/>
                <w:lang w:bidi="ar"/>
              </w:rPr>
              <w:t>9. 公厕外明显位置晾晒衣物</w:t>
            </w:r>
          </w:p>
        </w:tc>
        <w:tc>
          <w:tcPr>
            <w:tcW w:w="1470" w:type="dxa"/>
            <w:noWrap/>
            <w:vAlign w:val="center"/>
          </w:tcPr>
          <w:p>
            <w:pPr>
              <w:spacing w:line="300" w:lineRule="exact"/>
              <w:jc w:val="center"/>
              <w:textAlignment w:val="center"/>
              <w:rPr>
                <w:rFonts w:ascii="宋体" w:hAnsi="宋体" w:cs="Arial"/>
                <w:color w:val="auto"/>
                <w:sz w:val="21"/>
                <w:szCs w:val="21"/>
                <w:highlight w:val="none"/>
              </w:rPr>
            </w:pPr>
            <w:r>
              <w:rPr>
                <w:rFonts w:ascii="宋体" w:hAnsi="宋体" w:cs="Arial"/>
                <w:color w:val="auto"/>
                <w:sz w:val="21"/>
                <w:szCs w:val="21"/>
                <w:highlight w:val="none"/>
                <w:lang w:bidi="ar"/>
              </w:rPr>
              <w:t>2分/次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00" w:hRule="atLeast"/>
        </w:trPr>
        <w:tc>
          <w:tcPr>
            <w:tcW w:w="1096" w:type="dxa"/>
            <w:vMerge w:val="continue"/>
            <w:noWrap w:val="0"/>
            <w:vAlign w:val="center"/>
          </w:tcPr>
          <w:p>
            <w:pPr>
              <w:spacing w:line="300" w:lineRule="exact"/>
              <w:jc w:val="center"/>
              <w:rPr>
                <w:rFonts w:ascii="宋体" w:hAnsi="宋体" w:cs="Arial"/>
                <w:color w:val="auto"/>
                <w:sz w:val="21"/>
                <w:szCs w:val="21"/>
                <w:highlight w:val="none"/>
              </w:rPr>
            </w:pPr>
          </w:p>
        </w:tc>
        <w:tc>
          <w:tcPr>
            <w:tcW w:w="2905" w:type="dxa"/>
            <w:vMerge w:val="continue"/>
            <w:noWrap w:val="0"/>
            <w:vAlign w:val="center"/>
          </w:tcPr>
          <w:p>
            <w:pPr>
              <w:spacing w:line="300" w:lineRule="exact"/>
              <w:rPr>
                <w:rFonts w:ascii="宋体" w:hAnsi="宋体" w:cs="Arial"/>
                <w:color w:val="auto"/>
                <w:sz w:val="21"/>
                <w:szCs w:val="21"/>
                <w:highlight w:val="none"/>
              </w:rPr>
            </w:pPr>
          </w:p>
        </w:tc>
        <w:tc>
          <w:tcPr>
            <w:tcW w:w="3527" w:type="dxa"/>
            <w:noWrap w:val="0"/>
            <w:vAlign w:val="center"/>
          </w:tcPr>
          <w:p>
            <w:pPr>
              <w:spacing w:line="300" w:lineRule="exact"/>
              <w:textAlignment w:val="center"/>
              <w:rPr>
                <w:rFonts w:ascii="宋体" w:hAnsi="宋体" w:cs="Arial"/>
                <w:color w:val="auto"/>
                <w:sz w:val="21"/>
                <w:szCs w:val="21"/>
                <w:highlight w:val="none"/>
              </w:rPr>
            </w:pPr>
            <w:r>
              <w:rPr>
                <w:rFonts w:ascii="宋体" w:hAnsi="宋体" w:cs="Arial"/>
                <w:color w:val="auto"/>
                <w:sz w:val="21"/>
                <w:szCs w:val="21"/>
                <w:highlight w:val="none"/>
                <w:lang w:bidi="ar"/>
              </w:rPr>
              <w:t>10. 有饲养/寄养动物或种植蔬菜</w:t>
            </w:r>
          </w:p>
        </w:tc>
        <w:tc>
          <w:tcPr>
            <w:tcW w:w="1470" w:type="dxa"/>
            <w:noWrap/>
            <w:vAlign w:val="center"/>
          </w:tcPr>
          <w:p>
            <w:pPr>
              <w:spacing w:line="300" w:lineRule="exact"/>
              <w:jc w:val="center"/>
              <w:textAlignment w:val="center"/>
              <w:rPr>
                <w:rFonts w:ascii="宋体" w:hAnsi="宋体" w:cs="Arial"/>
                <w:color w:val="auto"/>
                <w:sz w:val="21"/>
                <w:szCs w:val="21"/>
                <w:highlight w:val="none"/>
              </w:rPr>
            </w:pPr>
            <w:r>
              <w:rPr>
                <w:rFonts w:ascii="宋体" w:hAnsi="宋体" w:cs="Arial"/>
                <w:color w:val="auto"/>
                <w:sz w:val="21"/>
                <w:szCs w:val="21"/>
                <w:highlight w:val="none"/>
                <w:lang w:bidi="ar"/>
              </w:rPr>
              <w:t>5分/次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00" w:hRule="atLeast"/>
        </w:trPr>
        <w:tc>
          <w:tcPr>
            <w:tcW w:w="1096" w:type="dxa"/>
            <w:vMerge w:val="restart"/>
            <w:noWrap w:val="0"/>
            <w:vAlign w:val="center"/>
          </w:tcPr>
          <w:p>
            <w:pPr>
              <w:spacing w:line="300" w:lineRule="exact"/>
              <w:jc w:val="center"/>
              <w:textAlignment w:val="center"/>
              <w:rPr>
                <w:rFonts w:ascii="宋体" w:hAnsi="宋体" w:cs="Arial"/>
                <w:color w:val="auto"/>
                <w:sz w:val="21"/>
                <w:szCs w:val="21"/>
                <w:highlight w:val="none"/>
              </w:rPr>
            </w:pPr>
            <w:r>
              <w:rPr>
                <w:rFonts w:ascii="宋体" w:hAnsi="宋体" w:cs="Arial"/>
                <w:color w:val="auto"/>
                <w:sz w:val="21"/>
                <w:szCs w:val="21"/>
                <w:highlight w:val="none"/>
                <w:lang w:bidi="ar"/>
              </w:rPr>
              <w:t>设 施 设 备</w:t>
            </w:r>
          </w:p>
        </w:tc>
        <w:tc>
          <w:tcPr>
            <w:tcW w:w="2905" w:type="dxa"/>
            <w:vMerge w:val="restart"/>
            <w:noWrap w:val="0"/>
            <w:vAlign w:val="center"/>
          </w:tcPr>
          <w:p>
            <w:pPr>
              <w:spacing w:line="300" w:lineRule="exact"/>
              <w:textAlignment w:val="center"/>
              <w:rPr>
                <w:rFonts w:ascii="宋体" w:hAnsi="宋体" w:cs="Arial"/>
                <w:color w:val="auto"/>
                <w:sz w:val="21"/>
                <w:szCs w:val="21"/>
                <w:highlight w:val="none"/>
              </w:rPr>
            </w:pPr>
            <w:r>
              <w:rPr>
                <w:rFonts w:ascii="宋体" w:hAnsi="宋体" w:cs="Arial"/>
                <w:color w:val="auto"/>
                <w:sz w:val="21"/>
                <w:szCs w:val="21"/>
                <w:highlight w:val="none"/>
                <w:lang w:bidi="ar"/>
              </w:rPr>
              <w:t>公厕开放时间内用水、用电系统应 正常启用。做好用水、用电安全工作，严禁私拉、外接电线、水管。严禁在公厕内使用明火灶具或电炉等具有安全隐患的髙功率电器。</w:t>
            </w:r>
          </w:p>
        </w:tc>
        <w:tc>
          <w:tcPr>
            <w:tcW w:w="3527" w:type="dxa"/>
            <w:noWrap w:val="0"/>
            <w:vAlign w:val="center"/>
          </w:tcPr>
          <w:p>
            <w:pPr>
              <w:spacing w:line="300" w:lineRule="exact"/>
              <w:textAlignment w:val="center"/>
              <w:rPr>
                <w:rFonts w:ascii="宋体" w:hAnsi="宋体" w:cs="Arial"/>
                <w:color w:val="auto"/>
                <w:sz w:val="21"/>
                <w:szCs w:val="21"/>
                <w:highlight w:val="none"/>
              </w:rPr>
            </w:pPr>
            <w:r>
              <w:rPr>
                <w:rFonts w:ascii="宋体" w:hAnsi="宋体" w:cs="Arial"/>
                <w:color w:val="auto"/>
                <w:sz w:val="21"/>
                <w:szCs w:val="21"/>
                <w:highlight w:val="none"/>
                <w:lang w:bidi="ar"/>
              </w:rPr>
              <w:t>1. 公厕开放时间内用水或用电系统未正常启用</w:t>
            </w:r>
          </w:p>
        </w:tc>
        <w:tc>
          <w:tcPr>
            <w:tcW w:w="1470" w:type="dxa"/>
            <w:noWrap/>
            <w:vAlign w:val="center"/>
          </w:tcPr>
          <w:p>
            <w:pPr>
              <w:spacing w:line="300" w:lineRule="exact"/>
              <w:jc w:val="center"/>
              <w:textAlignment w:val="center"/>
              <w:rPr>
                <w:rFonts w:ascii="宋体" w:hAnsi="宋体" w:cs="Arial"/>
                <w:color w:val="auto"/>
                <w:sz w:val="21"/>
                <w:szCs w:val="21"/>
                <w:highlight w:val="none"/>
              </w:rPr>
            </w:pPr>
            <w:r>
              <w:rPr>
                <w:rFonts w:ascii="宋体" w:hAnsi="宋体" w:cs="Arial"/>
                <w:color w:val="auto"/>
                <w:sz w:val="21"/>
                <w:szCs w:val="21"/>
                <w:highlight w:val="none"/>
                <w:lang w:bidi="ar"/>
              </w:rPr>
              <w:t>2分/次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40" w:hRule="atLeast"/>
        </w:trPr>
        <w:tc>
          <w:tcPr>
            <w:tcW w:w="1096" w:type="dxa"/>
            <w:vMerge w:val="continue"/>
            <w:noWrap w:val="0"/>
            <w:vAlign w:val="center"/>
          </w:tcPr>
          <w:p>
            <w:pPr>
              <w:spacing w:line="300" w:lineRule="exact"/>
              <w:jc w:val="center"/>
              <w:rPr>
                <w:rFonts w:ascii="宋体" w:hAnsi="宋体" w:cs="Arial"/>
                <w:color w:val="auto"/>
                <w:sz w:val="21"/>
                <w:szCs w:val="21"/>
                <w:highlight w:val="none"/>
              </w:rPr>
            </w:pPr>
          </w:p>
        </w:tc>
        <w:tc>
          <w:tcPr>
            <w:tcW w:w="2905" w:type="dxa"/>
            <w:vMerge w:val="continue"/>
            <w:noWrap w:val="0"/>
            <w:vAlign w:val="center"/>
          </w:tcPr>
          <w:p>
            <w:pPr>
              <w:spacing w:line="300" w:lineRule="exact"/>
              <w:rPr>
                <w:rFonts w:ascii="宋体" w:hAnsi="宋体" w:cs="Arial"/>
                <w:color w:val="auto"/>
                <w:sz w:val="21"/>
                <w:szCs w:val="21"/>
                <w:highlight w:val="none"/>
              </w:rPr>
            </w:pPr>
          </w:p>
        </w:tc>
        <w:tc>
          <w:tcPr>
            <w:tcW w:w="3527" w:type="dxa"/>
            <w:noWrap w:val="0"/>
            <w:vAlign w:val="center"/>
          </w:tcPr>
          <w:p>
            <w:pPr>
              <w:spacing w:line="300" w:lineRule="exact"/>
              <w:textAlignment w:val="center"/>
              <w:rPr>
                <w:rFonts w:ascii="宋体" w:hAnsi="宋体" w:cs="Arial"/>
                <w:color w:val="auto"/>
                <w:sz w:val="21"/>
                <w:szCs w:val="21"/>
                <w:highlight w:val="none"/>
              </w:rPr>
            </w:pPr>
            <w:r>
              <w:rPr>
                <w:rFonts w:ascii="宋体" w:hAnsi="宋体" w:cs="Arial"/>
                <w:color w:val="auto"/>
                <w:sz w:val="21"/>
                <w:szCs w:val="21"/>
                <w:highlight w:val="none"/>
                <w:lang w:bidi="ar"/>
              </w:rPr>
              <w:t>2. 擅自私拉、外接电线或水管或使用明火灶具或电炉等高功率电器</w:t>
            </w:r>
          </w:p>
        </w:tc>
        <w:tc>
          <w:tcPr>
            <w:tcW w:w="1470" w:type="dxa"/>
            <w:noWrap/>
            <w:vAlign w:val="center"/>
          </w:tcPr>
          <w:p>
            <w:pPr>
              <w:spacing w:line="300" w:lineRule="exact"/>
              <w:jc w:val="center"/>
              <w:textAlignment w:val="center"/>
              <w:rPr>
                <w:rFonts w:ascii="宋体" w:hAnsi="宋体" w:cs="Arial"/>
                <w:color w:val="auto"/>
                <w:sz w:val="21"/>
                <w:szCs w:val="21"/>
                <w:highlight w:val="none"/>
              </w:rPr>
            </w:pPr>
            <w:r>
              <w:rPr>
                <w:rFonts w:ascii="宋体" w:hAnsi="宋体" w:cs="Arial"/>
                <w:color w:val="auto"/>
                <w:sz w:val="21"/>
                <w:szCs w:val="21"/>
                <w:highlight w:val="none"/>
                <w:lang w:bidi="ar"/>
              </w:rPr>
              <w:t>5分/次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460" w:hRule="atLeast"/>
        </w:trPr>
        <w:tc>
          <w:tcPr>
            <w:tcW w:w="1096" w:type="dxa"/>
            <w:vMerge w:val="continue"/>
            <w:noWrap w:val="0"/>
            <w:vAlign w:val="center"/>
          </w:tcPr>
          <w:p>
            <w:pPr>
              <w:spacing w:line="300" w:lineRule="exact"/>
              <w:jc w:val="center"/>
              <w:rPr>
                <w:rFonts w:ascii="宋体" w:hAnsi="宋体" w:cs="Arial"/>
                <w:color w:val="auto"/>
                <w:sz w:val="21"/>
                <w:szCs w:val="21"/>
                <w:highlight w:val="none"/>
              </w:rPr>
            </w:pPr>
          </w:p>
        </w:tc>
        <w:tc>
          <w:tcPr>
            <w:tcW w:w="2905" w:type="dxa"/>
            <w:noWrap w:val="0"/>
            <w:vAlign w:val="center"/>
          </w:tcPr>
          <w:p>
            <w:pPr>
              <w:spacing w:line="300" w:lineRule="exact"/>
              <w:textAlignment w:val="center"/>
              <w:rPr>
                <w:rFonts w:ascii="宋体" w:hAnsi="宋体" w:cs="Arial"/>
                <w:color w:val="auto"/>
                <w:sz w:val="21"/>
                <w:szCs w:val="21"/>
                <w:highlight w:val="none"/>
              </w:rPr>
            </w:pPr>
            <w:r>
              <w:rPr>
                <w:rFonts w:ascii="宋体" w:hAnsi="宋体" w:cs="Arial"/>
                <w:color w:val="auto"/>
                <w:sz w:val="21"/>
                <w:szCs w:val="21"/>
                <w:highlight w:val="none"/>
                <w:lang w:bidi="ar"/>
              </w:rPr>
              <w:t>做好公厕内设备和设施的使用、维护和管理，确保釆光、用水、照明、通风 良好，感官舒适。</w:t>
            </w:r>
          </w:p>
        </w:tc>
        <w:tc>
          <w:tcPr>
            <w:tcW w:w="3527" w:type="dxa"/>
            <w:noWrap w:val="0"/>
            <w:vAlign w:val="center"/>
          </w:tcPr>
          <w:p>
            <w:pPr>
              <w:spacing w:line="300" w:lineRule="exact"/>
              <w:textAlignment w:val="center"/>
              <w:rPr>
                <w:rFonts w:ascii="宋体" w:hAnsi="宋体" w:cs="Arial"/>
                <w:color w:val="auto"/>
                <w:sz w:val="21"/>
                <w:szCs w:val="21"/>
                <w:highlight w:val="none"/>
              </w:rPr>
            </w:pPr>
            <w:r>
              <w:rPr>
                <w:rFonts w:ascii="宋体" w:hAnsi="宋体" w:cs="Arial"/>
                <w:color w:val="auto"/>
                <w:sz w:val="21"/>
                <w:szCs w:val="21"/>
                <w:highlight w:val="none"/>
                <w:lang w:bidi="ar"/>
              </w:rPr>
              <w:t>3. 设施设备应完好，发现破损/渗漏/无法正常使用（包括 公厕内墙面、地面、天花板、预埋管 线等基建设施，照明、通风、洁具、 厕位门、门锁、镜子、挂衣钩、扶手、 应叫器、喷香机、烘手机、取液器、 防滑毯等辅助设施）</w:t>
            </w:r>
          </w:p>
        </w:tc>
        <w:tc>
          <w:tcPr>
            <w:tcW w:w="1470" w:type="dxa"/>
            <w:noWrap/>
            <w:vAlign w:val="center"/>
          </w:tcPr>
          <w:p>
            <w:pPr>
              <w:spacing w:line="300" w:lineRule="exact"/>
              <w:jc w:val="center"/>
              <w:textAlignment w:val="center"/>
              <w:rPr>
                <w:rFonts w:ascii="宋体" w:hAnsi="宋体" w:cs="Arial"/>
                <w:color w:val="auto"/>
                <w:sz w:val="21"/>
                <w:szCs w:val="21"/>
                <w:highlight w:val="none"/>
              </w:rPr>
            </w:pPr>
            <w:r>
              <w:rPr>
                <w:rFonts w:ascii="宋体" w:hAnsi="宋体" w:cs="Arial"/>
                <w:color w:val="auto"/>
                <w:sz w:val="21"/>
                <w:szCs w:val="21"/>
                <w:highlight w:val="none"/>
                <w:lang w:bidi="ar"/>
              </w:rPr>
              <w:t>1分/处</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00" w:hRule="atLeast"/>
        </w:trPr>
        <w:tc>
          <w:tcPr>
            <w:tcW w:w="1096" w:type="dxa"/>
            <w:vMerge w:val="continue"/>
            <w:noWrap w:val="0"/>
            <w:vAlign w:val="center"/>
          </w:tcPr>
          <w:p>
            <w:pPr>
              <w:spacing w:line="300" w:lineRule="exact"/>
              <w:jc w:val="center"/>
              <w:rPr>
                <w:rFonts w:ascii="宋体" w:hAnsi="宋体" w:cs="Arial"/>
                <w:color w:val="auto"/>
                <w:sz w:val="21"/>
                <w:szCs w:val="21"/>
                <w:highlight w:val="none"/>
              </w:rPr>
            </w:pPr>
          </w:p>
        </w:tc>
        <w:tc>
          <w:tcPr>
            <w:tcW w:w="2905" w:type="dxa"/>
            <w:noWrap w:val="0"/>
            <w:vAlign w:val="center"/>
          </w:tcPr>
          <w:p>
            <w:pPr>
              <w:spacing w:line="300" w:lineRule="exact"/>
              <w:textAlignment w:val="center"/>
              <w:rPr>
                <w:rFonts w:ascii="宋体" w:hAnsi="宋体" w:cs="Arial"/>
                <w:color w:val="auto"/>
                <w:sz w:val="21"/>
                <w:szCs w:val="21"/>
                <w:highlight w:val="none"/>
              </w:rPr>
            </w:pPr>
            <w:r>
              <w:rPr>
                <w:rFonts w:ascii="宋体" w:hAnsi="宋体" w:cs="Arial"/>
                <w:color w:val="auto"/>
                <w:sz w:val="21"/>
                <w:szCs w:val="21"/>
                <w:highlight w:val="none"/>
                <w:lang w:bidi="ar"/>
              </w:rPr>
              <w:t>无障碍通道畅通，扶手完好、牢固， 应叫器正常使用，无障碍间按时间正常开放使用。</w:t>
            </w:r>
          </w:p>
        </w:tc>
        <w:tc>
          <w:tcPr>
            <w:tcW w:w="3527" w:type="dxa"/>
            <w:noWrap w:val="0"/>
            <w:vAlign w:val="center"/>
          </w:tcPr>
          <w:p>
            <w:pPr>
              <w:spacing w:line="300" w:lineRule="exact"/>
              <w:textAlignment w:val="center"/>
              <w:rPr>
                <w:rFonts w:ascii="宋体" w:hAnsi="宋体" w:cs="Arial"/>
                <w:color w:val="auto"/>
                <w:sz w:val="21"/>
                <w:szCs w:val="21"/>
                <w:highlight w:val="none"/>
              </w:rPr>
            </w:pPr>
            <w:r>
              <w:rPr>
                <w:rFonts w:ascii="宋体" w:hAnsi="宋体" w:cs="Arial"/>
                <w:color w:val="auto"/>
                <w:sz w:val="21"/>
                <w:szCs w:val="21"/>
                <w:highlight w:val="none"/>
                <w:lang w:bidi="ar"/>
              </w:rPr>
              <w:t>4. 无障碍通道不畅通或未正常开放使用</w:t>
            </w:r>
          </w:p>
        </w:tc>
        <w:tc>
          <w:tcPr>
            <w:tcW w:w="1470" w:type="dxa"/>
            <w:noWrap/>
            <w:vAlign w:val="center"/>
          </w:tcPr>
          <w:p>
            <w:pPr>
              <w:spacing w:line="300" w:lineRule="exact"/>
              <w:jc w:val="center"/>
              <w:textAlignment w:val="center"/>
              <w:rPr>
                <w:rFonts w:ascii="宋体" w:hAnsi="宋体" w:cs="Arial"/>
                <w:color w:val="auto"/>
                <w:sz w:val="21"/>
                <w:szCs w:val="21"/>
                <w:highlight w:val="none"/>
              </w:rPr>
            </w:pPr>
            <w:r>
              <w:rPr>
                <w:rFonts w:ascii="宋体" w:hAnsi="宋体" w:cs="Arial"/>
                <w:color w:val="auto"/>
                <w:sz w:val="21"/>
                <w:szCs w:val="21"/>
                <w:highlight w:val="none"/>
                <w:lang w:bidi="ar"/>
              </w:rPr>
              <w:t>1分/次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00" w:hRule="atLeast"/>
        </w:trPr>
        <w:tc>
          <w:tcPr>
            <w:tcW w:w="1096" w:type="dxa"/>
            <w:vMerge w:val="continue"/>
            <w:noWrap w:val="0"/>
            <w:vAlign w:val="center"/>
          </w:tcPr>
          <w:p>
            <w:pPr>
              <w:spacing w:line="300" w:lineRule="exact"/>
              <w:jc w:val="center"/>
              <w:rPr>
                <w:rFonts w:ascii="宋体" w:hAnsi="宋体" w:cs="Arial"/>
                <w:color w:val="auto"/>
                <w:sz w:val="21"/>
                <w:szCs w:val="21"/>
                <w:highlight w:val="none"/>
              </w:rPr>
            </w:pPr>
          </w:p>
        </w:tc>
        <w:tc>
          <w:tcPr>
            <w:tcW w:w="2905" w:type="dxa"/>
            <w:vMerge w:val="restart"/>
            <w:noWrap w:val="0"/>
            <w:vAlign w:val="center"/>
          </w:tcPr>
          <w:p>
            <w:pPr>
              <w:spacing w:line="300" w:lineRule="exact"/>
              <w:textAlignment w:val="center"/>
              <w:rPr>
                <w:rFonts w:ascii="宋体" w:hAnsi="宋体" w:cs="Arial"/>
                <w:color w:val="auto"/>
                <w:sz w:val="21"/>
                <w:szCs w:val="21"/>
                <w:highlight w:val="none"/>
              </w:rPr>
            </w:pPr>
            <w:r>
              <w:rPr>
                <w:rFonts w:ascii="宋体" w:hAnsi="宋体" w:cs="Arial"/>
                <w:color w:val="auto"/>
                <w:sz w:val="21"/>
                <w:szCs w:val="21"/>
                <w:highlight w:val="none"/>
                <w:lang w:bidi="ar"/>
              </w:rPr>
              <w:t>化粪池通风口不堵塞，通风口处无杂物堆放；排污设施性能良好，无破损、无渗漏、无外溢。</w:t>
            </w:r>
          </w:p>
        </w:tc>
        <w:tc>
          <w:tcPr>
            <w:tcW w:w="3527" w:type="dxa"/>
            <w:noWrap w:val="0"/>
            <w:vAlign w:val="center"/>
          </w:tcPr>
          <w:p>
            <w:pPr>
              <w:spacing w:line="300" w:lineRule="exact"/>
              <w:textAlignment w:val="center"/>
              <w:rPr>
                <w:rFonts w:ascii="宋体" w:hAnsi="宋体" w:cs="Arial"/>
                <w:color w:val="auto"/>
                <w:sz w:val="21"/>
                <w:szCs w:val="21"/>
                <w:highlight w:val="none"/>
              </w:rPr>
            </w:pPr>
            <w:r>
              <w:rPr>
                <w:rFonts w:ascii="宋体" w:hAnsi="宋体" w:cs="Arial"/>
                <w:color w:val="auto"/>
                <w:sz w:val="21"/>
                <w:szCs w:val="21"/>
                <w:highlight w:val="none"/>
                <w:lang w:bidi="ar"/>
              </w:rPr>
              <w:t>5. 化粪池通风口堵塞</w:t>
            </w:r>
          </w:p>
        </w:tc>
        <w:tc>
          <w:tcPr>
            <w:tcW w:w="1470" w:type="dxa"/>
            <w:noWrap/>
            <w:vAlign w:val="center"/>
          </w:tcPr>
          <w:p>
            <w:pPr>
              <w:spacing w:line="300" w:lineRule="exact"/>
              <w:jc w:val="center"/>
              <w:textAlignment w:val="center"/>
              <w:rPr>
                <w:rFonts w:ascii="宋体" w:hAnsi="宋体" w:cs="Arial"/>
                <w:color w:val="auto"/>
                <w:sz w:val="21"/>
                <w:szCs w:val="21"/>
                <w:highlight w:val="none"/>
              </w:rPr>
            </w:pPr>
            <w:r>
              <w:rPr>
                <w:rFonts w:ascii="宋体" w:hAnsi="宋体" w:cs="Arial"/>
                <w:color w:val="auto"/>
                <w:sz w:val="21"/>
                <w:szCs w:val="21"/>
                <w:highlight w:val="none"/>
                <w:lang w:bidi="ar"/>
              </w:rPr>
              <w:t>5分/处</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00" w:hRule="atLeast"/>
        </w:trPr>
        <w:tc>
          <w:tcPr>
            <w:tcW w:w="1096" w:type="dxa"/>
            <w:vMerge w:val="continue"/>
            <w:noWrap w:val="0"/>
            <w:vAlign w:val="center"/>
          </w:tcPr>
          <w:p>
            <w:pPr>
              <w:spacing w:line="300" w:lineRule="exact"/>
              <w:jc w:val="center"/>
              <w:rPr>
                <w:rFonts w:ascii="宋体" w:hAnsi="宋体" w:cs="Arial"/>
                <w:color w:val="auto"/>
                <w:sz w:val="21"/>
                <w:szCs w:val="21"/>
                <w:highlight w:val="none"/>
              </w:rPr>
            </w:pPr>
          </w:p>
        </w:tc>
        <w:tc>
          <w:tcPr>
            <w:tcW w:w="2905" w:type="dxa"/>
            <w:vMerge w:val="continue"/>
            <w:noWrap w:val="0"/>
            <w:vAlign w:val="center"/>
          </w:tcPr>
          <w:p>
            <w:pPr>
              <w:spacing w:line="300" w:lineRule="exact"/>
              <w:rPr>
                <w:rFonts w:ascii="宋体" w:hAnsi="宋体" w:cs="Arial"/>
                <w:color w:val="auto"/>
                <w:sz w:val="21"/>
                <w:szCs w:val="21"/>
                <w:highlight w:val="none"/>
              </w:rPr>
            </w:pPr>
          </w:p>
        </w:tc>
        <w:tc>
          <w:tcPr>
            <w:tcW w:w="3527" w:type="dxa"/>
            <w:noWrap w:val="0"/>
            <w:vAlign w:val="center"/>
          </w:tcPr>
          <w:p>
            <w:pPr>
              <w:spacing w:line="300" w:lineRule="exact"/>
              <w:textAlignment w:val="center"/>
              <w:rPr>
                <w:rFonts w:ascii="宋体" w:hAnsi="宋体" w:cs="Arial"/>
                <w:color w:val="auto"/>
                <w:sz w:val="21"/>
                <w:szCs w:val="21"/>
                <w:highlight w:val="none"/>
              </w:rPr>
            </w:pPr>
            <w:r>
              <w:rPr>
                <w:rFonts w:ascii="宋体" w:hAnsi="宋体" w:cs="Arial"/>
                <w:color w:val="auto"/>
                <w:sz w:val="21"/>
                <w:szCs w:val="21"/>
                <w:highlight w:val="none"/>
                <w:lang w:bidi="ar"/>
              </w:rPr>
              <w:t>6. 排污管道等排污设施缺失/破损</w:t>
            </w:r>
          </w:p>
        </w:tc>
        <w:tc>
          <w:tcPr>
            <w:tcW w:w="1470" w:type="dxa"/>
            <w:noWrap/>
            <w:vAlign w:val="center"/>
          </w:tcPr>
          <w:p>
            <w:pPr>
              <w:spacing w:line="300" w:lineRule="exact"/>
              <w:jc w:val="center"/>
              <w:textAlignment w:val="center"/>
              <w:rPr>
                <w:rFonts w:ascii="宋体" w:hAnsi="宋体" w:cs="Arial"/>
                <w:color w:val="auto"/>
                <w:sz w:val="21"/>
                <w:szCs w:val="21"/>
                <w:highlight w:val="none"/>
              </w:rPr>
            </w:pPr>
            <w:r>
              <w:rPr>
                <w:rFonts w:ascii="宋体" w:hAnsi="宋体" w:cs="Arial"/>
                <w:color w:val="auto"/>
                <w:sz w:val="21"/>
                <w:szCs w:val="21"/>
                <w:highlight w:val="none"/>
                <w:lang w:bidi="ar"/>
              </w:rPr>
              <w:t>1分/处</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00" w:hRule="atLeast"/>
        </w:trPr>
        <w:tc>
          <w:tcPr>
            <w:tcW w:w="1096" w:type="dxa"/>
            <w:vMerge w:val="continue"/>
            <w:noWrap w:val="0"/>
            <w:vAlign w:val="center"/>
          </w:tcPr>
          <w:p>
            <w:pPr>
              <w:spacing w:line="300" w:lineRule="exact"/>
              <w:jc w:val="center"/>
              <w:rPr>
                <w:rFonts w:ascii="宋体" w:hAnsi="宋体" w:cs="Arial"/>
                <w:color w:val="auto"/>
                <w:sz w:val="21"/>
                <w:szCs w:val="21"/>
                <w:highlight w:val="none"/>
              </w:rPr>
            </w:pPr>
          </w:p>
        </w:tc>
        <w:tc>
          <w:tcPr>
            <w:tcW w:w="2905" w:type="dxa"/>
            <w:vMerge w:val="continue"/>
            <w:noWrap w:val="0"/>
            <w:vAlign w:val="center"/>
          </w:tcPr>
          <w:p>
            <w:pPr>
              <w:spacing w:line="300" w:lineRule="exact"/>
              <w:rPr>
                <w:rFonts w:ascii="宋体" w:hAnsi="宋体" w:cs="Arial"/>
                <w:color w:val="auto"/>
                <w:sz w:val="21"/>
                <w:szCs w:val="21"/>
                <w:highlight w:val="none"/>
              </w:rPr>
            </w:pPr>
          </w:p>
        </w:tc>
        <w:tc>
          <w:tcPr>
            <w:tcW w:w="3527" w:type="dxa"/>
            <w:noWrap w:val="0"/>
            <w:vAlign w:val="center"/>
          </w:tcPr>
          <w:p>
            <w:pPr>
              <w:spacing w:line="300" w:lineRule="exact"/>
              <w:textAlignment w:val="center"/>
              <w:rPr>
                <w:rFonts w:ascii="宋体" w:hAnsi="宋体" w:cs="Arial"/>
                <w:color w:val="auto"/>
                <w:sz w:val="21"/>
                <w:szCs w:val="21"/>
                <w:highlight w:val="none"/>
              </w:rPr>
            </w:pPr>
            <w:r>
              <w:rPr>
                <w:rFonts w:ascii="宋体" w:hAnsi="宋体" w:cs="Arial"/>
                <w:color w:val="auto"/>
                <w:sz w:val="21"/>
                <w:szCs w:val="21"/>
                <w:highlight w:val="none"/>
                <w:lang w:bidi="ar"/>
              </w:rPr>
              <w:t>7. 出现渗漏、满溢等不良后果</w:t>
            </w:r>
          </w:p>
        </w:tc>
        <w:tc>
          <w:tcPr>
            <w:tcW w:w="1470" w:type="dxa"/>
            <w:noWrap/>
            <w:vAlign w:val="center"/>
          </w:tcPr>
          <w:p>
            <w:pPr>
              <w:spacing w:line="300" w:lineRule="exact"/>
              <w:jc w:val="center"/>
              <w:textAlignment w:val="center"/>
              <w:rPr>
                <w:rFonts w:ascii="宋体" w:hAnsi="宋体" w:cs="Arial"/>
                <w:color w:val="auto"/>
                <w:sz w:val="21"/>
                <w:szCs w:val="21"/>
                <w:highlight w:val="none"/>
              </w:rPr>
            </w:pPr>
            <w:r>
              <w:rPr>
                <w:rFonts w:ascii="宋体" w:hAnsi="宋体" w:cs="Arial"/>
                <w:color w:val="auto"/>
                <w:sz w:val="21"/>
                <w:szCs w:val="21"/>
                <w:highlight w:val="none"/>
                <w:lang w:bidi="ar"/>
              </w:rPr>
              <w:t>3分/处</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00" w:hRule="atLeast"/>
        </w:trPr>
        <w:tc>
          <w:tcPr>
            <w:tcW w:w="1096" w:type="dxa"/>
            <w:vMerge w:val="restart"/>
            <w:noWrap/>
            <w:vAlign w:val="center"/>
          </w:tcPr>
          <w:p>
            <w:pPr>
              <w:spacing w:line="300" w:lineRule="exact"/>
              <w:jc w:val="center"/>
              <w:textAlignment w:val="center"/>
              <w:rPr>
                <w:rFonts w:ascii="宋体" w:hAnsi="宋体" w:cs="Arial"/>
                <w:color w:val="auto"/>
                <w:sz w:val="21"/>
                <w:szCs w:val="21"/>
                <w:highlight w:val="none"/>
              </w:rPr>
            </w:pPr>
            <w:r>
              <w:rPr>
                <w:rFonts w:ascii="宋体" w:hAnsi="宋体" w:cs="Arial"/>
                <w:color w:val="auto"/>
                <w:sz w:val="21"/>
                <w:szCs w:val="21"/>
                <w:highlight w:val="none"/>
                <w:lang w:bidi="ar"/>
              </w:rPr>
              <w:t>监督管理</w:t>
            </w:r>
          </w:p>
        </w:tc>
        <w:tc>
          <w:tcPr>
            <w:tcW w:w="2905" w:type="dxa"/>
            <w:vMerge w:val="restart"/>
            <w:noWrap w:val="0"/>
            <w:vAlign w:val="center"/>
          </w:tcPr>
          <w:p>
            <w:pPr>
              <w:spacing w:line="300" w:lineRule="exact"/>
              <w:textAlignment w:val="center"/>
              <w:rPr>
                <w:rFonts w:hint="eastAsia" w:ascii="宋体" w:hAnsi="宋体" w:cs="Arial"/>
                <w:color w:val="auto"/>
                <w:sz w:val="21"/>
                <w:szCs w:val="21"/>
                <w:highlight w:val="none"/>
                <w:lang w:bidi="ar"/>
              </w:rPr>
            </w:pPr>
            <w:r>
              <w:rPr>
                <w:rFonts w:ascii="宋体" w:hAnsi="宋体" w:cs="Arial"/>
                <w:color w:val="auto"/>
                <w:sz w:val="21"/>
                <w:szCs w:val="21"/>
                <w:highlight w:val="none"/>
                <w:lang w:bidi="ar"/>
              </w:rPr>
              <w:t>1、及时处理各类交办件。</w:t>
            </w:r>
          </w:p>
          <w:p>
            <w:pPr>
              <w:spacing w:line="300" w:lineRule="exact"/>
              <w:textAlignment w:val="center"/>
              <w:rPr>
                <w:rFonts w:ascii="宋体" w:hAnsi="宋体" w:cs="Arial"/>
                <w:color w:val="auto"/>
                <w:sz w:val="21"/>
                <w:szCs w:val="21"/>
                <w:highlight w:val="none"/>
              </w:rPr>
            </w:pPr>
            <w:r>
              <w:rPr>
                <w:rFonts w:ascii="宋体" w:hAnsi="宋体" w:cs="Arial"/>
                <w:color w:val="auto"/>
                <w:sz w:val="21"/>
                <w:szCs w:val="21"/>
                <w:highlight w:val="none"/>
                <w:lang w:bidi="ar"/>
              </w:rPr>
              <w:t>2、无市民投诉、媒体反映或曝光的环境卫生等问题发生。</w:t>
            </w:r>
          </w:p>
        </w:tc>
        <w:tc>
          <w:tcPr>
            <w:tcW w:w="3527" w:type="dxa"/>
            <w:noWrap w:val="0"/>
            <w:vAlign w:val="center"/>
          </w:tcPr>
          <w:p>
            <w:pPr>
              <w:spacing w:line="300" w:lineRule="exact"/>
              <w:textAlignment w:val="center"/>
              <w:rPr>
                <w:rFonts w:ascii="宋体" w:hAnsi="宋体" w:cs="Arial"/>
                <w:color w:val="auto"/>
                <w:sz w:val="21"/>
                <w:szCs w:val="21"/>
                <w:highlight w:val="none"/>
              </w:rPr>
            </w:pPr>
            <w:r>
              <w:rPr>
                <w:rFonts w:ascii="宋体" w:hAnsi="宋体" w:cs="Arial"/>
                <w:color w:val="auto"/>
                <w:sz w:val="21"/>
                <w:szCs w:val="21"/>
                <w:highlight w:val="none"/>
              </w:rPr>
              <w:t>1、指挥中心、智慧城管、12345热线等交办问题未处置（办理）的，每次扣2分；未按期处置（办理）或处置（办理）不到位的，每次扣1分。</w:t>
            </w:r>
          </w:p>
        </w:tc>
        <w:tc>
          <w:tcPr>
            <w:tcW w:w="1470" w:type="dxa"/>
            <w:noWrap w:val="0"/>
            <w:vAlign w:val="center"/>
          </w:tcPr>
          <w:p>
            <w:pPr>
              <w:spacing w:line="300" w:lineRule="exact"/>
              <w:jc w:val="center"/>
              <w:textAlignment w:val="center"/>
              <w:rPr>
                <w:rFonts w:ascii="宋体" w:hAnsi="宋体" w:cs="Arial"/>
                <w:color w:val="auto"/>
                <w:sz w:val="21"/>
                <w:szCs w:val="21"/>
                <w:highlight w:val="none"/>
              </w:rPr>
            </w:pPr>
            <w:r>
              <w:rPr>
                <w:rFonts w:ascii="宋体" w:hAnsi="宋体" w:cs="Arial"/>
                <w:color w:val="auto"/>
                <w:sz w:val="21"/>
                <w:szCs w:val="21"/>
                <w:highlight w:val="none"/>
                <w:lang w:bidi="ar"/>
              </w:rPr>
              <w:t>1-2分/次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00" w:hRule="atLeast"/>
        </w:trPr>
        <w:tc>
          <w:tcPr>
            <w:tcW w:w="1096" w:type="dxa"/>
            <w:vMerge w:val="continue"/>
            <w:noWrap/>
            <w:vAlign w:val="center"/>
          </w:tcPr>
          <w:p>
            <w:pPr>
              <w:spacing w:line="300" w:lineRule="exact"/>
              <w:jc w:val="center"/>
              <w:rPr>
                <w:rFonts w:ascii="宋体" w:hAnsi="宋体" w:cs="Arial"/>
                <w:color w:val="auto"/>
                <w:sz w:val="21"/>
                <w:szCs w:val="21"/>
                <w:highlight w:val="none"/>
              </w:rPr>
            </w:pPr>
          </w:p>
        </w:tc>
        <w:tc>
          <w:tcPr>
            <w:tcW w:w="2905" w:type="dxa"/>
            <w:vMerge w:val="continue"/>
            <w:noWrap w:val="0"/>
            <w:vAlign w:val="center"/>
          </w:tcPr>
          <w:p>
            <w:pPr>
              <w:spacing w:line="300" w:lineRule="exact"/>
              <w:rPr>
                <w:rFonts w:ascii="宋体" w:hAnsi="宋体" w:cs="Arial"/>
                <w:color w:val="auto"/>
                <w:sz w:val="21"/>
                <w:szCs w:val="21"/>
                <w:highlight w:val="none"/>
              </w:rPr>
            </w:pPr>
          </w:p>
        </w:tc>
        <w:tc>
          <w:tcPr>
            <w:tcW w:w="3527" w:type="dxa"/>
            <w:noWrap w:val="0"/>
            <w:vAlign w:val="center"/>
          </w:tcPr>
          <w:p>
            <w:pPr>
              <w:spacing w:line="300" w:lineRule="exact"/>
              <w:textAlignment w:val="center"/>
              <w:rPr>
                <w:rFonts w:ascii="宋体" w:hAnsi="宋体" w:cs="Arial"/>
                <w:color w:val="auto"/>
                <w:sz w:val="21"/>
                <w:szCs w:val="21"/>
                <w:highlight w:val="none"/>
              </w:rPr>
            </w:pPr>
            <w:r>
              <w:rPr>
                <w:rFonts w:ascii="宋体" w:hAnsi="宋体" w:cs="Arial"/>
                <w:color w:val="auto"/>
                <w:sz w:val="21"/>
                <w:szCs w:val="21"/>
                <w:highlight w:val="none"/>
                <w:lang w:bidi="ar"/>
              </w:rPr>
              <w:t>2、社会反映的热点、焦点问题和市政府阶段重点工作保障任务、领导重要批示要求、市局巡查督办等重点督办件办理、回复不及时、不到位的，每件扣5分。</w:t>
            </w:r>
          </w:p>
        </w:tc>
        <w:tc>
          <w:tcPr>
            <w:tcW w:w="1470" w:type="dxa"/>
            <w:noWrap w:val="0"/>
            <w:vAlign w:val="center"/>
          </w:tcPr>
          <w:p>
            <w:pPr>
              <w:spacing w:line="300" w:lineRule="exact"/>
              <w:jc w:val="center"/>
              <w:textAlignment w:val="center"/>
              <w:rPr>
                <w:rFonts w:ascii="宋体" w:hAnsi="宋体" w:cs="Arial"/>
                <w:color w:val="auto"/>
                <w:sz w:val="21"/>
                <w:szCs w:val="21"/>
                <w:highlight w:val="none"/>
              </w:rPr>
            </w:pPr>
            <w:r>
              <w:rPr>
                <w:rFonts w:ascii="宋体" w:hAnsi="宋体" w:cs="Arial"/>
                <w:color w:val="auto"/>
                <w:sz w:val="21"/>
                <w:szCs w:val="21"/>
                <w:highlight w:val="none"/>
                <w:lang w:bidi="ar"/>
              </w:rPr>
              <w:t>5分/次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920" w:hRule="atLeast"/>
        </w:trPr>
        <w:tc>
          <w:tcPr>
            <w:tcW w:w="1096" w:type="dxa"/>
            <w:vMerge w:val="continue"/>
            <w:noWrap/>
            <w:vAlign w:val="center"/>
          </w:tcPr>
          <w:p>
            <w:pPr>
              <w:spacing w:line="300" w:lineRule="exact"/>
              <w:jc w:val="center"/>
              <w:rPr>
                <w:rFonts w:ascii="宋体" w:hAnsi="宋体" w:cs="Arial"/>
                <w:color w:val="auto"/>
                <w:sz w:val="21"/>
                <w:szCs w:val="21"/>
                <w:highlight w:val="none"/>
              </w:rPr>
            </w:pPr>
          </w:p>
        </w:tc>
        <w:tc>
          <w:tcPr>
            <w:tcW w:w="2905" w:type="dxa"/>
            <w:vMerge w:val="continue"/>
            <w:noWrap w:val="0"/>
            <w:vAlign w:val="center"/>
          </w:tcPr>
          <w:p>
            <w:pPr>
              <w:spacing w:line="300" w:lineRule="exact"/>
              <w:rPr>
                <w:rFonts w:ascii="宋体" w:hAnsi="宋体" w:cs="Arial"/>
                <w:color w:val="auto"/>
                <w:sz w:val="21"/>
                <w:szCs w:val="21"/>
                <w:highlight w:val="none"/>
              </w:rPr>
            </w:pPr>
          </w:p>
        </w:tc>
        <w:tc>
          <w:tcPr>
            <w:tcW w:w="3527" w:type="dxa"/>
            <w:noWrap w:val="0"/>
            <w:vAlign w:val="center"/>
          </w:tcPr>
          <w:p>
            <w:pPr>
              <w:spacing w:line="300" w:lineRule="exact"/>
              <w:textAlignment w:val="center"/>
              <w:rPr>
                <w:rFonts w:ascii="宋体" w:hAnsi="宋体" w:cs="Arial"/>
                <w:color w:val="auto"/>
                <w:sz w:val="21"/>
                <w:szCs w:val="21"/>
                <w:highlight w:val="none"/>
              </w:rPr>
            </w:pPr>
            <w:r>
              <w:rPr>
                <w:rFonts w:ascii="宋体" w:hAnsi="宋体" w:cs="Arial"/>
                <w:color w:val="auto"/>
                <w:sz w:val="21"/>
                <w:szCs w:val="21"/>
                <w:highlight w:val="none"/>
                <w:lang w:bidi="ar"/>
              </w:rPr>
              <w:t>3、对因管理不当被媒体曝光并造成社会恶劣影响的，每次扣10分。</w:t>
            </w:r>
          </w:p>
        </w:tc>
        <w:tc>
          <w:tcPr>
            <w:tcW w:w="1470" w:type="dxa"/>
            <w:noWrap w:val="0"/>
            <w:vAlign w:val="center"/>
          </w:tcPr>
          <w:p>
            <w:pPr>
              <w:spacing w:line="300" w:lineRule="exact"/>
              <w:jc w:val="center"/>
              <w:textAlignment w:val="center"/>
              <w:rPr>
                <w:rFonts w:ascii="宋体" w:hAnsi="宋体" w:cs="Arial"/>
                <w:color w:val="auto"/>
                <w:sz w:val="21"/>
                <w:szCs w:val="21"/>
                <w:highlight w:val="none"/>
              </w:rPr>
            </w:pPr>
            <w:r>
              <w:rPr>
                <w:rFonts w:ascii="宋体" w:hAnsi="宋体" w:cs="Arial"/>
                <w:color w:val="auto"/>
                <w:sz w:val="21"/>
                <w:szCs w:val="21"/>
                <w:highlight w:val="none"/>
                <w:lang w:bidi="ar"/>
              </w:rPr>
              <w:t>10分/次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00" w:hRule="atLeast"/>
        </w:trPr>
        <w:tc>
          <w:tcPr>
            <w:tcW w:w="1096" w:type="dxa"/>
            <w:vMerge w:val="continue"/>
            <w:noWrap/>
            <w:vAlign w:val="center"/>
          </w:tcPr>
          <w:p>
            <w:pPr>
              <w:spacing w:line="300" w:lineRule="exact"/>
              <w:jc w:val="center"/>
              <w:rPr>
                <w:rFonts w:ascii="宋体" w:hAnsi="宋体" w:cs="Arial"/>
                <w:color w:val="auto"/>
                <w:sz w:val="21"/>
                <w:szCs w:val="21"/>
                <w:highlight w:val="none"/>
              </w:rPr>
            </w:pPr>
          </w:p>
        </w:tc>
        <w:tc>
          <w:tcPr>
            <w:tcW w:w="2905" w:type="dxa"/>
            <w:vMerge w:val="continue"/>
            <w:noWrap w:val="0"/>
            <w:vAlign w:val="center"/>
          </w:tcPr>
          <w:p>
            <w:pPr>
              <w:spacing w:line="300" w:lineRule="exact"/>
              <w:rPr>
                <w:rFonts w:ascii="宋体" w:hAnsi="宋体" w:cs="Arial"/>
                <w:color w:val="auto"/>
                <w:sz w:val="21"/>
                <w:szCs w:val="21"/>
                <w:highlight w:val="none"/>
              </w:rPr>
            </w:pPr>
          </w:p>
        </w:tc>
        <w:tc>
          <w:tcPr>
            <w:tcW w:w="3527" w:type="dxa"/>
            <w:noWrap w:val="0"/>
            <w:vAlign w:val="center"/>
          </w:tcPr>
          <w:p>
            <w:pPr>
              <w:spacing w:line="300" w:lineRule="exact"/>
              <w:textAlignment w:val="center"/>
              <w:rPr>
                <w:rFonts w:ascii="宋体" w:hAnsi="宋体" w:cs="Arial"/>
                <w:color w:val="auto"/>
                <w:sz w:val="21"/>
                <w:szCs w:val="21"/>
                <w:highlight w:val="none"/>
              </w:rPr>
            </w:pPr>
            <w:r>
              <w:rPr>
                <w:rFonts w:ascii="宋体" w:hAnsi="宋体" w:cs="Arial"/>
                <w:color w:val="auto"/>
                <w:sz w:val="21"/>
                <w:szCs w:val="21"/>
                <w:highlight w:val="none"/>
                <w:lang w:bidi="ar"/>
              </w:rPr>
              <w:t>4、如有市民投诉、媒体曝光的重大环境卫生负面影响事件,经核实是由承包单位或作业人员责任引起的，扣10分 ；由于日常保洁作业、管理不到位造成市民投诉、媒体反映的环境卫生问题（如未做到文明服务，阻扰、谩骂、 影响检查监督人员正常工作等），经核实的，每次扣5分。</w:t>
            </w:r>
          </w:p>
        </w:tc>
        <w:tc>
          <w:tcPr>
            <w:tcW w:w="1470" w:type="dxa"/>
            <w:noWrap w:val="0"/>
            <w:vAlign w:val="center"/>
          </w:tcPr>
          <w:p>
            <w:pPr>
              <w:spacing w:line="300" w:lineRule="exact"/>
              <w:jc w:val="center"/>
              <w:textAlignment w:val="center"/>
              <w:rPr>
                <w:rFonts w:ascii="宋体" w:hAnsi="宋体" w:cs="Arial"/>
                <w:color w:val="auto"/>
                <w:sz w:val="21"/>
                <w:szCs w:val="21"/>
                <w:highlight w:val="none"/>
              </w:rPr>
            </w:pPr>
            <w:r>
              <w:rPr>
                <w:rFonts w:ascii="宋体" w:hAnsi="宋体" w:cs="Arial"/>
                <w:color w:val="auto"/>
                <w:sz w:val="21"/>
                <w:szCs w:val="21"/>
                <w:highlight w:val="none"/>
                <w:lang w:bidi="ar"/>
              </w:rPr>
              <w:t>5-10分/次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840" w:hRule="atLeast"/>
        </w:trPr>
        <w:tc>
          <w:tcPr>
            <w:tcW w:w="1096" w:type="dxa"/>
            <w:vMerge w:val="continue"/>
            <w:noWrap/>
            <w:vAlign w:val="center"/>
          </w:tcPr>
          <w:p>
            <w:pPr>
              <w:spacing w:line="300" w:lineRule="exact"/>
              <w:jc w:val="center"/>
              <w:rPr>
                <w:rFonts w:ascii="宋体" w:hAnsi="宋体" w:cs="Arial"/>
                <w:color w:val="auto"/>
                <w:sz w:val="21"/>
                <w:szCs w:val="21"/>
                <w:highlight w:val="none"/>
              </w:rPr>
            </w:pPr>
          </w:p>
        </w:tc>
        <w:tc>
          <w:tcPr>
            <w:tcW w:w="2905" w:type="dxa"/>
            <w:vMerge w:val="continue"/>
            <w:noWrap w:val="0"/>
            <w:vAlign w:val="center"/>
          </w:tcPr>
          <w:p>
            <w:pPr>
              <w:spacing w:line="300" w:lineRule="exact"/>
              <w:rPr>
                <w:rFonts w:ascii="宋体" w:hAnsi="宋体" w:cs="Arial"/>
                <w:color w:val="auto"/>
                <w:sz w:val="21"/>
                <w:szCs w:val="21"/>
                <w:highlight w:val="none"/>
              </w:rPr>
            </w:pPr>
          </w:p>
        </w:tc>
        <w:tc>
          <w:tcPr>
            <w:tcW w:w="3527" w:type="dxa"/>
            <w:noWrap w:val="0"/>
            <w:vAlign w:val="center"/>
          </w:tcPr>
          <w:p>
            <w:pPr>
              <w:spacing w:line="300" w:lineRule="exact"/>
              <w:textAlignment w:val="center"/>
              <w:rPr>
                <w:rFonts w:ascii="宋体" w:hAnsi="宋体" w:cs="Arial"/>
                <w:color w:val="auto"/>
                <w:sz w:val="21"/>
                <w:szCs w:val="21"/>
                <w:highlight w:val="none"/>
              </w:rPr>
            </w:pPr>
            <w:r>
              <w:rPr>
                <w:rFonts w:ascii="宋体" w:hAnsi="宋体" w:cs="Arial"/>
                <w:color w:val="auto"/>
                <w:sz w:val="21"/>
                <w:szCs w:val="21"/>
                <w:highlight w:val="none"/>
                <w:lang w:bidi="ar"/>
              </w:rPr>
              <w:t>5. 重大活动或抗台、暴雨等突发事件，不服从甲方的统一指挥和调动参加抢险救灾工作，人员未及时到位或未根据应急命令决定早到和离岗</w:t>
            </w:r>
          </w:p>
        </w:tc>
        <w:tc>
          <w:tcPr>
            <w:tcW w:w="1470" w:type="dxa"/>
            <w:noWrap w:val="0"/>
            <w:vAlign w:val="center"/>
          </w:tcPr>
          <w:p>
            <w:pPr>
              <w:spacing w:line="300" w:lineRule="exact"/>
              <w:jc w:val="center"/>
              <w:textAlignment w:val="center"/>
              <w:rPr>
                <w:rFonts w:ascii="宋体" w:hAnsi="宋体" w:cs="Arial"/>
                <w:color w:val="auto"/>
                <w:sz w:val="21"/>
                <w:szCs w:val="21"/>
                <w:highlight w:val="none"/>
              </w:rPr>
            </w:pPr>
            <w:r>
              <w:rPr>
                <w:rFonts w:ascii="宋体" w:hAnsi="宋体" w:cs="Arial"/>
                <w:color w:val="auto"/>
                <w:sz w:val="21"/>
                <w:szCs w:val="21"/>
                <w:highlight w:val="none"/>
                <w:lang w:bidi="ar"/>
              </w:rPr>
              <w:t>5分/次</w:t>
            </w:r>
          </w:p>
        </w:tc>
      </w:tr>
      <w:bookmarkEnd w:id="493"/>
      <w:bookmarkEnd w:id="494"/>
    </w:tbl>
    <w:p>
      <w:pPr>
        <w:pStyle w:val="2"/>
        <w:ind w:firstLine="280"/>
        <w:rPr>
          <w:rFonts w:ascii="宋体" w:hAnsi="宋体"/>
          <w:color w:val="auto"/>
          <w:sz w:val="21"/>
          <w:szCs w:val="21"/>
          <w:highlight w:val="none"/>
        </w:rPr>
      </w:pPr>
      <w:r>
        <w:rPr>
          <w:snapToGrid w:val="0"/>
          <w:color w:val="auto"/>
          <w:highlight w:val="none"/>
        </w:rPr>
        <w:br w:type="page"/>
      </w:r>
    </w:p>
    <w:p>
      <w:pPr>
        <w:pStyle w:val="23"/>
        <w:tabs>
          <w:tab w:val="left" w:pos="2472"/>
        </w:tabs>
        <w:spacing w:beforeLines="0" w:afterLines="0" w:line="288" w:lineRule="auto"/>
        <w:jc w:val="center"/>
        <w:rPr>
          <w:rFonts w:hAnsi="宋体"/>
          <w:b/>
          <w:color w:val="auto"/>
          <w:sz w:val="32"/>
          <w:szCs w:val="32"/>
          <w:highlight w:val="none"/>
        </w:rPr>
      </w:pPr>
    </w:p>
    <w:p>
      <w:pPr>
        <w:pStyle w:val="23"/>
        <w:tabs>
          <w:tab w:val="left" w:pos="2472"/>
        </w:tabs>
        <w:spacing w:beforeLines="0" w:afterLines="0" w:line="288" w:lineRule="auto"/>
        <w:jc w:val="center"/>
        <w:rPr>
          <w:rFonts w:hAnsi="宋体"/>
          <w:b/>
          <w:color w:val="auto"/>
          <w:sz w:val="32"/>
          <w:szCs w:val="32"/>
          <w:highlight w:val="none"/>
        </w:rPr>
      </w:pPr>
    </w:p>
    <w:p>
      <w:pPr>
        <w:pStyle w:val="23"/>
        <w:tabs>
          <w:tab w:val="left" w:pos="2472"/>
        </w:tabs>
        <w:spacing w:beforeLines="0" w:afterLines="0" w:line="288" w:lineRule="auto"/>
        <w:jc w:val="center"/>
        <w:rPr>
          <w:rFonts w:hAnsi="宋体"/>
          <w:b/>
          <w:color w:val="auto"/>
          <w:sz w:val="32"/>
          <w:szCs w:val="32"/>
          <w:highlight w:val="none"/>
        </w:rPr>
      </w:pPr>
    </w:p>
    <w:p>
      <w:pPr>
        <w:pStyle w:val="23"/>
        <w:tabs>
          <w:tab w:val="left" w:pos="2472"/>
        </w:tabs>
        <w:spacing w:beforeLines="0" w:afterLines="0" w:line="288" w:lineRule="auto"/>
        <w:jc w:val="center"/>
        <w:rPr>
          <w:rFonts w:hAnsi="宋体"/>
          <w:b/>
          <w:color w:val="auto"/>
          <w:sz w:val="32"/>
          <w:szCs w:val="32"/>
          <w:highlight w:val="none"/>
        </w:rPr>
      </w:pPr>
    </w:p>
    <w:p>
      <w:pPr>
        <w:pStyle w:val="6"/>
        <w:spacing w:before="0" w:after="0" w:line="480" w:lineRule="auto"/>
        <w:jc w:val="center"/>
        <w:rPr>
          <w:rStyle w:val="139"/>
          <w:b/>
          <w:color w:val="auto"/>
          <w:highlight w:val="none"/>
        </w:rPr>
      </w:pPr>
      <w:bookmarkStart w:id="495" w:name="_Toc105435560"/>
      <w:bookmarkStart w:id="496" w:name="_Toc105438846"/>
      <w:r>
        <w:rPr>
          <w:rStyle w:val="139"/>
          <w:b/>
          <w:color w:val="auto"/>
          <w:highlight w:val="none"/>
        </w:rPr>
        <w:t>第六章　</w:t>
      </w:r>
      <w:r>
        <w:rPr>
          <w:rStyle w:val="139"/>
          <w:rFonts w:hint="eastAsia"/>
          <w:b/>
          <w:color w:val="auto"/>
          <w:highlight w:val="none"/>
        </w:rPr>
        <w:t xml:space="preserve"> </w:t>
      </w:r>
      <w:r>
        <w:rPr>
          <w:rStyle w:val="139"/>
          <w:b/>
          <w:color w:val="auto"/>
          <w:highlight w:val="none"/>
        </w:rPr>
        <w:t>投标文件格式</w:t>
      </w:r>
      <w:bookmarkEnd w:id="495"/>
      <w:bookmarkEnd w:id="496"/>
    </w:p>
    <w:p>
      <w:pPr>
        <w:spacing w:line="360" w:lineRule="auto"/>
        <w:rPr>
          <w:rFonts w:ascii="宋体" w:hAnsi="宋体"/>
          <w:b/>
          <w:bCs/>
          <w:color w:val="auto"/>
          <w:sz w:val="24"/>
          <w:highlight w:val="none"/>
        </w:rPr>
      </w:pPr>
    </w:p>
    <w:p>
      <w:pPr>
        <w:pStyle w:val="23"/>
        <w:spacing w:beforeLines="0" w:afterLines="0" w:line="360" w:lineRule="auto"/>
        <w:ind w:firstLine="422" w:firstLineChars="200"/>
        <w:rPr>
          <w:rFonts w:hAnsi="宋体"/>
          <w:b/>
          <w:bCs/>
          <w:color w:val="auto"/>
          <w:sz w:val="21"/>
          <w:szCs w:val="21"/>
          <w:highlight w:val="none"/>
        </w:rPr>
      </w:pPr>
      <w:r>
        <w:rPr>
          <w:rFonts w:hint="eastAsia" w:hAnsi="宋体"/>
          <w:b/>
          <w:bCs/>
          <w:color w:val="auto"/>
          <w:sz w:val="21"/>
          <w:szCs w:val="21"/>
          <w:highlight w:val="none"/>
        </w:rPr>
        <w:t>投标文件的编制应按照本项目：“第三章  投标人须知”</w:t>
      </w:r>
      <w:r>
        <w:rPr>
          <w:rFonts w:hAnsi="宋体"/>
          <w:b/>
          <w:color w:val="auto"/>
          <w:sz w:val="21"/>
          <w:szCs w:val="21"/>
          <w:highlight w:val="none"/>
        </w:rPr>
        <w:t>三</w:t>
      </w:r>
      <w:r>
        <w:rPr>
          <w:rFonts w:hint="eastAsia" w:hAnsi="宋体"/>
          <w:b/>
          <w:color w:val="auto"/>
          <w:sz w:val="21"/>
          <w:szCs w:val="21"/>
          <w:highlight w:val="none"/>
        </w:rPr>
        <w:t>、</w:t>
      </w:r>
      <w:r>
        <w:rPr>
          <w:rFonts w:hAnsi="宋体"/>
          <w:b/>
          <w:color w:val="auto"/>
          <w:sz w:val="21"/>
          <w:szCs w:val="21"/>
          <w:highlight w:val="none"/>
        </w:rPr>
        <w:t>投标文件的编制</w:t>
      </w:r>
      <w:r>
        <w:rPr>
          <w:rFonts w:hint="eastAsia" w:hAnsi="宋体"/>
          <w:b/>
          <w:color w:val="auto"/>
          <w:sz w:val="21"/>
          <w:szCs w:val="21"/>
          <w:highlight w:val="none"/>
        </w:rPr>
        <w:t>的要求编制。</w:t>
      </w:r>
    </w:p>
    <w:p>
      <w:pPr>
        <w:spacing w:line="360" w:lineRule="auto"/>
        <w:rPr>
          <w:rFonts w:ascii="宋体" w:hAnsi="宋体"/>
          <w:b/>
          <w:bCs/>
          <w:color w:val="auto"/>
          <w:sz w:val="24"/>
          <w:highlight w:val="none"/>
        </w:rPr>
      </w:pPr>
    </w:p>
    <w:p>
      <w:pPr>
        <w:spacing w:line="360" w:lineRule="auto"/>
        <w:rPr>
          <w:rFonts w:ascii="宋体" w:hAnsi="宋体"/>
          <w:b/>
          <w:bCs/>
          <w:color w:val="auto"/>
          <w:sz w:val="24"/>
          <w:highlight w:val="none"/>
        </w:rPr>
      </w:pPr>
    </w:p>
    <w:p>
      <w:pPr>
        <w:spacing w:line="360" w:lineRule="auto"/>
        <w:rPr>
          <w:rFonts w:ascii="宋体" w:hAnsi="宋体"/>
          <w:bCs/>
          <w:color w:val="auto"/>
          <w:sz w:val="24"/>
          <w:highlight w:val="none"/>
        </w:rPr>
      </w:pPr>
      <w:r>
        <w:rPr>
          <w:rFonts w:ascii="宋体" w:hAnsi="宋体"/>
          <w:bCs/>
          <w:color w:val="auto"/>
          <w:sz w:val="24"/>
          <w:highlight w:val="none"/>
        </w:rPr>
        <w:br w:type="page"/>
      </w:r>
    </w:p>
    <w:p>
      <w:pPr>
        <w:spacing w:line="360" w:lineRule="auto"/>
        <w:rPr>
          <w:rFonts w:ascii="宋体" w:hAnsi="宋体"/>
          <w:b/>
          <w:bCs/>
          <w:color w:val="auto"/>
          <w:sz w:val="24"/>
          <w:highlight w:val="none"/>
        </w:rPr>
      </w:pPr>
    </w:p>
    <w:p>
      <w:pPr>
        <w:spacing w:line="360" w:lineRule="auto"/>
        <w:rPr>
          <w:rFonts w:ascii="宋体" w:hAnsi="宋体"/>
          <w:bCs/>
          <w:color w:val="auto"/>
          <w:sz w:val="24"/>
          <w:highlight w:val="none"/>
        </w:rPr>
      </w:pPr>
    </w:p>
    <w:p>
      <w:pPr>
        <w:spacing w:line="360" w:lineRule="auto"/>
        <w:rPr>
          <w:rFonts w:ascii="宋体" w:hAnsi="宋体"/>
          <w:color w:val="auto"/>
          <w:sz w:val="24"/>
          <w:highlight w:val="none"/>
        </w:rPr>
      </w:pPr>
      <w:r>
        <w:rPr>
          <w:rFonts w:hint="eastAsia" w:ascii="宋体" w:hAnsi="宋体"/>
          <w:color w:val="auto"/>
          <w:sz w:val="24"/>
          <w:highlight w:val="none"/>
        </w:rPr>
        <w:t>资格文件封面（供参考）</w:t>
      </w:r>
    </w:p>
    <w:p>
      <w:pPr>
        <w:spacing w:line="360" w:lineRule="auto"/>
        <w:rPr>
          <w:rFonts w:ascii="宋体" w:hAnsi="宋体"/>
          <w:b/>
          <w:bCs/>
          <w:color w:val="auto"/>
          <w:sz w:val="24"/>
          <w:highlight w:val="none"/>
        </w:rPr>
      </w:pPr>
    </w:p>
    <w:p>
      <w:pPr>
        <w:pStyle w:val="19"/>
        <w:rPr>
          <w:color w:val="auto"/>
          <w:highlight w:val="none"/>
        </w:rPr>
      </w:pPr>
    </w:p>
    <w:p>
      <w:pPr>
        <w:spacing w:line="360" w:lineRule="auto"/>
        <w:jc w:val="center"/>
        <w:rPr>
          <w:rFonts w:ascii="宋体" w:hAnsi="宋体"/>
          <w:bCs/>
          <w:i/>
          <w:color w:val="auto"/>
          <w:sz w:val="24"/>
          <w:highlight w:val="none"/>
          <w:u w:val="single"/>
        </w:rPr>
      </w:pPr>
      <w:r>
        <w:rPr>
          <w:rFonts w:hint="eastAsia" w:ascii="宋体" w:hAnsi="宋体"/>
          <w:bCs/>
          <w:color w:val="auto"/>
          <w:sz w:val="24"/>
          <w:highlight w:val="none"/>
          <w:u w:val="single"/>
        </w:rPr>
        <w:t xml:space="preserve">                  </w:t>
      </w:r>
      <w:r>
        <w:rPr>
          <w:rFonts w:hint="eastAsia" w:ascii="宋体" w:hAnsi="宋体"/>
          <w:bCs/>
          <w:i/>
          <w:color w:val="auto"/>
          <w:sz w:val="24"/>
          <w:highlight w:val="none"/>
          <w:u w:val="single"/>
        </w:rPr>
        <w:t xml:space="preserve">  （投标人名称）</w:t>
      </w:r>
    </w:p>
    <w:p>
      <w:pPr>
        <w:spacing w:line="360" w:lineRule="auto"/>
        <w:jc w:val="center"/>
        <w:rPr>
          <w:rFonts w:ascii="宋体" w:hAnsi="宋体"/>
          <w:b/>
          <w:bCs/>
          <w:color w:val="auto"/>
          <w:sz w:val="24"/>
          <w:highlight w:val="none"/>
        </w:rPr>
      </w:pPr>
    </w:p>
    <w:p>
      <w:pPr>
        <w:pStyle w:val="19"/>
        <w:rPr>
          <w:color w:val="auto"/>
          <w:highlight w:val="none"/>
        </w:rPr>
      </w:pPr>
    </w:p>
    <w:p>
      <w:pPr>
        <w:pStyle w:val="19"/>
        <w:rPr>
          <w:color w:val="auto"/>
          <w:highlight w:val="none"/>
        </w:rPr>
      </w:pPr>
    </w:p>
    <w:p>
      <w:pPr>
        <w:spacing w:line="360" w:lineRule="auto"/>
        <w:jc w:val="center"/>
        <w:rPr>
          <w:rFonts w:ascii="宋体" w:hAnsi="宋体"/>
          <w:b/>
          <w:bCs/>
          <w:color w:val="auto"/>
          <w:sz w:val="48"/>
          <w:szCs w:val="48"/>
          <w:highlight w:val="none"/>
        </w:rPr>
      </w:pPr>
      <w:r>
        <w:rPr>
          <w:rFonts w:hint="eastAsia" w:ascii="宋体" w:hAnsi="宋体"/>
          <w:b/>
          <w:bCs/>
          <w:color w:val="auto"/>
          <w:sz w:val="48"/>
          <w:szCs w:val="48"/>
          <w:highlight w:val="none"/>
        </w:rPr>
        <w:t>资 格 文 件</w:t>
      </w:r>
    </w:p>
    <w:p>
      <w:pPr>
        <w:pStyle w:val="19"/>
        <w:rPr>
          <w:color w:val="auto"/>
          <w:highlight w:val="none"/>
        </w:rPr>
      </w:pPr>
    </w:p>
    <w:p>
      <w:pPr>
        <w:pStyle w:val="19"/>
        <w:rPr>
          <w:color w:val="auto"/>
          <w:highlight w:val="none"/>
        </w:rPr>
      </w:pPr>
    </w:p>
    <w:p>
      <w:pPr>
        <w:pStyle w:val="19"/>
        <w:rPr>
          <w:color w:val="auto"/>
          <w:highlight w:val="none"/>
        </w:rPr>
      </w:pPr>
    </w:p>
    <w:p>
      <w:pPr>
        <w:spacing w:line="720" w:lineRule="auto"/>
        <w:ind w:left="848" w:leftChars="303"/>
        <w:rPr>
          <w:rFonts w:ascii="宋体" w:hAnsi="宋体"/>
          <w:bCs/>
          <w:color w:val="auto"/>
          <w:sz w:val="24"/>
          <w:highlight w:val="none"/>
        </w:rPr>
      </w:pPr>
      <w:r>
        <w:rPr>
          <w:rFonts w:hint="eastAsia" w:ascii="宋体" w:hAnsi="宋体"/>
          <w:bCs/>
          <w:color w:val="auto"/>
          <w:sz w:val="24"/>
          <w:highlight w:val="none"/>
        </w:rPr>
        <w:t>采购人：</w:t>
      </w:r>
      <w:r>
        <w:rPr>
          <w:rFonts w:hint="eastAsia" w:ascii="宋体" w:hAnsi="宋体"/>
          <w:bCs/>
          <w:color w:val="auto"/>
          <w:sz w:val="24"/>
          <w:highlight w:val="none"/>
          <w:lang w:eastAsia="zh-CN"/>
        </w:rPr>
        <w:t>温州市龙湾区城市管理服务有限公司</w:t>
      </w:r>
      <w:r>
        <w:rPr>
          <w:rFonts w:hint="eastAsia" w:ascii="宋体" w:hAnsi="宋体"/>
          <w:bCs/>
          <w:color w:val="auto"/>
          <w:sz w:val="24"/>
          <w:highlight w:val="none"/>
        </w:rPr>
        <w:t xml:space="preserve"> </w:t>
      </w:r>
    </w:p>
    <w:p>
      <w:pPr>
        <w:spacing w:line="720" w:lineRule="auto"/>
        <w:ind w:left="848" w:leftChars="303"/>
        <w:rPr>
          <w:rFonts w:ascii="宋体" w:hAnsi="宋体"/>
          <w:bCs/>
          <w:color w:val="auto"/>
          <w:sz w:val="24"/>
          <w:highlight w:val="none"/>
        </w:rPr>
      </w:pPr>
      <w:r>
        <w:rPr>
          <w:rFonts w:hint="eastAsia" w:ascii="宋体" w:hAnsi="宋体"/>
          <w:bCs/>
          <w:color w:val="auto"/>
          <w:sz w:val="24"/>
          <w:highlight w:val="none"/>
        </w:rPr>
        <w:t xml:space="preserve">项目名称：龙湾区瑶溪街道环卫保洁一体化项目 </w:t>
      </w:r>
    </w:p>
    <w:p>
      <w:pPr>
        <w:spacing w:line="720" w:lineRule="auto"/>
        <w:ind w:left="848" w:leftChars="303"/>
        <w:rPr>
          <w:rFonts w:ascii="宋体" w:hAnsi="宋体"/>
          <w:bCs/>
          <w:color w:val="auto"/>
          <w:sz w:val="24"/>
          <w:highlight w:val="none"/>
        </w:rPr>
      </w:pPr>
      <w:r>
        <w:rPr>
          <w:rFonts w:hint="eastAsia" w:ascii="宋体" w:hAnsi="宋体"/>
          <w:bCs/>
          <w:color w:val="auto"/>
          <w:sz w:val="24"/>
          <w:highlight w:val="none"/>
        </w:rPr>
        <w:t>项目编号：</w:t>
      </w:r>
      <w:r>
        <w:rPr>
          <w:rFonts w:hint="eastAsia" w:ascii="宋体" w:hAnsi="宋体"/>
          <w:bCs/>
          <w:color w:val="auto"/>
          <w:sz w:val="24"/>
          <w:highlight w:val="none"/>
          <w:lang w:eastAsia="zh-CN"/>
        </w:rPr>
        <w:t>WZHC-20220923</w:t>
      </w:r>
      <w:r>
        <w:rPr>
          <w:rFonts w:hint="eastAsia" w:ascii="宋体" w:hAnsi="宋体"/>
          <w:bCs/>
          <w:color w:val="auto"/>
          <w:sz w:val="24"/>
          <w:highlight w:val="none"/>
        </w:rPr>
        <w:t xml:space="preserve"> </w:t>
      </w:r>
    </w:p>
    <w:p>
      <w:pPr>
        <w:spacing w:line="720" w:lineRule="auto"/>
        <w:ind w:left="848" w:leftChars="303"/>
        <w:rPr>
          <w:rFonts w:ascii="宋体" w:hAnsi="宋体"/>
          <w:bCs/>
          <w:color w:val="auto"/>
          <w:sz w:val="24"/>
          <w:highlight w:val="none"/>
        </w:rPr>
      </w:pPr>
      <w:r>
        <w:rPr>
          <w:rFonts w:hint="eastAsia" w:ascii="宋体" w:hAnsi="宋体"/>
          <w:bCs/>
          <w:color w:val="auto"/>
          <w:sz w:val="24"/>
          <w:highlight w:val="none"/>
        </w:rPr>
        <w:t>投标人（盖公章）：</w:t>
      </w:r>
    </w:p>
    <w:p>
      <w:pPr>
        <w:spacing w:line="720" w:lineRule="auto"/>
        <w:ind w:left="848" w:leftChars="303"/>
        <w:rPr>
          <w:rFonts w:ascii="宋体" w:hAnsi="宋体"/>
          <w:bCs/>
          <w:color w:val="auto"/>
          <w:sz w:val="24"/>
          <w:highlight w:val="none"/>
        </w:rPr>
      </w:pPr>
      <w:r>
        <w:rPr>
          <w:rFonts w:hint="eastAsia" w:ascii="宋体" w:hAnsi="宋体"/>
          <w:bCs/>
          <w:color w:val="auto"/>
          <w:sz w:val="24"/>
          <w:highlight w:val="none"/>
        </w:rPr>
        <w:t>投标人地址：</w:t>
      </w:r>
    </w:p>
    <w:p>
      <w:pPr>
        <w:spacing w:line="480" w:lineRule="auto"/>
        <w:ind w:left="848" w:leftChars="303"/>
        <w:rPr>
          <w:rFonts w:ascii="宋体" w:hAnsi="宋体"/>
          <w:bCs/>
          <w:color w:val="auto"/>
          <w:sz w:val="24"/>
          <w:highlight w:val="none"/>
        </w:rPr>
      </w:pPr>
    </w:p>
    <w:p>
      <w:pPr>
        <w:spacing w:line="480" w:lineRule="auto"/>
        <w:ind w:left="848" w:leftChars="303"/>
        <w:rPr>
          <w:rFonts w:ascii="宋体" w:hAnsi="宋体"/>
          <w:bCs/>
          <w:color w:val="auto"/>
          <w:sz w:val="24"/>
          <w:highlight w:val="none"/>
        </w:rPr>
      </w:pPr>
      <w:r>
        <w:rPr>
          <w:rFonts w:hint="eastAsia" w:ascii="宋体" w:hAnsi="宋体"/>
          <w:bCs/>
          <w:color w:val="auto"/>
          <w:sz w:val="24"/>
          <w:highlight w:val="none"/>
        </w:rPr>
        <w:t>投标人法定代表人或授权代表（签字或盖章）：</w:t>
      </w:r>
    </w:p>
    <w:p>
      <w:pPr>
        <w:spacing w:line="480" w:lineRule="auto"/>
        <w:ind w:left="848" w:leftChars="303"/>
        <w:rPr>
          <w:rFonts w:ascii="宋体" w:hAnsi="宋体"/>
          <w:bCs/>
          <w:color w:val="auto"/>
          <w:sz w:val="24"/>
          <w:highlight w:val="none"/>
        </w:rPr>
      </w:pPr>
      <w:r>
        <w:rPr>
          <w:rFonts w:hint="eastAsia" w:ascii="宋体" w:hAnsi="宋体"/>
          <w:bCs/>
          <w:color w:val="auto"/>
          <w:sz w:val="24"/>
          <w:highlight w:val="none"/>
        </w:rPr>
        <w:t xml:space="preserve">日期： </w:t>
      </w:r>
      <w:r>
        <w:rPr>
          <w:rFonts w:ascii="宋体" w:hAnsi="宋体"/>
          <w:bCs/>
          <w:color w:val="auto"/>
          <w:sz w:val="24"/>
          <w:highlight w:val="none"/>
        </w:rPr>
        <w:t xml:space="preserve">  </w:t>
      </w:r>
      <w:r>
        <w:rPr>
          <w:rFonts w:hint="eastAsia" w:ascii="宋体" w:hAnsi="宋体"/>
          <w:bCs/>
          <w:color w:val="auto"/>
          <w:sz w:val="24"/>
          <w:highlight w:val="none"/>
        </w:rPr>
        <w:t xml:space="preserve"> 年  月  日</w:t>
      </w:r>
    </w:p>
    <w:p>
      <w:pPr>
        <w:pStyle w:val="2"/>
        <w:ind w:firstLine="280"/>
        <w:rPr>
          <w:color w:val="auto"/>
          <w:highlight w:val="none"/>
        </w:rPr>
      </w:pPr>
      <w:r>
        <w:rPr>
          <w:color w:val="auto"/>
          <w:highlight w:val="none"/>
        </w:rPr>
        <w:br w:type="page"/>
      </w:r>
    </w:p>
    <w:p>
      <w:pPr>
        <w:pStyle w:val="19"/>
        <w:rPr>
          <w:rFonts w:hint="eastAsia"/>
          <w:color w:val="auto"/>
          <w:highlight w:val="none"/>
        </w:rPr>
      </w:pPr>
    </w:p>
    <w:p>
      <w:pPr>
        <w:pStyle w:val="19"/>
        <w:rPr>
          <w:rFonts w:hint="eastAsia"/>
          <w:color w:val="auto"/>
          <w:highlight w:val="none"/>
        </w:rPr>
      </w:pPr>
    </w:p>
    <w:p>
      <w:pPr>
        <w:pStyle w:val="19"/>
        <w:rPr>
          <w:color w:val="auto"/>
          <w:highlight w:val="none"/>
        </w:rPr>
      </w:pPr>
    </w:p>
    <w:p>
      <w:pPr>
        <w:spacing w:line="360" w:lineRule="auto"/>
        <w:jc w:val="center"/>
        <w:rPr>
          <w:rFonts w:ascii="宋体" w:hAnsi="宋体"/>
          <w:color w:val="auto"/>
          <w:sz w:val="21"/>
          <w:szCs w:val="21"/>
          <w:highlight w:val="none"/>
        </w:rPr>
      </w:pPr>
    </w:p>
    <w:p>
      <w:pPr>
        <w:spacing w:line="360" w:lineRule="auto"/>
        <w:jc w:val="center"/>
        <w:rPr>
          <w:rFonts w:ascii="宋体" w:hAnsi="宋体"/>
          <w:b/>
          <w:color w:val="auto"/>
          <w:sz w:val="30"/>
          <w:szCs w:val="30"/>
          <w:highlight w:val="none"/>
        </w:rPr>
      </w:pPr>
      <w:r>
        <w:rPr>
          <w:rFonts w:hint="eastAsia" w:ascii="宋体" w:hAnsi="宋体"/>
          <w:b/>
          <w:color w:val="auto"/>
          <w:sz w:val="30"/>
          <w:szCs w:val="30"/>
          <w:highlight w:val="none"/>
        </w:rPr>
        <w:t xml:space="preserve">有效的法人或者其他组织的营业执照等证明文件 (扫描件加盖公章)，自然人的身份证 </w:t>
      </w:r>
    </w:p>
    <w:p>
      <w:pPr>
        <w:spacing w:line="360" w:lineRule="auto"/>
        <w:rPr>
          <w:rFonts w:ascii="宋体" w:hAnsi="宋体"/>
          <w:color w:val="auto"/>
          <w:sz w:val="21"/>
          <w:szCs w:val="21"/>
          <w:highlight w:val="none"/>
        </w:rPr>
      </w:pPr>
    </w:p>
    <w:p>
      <w:pPr>
        <w:spacing w:line="480" w:lineRule="auto"/>
        <w:ind w:firstLine="424" w:firstLineChars="202"/>
        <w:rPr>
          <w:rFonts w:ascii="宋体" w:hAnsi="宋体"/>
          <w:color w:val="auto"/>
          <w:sz w:val="21"/>
          <w:szCs w:val="21"/>
          <w:highlight w:val="none"/>
        </w:rPr>
      </w:pPr>
    </w:p>
    <w:p>
      <w:pPr>
        <w:spacing w:line="480" w:lineRule="auto"/>
        <w:ind w:firstLine="424" w:firstLineChars="202"/>
        <w:rPr>
          <w:rFonts w:ascii="宋体" w:hAnsi="宋体"/>
          <w:color w:val="auto"/>
          <w:sz w:val="21"/>
          <w:szCs w:val="21"/>
          <w:highlight w:val="none"/>
        </w:rPr>
      </w:pPr>
      <w:r>
        <w:rPr>
          <w:rFonts w:hint="eastAsia" w:ascii="宋体" w:hAnsi="宋体"/>
          <w:color w:val="auto"/>
          <w:sz w:val="21"/>
          <w:szCs w:val="21"/>
          <w:highlight w:val="none"/>
        </w:rPr>
        <w:t>说明</w:t>
      </w:r>
      <w:r>
        <w:rPr>
          <w:rFonts w:ascii="宋体" w:hAnsi="宋体"/>
          <w:color w:val="auto"/>
          <w:sz w:val="21"/>
          <w:szCs w:val="21"/>
          <w:highlight w:val="none"/>
        </w:rPr>
        <w:t>：</w:t>
      </w:r>
    </w:p>
    <w:p>
      <w:pPr>
        <w:spacing w:line="480" w:lineRule="auto"/>
        <w:ind w:firstLine="424" w:firstLineChars="202"/>
        <w:rPr>
          <w:rFonts w:ascii="宋体" w:hAnsi="宋体"/>
          <w:color w:val="auto"/>
          <w:sz w:val="21"/>
          <w:szCs w:val="21"/>
          <w:highlight w:val="none"/>
        </w:rPr>
      </w:pPr>
      <w:r>
        <w:rPr>
          <w:rFonts w:hint="eastAsia" w:ascii="宋体" w:hAnsi="宋体"/>
          <w:color w:val="auto"/>
          <w:sz w:val="21"/>
          <w:szCs w:val="21"/>
          <w:highlight w:val="none"/>
        </w:rPr>
        <w:t>1</w:t>
      </w:r>
      <w:r>
        <w:rPr>
          <w:rFonts w:ascii="宋体" w:hAnsi="宋体"/>
          <w:color w:val="auto"/>
          <w:sz w:val="21"/>
          <w:szCs w:val="21"/>
          <w:highlight w:val="none"/>
        </w:rPr>
        <w:t>.</w:t>
      </w:r>
      <w:r>
        <w:rPr>
          <w:rFonts w:hint="eastAsia" w:ascii="宋体" w:hAnsi="宋体"/>
          <w:color w:val="auto"/>
          <w:sz w:val="21"/>
          <w:szCs w:val="21"/>
          <w:highlight w:val="none"/>
        </w:rPr>
        <w:t>如投标人是企业（包括合伙企业），提供在工商部门注册的有效“企业法人营业执照”或“营业执照”；</w:t>
      </w:r>
    </w:p>
    <w:p>
      <w:pPr>
        <w:spacing w:line="480" w:lineRule="auto"/>
        <w:ind w:firstLine="424" w:firstLineChars="202"/>
        <w:rPr>
          <w:rFonts w:ascii="宋体" w:hAnsi="宋体"/>
          <w:color w:val="auto"/>
          <w:sz w:val="21"/>
          <w:szCs w:val="21"/>
          <w:highlight w:val="none"/>
        </w:rPr>
      </w:pPr>
      <w:r>
        <w:rPr>
          <w:rFonts w:hint="eastAsia" w:ascii="宋体" w:hAnsi="宋体"/>
          <w:color w:val="auto"/>
          <w:sz w:val="21"/>
          <w:szCs w:val="21"/>
          <w:highlight w:val="none"/>
        </w:rPr>
        <w:t>2</w:t>
      </w:r>
      <w:r>
        <w:rPr>
          <w:rFonts w:ascii="宋体" w:hAnsi="宋体"/>
          <w:color w:val="auto"/>
          <w:sz w:val="21"/>
          <w:szCs w:val="21"/>
          <w:highlight w:val="none"/>
        </w:rPr>
        <w:t>.</w:t>
      </w:r>
      <w:r>
        <w:rPr>
          <w:rFonts w:hint="eastAsia" w:ascii="宋体" w:hAnsi="宋体"/>
          <w:color w:val="auto"/>
          <w:sz w:val="21"/>
          <w:szCs w:val="21"/>
          <w:highlight w:val="none"/>
        </w:rPr>
        <w:t>如投标人是事业单位，提供有效的“事业单位法人证书”；</w:t>
      </w:r>
    </w:p>
    <w:p>
      <w:pPr>
        <w:spacing w:line="480" w:lineRule="auto"/>
        <w:ind w:firstLine="424" w:firstLineChars="202"/>
        <w:rPr>
          <w:rFonts w:ascii="宋体" w:hAnsi="宋体"/>
          <w:color w:val="auto"/>
          <w:sz w:val="21"/>
          <w:szCs w:val="21"/>
          <w:highlight w:val="none"/>
        </w:rPr>
      </w:pPr>
      <w:r>
        <w:rPr>
          <w:rFonts w:hint="eastAsia" w:ascii="宋体" w:hAnsi="宋体"/>
          <w:color w:val="auto"/>
          <w:sz w:val="21"/>
          <w:szCs w:val="21"/>
          <w:highlight w:val="none"/>
        </w:rPr>
        <w:t>3</w:t>
      </w:r>
      <w:r>
        <w:rPr>
          <w:rFonts w:ascii="宋体" w:hAnsi="宋体"/>
          <w:color w:val="auto"/>
          <w:sz w:val="21"/>
          <w:szCs w:val="21"/>
          <w:highlight w:val="none"/>
        </w:rPr>
        <w:t>.</w:t>
      </w:r>
      <w:r>
        <w:rPr>
          <w:rFonts w:hint="eastAsia" w:ascii="宋体" w:hAnsi="宋体"/>
          <w:color w:val="auto"/>
          <w:sz w:val="21"/>
          <w:szCs w:val="21"/>
          <w:highlight w:val="none"/>
        </w:rPr>
        <w:t>如投标人是非企业专业服务机构的，提供执业许可证等证明文件；</w:t>
      </w:r>
    </w:p>
    <w:p>
      <w:pPr>
        <w:spacing w:line="480" w:lineRule="auto"/>
        <w:ind w:firstLine="424" w:firstLineChars="202"/>
        <w:rPr>
          <w:rFonts w:ascii="宋体" w:hAnsi="宋体"/>
          <w:color w:val="auto"/>
          <w:sz w:val="21"/>
          <w:szCs w:val="21"/>
          <w:highlight w:val="none"/>
        </w:rPr>
      </w:pPr>
      <w:r>
        <w:rPr>
          <w:rFonts w:hint="eastAsia" w:ascii="宋体" w:hAnsi="宋体"/>
          <w:color w:val="auto"/>
          <w:sz w:val="21"/>
          <w:szCs w:val="21"/>
          <w:highlight w:val="none"/>
        </w:rPr>
        <w:t>4</w:t>
      </w:r>
      <w:r>
        <w:rPr>
          <w:rFonts w:ascii="宋体" w:hAnsi="宋体"/>
          <w:color w:val="auto"/>
          <w:sz w:val="21"/>
          <w:szCs w:val="21"/>
          <w:highlight w:val="none"/>
        </w:rPr>
        <w:t>.</w:t>
      </w:r>
      <w:r>
        <w:rPr>
          <w:rFonts w:hint="eastAsia" w:ascii="宋体" w:hAnsi="宋体"/>
          <w:color w:val="auto"/>
          <w:sz w:val="21"/>
          <w:szCs w:val="21"/>
          <w:highlight w:val="none"/>
        </w:rPr>
        <w:t>如投标人是个体工商户，提供有效的“个体工商户营业执照”；</w:t>
      </w:r>
    </w:p>
    <w:p>
      <w:pPr>
        <w:spacing w:line="480" w:lineRule="auto"/>
        <w:ind w:firstLine="424" w:firstLineChars="202"/>
        <w:rPr>
          <w:rFonts w:ascii="宋体" w:hAnsi="宋体"/>
          <w:color w:val="auto"/>
          <w:sz w:val="21"/>
          <w:szCs w:val="21"/>
          <w:highlight w:val="none"/>
        </w:rPr>
      </w:pPr>
      <w:r>
        <w:rPr>
          <w:rFonts w:hint="eastAsia" w:ascii="宋体" w:hAnsi="宋体"/>
          <w:color w:val="auto"/>
          <w:sz w:val="21"/>
          <w:szCs w:val="21"/>
          <w:highlight w:val="none"/>
        </w:rPr>
        <w:t>5</w:t>
      </w:r>
      <w:r>
        <w:rPr>
          <w:rFonts w:ascii="宋体" w:hAnsi="宋体"/>
          <w:color w:val="auto"/>
          <w:sz w:val="21"/>
          <w:szCs w:val="21"/>
          <w:highlight w:val="none"/>
        </w:rPr>
        <w:t>.</w:t>
      </w:r>
      <w:r>
        <w:rPr>
          <w:rFonts w:hint="eastAsia" w:ascii="宋体" w:hAnsi="宋体"/>
          <w:color w:val="auto"/>
          <w:sz w:val="21"/>
          <w:szCs w:val="21"/>
          <w:highlight w:val="none"/>
        </w:rPr>
        <w:t>如投标人是自然人，提供有效的自然人身份证明。</w:t>
      </w:r>
    </w:p>
    <w:p>
      <w:pPr>
        <w:pStyle w:val="2"/>
        <w:ind w:firstLine="280"/>
        <w:rPr>
          <w:rFonts w:hint="eastAsia"/>
          <w:color w:val="auto"/>
          <w:highlight w:val="none"/>
        </w:rPr>
      </w:pPr>
      <w:r>
        <w:rPr>
          <w:color w:val="auto"/>
          <w:highlight w:val="none"/>
        </w:rPr>
        <w:br w:type="page"/>
      </w:r>
    </w:p>
    <w:p>
      <w:pPr>
        <w:pStyle w:val="2"/>
        <w:ind w:firstLine="280"/>
        <w:rPr>
          <w:color w:val="auto"/>
          <w:highlight w:val="none"/>
        </w:rPr>
      </w:pPr>
    </w:p>
    <w:p>
      <w:pPr>
        <w:adjustRightInd w:val="0"/>
        <w:snapToGrid w:val="0"/>
        <w:spacing w:line="360" w:lineRule="auto"/>
        <w:jc w:val="center"/>
        <w:rPr>
          <w:rFonts w:hint="eastAsia" w:ascii="宋体" w:hAnsi="宋体" w:cs="宋体"/>
          <w:b/>
          <w:color w:val="auto"/>
          <w:spacing w:val="-6"/>
          <w:sz w:val="30"/>
          <w:szCs w:val="30"/>
          <w:highlight w:val="none"/>
        </w:rPr>
      </w:pPr>
      <w:r>
        <w:rPr>
          <w:rFonts w:hint="eastAsia" w:ascii="宋体" w:hAnsi="宋体" w:cs="宋体"/>
          <w:b/>
          <w:color w:val="auto"/>
          <w:spacing w:val="-6"/>
          <w:sz w:val="30"/>
          <w:szCs w:val="30"/>
          <w:highlight w:val="none"/>
        </w:rPr>
        <w:t>符合参加政府采购活动应当具备的一般条件的承诺函</w:t>
      </w:r>
    </w:p>
    <w:p>
      <w:pPr>
        <w:pStyle w:val="2"/>
        <w:ind w:firstLine="280"/>
        <w:rPr>
          <w:color w:val="auto"/>
          <w:highlight w:val="none"/>
        </w:rPr>
      </w:pPr>
    </w:p>
    <w:p>
      <w:pPr>
        <w:adjustRightInd w:val="0"/>
        <w:snapToGrid w:val="0"/>
        <w:spacing w:line="360" w:lineRule="auto"/>
        <w:rPr>
          <w:rFonts w:hint="eastAsia" w:ascii="宋体" w:hAnsi="宋体"/>
          <w:b/>
          <w:bCs/>
          <w:color w:val="auto"/>
          <w:spacing w:val="-6"/>
          <w:sz w:val="21"/>
          <w:szCs w:val="21"/>
          <w:highlight w:val="none"/>
        </w:rPr>
      </w:pPr>
      <w:r>
        <w:rPr>
          <w:rFonts w:hint="eastAsia" w:ascii="宋体" w:hAnsi="宋体"/>
          <w:b/>
          <w:bCs/>
          <w:color w:val="auto"/>
          <w:spacing w:val="-6"/>
          <w:sz w:val="21"/>
          <w:szCs w:val="21"/>
          <w:highlight w:val="none"/>
        </w:rPr>
        <w:t>致：</w:t>
      </w:r>
      <w:r>
        <w:rPr>
          <w:rFonts w:hint="eastAsia" w:ascii="宋体" w:hAnsi="宋体"/>
          <w:b/>
          <w:bCs/>
          <w:color w:val="auto"/>
          <w:spacing w:val="-6"/>
          <w:sz w:val="21"/>
          <w:szCs w:val="21"/>
          <w:highlight w:val="none"/>
          <w:u w:val="single"/>
          <w:lang w:eastAsia="zh-CN"/>
        </w:rPr>
        <w:t>温州市龙湾区城市管理服务有限公司</w:t>
      </w:r>
      <w:r>
        <w:rPr>
          <w:rFonts w:hint="eastAsia" w:ascii="宋体" w:hAnsi="宋体"/>
          <w:b/>
          <w:bCs/>
          <w:color w:val="auto"/>
          <w:spacing w:val="-6"/>
          <w:sz w:val="21"/>
          <w:szCs w:val="21"/>
          <w:highlight w:val="none"/>
          <w:u w:val="single"/>
        </w:rPr>
        <w:t>、温州韩诚工程项目管理有限公司</w:t>
      </w:r>
    </w:p>
    <w:p>
      <w:pPr>
        <w:adjustRightInd w:val="0"/>
        <w:snapToGrid w:val="0"/>
        <w:spacing w:line="360" w:lineRule="auto"/>
        <w:ind w:firstLine="396" w:firstLineChars="200"/>
        <w:rPr>
          <w:rFonts w:ascii="宋体" w:hAnsi="宋体"/>
          <w:color w:val="auto"/>
          <w:spacing w:val="-6"/>
          <w:sz w:val="21"/>
          <w:szCs w:val="21"/>
          <w:highlight w:val="none"/>
        </w:rPr>
      </w:pPr>
    </w:p>
    <w:p>
      <w:pPr>
        <w:adjustRightInd w:val="0"/>
        <w:snapToGrid w:val="0"/>
        <w:spacing w:line="360" w:lineRule="auto"/>
        <w:ind w:firstLine="396" w:firstLineChars="200"/>
        <w:rPr>
          <w:rFonts w:ascii="宋体" w:hAnsi="宋体"/>
          <w:color w:val="auto"/>
          <w:spacing w:val="-6"/>
          <w:sz w:val="21"/>
          <w:szCs w:val="21"/>
          <w:highlight w:val="none"/>
        </w:rPr>
      </w:pPr>
      <w:r>
        <w:rPr>
          <w:rFonts w:hint="eastAsia" w:ascii="宋体" w:hAnsi="宋体"/>
          <w:color w:val="auto"/>
          <w:spacing w:val="-6"/>
          <w:sz w:val="21"/>
          <w:szCs w:val="21"/>
          <w:highlight w:val="none"/>
        </w:rPr>
        <w:t>我方</w:t>
      </w:r>
      <w:r>
        <w:rPr>
          <w:rFonts w:hint="eastAsia" w:ascii="宋体" w:hAnsi="宋体"/>
          <w:i/>
          <w:color w:val="auto"/>
          <w:spacing w:val="-6"/>
          <w:sz w:val="21"/>
          <w:szCs w:val="21"/>
          <w:highlight w:val="none"/>
          <w:u w:val="single"/>
        </w:rPr>
        <w:t>（投标人名称）</w:t>
      </w:r>
      <w:r>
        <w:rPr>
          <w:rFonts w:hint="eastAsia" w:ascii="宋体" w:hAnsi="宋体"/>
          <w:color w:val="auto"/>
          <w:spacing w:val="-6"/>
          <w:sz w:val="21"/>
          <w:szCs w:val="21"/>
          <w:highlight w:val="none"/>
          <w:u w:val="single"/>
        </w:rPr>
        <w:t xml:space="preserve">    </w:t>
      </w:r>
      <w:r>
        <w:rPr>
          <w:rFonts w:ascii="宋体" w:hAnsi="宋体"/>
          <w:color w:val="auto"/>
          <w:spacing w:val="-6"/>
          <w:sz w:val="21"/>
          <w:szCs w:val="21"/>
          <w:highlight w:val="none"/>
          <w:u w:val="single"/>
        </w:rPr>
        <w:t xml:space="preserve">     </w:t>
      </w:r>
      <w:r>
        <w:rPr>
          <w:rFonts w:hint="eastAsia" w:ascii="宋体" w:hAnsi="宋体"/>
          <w:color w:val="auto"/>
          <w:spacing w:val="-6"/>
          <w:sz w:val="21"/>
          <w:szCs w:val="21"/>
          <w:highlight w:val="none"/>
          <w:u w:val="single"/>
        </w:rPr>
        <w:t xml:space="preserve"> </w:t>
      </w:r>
      <w:r>
        <w:rPr>
          <w:rFonts w:ascii="宋体" w:hAnsi="宋体"/>
          <w:color w:val="auto"/>
          <w:spacing w:val="-6"/>
          <w:sz w:val="21"/>
          <w:szCs w:val="21"/>
          <w:highlight w:val="none"/>
          <w:u w:val="single"/>
        </w:rPr>
        <w:t xml:space="preserve"> </w:t>
      </w:r>
      <w:r>
        <w:rPr>
          <w:rFonts w:hint="eastAsia" w:ascii="宋体" w:hAnsi="宋体"/>
          <w:color w:val="auto"/>
          <w:spacing w:val="-6"/>
          <w:sz w:val="21"/>
          <w:szCs w:val="21"/>
          <w:highlight w:val="none"/>
        </w:rPr>
        <w:t>参加</w:t>
      </w:r>
      <w:r>
        <w:rPr>
          <w:rFonts w:hint="eastAsia" w:ascii="宋体" w:hAnsi="宋体"/>
          <w:color w:val="auto"/>
          <w:spacing w:val="-6"/>
          <w:sz w:val="21"/>
          <w:szCs w:val="21"/>
          <w:highlight w:val="none"/>
          <w:u w:val="single"/>
        </w:rPr>
        <w:t>龙湾区瑶溪街道环卫保洁一体化项目（项目编号：</w:t>
      </w:r>
      <w:r>
        <w:rPr>
          <w:rFonts w:hint="eastAsia" w:ascii="宋体" w:hAnsi="宋体"/>
          <w:color w:val="auto"/>
          <w:spacing w:val="-6"/>
          <w:sz w:val="21"/>
          <w:szCs w:val="21"/>
          <w:highlight w:val="none"/>
          <w:u w:val="single"/>
          <w:lang w:eastAsia="zh-CN"/>
        </w:rPr>
        <w:t>WZHC-20220923</w:t>
      </w:r>
      <w:r>
        <w:rPr>
          <w:rFonts w:hint="eastAsia" w:ascii="宋体" w:hAnsi="宋体"/>
          <w:color w:val="auto"/>
          <w:spacing w:val="-6"/>
          <w:sz w:val="21"/>
          <w:szCs w:val="21"/>
          <w:highlight w:val="none"/>
          <w:u w:val="single"/>
        </w:rPr>
        <w:t>）</w:t>
      </w:r>
      <w:r>
        <w:rPr>
          <w:rFonts w:hint="eastAsia" w:ascii="宋体" w:hAnsi="宋体"/>
          <w:color w:val="auto"/>
          <w:spacing w:val="-6"/>
          <w:sz w:val="21"/>
          <w:szCs w:val="21"/>
          <w:highlight w:val="none"/>
        </w:rPr>
        <w:t>项目的采购活动并承诺如下：</w:t>
      </w:r>
    </w:p>
    <w:p>
      <w:pPr>
        <w:adjustRightInd w:val="0"/>
        <w:snapToGrid w:val="0"/>
        <w:spacing w:line="360" w:lineRule="auto"/>
        <w:ind w:firstLine="396" w:firstLineChars="200"/>
        <w:jc w:val="left"/>
        <w:rPr>
          <w:rFonts w:ascii="宋体" w:hAnsi="宋体"/>
          <w:color w:val="auto"/>
          <w:spacing w:val="-6"/>
          <w:sz w:val="21"/>
          <w:szCs w:val="21"/>
          <w:highlight w:val="none"/>
        </w:rPr>
      </w:pPr>
      <w:r>
        <w:rPr>
          <w:rFonts w:hint="eastAsia" w:ascii="宋体" w:hAnsi="宋体"/>
          <w:color w:val="auto"/>
          <w:spacing w:val="-6"/>
          <w:sz w:val="21"/>
          <w:szCs w:val="21"/>
          <w:highlight w:val="none"/>
        </w:rPr>
        <w:t>一、我方满足《中华人民共和国政府采购法》第二十二条规定：</w:t>
      </w:r>
    </w:p>
    <w:p>
      <w:pPr>
        <w:adjustRightInd w:val="0"/>
        <w:snapToGrid w:val="0"/>
        <w:spacing w:line="360" w:lineRule="auto"/>
        <w:ind w:firstLine="396" w:firstLineChars="200"/>
        <w:jc w:val="left"/>
        <w:rPr>
          <w:rFonts w:ascii="宋体" w:hAnsi="宋体"/>
          <w:color w:val="auto"/>
          <w:spacing w:val="-6"/>
          <w:sz w:val="21"/>
          <w:szCs w:val="21"/>
          <w:highlight w:val="none"/>
        </w:rPr>
      </w:pPr>
      <w:r>
        <w:rPr>
          <w:rFonts w:hint="eastAsia" w:ascii="宋体" w:hAnsi="宋体"/>
          <w:color w:val="auto"/>
          <w:spacing w:val="-6"/>
          <w:sz w:val="21"/>
          <w:szCs w:val="21"/>
          <w:highlight w:val="none"/>
        </w:rPr>
        <w:t>（一）具有独立承担民事责任的能力；</w:t>
      </w:r>
    </w:p>
    <w:p>
      <w:pPr>
        <w:adjustRightInd w:val="0"/>
        <w:snapToGrid w:val="0"/>
        <w:spacing w:line="360" w:lineRule="auto"/>
        <w:ind w:firstLine="396" w:firstLineChars="200"/>
        <w:jc w:val="left"/>
        <w:rPr>
          <w:rFonts w:ascii="宋体" w:hAnsi="宋体"/>
          <w:color w:val="auto"/>
          <w:spacing w:val="-6"/>
          <w:sz w:val="21"/>
          <w:szCs w:val="21"/>
          <w:highlight w:val="none"/>
        </w:rPr>
      </w:pPr>
      <w:r>
        <w:rPr>
          <w:rFonts w:hint="eastAsia" w:ascii="宋体" w:hAnsi="宋体"/>
          <w:color w:val="auto"/>
          <w:spacing w:val="-6"/>
          <w:sz w:val="21"/>
          <w:szCs w:val="21"/>
          <w:highlight w:val="none"/>
        </w:rPr>
        <w:t>（二）具有良好的商业信誉和健全的财务会计制度；</w:t>
      </w:r>
    </w:p>
    <w:p>
      <w:pPr>
        <w:adjustRightInd w:val="0"/>
        <w:snapToGrid w:val="0"/>
        <w:spacing w:line="360" w:lineRule="auto"/>
        <w:ind w:firstLine="396" w:firstLineChars="200"/>
        <w:jc w:val="left"/>
        <w:rPr>
          <w:rFonts w:ascii="宋体" w:hAnsi="宋体"/>
          <w:color w:val="auto"/>
          <w:spacing w:val="-6"/>
          <w:sz w:val="21"/>
          <w:szCs w:val="21"/>
          <w:highlight w:val="none"/>
        </w:rPr>
      </w:pPr>
      <w:r>
        <w:rPr>
          <w:rFonts w:hint="eastAsia" w:ascii="宋体" w:hAnsi="宋体"/>
          <w:color w:val="auto"/>
          <w:spacing w:val="-6"/>
          <w:sz w:val="21"/>
          <w:szCs w:val="21"/>
          <w:highlight w:val="none"/>
        </w:rPr>
        <w:t>（三）具有履行合同所必需的设备和专业技术能力；</w:t>
      </w:r>
    </w:p>
    <w:p>
      <w:pPr>
        <w:adjustRightInd w:val="0"/>
        <w:snapToGrid w:val="0"/>
        <w:spacing w:line="360" w:lineRule="auto"/>
        <w:ind w:firstLine="396" w:firstLineChars="200"/>
        <w:jc w:val="left"/>
        <w:rPr>
          <w:rFonts w:ascii="宋体" w:hAnsi="宋体"/>
          <w:color w:val="auto"/>
          <w:spacing w:val="-6"/>
          <w:sz w:val="21"/>
          <w:szCs w:val="21"/>
          <w:highlight w:val="none"/>
        </w:rPr>
      </w:pPr>
      <w:r>
        <w:rPr>
          <w:rFonts w:hint="eastAsia" w:ascii="宋体" w:hAnsi="宋体"/>
          <w:color w:val="auto"/>
          <w:spacing w:val="-6"/>
          <w:sz w:val="21"/>
          <w:szCs w:val="21"/>
          <w:highlight w:val="none"/>
        </w:rPr>
        <w:t>（四）有依法缴纳税收和社会保障资金的良好记录；</w:t>
      </w:r>
    </w:p>
    <w:p>
      <w:pPr>
        <w:adjustRightInd w:val="0"/>
        <w:snapToGrid w:val="0"/>
        <w:spacing w:line="360" w:lineRule="auto"/>
        <w:ind w:firstLine="396" w:firstLineChars="200"/>
        <w:jc w:val="left"/>
        <w:rPr>
          <w:rFonts w:ascii="宋体" w:hAnsi="宋体"/>
          <w:color w:val="auto"/>
          <w:spacing w:val="-6"/>
          <w:sz w:val="21"/>
          <w:szCs w:val="21"/>
          <w:highlight w:val="none"/>
        </w:rPr>
      </w:pPr>
      <w:r>
        <w:rPr>
          <w:rFonts w:hint="eastAsia" w:ascii="宋体" w:hAnsi="宋体"/>
          <w:color w:val="auto"/>
          <w:spacing w:val="-6"/>
          <w:sz w:val="21"/>
          <w:szCs w:val="21"/>
          <w:highlight w:val="none"/>
        </w:rPr>
        <w:t>（五）参加本项目政府采购活动前三年内，在经营活动中</w:t>
      </w:r>
      <w:r>
        <w:rPr>
          <w:rFonts w:hint="eastAsia" w:ascii="宋体" w:hAnsi="宋体"/>
          <w:b/>
          <w:bCs/>
          <w:color w:val="auto"/>
          <w:spacing w:val="-6"/>
          <w:sz w:val="21"/>
          <w:szCs w:val="21"/>
          <w:highlight w:val="none"/>
          <w:u w:val="single"/>
        </w:rPr>
        <w:t xml:space="preserve">     </w:t>
      </w:r>
      <w:r>
        <w:rPr>
          <w:rFonts w:hint="eastAsia" w:hAnsi="宋体"/>
          <w:b/>
          <w:color w:val="auto"/>
          <w:sz w:val="21"/>
          <w:szCs w:val="21"/>
          <w:highlight w:val="none"/>
        </w:rPr>
        <w:t>（如实填写，填写“有”或“没有”；如填写“有”，资格审查不合格；如不填写视同未提供本承诺函）</w:t>
      </w:r>
      <w:r>
        <w:rPr>
          <w:rFonts w:hint="eastAsia" w:ascii="宋体" w:hAnsi="宋体"/>
          <w:color w:val="auto"/>
          <w:spacing w:val="-6"/>
          <w:sz w:val="21"/>
          <w:szCs w:val="21"/>
          <w:highlight w:val="none"/>
        </w:rPr>
        <w:t>重大违法记录。（重大违法记录是指供应商因违法经营受到刑事处罚或者责令停产停业、吊销许可证或者执照、较大数额罚款等行政处罚）</w:t>
      </w:r>
    </w:p>
    <w:p>
      <w:pPr>
        <w:adjustRightInd w:val="0"/>
        <w:snapToGrid w:val="0"/>
        <w:spacing w:line="360" w:lineRule="auto"/>
        <w:ind w:firstLine="396" w:firstLineChars="200"/>
        <w:jc w:val="left"/>
        <w:rPr>
          <w:rFonts w:ascii="宋体" w:hAnsi="宋体"/>
          <w:color w:val="auto"/>
          <w:spacing w:val="-6"/>
          <w:sz w:val="21"/>
          <w:szCs w:val="21"/>
          <w:highlight w:val="none"/>
        </w:rPr>
      </w:pPr>
      <w:r>
        <w:rPr>
          <w:rFonts w:hint="eastAsia" w:ascii="宋体" w:hAnsi="宋体"/>
          <w:color w:val="auto"/>
          <w:spacing w:val="-6"/>
          <w:sz w:val="21"/>
          <w:szCs w:val="21"/>
          <w:highlight w:val="none"/>
        </w:rPr>
        <w:t>（六）法律、行政法规规定的其他条件。</w:t>
      </w:r>
    </w:p>
    <w:p>
      <w:pPr>
        <w:adjustRightInd w:val="0"/>
        <w:snapToGrid w:val="0"/>
        <w:spacing w:line="360" w:lineRule="auto"/>
        <w:ind w:firstLine="396" w:firstLineChars="200"/>
        <w:jc w:val="left"/>
        <w:rPr>
          <w:rFonts w:ascii="宋体" w:hAnsi="宋体"/>
          <w:color w:val="auto"/>
          <w:spacing w:val="-6"/>
          <w:sz w:val="21"/>
          <w:szCs w:val="21"/>
          <w:highlight w:val="none"/>
        </w:rPr>
      </w:pPr>
      <w:r>
        <w:rPr>
          <w:rFonts w:hint="eastAsia" w:ascii="宋体" w:hAnsi="宋体"/>
          <w:color w:val="auto"/>
          <w:spacing w:val="-6"/>
          <w:sz w:val="21"/>
          <w:szCs w:val="21"/>
          <w:highlight w:val="none"/>
        </w:rPr>
        <w:t>二、未被信用中国（</w:t>
      </w:r>
      <w:r>
        <w:rPr>
          <w:rFonts w:ascii="宋体" w:hAnsi="宋体"/>
          <w:color w:val="auto"/>
          <w:spacing w:val="-6"/>
          <w:sz w:val="21"/>
          <w:szCs w:val="21"/>
          <w:highlight w:val="none"/>
        </w:rPr>
        <w:t>www.creditchina.gov.cn)、中国政府采购网（www.ccgp.gov.cn）列入失信被执行人、重大税收违法案件当事人名单、政府采购严重违法失信行为记录名单。</w:t>
      </w:r>
    </w:p>
    <w:p>
      <w:pPr>
        <w:adjustRightInd w:val="0"/>
        <w:snapToGrid w:val="0"/>
        <w:spacing w:line="360" w:lineRule="auto"/>
        <w:ind w:firstLine="396" w:firstLineChars="200"/>
        <w:rPr>
          <w:rFonts w:ascii="宋体" w:hAnsi="宋体"/>
          <w:color w:val="auto"/>
          <w:spacing w:val="-6"/>
          <w:sz w:val="21"/>
          <w:szCs w:val="21"/>
          <w:highlight w:val="none"/>
        </w:rPr>
      </w:pPr>
      <w:r>
        <w:rPr>
          <w:rFonts w:hint="eastAsia" w:ascii="宋体" w:hAnsi="宋体"/>
          <w:color w:val="auto"/>
          <w:spacing w:val="-6"/>
          <w:sz w:val="21"/>
          <w:szCs w:val="21"/>
          <w:highlight w:val="none"/>
        </w:rPr>
        <w:t>三、</w:t>
      </w:r>
      <w:r>
        <w:rPr>
          <w:rFonts w:ascii="宋体" w:hAnsi="宋体"/>
          <w:color w:val="auto"/>
          <w:spacing w:val="-6"/>
          <w:sz w:val="21"/>
          <w:szCs w:val="21"/>
          <w:highlight w:val="none"/>
        </w:rPr>
        <w:t>以上事项如有虚假或隐瞒，我方愿意承担一切后果和责任。</w:t>
      </w:r>
    </w:p>
    <w:p>
      <w:pPr>
        <w:adjustRightInd w:val="0"/>
        <w:snapToGrid w:val="0"/>
        <w:spacing w:line="360" w:lineRule="auto"/>
        <w:rPr>
          <w:rFonts w:ascii="宋体" w:hAnsi="宋体"/>
          <w:color w:val="auto"/>
          <w:sz w:val="21"/>
          <w:szCs w:val="21"/>
          <w:highlight w:val="none"/>
        </w:rPr>
      </w:pPr>
    </w:p>
    <w:p>
      <w:pPr>
        <w:spacing w:line="480" w:lineRule="auto"/>
        <w:ind w:firstLine="420" w:firstLineChars="200"/>
        <w:rPr>
          <w:rFonts w:ascii="宋体" w:hAnsi="宋体"/>
          <w:color w:val="auto"/>
          <w:sz w:val="21"/>
          <w:szCs w:val="21"/>
          <w:highlight w:val="none"/>
        </w:rPr>
      </w:pPr>
    </w:p>
    <w:p>
      <w:pPr>
        <w:pStyle w:val="23"/>
        <w:spacing w:before="120" w:after="120" w:line="360" w:lineRule="auto"/>
        <w:ind w:left="560" w:leftChars="200"/>
        <w:rPr>
          <w:rFonts w:hAnsi="宋体"/>
          <w:color w:val="auto"/>
          <w:sz w:val="21"/>
          <w:szCs w:val="21"/>
          <w:highlight w:val="none"/>
        </w:rPr>
      </w:pPr>
      <w:r>
        <w:rPr>
          <w:rFonts w:hint="eastAsia" w:hAnsi="宋体"/>
          <w:color w:val="auto"/>
          <w:sz w:val="21"/>
          <w:szCs w:val="21"/>
          <w:highlight w:val="none"/>
        </w:rPr>
        <w:t xml:space="preserve">投标人（盖公章）：                 </w:t>
      </w:r>
    </w:p>
    <w:p>
      <w:pPr>
        <w:pStyle w:val="23"/>
        <w:spacing w:before="120" w:after="120" w:line="360" w:lineRule="auto"/>
        <w:ind w:left="560" w:leftChars="200"/>
        <w:rPr>
          <w:rFonts w:hAnsi="宋体"/>
          <w:color w:val="auto"/>
          <w:sz w:val="21"/>
          <w:szCs w:val="21"/>
          <w:highlight w:val="none"/>
        </w:rPr>
      </w:pPr>
      <w:r>
        <w:rPr>
          <w:rFonts w:hint="eastAsia" w:hAnsi="宋体"/>
          <w:color w:val="auto"/>
          <w:sz w:val="21"/>
          <w:szCs w:val="21"/>
          <w:highlight w:val="none"/>
        </w:rPr>
        <w:t xml:space="preserve">投标人法定代表人或授权代表（签字或盖章）：        </w:t>
      </w:r>
    </w:p>
    <w:p>
      <w:pPr>
        <w:spacing w:line="360" w:lineRule="auto"/>
        <w:ind w:left="560" w:leftChars="200"/>
        <w:rPr>
          <w:rFonts w:hAnsi="宋体"/>
          <w:color w:val="auto"/>
          <w:sz w:val="21"/>
          <w:szCs w:val="21"/>
          <w:highlight w:val="none"/>
        </w:rPr>
      </w:pPr>
      <w:r>
        <w:rPr>
          <w:rFonts w:hint="eastAsia" w:hAnsi="宋体"/>
          <w:color w:val="auto"/>
          <w:sz w:val="21"/>
          <w:szCs w:val="21"/>
          <w:highlight w:val="none"/>
        </w:rPr>
        <w:t>日期：    年  月  日</w:t>
      </w:r>
    </w:p>
    <w:p>
      <w:pPr>
        <w:pStyle w:val="2"/>
        <w:ind w:firstLine="280"/>
        <w:rPr>
          <w:rFonts w:hint="eastAsia"/>
          <w:color w:val="auto"/>
          <w:highlight w:val="none"/>
        </w:rPr>
      </w:pPr>
      <w:r>
        <w:rPr>
          <w:color w:val="auto"/>
          <w:highlight w:val="none"/>
        </w:rPr>
        <w:br w:type="page"/>
      </w:r>
    </w:p>
    <w:p>
      <w:pPr>
        <w:pStyle w:val="2"/>
        <w:ind w:firstLine="280"/>
        <w:rPr>
          <w:rFonts w:hint="eastAsia"/>
          <w:color w:val="auto"/>
          <w:highlight w:val="none"/>
        </w:rPr>
      </w:pPr>
    </w:p>
    <w:p>
      <w:pPr>
        <w:pStyle w:val="2"/>
        <w:ind w:firstLine="280"/>
        <w:rPr>
          <w:rFonts w:hint="eastAsia"/>
          <w:color w:val="auto"/>
          <w:highlight w:val="none"/>
        </w:rPr>
      </w:pPr>
    </w:p>
    <w:p>
      <w:pPr>
        <w:spacing w:line="360" w:lineRule="auto"/>
        <w:jc w:val="center"/>
        <w:rPr>
          <w:rFonts w:ascii="宋体" w:hAnsi="宋体"/>
          <w:b/>
          <w:color w:val="auto"/>
          <w:spacing w:val="-6"/>
          <w:sz w:val="24"/>
          <w:highlight w:val="none"/>
        </w:rPr>
      </w:pPr>
      <w:r>
        <w:rPr>
          <w:rFonts w:hint="eastAsia" w:ascii="宋体" w:hAnsi="宋体"/>
          <w:b/>
          <w:color w:val="auto"/>
          <w:spacing w:val="-6"/>
          <w:sz w:val="24"/>
          <w:highlight w:val="none"/>
        </w:rPr>
        <w:t>“信用中国”（www.creditchina.gov.cn）、中国政府采购网（www.ccgp.gov.cn）信用记录查询网页截图</w:t>
      </w:r>
    </w:p>
    <w:p>
      <w:pPr>
        <w:pStyle w:val="2"/>
        <w:ind w:firstLine="280"/>
        <w:rPr>
          <w:rFonts w:hint="eastAsia"/>
          <w:color w:val="auto"/>
          <w:highlight w:val="none"/>
        </w:rPr>
      </w:pPr>
    </w:p>
    <w:p>
      <w:pPr>
        <w:pStyle w:val="2"/>
        <w:ind w:firstLine="280"/>
        <w:rPr>
          <w:color w:val="auto"/>
          <w:highlight w:val="none"/>
        </w:rPr>
      </w:pPr>
      <w:r>
        <w:rPr>
          <w:color w:val="auto"/>
          <w:highlight w:val="none"/>
        </w:rPr>
        <w:br w:type="page"/>
      </w:r>
    </w:p>
    <w:p>
      <w:pPr>
        <w:spacing w:line="360" w:lineRule="auto"/>
        <w:jc w:val="center"/>
        <w:rPr>
          <w:rFonts w:ascii="宋体" w:hAnsi="宋体"/>
          <w:color w:val="auto"/>
          <w:sz w:val="24"/>
          <w:highlight w:val="none"/>
        </w:rPr>
      </w:pPr>
    </w:p>
    <w:p>
      <w:pPr>
        <w:spacing w:line="360" w:lineRule="auto"/>
        <w:rPr>
          <w:rFonts w:ascii="宋体" w:hAnsi="宋体"/>
          <w:color w:val="auto"/>
          <w:sz w:val="24"/>
          <w:highlight w:val="none"/>
        </w:rPr>
      </w:pPr>
    </w:p>
    <w:p>
      <w:pPr>
        <w:pStyle w:val="19"/>
        <w:rPr>
          <w:color w:val="auto"/>
          <w:highlight w:val="none"/>
        </w:rPr>
      </w:pPr>
    </w:p>
    <w:p>
      <w:pPr>
        <w:spacing w:line="360" w:lineRule="auto"/>
        <w:rPr>
          <w:rFonts w:ascii="宋体" w:hAnsi="宋体"/>
          <w:color w:val="auto"/>
          <w:sz w:val="24"/>
          <w:highlight w:val="none"/>
        </w:rPr>
      </w:pPr>
      <w:r>
        <w:rPr>
          <w:rFonts w:hint="eastAsia" w:ascii="宋体" w:hAnsi="宋体"/>
          <w:color w:val="auto"/>
          <w:sz w:val="24"/>
          <w:highlight w:val="none"/>
        </w:rPr>
        <w:t>商务技术文件封面（供参考）</w:t>
      </w:r>
    </w:p>
    <w:p>
      <w:pPr>
        <w:spacing w:line="360" w:lineRule="auto"/>
        <w:rPr>
          <w:rFonts w:ascii="宋体" w:hAnsi="宋体"/>
          <w:b/>
          <w:bCs/>
          <w:color w:val="auto"/>
          <w:sz w:val="24"/>
          <w:highlight w:val="none"/>
        </w:rPr>
      </w:pPr>
    </w:p>
    <w:p>
      <w:pPr>
        <w:pStyle w:val="19"/>
        <w:rPr>
          <w:color w:val="auto"/>
          <w:highlight w:val="none"/>
        </w:rPr>
      </w:pPr>
    </w:p>
    <w:p>
      <w:pPr>
        <w:spacing w:line="360" w:lineRule="auto"/>
        <w:jc w:val="center"/>
        <w:rPr>
          <w:rFonts w:ascii="宋体" w:hAnsi="宋体"/>
          <w:bCs/>
          <w:i/>
          <w:color w:val="auto"/>
          <w:sz w:val="24"/>
          <w:highlight w:val="none"/>
          <w:u w:val="single"/>
        </w:rPr>
      </w:pPr>
      <w:r>
        <w:rPr>
          <w:rFonts w:hint="eastAsia" w:ascii="宋体" w:hAnsi="宋体"/>
          <w:bCs/>
          <w:color w:val="auto"/>
          <w:sz w:val="24"/>
          <w:highlight w:val="none"/>
          <w:u w:val="single"/>
        </w:rPr>
        <w:t xml:space="preserve">                    </w:t>
      </w:r>
      <w:r>
        <w:rPr>
          <w:rFonts w:hint="eastAsia" w:ascii="宋体" w:hAnsi="宋体"/>
          <w:bCs/>
          <w:i/>
          <w:color w:val="auto"/>
          <w:sz w:val="24"/>
          <w:highlight w:val="none"/>
          <w:u w:val="single"/>
        </w:rPr>
        <w:t>（投标人名称）</w:t>
      </w:r>
    </w:p>
    <w:p>
      <w:pPr>
        <w:spacing w:line="360" w:lineRule="auto"/>
        <w:jc w:val="center"/>
        <w:rPr>
          <w:rFonts w:ascii="宋体" w:hAnsi="宋体"/>
          <w:b/>
          <w:bCs/>
          <w:color w:val="auto"/>
          <w:sz w:val="24"/>
          <w:highlight w:val="none"/>
        </w:rPr>
      </w:pPr>
    </w:p>
    <w:p>
      <w:pPr>
        <w:spacing w:line="360" w:lineRule="auto"/>
        <w:jc w:val="center"/>
        <w:rPr>
          <w:rFonts w:ascii="宋体" w:hAnsi="宋体"/>
          <w:b/>
          <w:bCs/>
          <w:color w:val="auto"/>
          <w:sz w:val="48"/>
          <w:szCs w:val="48"/>
          <w:highlight w:val="none"/>
        </w:rPr>
      </w:pPr>
    </w:p>
    <w:p>
      <w:pPr>
        <w:spacing w:line="360" w:lineRule="auto"/>
        <w:jc w:val="center"/>
        <w:rPr>
          <w:rFonts w:ascii="宋体" w:hAnsi="宋体"/>
          <w:b/>
          <w:bCs/>
          <w:color w:val="auto"/>
          <w:sz w:val="48"/>
          <w:szCs w:val="48"/>
          <w:highlight w:val="none"/>
        </w:rPr>
      </w:pPr>
      <w:r>
        <w:rPr>
          <w:rFonts w:hint="eastAsia" w:ascii="宋体" w:hAnsi="宋体"/>
          <w:b/>
          <w:bCs/>
          <w:color w:val="auto"/>
          <w:sz w:val="48"/>
          <w:szCs w:val="48"/>
          <w:highlight w:val="none"/>
        </w:rPr>
        <w:t>商 务 技 术 文 件</w:t>
      </w:r>
    </w:p>
    <w:p>
      <w:pPr>
        <w:spacing w:line="360" w:lineRule="auto"/>
        <w:rPr>
          <w:rFonts w:ascii="宋体" w:hAnsi="宋体"/>
          <w:bCs/>
          <w:color w:val="auto"/>
          <w:sz w:val="24"/>
          <w:highlight w:val="none"/>
        </w:rPr>
      </w:pPr>
    </w:p>
    <w:p>
      <w:pPr>
        <w:pStyle w:val="19"/>
        <w:rPr>
          <w:color w:val="auto"/>
          <w:highlight w:val="none"/>
        </w:rPr>
      </w:pPr>
    </w:p>
    <w:p>
      <w:pPr>
        <w:spacing w:line="720" w:lineRule="auto"/>
        <w:ind w:left="848" w:leftChars="303"/>
        <w:rPr>
          <w:rFonts w:ascii="宋体" w:hAnsi="宋体"/>
          <w:bCs/>
          <w:color w:val="auto"/>
          <w:sz w:val="24"/>
          <w:highlight w:val="none"/>
        </w:rPr>
      </w:pPr>
      <w:r>
        <w:rPr>
          <w:rFonts w:hint="eastAsia" w:ascii="宋体" w:hAnsi="宋体"/>
          <w:bCs/>
          <w:color w:val="auto"/>
          <w:sz w:val="24"/>
          <w:highlight w:val="none"/>
        </w:rPr>
        <w:t>采购人：</w:t>
      </w:r>
      <w:r>
        <w:rPr>
          <w:rFonts w:hint="eastAsia" w:ascii="宋体" w:hAnsi="宋体"/>
          <w:bCs/>
          <w:color w:val="auto"/>
          <w:sz w:val="24"/>
          <w:highlight w:val="none"/>
          <w:lang w:eastAsia="zh-CN"/>
        </w:rPr>
        <w:t>温州市龙湾区城市管理服务有限公司</w:t>
      </w:r>
      <w:r>
        <w:rPr>
          <w:rFonts w:hint="eastAsia" w:ascii="宋体" w:hAnsi="宋体"/>
          <w:bCs/>
          <w:color w:val="auto"/>
          <w:sz w:val="24"/>
          <w:highlight w:val="none"/>
        </w:rPr>
        <w:t xml:space="preserve"> </w:t>
      </w:r>
    </w:p>
    <w:p>
      <w:pPr>
        <w:spacing w:line="720" w:lineRule="auto"/>
        <w:ind w:left="848" w:leftChars="303"/>
        <w:rPr>
          <w:rFonts w:ascii="宋体" w:hAnsi="宋体"/>
          <w:bCs/>
          <w:color w:val="auto"/>
          <w:sz w:val="24"/>
          <w:highlight w:val="none"/>
        </w:rPr>
      </w:pPr>
      <w:r>
        <w:rPr>
          <w:rFonts w:hint="eastAsia" w:ascii="宋体" w:hAnsi="宋体"/>
          <w:bCs/>
          <w:color w:val="auto"/>
          <w:sz w:val="24"/>
          <w:highlight w:val="none"/>
        </w:rPr>
        <w:t xml:space="preserve">项目名称：龙湾区瑶溪街道环卫保洁一体化项目 </w:t>
      </w:r>
    </w:p>
    <w:p>
      <w:pPr>
        <w:spacing w:line="720" w:lineRule="auto"/>
        <w:ind w:left="848" w:leftChars="303"/>
        <w:rPr>
          <w:rFonts w:ascii="宋体" w:hAnsi="宋体"/>
          <w:bCs/>
          <w:color w:val="auto"/>
          <w:sz w:val="24"/>
          <w:highlight w:val="none"/>
        </w:rPr>
      </w:pPr>
      <w:r>
        <w:rPr>
          <w:rFonts w:hint="eastAsia" w:ascii="宋体" w:hAnsi="宋体"/>
          <w:bCs/>
          <w:color w:val="auto"/>
          <w:sz w:val="24"/>
          <w:highlight w:val="none"/>
        </w:rPr>
        <w:t>项目编号：</w:t>
      </w:r>
      <w:r>
        <w:rPr>
          <w:rFonts w:hint="eastAsia" w:ascii="宋体" w:hAnsi="宋体"/>
          <w:bCs/>
          <w:color w:val="auto"/>
          <w:sz w:val="24"/>
          <w:highlight w:val="none"/>
          <w:lang w:eastAsia="zh-CN"/>
        </w:rPr>
        <w:t>WZHC-20220923</w:t>
      </w:r>
      <w:r>
        <w:rPr>
          <w:rFonts w:hint="eastAsia" w:ascii="宋体" w:hAnsi="宋体"/>
          <w:bCs/>
          <w:color w:val="auto"/>
          <w:sz w:val="24"/>
          <w:highlight w:val="none"/>
        </w:rPr>
        <w:t xml:space="preserve"> </w:t>
      </w:r>
    </w:p>
    <w:p>
      <w:pPr>
        <w:spacing w:line="720" w:lineRule="auto"/>
        <w:ind w:left="848" w:leftChars="303"/>
        <w:rPr>
          <w:rFonts w:ascii="宋体" w:hAnsi="宋体"/>
          <w:bCs/>
          <w:color w:val="auto"/>
          <w:sz w:val="24"/>
          <w:highlight w:val="none"/>
        </w:rPr>
      </w:pPr>
      <w:r>
        <w:rPr>
          <w:rFonts w:hint="eastAsia" w:ascii="宋体" w:hAnsi="宋体"/>
          <w:bCs/>
          <w:color w:val="auto"/>
          <w:sz w:val="24"/>
          <w:highlight w:val="none"/>
        </w:rPr>
        <w:t>投标人（盖公章）：</w:t>
      </w:r>
    </w:p>
    <w:p>
      <w:pPr>
        <w:spacing w:line="720" w:lineRule="auto"/>
        <w:ind w:left="848" w:leftChars="303"/>
        <w:rPr>
          <w:rFonts w:ascii="宋体" w:hAnsi="宋体"/>
          <w:bCs/>
          <w:color w:val="auto"/>
          <w:sz w:val="24"/>
          <w:highlight w:val="none"/>
        </w:rPr>
      </w:pPr>
      <w:r>
        <w:rPr>
          <w:rFonts w:hint="eastAsia" w:ascii="宋体" w:hAnsi="宋体"/>
          <w:bCs/>
          <w:color w:val="auto"/>
          <w:sz w:val="24"/>
          <w:highlight w:val="none"/>
        </w:rPr>
        <w:t>投标人地址：</w:t>
      </w:r>
    </w:p>
    <w:p>
      <w:pPr>
        <w:spacing w:line="480" w:lineRule="auto"/>
        <w:ind w:left="848" w:leftChars="303"/>
        <w:rPr>
          <w:rFonts w:ascii="宋体" w:hAnsi="宋体"/>
          <w:bCs/>
          <w:color w:val="auto"/>
          <w:sz w:val="24"/>
          <w:highlight w:val="none"/>
        </w:rPr>
      </w:pPr>
    </w:p>
    <w:p>
      <w:pPr>
        <w:spacing w:line="480" w:lineRule="auto"/>
        <w:ind w:left="848" w:leftChars="303"/>
        <w:rPr>
          <w:rFonts w:ascii="宋体" w:hAnsi="宋体"/>
          <w:bCs/>
          <w:color w:val="auto"/>
          <w:sz w:val="24"/>
          <w:highlight w:val="none"/>
        </w:rPr>
      </w:pPr>
      <w:r>
        <w:rPr>
          <w:rFonts w:hint="eastAsia" w:ascii="宋体" w:hAnsi="宋体"/>
          <w:bCs/>
          <w:color w:val="auto"/>
          <w:sz w:val="24"/>
          <w:highlight w:val="none"/>
        </w:rPr>
        <w:t>投标人法定代表人或授权代表（签字或盖章）：</w:t>
      </w:r>
    </w:p>
    <w:p>
      <w:pPr>
        <w:spacing w:line="480" w:lineRule="auto"/>
        <w:ind w:left="848" w:leftChars="303"/>
        <w:rPr>
          <w:rFonts w:ascii="宋体" w:hAnsi="宋体"/>
          <w:bCs/>
          <w:color w:val="auto"/>
          <w:sz w:val="24"/>
          <w:highlight w:val="none"/>
        </w:rPr>
      </w:pPr>
      <w:r>
        <w:rPr>
          <w:rFonts w:hint="eastAsia" w:ascii="宋体" w:hAnsi="宋体"/>
          <w:bCs/>
          <w:color w:val="auto"/>
          <w:sz w:val="24"/>
          <w:highlight w:val="none"/>
        </w:rPr>
        <w:t xml:space="preserve">日期： </w:t>
      </w:r>
      <w:r>
        <w:rPr>
          <w:rFonts w:ascii="宋体" w:hAnsi="宋体"/>
          <w:bCs/>
          <w:color w:val="auto"/>
          <w:sz w:val="24"/>
          <w:highlight w:val="none"/>
        </w:rPr>
        <w:t xml:space="preserve">  </w:t>
      </w:r>
      <w:r>
        <w:rPr>
          <w:rFonts w:hint="eastAsia" w:ascii="宋体" w:hAnsi="宋体"/>
          <w:bCs/>
          <w:color w:val="auto"/>
          <w:sz w:val="24"/>
          <w:highlight w:val="none"/>
        </w:rPr>
        <w:t xml:space="preserve"> 年  月  日</w:t>
      </w:r>
    </w:p>
    <w:p>
      <w:pPr>
        <w:pStyle w:val="2"/>
        <w:ind w:firstLine="280"/>
        <w:rPr>
          <w:rFonts w:ascii="宋体" w:hAnsi="宋体" w:cs="宋体"/>
          <w:bCs/>
          <w:color w:val="auto"/>
          <w:spacing w:val="-6"/>
          <w:sz w:val="32"/>
          <w:szCs w:val="32"/>
          <w:highlight w:val="none"/>
        </w:rPr>
      </w:pPr>
      <w:r>
        <w:rPr>
          <w:color w:val="auto"/>
          <w:highlight w:val="none"/>
        </w:rPr>
        <w:br w:type="page"/>
      </w:r>
    </w:p>
    <w:p>
      <w:pPr>
        <w:spacing w:line="360" w:lineRule="auto"/>
        <w:jc w:val="center"/>
        <w:rPr>
          <w:rFonts w:ascii="宋体" w:hAnsi="宋体" w:cs="宋体"/>
          <w:bCs/>
          <w:color w:val="auto"/>
          <w:spacing w:val="-6"/>
          <w:sz w:val="32"/>
          <w:szCs w:val="32"/>
          <w:highlight w:val="none"/>
        </w:rPr>
      </w:pPr>
      <w:r>
        <w:rPr>
          <w:rFonts w:hint="eastAsia" w:ascii="宋体" w:hAnsi="宋体" w:cs="宋体"/>
          <w:bCs/>
          <w:color w:val="auto"/>
          <w:spacing w:val="-6"/>
          <w:sz w:val="32"/>
          <w:szCs w:val="32"/>
          <w:highlight w:val="none"/>
        </w:rPr>
        <w:t>评分索引表</w:t>
      </w:r>
    </w:p>
    <w:p>
      <w:pPr>
        <w:pStyle w:val="2"/>
        <w:ind w:firstLine="280"/>
        <w:rPr>
          <w:color w:val="auto"/>
          <w:highlight w:val="none"/>
        </w:rPr>
      </w:pPr>
    </w:p>
    <w:tbl>
      <w:tblPr>
        <w:tblStyle w:val="42"/>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1604"/>
        <w:gridCol w:w="4344"/>
        <w:gridCol w:w="155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715" w:type="dxa"/>
            <w:noWrap w:val="0"/>
            <w:vAlign w:val="center"/>
          </w:tcPr>
          <w:p>
            <w:pPr>
              <w:spacing w:line="300" w:lineRule="exact"/>
              <w:ind w:left="-50"/>
              <w:jc w:val="center"/>
              <w:rPr>
                <w:rFonts w:ascii="宋体" w:hAnsi="宋体"/>
                <w:b/>
                <w:color w:val="auto"/>
                <w:sz w:val="21"/>
                <w:szCs w:val="21"/>
                <w:highlight w:val="none"/>
              </w:rPr>
            </w:pPr>
            <w:r>
              <w:rPr>
                <w:rFonts w:hint="eastAsia" w:ascii="宋体" w:hAnsi="宋体"/>
                <w:b/>
                <w:color w:val="auto"/>
                <w:sz w:val="21"/>
                <w:szCs w:val="21"/>
                <w:highlight w:val="none"/>
              </w:rPr>
              <w:t>序号</w:t>
            </w:r>
          </w:p>
        </w:tc>
        <w:tc>
          <w:tcPr>
            <w:tcW w:w="1604" w:type="dxa"/>
            <w:noWrap w:val="0"/>
            <w:vAlign w:val="center"/>
          </w:tcPr>
          <w:p>
            <w:pPr>
              <w:spacing w:line="300" w:lineRule="exact"/>
              <w:ind w:left="-50"/>
              <w:jc w:val="center"/>
              <w:rPr>
                <w:rFonts w:ascii="宋体" w:hAnsi="宋体"/>
                <w:b/>
                <w:color w:val="auto"/>
                <w:sz w:val="21"/>
                <w:szCs w:val="21"/>
                <w:highlight w:val="none"/>
              </w:rPr>
            </w:pPr>
            <w:r>
              <w:rPr>
                <w:rFonts w:hint="eastAsia" w:ascii="宋体" w:hAnsi="宋体"/>
                <w:b/>
                <w:color w:val="auto"/>
                <w:sz w:val="21"/>
                <w:szCs w:val="21"/>
                <w:highlight w:val="none"/>
              </w:rPr>
              <w:t>评审内容</w:t>
            </w:r>
          </w:p>
        </w:tc>
        <w:tc>
          <w:tcPr>
            <w:tcW w:w="4344" w:type="dxa"/>
            <w:noWrap w:val="0"/>
            <w:vAlign w:val="center"/>
          </w:tcPr>
          <w:p>
            <w:pPr>
              <w:spacing w:line="300" w:lineRule="exact"/>
              <w:ind w:left="-50"/>
              <w:jc w:val="center"/>
              <w:rPr>
                <w:rFonts w:ascii="宋体" w:hAnsi="宋体"/>
                <w:b/>
                <w:color w:val="auto"/>
                <w:sz w:val="21"/>
                <w:szCs w:val="21"/>
                <w:highlight w:val="none"/>
              </w:rPr>
            </w:pPr>
            <w:r>
              <w:rPr>
                <w:rFonts w:hAnsi="宋体"/>
                <w:b/>
                <w:bCs/>
                <w:color w:val="auto"/>
                <w:sz w:val="21"/>
                <w:szCs w:val="21"/>
                <w:highlight w:val="none"/>
              </w:rPr>
              <w:t>评分方法</w:t>
            </w:r>
          </w:p>
        </w:tc>
        <w:tc>
          <w:tcPr>
            <w:tcW w:w="1559" w:type="dxa"/>
            <w:tcBorders>
              <w:left w:val="single" w:color="auto" w:sz="6" w:space="0"/>
            </w:tcBorders>
            <w:noWrap w:val="0"/>
            <w:vAlign w:val="center"/>
          </w:tcPr>
          <w:p>
            <w:pPr>
              <w:spacing w:line="300" w:lineRule="exact"/>
              <w:ind w:left="-50"/>
              <w:jc w:val="center"/>
              <w:rPr>
                <w:rFonts w:ascii="宋体" w:hAnsi="宋体"/>
                <w:b/>
                <w:color w:val="auto"/>
                <w:sz w:val="21"/>
                <w:szCs w:val="21"/>
                <w:highlight w:val="none"/>
              </w:rPr>
            </w:pPr>
            <w:r>
              <w:rPr>
                <w:rFonts w:hint="eastAsia" w:ascii="宋体" w:hAnsi="宋体"/>
                <w:b/>
                <w:color w:val="auto"/>
                <w:sz w:val="21"/>
                <w:szCs w:val="21"/>
                <w:highlight w:val="none"/>
              </w:rPr>
              <w:t>分值范围</w:t>
            </w:r>
          </w:p>
        </w:tc>
        <w:tc>
          <w:tcPr>
            <w:tcW w:w="1276" w:type="dxa"/>
            <w:tcBorders>
              <w:left w:val="single" w:color="auto" w:sz="6" w:space="0"/>
            </w:tcBorders>
            <w:noWrap w:val="0"/>
            <w:vAlign w:val="center"/>
          </w:tcPr>
          <w:p>
            <w:pPr>
              <w:spacing w:line="300" w:lineRule="exact"/>
              <w:ind w:left="-50"/>
              <w:jc w:val="center"/>
              <w:rPr>
                <w:rFonts w:ascii="宋体" w:hAnsi="宋体"/>
                <w:b/>
                <w:color w:val="auto"/>
                <w:sz w:val="21"/>
                <w:szCs w:val="21"/>
                <w:highlight w:val="none"/>
              </w:rPr>
            </w:pPr>
            <w:r>
              <w:rPr>
                <w:rFonts w:hint="eastAsia" w:ascii="宋体" w:hAnsi="宋体"/>
                <w:b/>
                <w:color w:val="auto"/>
                <w:sz w:val="21"/>
                <w:szCs w:val="21"/>
                <w:highlight w:val="none"/>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715" w:type="dxa"/>
            <w:noWrap w:val="0"/>
            <w:vAlign w:val="center"/>
          </w:tcPr>
          <w:p>
            <w:pPr>
              <w:spacing w:line="300" w:lineRule="exact"/>
              <w:ind w:left="-50"/>
              <w:jc w:val="center"/>
              <w:rPr>
                <w:rFonts w:ascii="宋体" w:hAnsi="宋体"/>
                <w:color w:val="auto"/>
                <w:sz w:val="21"/>
                <w:szCs w:val="21"/>
                <w:highlight w:val="none"/>
              </w:rPr>
            </w:pPr>
          </w:p>
        </w:tc>
        <w:tc>
          <w:tcPr>
            <w:tcW w:w="1604" w:type="dxa"/>
            <w:noWrap w:val="0"/>
            <w:vAlign w:val="center"/>
          </w:tcPr>
          <w:p>
            <w:pPr>
              <w:spacing w:line="300" w:lineRule="exact"/>
              <w:ind w:left="-50"/>
              <w:jc w:val="center"/>
              <w:rPr>
                <w:rFonts w:ascii="宋体" w:hAnsi="宋体"/>
                <w:color w:val="auto"/>
                <w:sz w:val="21"/>
                <w:szCs w:val="21"/>
                <w:highlight w:val="none"/>
              </w:rPr>
            </w:pPr>
          </w:p>
        </w:tc>
        <w:tc>
          <w:tcPr>
            <w:tcW w:w="4344" w:type="dxa"/>
            <w:noWrap w:val="0"/>
            <w:vAlign w:val="center"/>
          </w:tcPr>
          <w:p>
            <w:pPr>
              <w:spacing w:line="300" w:lineRule="exact"/>
              <w:ind w:left="-50"/>
              <w:jc w:val="center"/>
              <w:rPr>
                <w:rFonts w:ascii="宋体" w:hAnsi="宋体"/>
                <w:color w:val="auto"/>
                <w:sz w:val="21"/>
                <w:szCs w:val="21"/>
                <w:highlight w:val="none"/>
              </w:rPr>
            </w:pPr>
          </w:p>
        </w:tc>
        <w:tc>
          <w:tcPr>
            <w:tcW w:w="1559" w:type="dxa"/>
            <w:tcBorders>
              <w:left w:val="single" w:color="auto" w:sz="6" w:space="0"/>
            </w:tcBorders>
            <w:noWrap w:val="0"/>
            <w:vAlign w:val="center"/>
          </w:tcPr>
          <w:p>
            <w:pPr>
              <w:spacing w:line="300" w:lineRule="exact"/>
              <w:ind w:left="-50"/>
              <w:jc w:val="left"/>
              <w:rPr>
                <w:rFonts w:ascii="宋体" w:hAnsi="宋体"/>
                <w:color w:val="auto"/>
                <w:sz w:val="21"/>
                <w:szCs w:val="21"/>
                <w:highlight w:val="none"/>
              </w:rPr>
            </w:pPr>
          </w:p>
        </w:tc>
        <w:tc>
          <w:tcPr>
            <w:tcW w:w="1276" w:type="dxa"/>
            <w:tcBorders>
              <w:left w:val="single" w:color="auto" w:sz="6" w:space="0"/>
            </w:tcBorders>
            <w:noWrap w:val="0"/>
            <w:vAlign w:val="top"/>
          </w:tcPr>
          <w:p>
            <w:pPr>
              <w:spacing w:line="300" w:lineRule="exact"/>
              <w:ind w:left="-50"/>
              <w:jc w:val="left"/>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715" w:type="dxa"/>
            <w:noWrap w:val="0"/>
            <w:vAlign w:val="center"/>
          </w:tcPr>
          <w:p>
            <w:pPr>
              <w:spacing w:line="300" w:lineRule="exact"/>
              <w:ind w:left="-50"/>
              <w:jc w:val="center"/>
              <w:rPr>
                <w:rFonts w:ascii="宋体" w:hAnsi="宋体"/>
                <w:color w:val="auto"/>
                <w:sz w:val="21"/>
                <w:szCs w:val="21"/>
                <w:highlight w:val="none"/>
              </w:rPr>
            </w:pPr>
          </w:p>
        </w:tc>
        <w:tc>
          <w:tcPr>
            <w:tcW w:w="1604" w:type="dxa"/>
            <w:noWrap w:val="0"/>
            <w:vAlign w:val="center"/>
          </w:tcPr>
          <w:p>
            <w:pPr>
              <w:spacing w:line="300" w:lineRule="exact"/>
              <w:jc w:val="center"/>
              <w:rPr>
                <w:rFonts w:ascii="宋体" w:hAnsi="宋体"/>
                <w:color w:val="auto"/>
                <w:sz w:val="21"/>
                <w:szCs w:val="21"/>
                <w:highlight w:val="none"/>
              </w:rPr>
            </w:pPr>
          </w:p>
        </w:tc>
        <w:tc>
          <w:tcPr>
            <w:tcW w:w="4344" w:type="dxa"/>
            <w:noWrap w:val="0"/>
            <w:vAlign w:val="center"/>
          </w:tcPr>
          <w:p>
            <w:pPr>
              <w:spacing w:line="300" w:lineRule="exact"/>
              <w:jc w:val="center"/>
              <w:rPr>
                <w:rFonts w:ascii="宋体" w:hAnsi="宋体"/>
                <w:color w:val="auto"/>
                <w:sz w:val="21"/>
                <w:szCs w:val="21"/>
                <w:highlight w:val="none"/>
              </w:rPr>
            </w:pPr>
          </w:p>
        </w:tc>
        <w:tc>
          <w:tcPr>
            <w:tcW w:w="1559" w:type="dxa"/>
            <w:tcBorders>
              <w:left w:val="single" w:color="auto" w:sz="6" w:space="0"/>
            </w:tcBorders>
            <w:noWrap w:val="0"/>
            <w:vAlign w:val="center"/>
          </w:tcPr>
          <w:p>
            <w:pPr>
              <w:snapToGrid w:val="0"/>
              <w:spacing w:line="300" w:lineRule="exact"/>
              <w:jc w:val="left"/>
              <w:rPr>
                <w:rFonts w:ascii="宋体" w:hAnsi="宋体" w:cs="宋体"/>
                <w:color w:val="auto"/>
                <w:sz w:val="21"/>
                <w:szCs w:val="21"/>
                <w:highlight w:val="none"/>
              </w:rPr>
            </w:pPr>
          </w:p>
        </w:tc>
        <w:tc>
          <w:tcPr>
            <w:tcW w:w="1276" w:type="dxa"/>
            <w:tcBorders>
              <w:left w:val="single" w:color="auto" w:sz="6" w:space="0"/>
            </w:tcBorders>
            <w:noWrap w:val="0"/>
            <w:vAlign w:val="top"/>
          </w:tcPr>
          <w:p>
            <w:pPr>
              <w:snapToGrid w:val="0"/>
              <w:spacing w:line="300" w:lineRule="exact"/>
              <w:jc w:val="left"/>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715" w:type="dxa"/>
            <w:noWrap w:val="0"/>
            <w:vAlign w:val="center"/>
          </w:tcPr>
          <w:p>
            <w:pPr>
              <w:spacing w:line="300" w:lineRule="exact"/>
              <w:ind w:left="-50"/>
              <w:jc w:val="center"/>
              <w:rPr>
                <w:rFonts w:ascii="宋体" w:hAnsi="宋体"/>
                <w:color w:val="auto"/>
                <w:sz w:val="21"/>
                <w:szCs w:val="21"/>
                <w:highlight w:val="none"/>
              </w:rPr>
            </w:pPr>
          </w:p>
        </w:tc>
        <w:tc>
          <w:tcPr>
            <w:tcW w:w="1604" w:type="dxa"/>
            <w:noWrap w:val="0"/>
            <w:vAlign w:val="center"/>
          </w:tcPr>
          <w:p>
            <w:pPr>
              <w:spacing w:line="300" w:lineRule="exact"/>
              <w:jc w:val="center"/>
              <w:rPr>
                <w:rFonts w:ascii="宋体" w:hAnsi="宋体"/>
                <w:color w:val="auto"/>
                <w:sz w:val="21"/>
                <w:szCs w:val="21"/>
                <w:highlight w:val="none"/>
              </w:rPr>
            </w:pPr>
          </w:p>
        </w:tc>
        <w:tc>
          <w:tcPr>
            <w:tcW w:w="4344" w:type="dxa"/>
            <w:noWrap w:val="0"/>
            <w:vAlign w:val="center"/>
          </w:tcPr>
          <w:p>
            <w:pPr>
              <w:spacing w:line="300" w:lineRule="exact"/>
              <w:jc w:val="center"/>
              <w:rPr>
                <w:rFonts w:ascii="宋体" w:hAnsi="宋体"/>
                <w:color w:val="auto"/>
                <w:sz w:val="21"/>
                <w:szCs w:val="21"/>
                <w:highlight w:val="none"/>
              </w:rPr>
            </w:pPr>
          </w:p>
        </w:tc>
        <w:tc>
          <w:tcPr>
            <w:tcW w:w="1559" w:type="dxa"/>
            <w:tcBorders>
              <w:left w:val="single" w:color="auto" w:sz="6" w:space="0"/>
            </w:tcBorders>
            <w:noWrap w:val="0"/>
            <w:vAlign w:val="center"/>
          </w:tcPr>
          <w:p>
            <w:pPr>
              <w:snapToGrid w:val="0"/>
              <w:spacing w:line="300" w:lineRule="exact"/>
              <w:jc w:val="left"/>
              <w:rPr>
                <w:rFonts w:ascii="宋体" w:hAnsi="宋体" w:cs="宋体"/>
                <w:color w:val="auto"/>
                <w:sz w:val="21"/>
                <w:szCs w:val="21"/>
                <w:highlight w:val="none"/>
              </w:rPr>
            </w:pPr>
          </w:p>
        </w:tc>
        <w:tc>
          <w:tcPr>
            <w:tcW w:w="1276" w:type="dxa"/>
            <w:tcBorders>
              <w:left w:val="single" w:color="auto" w:sz="6" w:space="0"/>
            </w:tcBorders>
            <w:noWrap w:val="0"/>
            <w:vAlign w:val="top"/>
          </w:tcPr>
          <w:p>
            <w:pPr>
              <w:snapToGrid w:val="0"/>
              <w:spacing w:line="300" w:lineRule="exact"/>
              <w:jc w:val="left"/>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715" w:type="dxa"/>
            <w:noWrap w:val="0"/>
            <w:vAlign w:val="center"/>
          </w:tcPr>
          <w:p>
            <w:pPr>
              <w:spacing w:line="300" w:lineRule="exact"/>
              <w:ind w:left="-50"/>
              <w:jc w:val="center"/>
              <w:rPr>
                <w:rFonts w:ascii="宋体" w:hAnsi="宋体"/>
                <w:color w:val="auto"/>
                <w:sz w:val="21"/>
                <w:szCs w:val="21"/>
                <w:highlight w:val="none"/>
              </w:rPr>
            </w:pPr>
          </w:p>
        </w:tc>
        <w:tc>
          <w:tcPr>
            <w:tcW w:w="1604" w:type="dxa"/>
            <w:noWrap w:val="0"/>
            <w:vAlign w:val="center"/>
          </w:tcPr>
          <w:p>
            <w:pPr>
              <w:spacing w:line="300" w:lineRule="exact"/>
              <w:jc w:val="center"/>
              <w:rPr>
                <w:rFonts w:ascii="宋体" w:hAnsi="宋体"/>
                <w:color w:val="auto"/>
                <w:sz w:val="21"/>
                <w:szCs w:val="21"/>
                <w:highlight w:val="none"/>
              </w:rPr>
            </w:pPr>
          </w:p>
        </w:tc>
        <w:tc>
          <w:tcPr>
            <w:tcW w:w="4344" w:type="dxa"/>
            <w:noWrap w:val="0"/>
            <w:vAlign w:val="center"/>
          </w:tcPr>
          <w:p>
            <w:pPr>
              <w:spacing w:line="300" w:lineRule="exact"/>
              <w:jc w:val="center"/>
              <w:rPr>
                <w:rFonts w:ascii="宋体" w:hAnsi="宋体"/>
                <w:color w:val="auto"/>
                <w:sz w:val="21"/>
                <w:szCs w:val="21"/>
                <w:highlight w:val="none"/>
              </w:rPr>
            </w:pPr>
          </w:p>
        </w:tc>
        <w:tc>
          <w:tcPr>
            <w:tcW w:w="1559" w:type="dxa"/>
            <w:tcBorders>
              <w:left w:val="single" w:color="auto" w:sz="6" w:space="0"/>
            </w:tcBorders>
            <w:noWrap w:val="0"/>
            <w:vAlign w:val="center"/>
          </w:tcPr>
          <w:p>
            <w:pPr>
              <w:snapToGrid w:val="0"/>
              <w:spacing w:line="300" w:lineRule="exact"/>
              <w:jc w:val="left"/>
              <w:rPr>
                <w:rFonts w:ascii="宋体" w:hAnsi="宋体" w:cs="宋体"/>
                <w:color w:val="auto"/>
                <w:sz w:val="21"/>
                <w:szCs w:val="21"/>
                <w:highlight w:val="none"/>
              </w:rPr>
            </w:pPr>
          </w:p>
        </w:tc>
        <w:tc>
          <w:tcPr>
            <w:tcW w:w="1276" w:type="dxa"/>
            <w:tcBorders>
              <w:left w:val="single" w:color="auto" w:sz="6" w:space="0"/>
            </w:tcBorders>
            <w:noWrap w:val="0"/>
            <w:vAlign w:val="top"/>
          </w:tcPr>
          <w:p>
            <w:pPr>
              <w:snapToGrid w:val="0"/>
              <w:spacing w:line="300" w:lineRule="exact"/>
              <w:jc w:val="left"/>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715" w:type="dxa"/>
            <w:noWrap w:val="0"/>
            <w:vAlign w:val="center"/>
          </w:tcPr>
          <w:p>
            <w:pPr>
              <w:spacing w:line="300" w:lineRule="exact"/>
              <w:ind w:left="-50"/>
              <w:jc w:val="center"/>
              <w:rPr>
                <w:rFonts w:ascii="宋体" w:hAnsi="宋体"/>
                <w:color w:val="auto"/>
                <w:sz w:val="21"/>
                <w:szCs w:val="21"/>
                <w:highlight w:val="none"/>
              </w:rPr>
            </w:pPr>
          </w:p>
        </w:tc>
        <w:tc>
          <w:tcPr>
            <w:tcW w:w="1604" w:type="dxa"/>
            <w:noWrap w:val="0"/>
            <w:vAlign w:val="center"/>
          </w:tcPr>
          <w:p>
            <w:pPr>
              <w:spacing w:line="300" w:lineRule="exact"/>
              <w:jc w:val="center"/>
              <w:rPr>
                <w:rFonts w:ascii="宋体" w:hAnsi="宋体"/>
                <w:color w:val="auto"/>
                <w:sz w:val="21"/>
                <w:szCs w:val="21"/>
                <w:highlight w:val="none"/>
              </w:rPr>
            </w:pPr>
          </w:p>
        </w:tc>
        <w:tc>
          <w:tcPr>
            <w:tcW w:w="4344" w:type="dxa"/>
            <w:noWrap w:val="0"/>
            <w:vAlign w:val="center"/>
          </w:tcPr>
          <w:p>
            <w:pPr>
              <w:spacing w:line="300" w:lineRule="exact"/>
              <w:jc w:val="center"/>
              <w:rPr>
                <w:rFonts w:ascii="宋体" w:hAnsi="宋体"/>
                <w:color w:val="auto"/>
                <w:sz w:val="21"/>
                <w:szCs w:val="21"/>
                <w:highlight w:val="none"/>
              </w:rPr>
            </w:pPr>
          </w:p>
        </w:tc>
        <w:tc>
          <w:tcPr>
            <w:tcW w:w="1559" w:type="dxa"/>
            <w:tcBorders>
              <w:left w:val="single" w:color="auto" w:sz="6" w:space="0"/>
            </w:tcBorders>
            <w:noWrap w:val="0"/>
            <w:vAlign w:val="center"/>
          </w:tcPr>
          <w:p>
            <w:pPr>
              <w:snapToGrid w:val="0"/>
              <w:spacing w:line="300" w:lineRule="exact"/>
              <w:jc w:val="left"/>
              <w:rPr>
                <w:rFonts w:ascii="宋体" w:hAnsi="宋体" w:cs="宋体"/>
                <w:color w:val="auto"/>
                <w:sz w:val="21"/>
                <w:szCs w:val="21"/>
                <w:highlight w:val="none"/>
              </w:rPr>
            </w:pPr>
          </w:p>
        </w:tc>
        <w:tc>
          <w:tcPr>
            <w:tcW w:w="1276" w:type="dxa"/>
            <w:tcBorders>
              <w:left w:val="single" w:color="auto" w:sz="6" w:space="0"/>
            </w:tcBorders>
            <w:noWrap w:val="0"/>
            <w:vAlign w:val="top"/>
          </w:tcPr>
          <w:p>
            <w:pPr>
              <w:snapToGrid w:val="0"/>
              <w:spacing w:line="300" w:lineRule="exact"/>
              <w:jc w:val="left"/>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715" w:type="dxa"/>
            <w:noWrap w:val="0"/>
            <w:vAlign w:val="center"/>
          </w:tcPr>
          <w:p>
            <w:pPr>
              <w:spacing w:line="300" w:lineRule="exact"/>
              <w:ind w:left="-50"/>
              <w:jc w:val="center"/>
              <w:rPr>
                <w:rFonts w:ascii="宋体" w:hAnsi="宋体"/>
                <w:color w:val="auto"/>
                <w:sz w:val="21"/>
                <w:szCs w:val="21"/>
                <w:highlight w:val="none"/>
              </w:rPr>
            </w:pPr>
          </w:p>
        </w:tc>
        <w:tc>
          <w:tcPr>
            <w:tcW w:w="1604" w:type="dxa"/>
            <w:noWrap w:val="0"/>
            <w:vAlign w:val="center"/>
          </w:tcPr>
          <w:p>
            <w:pPr>
              <w:spacing w:line="300" w:lineRule="exact"/>
              <w:jc w:val="center"/>
              <w:rPr>
                <w:rFonts w:ascii="宋体" w:hAnsi="宋体"/>
                <w:color w:val="auto"/>
                <w:sz w:val="21"/>
                <w:szCs w:val="21"/>
                <w:highlight w:val="none"/>
              </w:rPr>
            </w:pPr>
          </w:p>
        </w:tc>
        <w:tc>
          <w:tcPr>
            <w:tcW w:w="4344" w:type="dxa"/>
            <w:noWrap w:val="0"/>
            <w:vAlign w:val="center"/>
          </w:tcPr>
          <w:p>
            <w:pPr>
              <w:spacing w:line="300" w:lineRule="exact"/>
              <w:jc w:val="center"/>
              <w:rPr>
                <w:rFonts w:ascii="宋体" w:hAnsi="宋体"/>
                <w:color w:val="auto"/>
                <w:sz w:val="21"/>
                <w:szCs w:val="21"/>
                <w:highlight w:val="none"/>
              </w:rPr>
            </w:pPr>
          </w:p>
        </w:tc>
        <w:tc>
          <w:tcPr>
            <w:tcW w:w="1559" w:type="dxa"/>
            <w:tcBorders>
              <w:left w:val="single" w:color="auto" w:sz="6" w:space="0"/>
            </w:tcBorders>
            <w:noWrap w:val="0"/>
            <w:vAlign w:val="center"/>
          </w:tcPr>
          <w:p>
            <w:pPr>
              <w:snapToGrid w:val="0"/>
              <w:spacing w:line="300" w:lineRule="exact"/>
              <w:jc w:val="left"/>
              <w:rPr>
                <w:rFonts w:ascii="宋体" w:hAnsi="宋体" w:cs="宋体"/>
                <w:color w:val="auto"/>
                <w:sz w:val="21"/>
                <w:szCs w:val="21"/>
                <w:highlight w:val="none"/>
              </w:rPr>
            </w:pPr>
          </w:p>
        </w:tc>
        <w:tc>
          <w:tcPr>
            <w:tcW w:w="1276" w:type="dxa"/>
            <w:tcBorders>
              <w:left w:val="single" w:color="auto" w:sz="6" w:space="0"/>
            </w:tcBorders>
            <w:noWrap w:val="0"/>
            <w:vAlign w:val="top"/>
          </w:tcPr>
          <w:p>
            <w:pPr>
              <w:snapToGrid w:val="0"/>
              <w:spacing w:line="300" w:lineRule="exact"/>
              <w:jc w:val="left"/>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715" w:type="dxa"/>
            <w:noWrap w:val="0"/>
            <w:vAlign w:val="center"/>
          </w:tcPr>
          <w:p>
            <w:pPr>
              <w:spacing w:line="300" w:lineRule="exact"/>
              <w:ind w:left="-50"/>
              <w:jc w:val="center"/>
              <w:rPr>
                <w:rFonts w:ascii="宋体" w:hAnsi="宋体"/>
                <w:color w:val="auto"/>
                <w:sz w:val="21"/>
                <w:szCs w:val="21"/>
                <w:highlight w:val="none"/>
              </w:rPr>
            </w:pPr>
          </w:p>
        </w:tc>
        <w:tc>
          <w:tcPr>
            <w:tcW w:w="1604" w:type="dxa"/>
            <w:noWrap w:val="0"/>
            <w:vAlign w:val="center"/>
          </w:tcPr>
          <w:p>
            <w:pPr>
              <w:spacing w:line="300" w:lineRule="exact"/>
              <w:jc w:val="center"/>
              <w:rPr>
                <w:rFonts w:ascii="宋体" w:hAnsi="宋体"/>
                <w:color w:val="auto"/>
                <w:sz w:val="21"/>
                <w:szCs w:val="21"/>
                <w:highlight w:val="none"/>
              </w:rPr>
            </w:pPr>
          </w:p>
        </w:tc>
        <w:tc>
          <w:tcPr>
            <w:tcW w:w="4344" w:type="dxa"/>
            <w:noWrap w:val="0"/>
            <w:vAlign w:val="center"/>
          </w:tcPr>
          <w:p>
            <w:pPr>
              <w:spacing w:line="300" w:lineRule="exact"/>
              <w:jc w:val="center"/>
              <w:rPr>
                <w:rFonts w:ascii="宋体" w:hAnsi="宋体"/>
                <w:color w:val="auto"/>
                <w:sz w:val="21"/>
                <w:szCs w:val="21"/>
                <w:highlight w:val="none"/>
              </w:rPr>
            </w:pPr>
          </w:p>
        </w:tc>
        <w:tc>
          <w:tcPr>
            <w:tcW w:w="1559" w:type="dxa"/>
            <w:tcBorders>
              <w:left w:val="single" w:color="auto" w:sz="6" w:space="0"/>
            </w:tcBorders>
            <w:noWrap w:val="0"/>
            <w:vAlign w:val="center"/>
          </w:tcPr>
          <w:p>
            <w:pPr>
              <w:snapToGrid w:val="0"/>
              <w:spacing w:line="300" w:lineRule="exact"/>
              <w:jc w:val="left"/>
              <w:rPr>
                <w:rFonts w:ascii="宋体" w:hAnsi="宋体" w:cs="宋体"/>
                <w:color w:val="auto"/>
                <w:sz w:val="21"/>
                <w:szCs w:val="21"/>
                <w:highlight w:val="none"/>
              </w:rPr>
            </w:pPr>
          </w:p>
        </w:tc>
        <w:tc>
          <w:tcPr>
            <w:tcW w:w="1276" w:type="dxa"/>
            <w:tcBorders>
              <w:left w:val="single" w:color="auto" w:sz="6" w:space="0"/>
            </w:tcBorders>
            <w:noWrap w:val="0"/>
            <w:vAlign w:val="top"/>
          </w:tcPr>
          <w:p>
            <w:pPr>
              <w:snapToGrid w:val="0"/>
              <w:spacing w:line="300" w:lineRule="exact"/>
              <w:jc w:val="left"/>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715" w:type="dxa"/>
            <w:noWrap w:val="0"/>
            <w:vAlign w:val="center"/>
          </w:tcPr>
          <w:p>
            <w:pPr>
              <w:spacing w:line="300" w:lineRule="exact"/>
              <w:ind w:left="-50"/>
              <w:jc w:val="center"/>
              <w:rPr>
                <w:rFonts w:ascii="宋体" w:hAnsi="宋体"/>
                <w:color w:val="auto"/>
                <w:sz w:val="21"/>
                <w:szCs w:val="21"/>
                <w:highlight w:val="none"/>
              </w:rPr>
            </w:pPr>
          </w:p>
        </w:tc>
        <w:tc>
          <w:tcPr>
            <w:tcW w:w="1604" w:type="dxa"/>
            <w:noWrap w:val="0"/>
            <w:vAlign w:val="center"/>
          </w:tcPr>
          <w:p>
            <w:pPr>
              <w:spacing w:line="300" w:lineRule="exact"/>
              <w:jc w:val="center"/>
              <w:rPr>
                <w:rFonts w:ascii="宋体" w:hAnsi="宋体"/>
                <w:color w:val="auto"/>
                <w:sz w:val="21"/>
                <w:szCs w:val="21"/>
                <w:highlight w:val="none"/>
              </w:rPr>
            </w:pPr>
          </w:p>
        </w:tc>
        <w:tc>
          <w:tcPr>
            <w:tcW w:w="4344" w:type="dxa"/>
            <w:noWrap w:val="0"/>
            <w:vAlign w:val="center"/>
          </w:tcPr>
          <w:p>
            <w:pPr>
              <w:spacing w:line="300" w:lineRule="exact"/>
              <w:jc w:val="center"/>
              <w:rPr>
                <w:rFonts w:ascii="宋体" w:hAnsi="宋体"/>
                <w:color w:val="auto"/>
                <w:sz w:val="21"/>
                <w:szCs w:val="21"/>
                <w:highlight w:val="none"/>
              </w:rPr>
            </w:pPr>
          </w:p>
        </w:tc>
        <w:tc>
          <w:tcPr>
            <w:tcW w:w="1559" w:type="dxa"/>
            <w:tcBorders>
              <w:left w:val="single" w:color="auto" w:sz="6" w:space="0"/>
            </w:tcBorders>
            <w:noWrap w:val="0"/>
            <w:vAlign w:val="center"/>
          </w:tcPr>
          <w:p>
            <w:pPr>
              <w:snapToGrid w:val="0"/>
              <w:spacing w:line="300" w:lineRule="exact"/>
              <w:jc w:val="left"/>
              <w:rPr>
                <w:rFonts w:ascii="宋体" w:hAnsi="宋体" w:cs="宋体"/>
                <w:color w:val="auto"/>
                <w:sz w:val="21"/>
                <w:szCs w:val="21"/>
                <w:highlight w:val="none"/>
              </w:rPr>
            </w:pPr>
          </w:p>
        </w:tc>
        <w:tc>
          <w:tcPr>
            <w:tcW w:w="1276" w:type="dxa"/>
            <w:tcBorders>
              <w:left w:val="single" w:color="auto" w:sz="6" w:space="0"/>
            </w:tcBorders>
            <w:noWrap w:val="0"/>
            <w:vAlign w:val="top"/>
          </w:tcPr>
          <w:p>
            <w:pPr>
              <w:snapToGrid w:val="0"/>
              <w:spacing w:line="300" w:lineRule="exact"/>
              <w:jc w:val="left"/>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715" w:type="dxa"/>
            <w:noWrap w:val="0"/>
            <w:vAlign w:val="center"/>
          </w:tcPr>
          <w:p>
            <w:pPr>
              <w:spacing w:line="300" w:lineRule="exact"/>
              <w:ind w:left="-50"/>
              <w:jc w:val="center"/>
              <w:rPr>
                <w:rFonts w:ascii="宋体" w:hAnsi="宋体"/>
                <w:color w:val="auto"/>
                <w:sz w:val="21"/>
                <w:szCs w:val="21"/>
                <w:highlight w:val="none"/>
              </w:rPr>
            </w:pPr>
          </w:p>
        </w:tc>
        <w:tc>
          <w:tcPr>
            <w:tcW w:w="1604" w:type="dxa"/>
            <w:noWrap w:val="0"/>
            <w:vAlign w:val="center"/>
          </w:tcPr>
          <w:p>
            <w:pPr>
              <w:spacing w:line="300" w:lineRule="exact"/>
              <w:jc w:val="center"/>
              <w:rPr>
                <w:rFonts w:ascii="宋体" w:hAnsi="宋体"/>
                <w:color w:val="auto"/>
                <w:sz w:val="21"/>
                <w:szCs w:val="21"/>
                <w:highlight w:val="none"/>
              </w:rPr>
            </w:pPr>
          </w:p>
        </w:tc>
        <w:tc>
          <w:tcPr>
            <w:tcW w:w="4344" w:type="dxa"/>
            <w:noWrap w:val="0"/>
            <w:vAlign w:val="center"/>
          </w:tcPr>
          <w:p>
            <w:pPr>
              <w:spacing w:line="300" w:lineRule="exact"/>
              <w:jc w:val="center"/>
              <w:rPr>
                <w:rFonts w:ascii="宋体" w:hAnsi="宋体"/>
                <w:color w:val="auto"/>
                <w:sz w:val="21"/>
                <w:szCs w:val="21"/>
                <w:highlight w:val="none"/>
              </w:rPr>
            </w:pPr>
          </w:p>
        </w:tc>
        <w:tc>
          <w:tcPr>
            <w:tcW w:w="1559" w:type="dxa"/>
            <w:tcBorders>
              <w:left w:val="single" w:color="auto" w:sz="6" w:space="0"/>
            </w:tcBorders>
            <w:noWrap w:val="0"/>
            <w:vAlign w:val="center"/>
          </w:tcPr>
          <w:p>
            <w:pPr>
              <w:snapToGrid w:val="0"/>
              <w:spacing w:line="300" w:lineRule="exact"/>
              <w:jc w:val="left"/>
              <w:rPr>
                <w:rFonts w:ascii="宋体" w:hAnsi="宋体" w:cs="宋体"/>
                <w:color w:val="auto"/>
                <w:sz w:val="21"/>
                <w:szCs w:val="21"/>
                <w:highlight w:val="none"/>
              </w:rPr>
            </w:pPr>
          </w:p>
        </w:tc>
        <w:tc>
          <w:tcPr>
            <w:tcW w:w="1276" w:type="dxa"/>
            <w:tcBorders>
              <w:left w:val="single" w:color="auto" w:sz="6" w:space="0"/>
            </w:tcBorders>
            <w:noWrap w:val="0"/>
            <w:vAlign w:val="top"/>
          </w:tcPr>
          <w:p>
            <w:pPr>
              <w:snapToGrid w:val="0"/>
              <w:spacing w:line="300" w:lineRule="exact"/>
              <w:jc w:val="left"/>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715" w:type="dxa"/>
            <w:noWrap w:val="0"/>
            <w:vAlign w:val="center"/>
          </w:tcPr>
          <w:p>
            <w:pPr>
              <w:spacing w:line="300" w:lineRule="exact"/>
              <w:ind w:left="-50"/>
              <w:jc w:val="center"/>
              <w:rPr>
                <w:rFonts w:ascii="宋体" w:hAnsi="宋体"/>
                <w:color w:val="auto"/>
                <w:sz w:val="21"/>
                <w:szCs w:val="21"/>
                <w:highlight w:val="none"/>
              </w:rPr>
            </w:pPr>
          </w:p>
        </w:tc>
        <w:tc>
          <w:tcPr>
            <w:tcW w:w="1604" w:type="dxa"/>
            <w:noWrap w:val="0"/>
            <w:vAlign w:val="center"/>
          </w:tcPr>
          <w:p>
            <w:pPr>
              <w:spacing w:line="300" w:lineRule="exact"/>
              <w:jc w:val="center"/>
              <w:rPr>
                <w:rFonts w:ascii="宋体" w:hAnsi="宋体"/>
                <w:color w:val="auto"/>
                <w:sz w:val="21"/>
                <w:szCs w:val="21"/>
                <w:highlight w:val="none"/>
              </w:rPr>
            </w:pPr>
          </w:p>
        </w:tc>
        <w:tc>
          <w:tcPr>
            <w:tcW w:w="4344" w:type="dxa"/>
            <w:noWrap w:val="0"/>
            <w:vAlign w:val="center"/>
          </w:tcPr>
          <w:p>
            <w:pPr>
              <w:spacing w:line="300" w:lineRule="exact"/>
              <w:jc w:val="center"/>
              <w:rPr>
                <w:rFonts w:ascii="宋体" w:hAnsi="宋体"/>
                <w:color w:val="auto"/>
                <w:sz w:val="21"/>
                <w:szCs w:val="21"/>
                <w:highlight w:val="none"/>
              </w:rPr>
            </w:pPr>
          </w:p>
        </w:tc>
        <w:tc>
          <w:tcPr>
            <w:tcW w:w="1559" w:type="dxa"/>
            <w:tcBorders>
              <w:left w:val="single" w:color="auto" w:sz="6" w:space="0"/>
            </w:tcBorders>
            <w:noWrap w:val="0"/>
            <w:vAlign w:val="center"/>
          </w:tcPr>
          <w:p>
            <w:pPr>
              <w:snapToGrid w:val="0"/>
              <w:spacing w:line="300" w:lineRule="exact"/>
              <w:jc w:val="left"/>
              <w:rPr>
                <w:rFonts w:ascii="宋体" w:hAnsi="宋体" w:cs="宋体"/>
                <w:color w:val="auto"/>
                <w:sz w:val="21"/>
                <w:szCs w:val="21"/>
                <w:highlight w:val="none"/>
              </w:rPr>
            </w:pPr>
          </w:p>
        </w:tc>
        <w:tc>
          <w:tcPr>
            <w:tcW w:w="1276" w:type="dxa"/>
            <w:tcBorders>
              <w:left w:val="single" w:color="auto" w:sz="6" w:space="0"/>
            </w:tcBorders>
            <w:noWrap w:val="0"/>
            <w:vAlign w:val="top"/>
          </w:tcPr>
          <w:p>
            <w:pPr>
              <w:snapToGrid w:val="0"/>
              <w:spacing w:line="300" w:lineRule="exact"/>
              <w:jc w:val="left"/>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715" w:type="dxa"/>
            <w:noWrap w:val="0"/>
            <w:vAlign w:val="center"/>
          </w:tcPr>
          <w:p>
            <w:pPr>
              <w:spacing w:line="300" w:lineRule="exact"/>
              <w:ind w:left="-50"/>
              <w:jc w:val="center"/>
              <w:rPr>
                <w:rFonts w:ascii="宋体" w:hAnsi="宋体"/>
                <w:color w:val="auto"/>
                <w:sz w:val="21"/>
                <w:szCs w:val="21"/>
                <w:highlight w:val="none"/>
              </w:rPr>
            </w:pPr>
          </w:p>
        </w:tc>
        <w:tc>
          <w:tcPr>
            <w:tcW w:w="1604" w:type="dxa"/>
            <w:noWrap w:val="0"/>
            <w:vAlign w:val="center"/>
          </w:tcPr>
          <w:p>
            <w:pPr>
              <w:spacing w:line="300" w:lineRule="exact"/>
              <w:jc w:val="center"/>
              <w:rPr>
                <w:rFonts w:ascii="宋体" w:hAnsi="宋体"/>
                <w:color w:val="auto"/>
                <w:sz w:val="21"/>
                <w:szCs w:val="21"/>
                <w:highlight w:val="none"/>
              </w:rPr>
            </w:pPr>
          </w:p>
        </w:tc>
        <w:tc>
          <w:tcPr>
            <w:tcW w:w="4344" w:type="dxa"/>
            <w:noWrap w:val="0"/>
            <w:vAlign w:val="center"/>
          </w:tcPr>
          <w:p>
            <w:pPr>
              <w:spacing w:line="300" w:lineRule="exact"/>
              <w:jc w:val="center"/>
              <w:rPr>
                <w:rFonts w:ascii="宋体" w:hAnsi="宋体"/>
                <w:color w:val="auto"/>
                <w:sz w:val="21"/>
                <w:szCs w:val="21"/>
                <w:highlight w:val="none"/>
              </w:rPr>
            </w:pPr>
          </w:p>
        </w:tc>
        <w:tc>
          <w:tcPr>
            <w:tcW w:w="1559" w:type="dxa"/>
            <w:tcBorders>
              <w:left w:val="single" w:color="auto" w:sz="6" w:space="0"/>
            </w:tcBorders>
            <w:noWrap w:val="0"/>
            <w:vAlign w:val="center"/>
          </w:tcPr>
          <w:p>
            <w:pPr>
              <w:snapToGrid w:val="0"/>
              <w:spacing w:line="300" w:lineRule="exact"/>
              <w:jc w:val="left"/>
              <w:rPr>
                <w:rFonts w:ascii="宋体" w:hAnsi="宋体" w:cs="宋体"/>
                <w:color w:val="auto"/>
                <w:sz w:val="21"/>
                <w:szCs w:val="21"/>
                <w:highlight w:val="none"/>
              </w:rPr>
            </w:pPr>
          </w:p>
        </w:tc>
        <w:tc>
          <w:tcPr>
            <w:tcW w:w="1276" w:type="dxa"/>
            <w:tcBorders>
              <w:left w:val="single" w:color="auto" w:sz="6" w:space="0"/>
            </w:tcBorders>
            <w:noWrap w:val="0"/>
            <w:vAlign w:val="top"/>
          </w:tcPr>
          <w:p>
            <w:pPr>
              <w:snapToGrid w:val="0"/>
              <w:spacing w:line="300" w:lineRule="exact"/>
              <w:jc w:val="left"/>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715" w:type="dxa"/>
            <w:noWrap w:val="0"/>
            <w:vAlign w:val="center"/>
          </w:tcPr>
          <w:p>
            <w:pPr>
              <w:spacing w:line="300" w:lineRule="exact"/>
              <w:ind w:left="-50"/>
              <w:jc w:val="center"/>
              <w:rPr>
                <w:rFonts w:ascii="宋体" w:hAnsi="宋体"/>
                <w:color w:val="auto"/>
                <w:sz w:val="21"/>
                <w:szCs w:val="21"/>
                <w:highlight w:val="none"/>
              </w:rPr>
            </w:pPr>
          </w:p>
        </w:tc>
        <w:tc>
          <w:tcPr>
            <w:tcW w:w="1604" w:type="dxa"/>
            <w:noWrap w:val="0"/>
            <w:vAlign w:val="center"/>
          </w:tcPr>
          <w:p>
            <w:pPr>
              <w:spacing w:line="300" w:lineRule="exact"/>
              <w:jc w:val="center"/>
              <w:rPr>
                <w:rFonts w:ascii="宋体" w:hAnsi="宋体" w:cs="宋体"/>
                <w:color w:val="auto"/>
                <w:sz w:val="21"/>
                <w:szCs w:val="21"/>
                <w:highlight w:val="none"/>
              </w:rPr>
            </w:pPr>
          </w:p>
        </w:tc>
        <w:tc>
          <w:tcPr>
            <w:tcW w:w="4344" w:type="dxa"/>
            <w:noWrap w:val="0"/>
            <w:vAlign w:val="center"/>
          </w:tcPr>
          <w:p>
            <w:pPr>
              <w:spacing w:line="300" w:lineRule="exact"/>
              <w:jc w:val="center"/>
              <w:rPr>
                <w:rFonts w:ascii="宋体" w:hAnsi="宋体"/>
                <w:color w:val="auto"/>
                <w:sz w:val="21"/>
                <w:szCs w:val="21"/>
                <w:highlight w:val="none"/>
              </w:rPr>
            </w:pPr>
          </w:p>
        </w:tc>
        <w:tc>
          <w:tcPr>
            <w:tcW w:w="1559" w:type="dxa"/>
            <w:tcBorders>
              <w:left w:val="single" w:color="auto" w:sz="6" w:space="0"/>
            </w:tcBorders>
            <w:noWrap w:val="0"/>
            <w:vAlign w:val="center"/>
          </w:tcPr>
          <w:p>
            <w:pPr>
              <w:spacing w:line="300" w:lineRule="exact"/>
              <w:ind w:left="-50"/>
              <w:jc w:val="left"/>
              <w:rPr>
                <w:rFonts w:ascii="宋体" w:hAnsi="宋体" w:cs="宋体"/>
                <w:color w:val="auto"/>
                <w:sz w:val="21"/>
                <w:szCs w:val="21"/>
                <w:highlight w:val="none"/>
              </w:rPr>
            </w:pPr>
          </w:p>
        </w:tc>
        <w:tc>
          <w:tcPr>
            <w:tcW w:w="1276" w:type="dxa"/>
            <w:tcBorders>
              <w:left w:val="single" w:color="auto" w:sz="6" w:space="0"/>
            </w:tcBorders>
            <w:noWrap w:val="0"/>
            <w:vAlign w:val="top"/>
          </w:tcPr>
          <w:p>
            <w:pPr>
              <w:spacing w:line="300" w:lineRule="exact"/>
              <w:ind w:left="-50"/>
              <w:jc w:val="left"/>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715" w:type="dxa"/>
            <w:noWrap w:val="0"/>
            <w:vAlign w:val="center"/>
          </w:tcPr>
          <w:p>
            <w:pPr>
              <w:spacing w:line="300" w:lineRule="exact"/>
              <w:ind w:left="-50"/>
              <w:jc w:val="center"/>
              <w:rPr>
                <w:rFonts w:ascii="宋体" w:hAnsi="宋体"/>
                <w:color w:val="auto"/>
                <w:sz w:val="21"/>
                <w:szCs w:val="21"/>
                <w:highlight w:val="none"/>
              </w:rPr>
            </w:pPr>
          </w:p>
        </w:tc>
        <w:tc>
          <w:tcPr>
            <w:tcW w:w="1604" w:type="dxa"/>
            <w:noWrap w:val="0"/>
            <w:vAlign w:val="center"/>
          </w:tcPr>
          <w:p>
            <w:pPr>
              <w:spacing w:line="300" w:lineRule="exact"/>
              <w:jc w:val="center"/>
              <w:rPr>
                <w:rFonts w:ascii="宋体" w:hAnsi="宋体" w:cs="宋体"/>
                <w:color w:val="auto"/>
                <w:sz w:val="21"/>
                <w:szCs w:val="21"/>
                <w:highlight w:val="none"/>
              </w:rPr>
            </w:pPr>
          </w:p>
        </w:tc>
        <w:tc>
          <w:tcPr>
            <w:tcW w:w="4344" w:type="dxa"/>
            <w:noWrap w:val="0"/>
            <w:vAlign w:val="center"/>
          </w:tcPr>
          <w:p>
            <w:pPr>
              <w:spacing w:line="300" w:lineRule="exact"/>
              <w:jc w:val="center"/>
              <w:rPr>
                <w:rFonts w:ascii="宋体" w:hAnsi="宋体"/>
                <w:color w:val="auto"/>
                <w:sz w:val="21"/>
                <w:szCs w:val="21"/>
                <w:highlight w:val="none"/>
              </w:rPr>
            </w:pPr>
          </w:p>
        </w:tc>
        <w:tc>
          <w:tcPr>
            <w:tcW w:w="1559" w:type="dxa"/>
            <w:tcBorders>
              <w:left w:val="single" w:color="auto" w:sz="6" w:space="0"/>
            </w:tcBorders>
            <w:noWrap w:val="0"/>
            <w:vAlign w:val="center"/>
          </w:tcPr>
          <w:p>
            <w:pPr>
              <w:spacing w:line="300" w:lineRule="exact"/>
              <w:jc w:val="left"/>
              <w:rPr>
                <w:rFonts w:ascii="宋体" w:hAnsi="宋体" w:cs="宋体"/>
                <w:color w:val="auto"/>
                <w:sz w:val="21"/>
                <w:szCs w:val="21"/>
                <w:highlight w:val="none"/>
              </w:rPr>
            </w:pPr>
          </w:p>
        </w:tc>
        <w:tc>
          <w:tcPr>
            <w:tcW w:w="1276" w:type="dxa"/>
            <w:tcBorders>
              <w:left w:val="single" w:color="auto" w:sz="6" w:space="0"/>
            </w:tcBorders>
            <w:noWrap w:val="0"/>
            <w:vAlign w:val="top"/>
          </w:tcPr>
          <w:p>
            <w:pPr>
              <w:spacing w:line="300" w:lineRule="exact"/>
              <w:jc w:val="left"/>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715" w:type="dxa"/>
            <w:noWrap w:val="0"/>
            <w:vAlign w:val="center"/>
          </w:tcPr>
          <w:p>
            <w:pPr>
              <w:spacing w:line="300" w:lineRule="exact"/>
              <w:jc w:val="center"/>
              <w:rPr>
                <w:rFonts w:ascii="宋体" w:hAnsi="宋体"/>
                <w:color w:val="auto"/>
                <w:sz w:val="21"/>
                <w:szCs w:val="21"/>
                <w:highlight w:val="none"/>
              </w:rPr>
            </w:pPr>
          </w:p>
        </w:tc>
        <w:tc>
          <w:tcPr>
            <w:tcW w:w="1604" w:type="dxa"/>
            <w:noWrap w:val="0"/>
            <w:vAlign w:val="center"/>
          </w:tcPr>
          <w:p>
            <w:pPr>
              <w:spacing w:line="300" w:lineRule="exact"/>
              <w:jc w:val="center"/>
              <w:rPr>
                <w:rFonts w:ascii="宋体" w:hAnsi="宋体"/>
                <w:color w:val="auto"/>
                <w:sz w:val="21"/>
                <w:szCs w:val="21"/>
                <w:highlight w:val="none"/>
              </w:rPr>
            </w:pPr>
          </w:p>
        </w:tc>
        <w:tc>
          <w:tcPr>
            <w:tcW w:w="4344" w:type="dxa"/>
            <w:noWrap w:val="0"/>
            <w:vAlign w:val="center"/>
          </w:tcPr>
          <w:p>
            <w:pPr>
              <w:spacing w:line="300" w:lineRule="exact"/>
              <w:jc w:val="center"/>
              <w:rPr>
                <w:rFonts w:ascii="宋体" w:hAnsi="宋体"/>
                <w:color w:val="auto"/>
                <w:sz w:val="21"/>
                <w:szCs w:val="21"/>
                <w:highlight w:val="none"/>
              </w:rPr>
            </w:pPr>
          </w:p>
        </w:tc>
        <w:tc>
          <w:tcPr>
            <w:tcW w:w="1559" w:type="dxa"/>
            <w:tcBorders>
              <w:left w:val="single" w:color="auto" w:sz="6" w:space="0"/>
            </w:tcBorders>
            <w:noWrap w:val="0"/>
            <w:vAlign w:val="center"/>
          </w:tcPr>
          <w:p>
            <w:pPr>
              <w:spacing w:line="300" w:lineRule="exact"/>
              <w:jc w:val="left"/>
              <w:rPr>
                <w:rFonts w:ascii="宋体" w:hAnsi="宋体" w:cs="宋体"/>
                <w:color w:val="auto"/>
                <w:sz w:val="21"/>
                <w:szCs w:val="21"/>
                <w:highlight w:val="none"/>
              </w:rPr>
            </w:pPr>
          </w:p>
        </w:tc>
        <w:tc>
          <w:tcPr>
            <w:tcW w:w="1276" w:type="dxa"/>
            <w:tcBorders>
              <w:left w:val="single" w:color="auto" w:sz="6" w:space="0"/>
            </w:tcBorders>
            <w:noWrap w:val="0"/>
            <w:vAlign w:val="top"/>
          </w:tcPr>
          <w:p>
            <w:pPr>
              <w:spacing w:line="300" w:lineRule="exact"/>
              <w:jc w:val="left"/>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715" w:type="dxa"/>
            <w:noWrap w:val="0"/>
            <w:vAlign w:val="center"/>
          </w:tcPr>
          <w:p>
            <w:pPr>
              <w:spacing w:line="300" w:lineRule="exact"/>
              <w:jc w:val="center"/>
              <w:rPr>
                <w:rFonts w:ascii="宋体" w:hAnsi="宋体"/>
                <w:color w:val="auto"/>
                <w:sz w:val="21"/>
                <w:szCs w:val="21"/>
                <w:highlight w:val="none"/>
              </w:rPr>
            </w:pPr>
          </w:p>
        </w:tc>
        <w:tc>
          <w:tcPr>
            <w:tcW w:w="1604" w:type="dxa"/>
            <w:noWrap w:val="0"/>
            <w:vAlign w:val="center"/>
          </w:tcPr>
          <w:p>
            <w:pPr>
              <w:spacing w:line="300" w:lineRule="exact"/>
              <w:jc w:val="center"/>
              <w:rPr>
                <w:rFonts w:ascii="宋体" w:hAnsi="宋体"/>
                <w:color w:val="auto"/>
                <w:sz w:val="21"/>
                <w:szCs w:val="21"/>
                <w:highlight w:val="none"/>
              </w:rPr>
            </w:pPr>
          </w:p>
        </w:tc>
        <w:tc>
          <w:tcPr>
            <w:tcW w:w="4344" w:type="dxa"/>
            <w:noWrap w:val="0"/>
            <w:vAlign w:val="center"/>
          </w:tcPr>
          <w:p>
            <w:pPr>
              <w:spacing w:line="300" w:lineRule="exact"/>
              <w:jc w:val="center"/>
              <w:rPr>
                <w:rFonts w:ascii="宋体" w:hAnsi="宋体"/>
                <w:color w:val="auto"/>
                <w:sz w:val="21"/>
                <w:szCs w:val="21"/>
                <w:highlight w:val="none"/>
              </w:rPr>
            </w:pPr>
          </w:p>
        </w:tc>
        <w:tc>
          <w:tcPr>
            <w:tcW w:w="1559" w:type="dxa"/>
            <w:tcBorders>
              <w:left w:val="single" w:color="auto" w:sz="6" w:space="0"/>
            </w:tcBorders>
            <w:noWrap w:val="0"/>
            <w:vAlign w:val="center"/>
          </w:tcPr>
          <w:p>
            <w:pPr>
              <w:pStyle w:val="108"/>
              <w:spacing w:line="300" w:lineRule="exact"/>
              <w:ind w:firstLine="0" w:firstLineChars="0"/>
              <w:jc w:val="left"/>
              <w:rPr>
                <w:rFonts w:ascii="宋体" w:hAnsi="宋体" w:cs="宋体"/>
                <w:color w:val="auto"/>
                <w:szCs w:val="21"/>
                <w:highlight w:val="none"/>
              </w:rPr>
            </w:pPr>
          </w:p>
        </w:tc>
        <w:tc>
          <w:tcPr>
            <w:tcW w:w="1276" w:type="dxa"/>
            <w:tcBorders>
              <w:left w:val="single" w:color="auto" w:sz="6" w:space="0"/>
            </w:tcBorders>
            <w:noWrap w:val="0"/>
            <w:vAlign w:val="top"/>
          </w:tcPr>
          <w:p>
            <w:pPr>
              <w:pStyle w:val="108"/>
              <w:spacing w:line="300" w:lineRule="exact"/>
              <w:ind w:firstLine="0" w:firstLineChars="0"/>
              <w:jc w:val="left"/>
              <w:rPr>
                <w:rFonts w:ascii="宋体" w:hAnsi="宋体" w:cs="宋体"/>
                <w:color w:val="auto"/>
                <w:szCs w:val="21"/>
                <w:highlight w:val="none"/>
              </w:rPr>
            </w:pPr>
          </w:p>
        </w:tc>
      </w:tr>
    </w:tbl>
    <w:p>
      <w:pPr>
        <w:pStyle w:val="2"/>
        <w:ind w:firstLine="280"/>
        <w:rPr>
          <w:color w:val="auto"/>
          <w:highlight w:val="none"/>
        </w:rPr>
      </w:pPr>
    </w:p>
    <w:p>
      <w:pPr>
        <w:pStyle w:val="2"/>
        <w:ind w:firstLine="280"/>
        <w:rPr>
          <w:rFonts w:ascii="宋体" w:hAnsi="宋体"/>
          <w:color w:val="auto"/>
          <w:sz w:val="21"/>
          <w:szCs w:val="21"/>
          <w:highlight w:val="none"/>
        </w:rPr>
      </w:pPr>
      <w:r>
        <w:rPr>
          <w:color w:val="auto"/>
          <w:highlight w:val="none"/>
        </w:rPr>
        <w:br w:type="page"/>
      </w:r>
    </w:p>
    <w:p>
      <w:pPr>
        <w:spacing w:line="480" w:lineRule="auto"/>
        <w:jc w:val="center"/>
        <w:rPr>
          <w:b/>
          <w:color w:val="auto"/>
          <w:sz w:val="30"/>
          <w:szCs w:val="30"/>
          <w:highlight w:val="none"/>
        </w:rPr>
      </w:pPr>
      <w:r>
        <w:rPr>
          <w:rFonts w:hint="eastAsia"/>
          <w:b/>
          <w:color w:val="auto"/>
          <w:sz w:val="30"/>
          <w:szCs w:val="30"/>
          <w:highlight w:val="none"/>
        </w:rPr>
        <w:t>投标函</w:t>
      </w:r>
    </w:p>
    <w:p>
      <w:pPr>
        <w:spacing w:line="360" w:lineRule="auto"/>
        <w:rPr>
          <w:rFonts w:ascii="宋体" w:hAnsi="宋体"/>
          <w:color w:val="auto"/>
          <w:sz w:val="21"/>
          <w:szCs w:val="21"/>
          <w:highlight w:val="none"/>
          <w:u w:val="single"/>
        </w:rPr>
      </w:pPr>
    </w:p>
    <w:p>
      <w:pPr>
        <w:adjustRightInd w:val="0"/>
        <w:snapToGrid w:val="0"/>
        <w:spacing w:line="360" w:lineRule="auto"/>
        <w:rPr>
          <w:rFonts w:hint="eastAsia" w:eastAsia="宋体"/>
          <w:color w:val="auto"/>
          <w:sz w:val="21"/>
          <w:szCs w:val="21"/>
          <w:highlight w:val="none"/>
          <w:lang w:eastAsia="zh-CN"/>
        </w:rPr>
      </w:pPr>
      <w:r>
        <w:rPr>
          <w:rFonts w:hint="eastAsia"/>
          <w:color w:val="auto"/>
          <w:sz w:val="21"/>
          <w:szCs w:val="21"/>
          <w:highlight w:val="none"/>
        </w:rPr>
        <w:t>致：</w:t>
      </w:r>
      <w:r>
        <w:rPr>
          <w:rFonts w:hint="eastAsia"/>
          <w:color w:val="auto"/>
          <w:sz w:val="21"/>
          <w:szCs w:val="21"/>
          <w:highlight w:val="none"/>
          <w:u w:val="single"/>
          <w:lang w:eastAsia="zh-CN"/>
        </w:rPr>
        <w:t>温州市龙湾区城市管理服务有限公司</w:t>
      </w:r>
    </w:p>
    <w:p>
      <w:pPr>
        <w:spacing w:line="360" w:lineRule="auto"/>
        <w:rPr>
          <w:rFonts w:ascii="宋体" w:hAnsi="宋体"/>
          <w:color w:val="auto"/>
          <w:sz w:val="21"/>
          <w:szCs w:val="21"/>
          <w:highlight w:val="none"/>
        </w:rPr>
      </w:pPr>
    </w:p>
    <w:p>
      <w:pPr>
        <w:spacing w:line="360" w:lineRule="auto"/>
        <w:ind w:firstLine="420" w:firstLineChars="200"/>
        <w:rPr>
          <w:rFonts w:hint="eastAsia" w:ascii="宋体" w:hAnsi="宋体" w:eastAsia="宋体"/>
          <w:color w:val="auto"/>
          <w:sz w:val="21"/>
          <w:szCs w:val="21"/>
          <w:highlight w:val="none"/>
          <w:u w:val="single"/>
          <w:lang w:eastAsia="zh-CN"/>
        </w:rPr>
      </w:pPr>
      <w:r>
        <w:rPr>
          <w:rFonts w:hint="eastAsia" w:ascii="宋体" w:hAnsi="宋体"/>
          <w:color w:val="auto"/>
          <w:sz w:val="21"/>
          <w:szCs w:val="21"/>
          <w:highlight w:val="none"/>
        </w:rPr>
        <w:t>我方参加</w:t>
      </w:r>
      <w:r>
        <w:rPr>
          <w:rFonts w:hint="eastAsia" w:ascii="宋体" w:hAnsi="宋体"/>
          <w:bCs/>
          <w:color w:val="auto"/>
          <w:sz w:val="21"/>
          <w:szCs w:val="21"/>
          <w:highlight w:val="none"/>
          <w:u w:val="single"/>
        </w:rPr>
        <w:t xml:space="preserve"> 龙湾区瑶溪街道环卫保洁一体化项目（项目编号： </w:t>
      </w:r>
      <w:r>
        <w:rPr>
          <w:rFonts w:hint="eastAsia" w:ascii="宋体" w:hAnsi="宋体"/>
          <w:bCs/>
          <w:color w:val="auto"/>
          <w:sz w:val="21"/>
          <w:szCs w:val="21"/>
          <w:highlight w:val="none"/>
          <w:u w:val="single"/>
          <w:lang w:eastAsia="zh-CN"/>
        </w:rPr>
        <w:t>WZHC-20220923</w:t>
      </w:r>
      <w:r>
        <w:rPr>
          <w:rFonts w:hint="eastAsia" w:ascii="宋体" w:hAnsi="宋体"/>
          <w:bCs/>
          <w:color w:val="auto"/>
          <w:sz w:val="21"/>
          <w:szCs w:val="21"/>
          <w:highlight w:val="none"/>
          <w:u w:val="single"/>
        </w:rPr>
        <w:t xml:space="preserve">） </w:t>
      </w:r>
      <w:r>
        <w:rPr>
          <w:rFonts w:hint="eastAsia" w:ascii="宋体" w:hAnsi="宋体"/>
          <w:bCs/>
          <w:color w:val="auto"/>
          <w:sz w:val="21"/>
          <w:szCs w:val="21"/>
          <w:highlight w:val="none"/>
        </w:rPr>
        <w:t>项目</w:t>
      </w:r>
      <w:r>
        <w:rPr>
          <w:rFonts w:hint="eastAsia" w:ascii="宋体" w:hAnsi="宋体"/>
          <w:color w:val="auto"/>
          <w:sz w:val="21"/>
          <w:szCs w:val="21"/>
          <w:highlight w:val="none"/>
        </w:rPr>
        <w:t>的采购，签字代表</w:t>
      </w:r>
      <w:r>
        <w:rPr>
          <w:rFonts w:hint="eastAsia" w:ascii="宋体" w:hAnsi="宋体"/>
          <w:bCs/>
          <w:color w:val="auto"/>
          <w:sz w:val="21"/>
          <w:szCs w:val="21"/>
          <w:highlight w:val="none"/>
          <w:u w:val="single"/>
        </w:rPr>
        <w:t xml:space="preserve">___    </w:t>
      </w:r>
      <w:r>
        <w:rPr>
          <w:rFonts w:hint="eastAsia" w:ascii="宋体" w:hAnsi="宋体"/>
          <w:i/>
          <w:color w:val="auto"/>
          <w:sz w:val="21"/>
          <w:szCs w:val="21"/>
          <w:highlight w:val="none"/>
          <w:u w:val="single"/>
        </w:rPr>
        <w:t xml:space="preserve">（全名）  </w:t>
      </w:r>
      <w:r>
        <w:rPr>
          <w:rFonts w:hint="eastAsia" w:ascii="宋体" w:hAnsi="宋体"/>
          <w:color w:val="auto"/>
          <w:sz w:val="21"/>
          <w:szCs w:val="21"/>
          <w:highlight w:val="none"/>
        </w:rPr>
        <w:t>经正式授权并代表投标人</w:t>
      </w:r>
      <w:r>
        <w:rPr>
          <w:rFonts w:hint="eastAsia" w:ascii="宋体" w:hAnsi="宋体"/>
          <w:color w:val="auto"/>
          <w:sz w:val="21"/>
          <w:szCs w:val="21"/>
          <w:highlight w:val="none"/>
          <w:u w:val="single"/>
        </w:rPr>
        <w:t xml:space="preserve">               </w:t>
      </w:r>
      <w:r>
        <w:rPr>
          <w:rFonts w:hint="eastAsia" w:ascii="宋体" w:hAnsi="宋体"/>
          <w:i/>
          <w:color w:val="auto"/>
          <w:sz w:val="21"/>
          <w:szCs w:val="21"/>
          <w:highlight w:val="none"/>
          <w:u w:val="single"/>
        </w:rPr>
        <w:t>（投标人名称）</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u w:val="single"/>
          <w:lang w:eastAsia="zh-CN"/>
        </w:rPr>
        <w:t>。</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据此函，签字代表宣布同意如下：</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1</w:t>
      </w:r>
      <w:r>
        <w:rPr>
          <w:rFonts w:ascii="宋体" w:hAnsi="宋体"/>
          <w:color w:val="auto"/>
          <w:sz w:val="21"/>
          <w:szCs w:val="21"/>
          <w:highlight w:val="none"/>
        </w:rPr>
        <w:t>.</w:t>
      </w:r>
      <w:r>
        <w:rPr>
          <w:rFonts w:hint="eastAsia" w:ascii="宋体" w:hAnsi="宋体"/>
          <w:color w:val="auto"/>
          <w:sz w:val="21"/>
          <w:szCs w:val="21"/>
          <w:highlight w:val="none"/>
        </w:rPr>
        <w:t>我方已详细审查全部“招标文件”，包括修改文件（如有）以及全部参考资料和有关附件，已经了解我方对于招标文件、招标过程、中标结果有依法进行询问、质疑、投诉的权利及相关渠道和要求。</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2</w:t>
      </w:r>
      <w:r>
        <w:rPr>
          <w:rFonts w:ascii="宋体" w:hAnsi="宋体"/>
          <w:color w:val="auto"/>
          <w:sz w:val="21"/>
          <w:szCs w:val="21"/>
          <w:highlight w:val="none"/>
        </w:rPr>
        <w:t>.</w:t>
      </w:r>
      <w:r>
        <w:rPr>
          <w:rFonts w:hint="eastAsia" w:ascii="宋体" w:hAnsi="宋体"/>
          <w:color w:val="auto"/>
          <w:sz w:val="21"/>
          <w:szCs w:val="21"/>
          <w:highlight w:val="none"/>
        </w:rPr>
        <w:t>我方在投标之前已经与贵方进行了充分的沟通，完全理解并接受招标文件的各项规定和要求，对招标文件的合理性、合法性不再有异议。</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3</w:t>
      </w:r>
      <w:r>
        <w:rPr>
          <w:rFonts w:ascii="宋体" w:hAnsi="宋体"/>
          <w:color w:val="auto"/>
          <w:sz w:val="21"/>
          <w:szCs w:val="21"/>
          <w:highlight w:val="none"/>
        </w:rPr>
        <w:t>.</w:t>
      </w:r>
      <w:r>
        <w:rPr>
          <w:rFonts w:hint="eastAsia" w:ascii="宋体" w:hAnsi="宋体"/>
          <w:color w:val="auto"/>
          <w:sz w:val="21"/>
          <w:szCs w:val="21"/>
          <w:highlight w:val="none"/>
        </w:rPr>
        <w:t>投标有效期自</w:t>
      </w:r>
      <w:r>
        <w:rPr>
          <w:rFonts w:hint="eastAsia" w:hAnsi="宋体" w:cs="宋体"/>
          <w:color w:val="auto"/>
          <w:sz w:val="21"/>
          <w:szCs w:val="21"/>
          <w:highlight w:val="none"/>
        </w:rPr>
        <w:t>投标截止日</w:t>
      </w:r>
      <w:r>
        <w:rPr>
          <w:rFonts w:hint="eastAsia" w:ascii="宋体" w:hAnsi="宋体" w:cs="宋体"/>
          <w:color w:val="auto"/>
          <w:sz w:val="21"/>
          <w:szCs w:val="21"/>
          <w:highlight w:val="none"/>
        </w:rPr>
        <w:t>起</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120</w:t>
      </w:r>
      <w:r>
        <w:rPr>
          <w:rFonts w:hint="eastAsia" w:ascii="宋体" w:hAnsi="宋体" w:cs="宋体"/>
          <w:color w:val="auto"/>
          <w:sz w:val="21"/>
          <w:szCs w:val="21"/>
          <w:highlight w:val="none"/>
          <w:u w:val="single"/>
        </w:rPr>
        <w:t xml:space="preserve"> </w:t>
      </w:r>
      <w:r>
        <w:rPr>
          <w:rFonts w:hint="eastAsia" w:ascii="宋体" w:hAnsi="宋体"/>
          <w:color w:val="auto"/>
          <w:sz w:val="21"/>
          <w:szCs w:val="21"/>
          <w:highlight w:val="none"/>
        </w:rPr>
        <w:t>天。</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4</w:t>
      </w:r>
      <w:r>
        <w:rPr>
          <w:rFonts w:ascii="宋体" w:hAnsi="宋体"/>
          <w:color w:val="auto"/>
          <w:sz w:val="21"/>
          <w:szCs w:val="21"/>
          <w:highlight w:val="none"/>
        </w:rPr>
        <w:t>.</w:t>
      </w:r>
      <w:r>
        <w:rPr>
          <w:rFonts w:hint="eastAsia" w:ascii="宋体" w:hAnsi="宋体"/>
          <w:color w:val="auto"/>
          <w:sz w:val="21"/>
          <w:szCs w:val="21"/>
          <w:highlight w:val="none"/>
        </w:rPr>
        <w:t>如中标，本投标文件至本项目合同履行完毕止均保持有效，我方将按“招标文件”及政府采购法律、法规的规定履行合同责任和义务。关于代理服务费，我方承诺按照本招标文件的规定履行并承担相应的责任。</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5</w:t>
      </w:r>
      <w:r>
        <w:rPr>
          <w:rFonts w:ascii="宋体" w:hAnsi="宋体"/>
          <w:color w:val="auto"/>
          <w:sz w:val="21"/>
          <w:szCs w:val="21"/>
          <w:highlight w:val="none"/>
        </w:rPr>
        <w:t>.</w:t>
      </w:r>
      <w:r>
        <w:rPr>
          <w:rFonts w:hint="eastAsia" w:ascii="宋体" w:hAnsi="宋体"/>
          <w:color w:val="auto"/>
          <w:sz w:val="21"/>
          <w:szCs w:val="21"/>
          <w:highlight w:val="none"/>
        </w:rPr>
        <w:t>我方同意按照贵方要求提供与投标有关的一切数据或资料。</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6.与本投标有关的一切正式往来信函请寄：</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地址：</w:t>
      </w:r>
      <w:r>
        <w:rPr>
          <w:rFonts w:hint="eastAsia" w:ascii="宋体" w:hAnsi="宋体"/>
          <w:bCs/>
          <w:i/>
          <w:color w:val="auto"/>
          <w:sz w:val="21"/>
          <w:szCs w:val="21"/>
          <w:highlight w:val="none"/>
          <w:u w:val="single"/>
        </w:rPr>
        <w:t xml:space="preserve">                 </w:t>
      </w:r>
      <w:r>
        <w:rPr>
          <w:rFonts w:ascii="宋体" w:hAnsi="宋体"/>
          <w:color w:val="auto"/>
          <w:sz w:val="21"/>
          <w:szCs w:val="21"/>
          <w:highlight w:val="none"/>
        </w:rPr>
        <w:t xml:space="preserve"> </w:t>
      </w:r>
      <w:r>
        <w:rPr>
          <w:rFonts w:hint="eastAsia" w:ascii="宋体" w:hAnsi="宋体"/>
          <w:color w:val="auto"/>
          <w:sz w:val="21"/>
          <w:szCs w:val="21"/>
          <w:highlight w:val="none"/>
        </w:rPr>
        <w:t>邮编：</w:t>
      </w:r>
      <w:r>
        <w:rPr>
          <w:rFonts w:hint="eastAsia" w:ascii="宋体" w:hAnsi="宋体"/>
          <w:bCs/>
          <w:i/>
          <w:color w:val="auto"/>
          <w:sz w:val="21"/>
          <w:szCs w:val="21"/>
          <w:highlight w:val="none"/>
          <w:u w:val="single"/>
        </w:rPr>
        <w:t xml:space="preserve">             </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电话：</w:t>
      </w:r>
      <w:r>
        <w:rPr>
          <w:rFonts w:hint="eastAsia" w:ascii="宋体" w:hAnsi="宋体"/>
          <w:bCs/>
          <w:i/>
          <w:color w:val="auto"/>
          <w:sz w:val="21"/>
          <w:szCs w:val="21"/>
          <w:highlight w:val="none"/>
          <w:u w:val="single"/>
        </w:rPr>
        <w:t xml:space="preserve">                 </w:t>
      </w:r>
      <w:r>
        <w:rPr>
          <w:rFonts w:hint="eastAsia" w:ascii="宋体" w:hAnsi="宋体"/>
          <w:color w:val="auto"/>
          <w:sz w:val="21"/>
          <w:szCs w:val="21"/>
          <w:highlight w:val="none"/>
        </w:rPr>
        <w:t xml:space="preserve"> 传真：</w:t>
      </w:r>
      <w:r>
        <w:rPr>
          <w:rFonts w:hint="eastAsia" w:ascii="宋体" w:hAnsi="宋体"/>
          <w:bCs/>
          <w:i/>
          <w:color w:val="auto"/>
          <w:sz w:val="21"/>
          <w:szCs w:val="21"/>
          <w:highlight w:val="none"/>
          <w:u w:val="single"/>
        </w:rPr>
        <w:t xml:space="preserve">              </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投标人代表姓名：</w:t>
      </w:r>
      <w:r>
        <w:rPr>
          <w:rFonts w:hint="eastAsia" w:ascii="宋体" w:hAnsi="宋体"/>
          <w:bCs/>
          <w:i/>
          <w:color w:val="auto"/>
          <w:sz w:val="21"/>
          <w:szCs w:val="21"/>
          <w:highlight w:val="none"/>
          <w:u w:val="single"/>
        </w:rPr>
        <w:t xml:space="preserve">       </w:t>
      </w:r>
      <w:r>
        <w:rPr>
          <w:rFonts w:ascii="宋体" w:hAnsi="宋体"/>
          <w:color w:val="auto"/>
          <w:sz w:val="21"/>
          <w:szCs w:val="21"/>
          <w:highlight w:val="none"/>
        </w:rPr>
        <w:t xml:space="preserve"> </w:t>
      </w:r>
      <w:r>
        <w:rPr>
          <w:rFonts w:hint="eastAsia" w:ascii="宋体" w:hAnsi="宋体"/>
          <w:color w:val="auto"/>
          <w:sz w:val="21"/>
          <w:szCs w:val="21"/>
          <w:highlight w:val="none"/>
        </w:rPr>
        <w:t>职务：</w:t>
      </w:r>
      <w:r>
        <w:rPr>
          <w:rFonts w:hint="eastAsia" w:ascii="宋体" w:hAnsi="宋体"/>
          <w:bCs/>
          <w:i/>
          <w:color w:val="auto"/>
          <w:sz w:val="21"/>
          <w:szCs w:val="21"/>
          <w:highlight w:val="none"/>
          <w:u w:val="single"/>
        </w:rPr>
        <w:t xml:space="preserve">             </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开户银行：</w:t>
      </w:r>
      <w:r>
        <w:rPr>
          <w:rFonts w:hint="eastAsia" w:ascii="宋体" w:hAnsi="宋体"/>
          <w:bCs/>
          <w:i/>
          <w:color w:val="auto"/>
          <w:sz w:val="21"/>
          <w:szCs w:val="21"/>
          <w:highlight w:val="none"/>
          <w:u w:val="single"/>
        </w:rPr>
        <w:t xml:space="preserve">             </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银行帐号：</w:t>
      </w:r>
      <w:r>
        <w:rPr>
          <w:rFonts w:hint="eastAsia" w:ascii="宋体" w:hAnsi="宋体"/>
          <w:bCs/>
          <w:i/>
          <w:color w:val="auto"/>
          <w:sz w:val="21"/>
          <w:szCs w:val="21"/>
          <w:highlight w:val="none"/>
          <w:u w:val="single"/>
        </w:rPr>
        <w:t xml:space="preserve">              </w:t>
      </w:r>
    </w:p>
    <w:p>
      <w:pPr>
        <w:spacing w:line="360" w:lineRule="auto"/>
        <w:rPr>
          <w:rFonts w:ascii="宋体" w:hAnsi="宋体"/>
          <w:color w:val="auto"/>
          <w:sz w:val="21"/>
          <w:szCs w:val="21"/>
          <w:highlight w:val="none"/>
        </w:rPr>
      </w:pPr>
    </w:p>
    <w:p>
      <w:pPr>
        <w:pStyle w:val="23"/>
        <w:spacing w:before="120" w:after="120" w:line="360" w:lineRule="auto"/>
        <w:ind w:left="560" w:leftChars="200"/>
        <w:rPr>
          <w:rFonts w:hAnsi="宋体"/>
          <w:color w:val="auto"/>
          <w:sz w:val="21"/>
          <w:szCs w:val="21"/>
          <w:highlight w:val="none"/>
        </w:rPr>
      </w:pPr>
      <w:r>
        <w:rPr>
          <w:rFonts w:hint="eastAsia" w:hAnsi="宋体"/>
          <w:color w:val="auto"/>
          <w:sz w:val="21"/>
          <w:szCs w:val="21"/>
          <w:highlight w:val="none"/>
        </w:rPr>
        <w:t xml:space="preserve">投标人（盖公章）：                 </w:t>
      </w:r>
    </w:p>
    <w:p>
      <w:pPr>
        <w:pStyle w:val="23"/>
        <w:spacing w:before="120" w:after="120" w:line="360" w:lineRule="auto"/>
        <w:ind w:left="560" w:leftChars="200"/>
        <w:rPr>
          <w:rFonts w:hAnsi="宋体"/>
          <w:color w:val="auto"/>
          <w:sz w:val="21"/>
          <w:szCs w:val="21"/>
          <w:highlight w:val="none"/>
        </w:rPr>
      </w:pPr>
      <w:r>
        <w:rPr>
          <w:rFonts w:hint="eastAsia" w:hAnsi="宋体"/>
          <w:color w:val="auto"/>
          <w:sz w:val="21"/>
          <w:szCs w:val="21"/>
          <w:highlight w:val="none"/>
        </w:rPr>
        <w:t xml:space="preserve">投标人法定代表人或授权代表（签字或盖章）：        </w:t>
      </w:r>
    </w:p>
    <w:p>
      <w:pPr>
        <w:spacing w:line="360" w:lineRule="auto"/>
        <w:ind w:left="560" w:leftChars="200"/>
        <w:jc w:val="left"/>
        <w:rPr>
          <w:rFonts w:hAnsi="宋体"/>
          <w:color w:val="auto"/>
          <w:sz w:val="21"/>
          <w:szCs w:val="21"/>
          <w:highlight w:val="none"/>
        </w:rPr>
      </w:pPr>
      <w:r>
        <w:rPr>
          <w:rFonts w:hint="eastAsia" w:hAnsi="宋体"/>
          <w:color w:val="auto"/>
          <w:sz w:val="21"/>
          <w:szCs w:val="21"/>
          <w:highlight w:val="none"/>
        </w:rPr>
        <w:t>日期：    年  月  日</w:t>
      </w:r>
    </w:p>
    <w:p>
      <w:pPr>
        <w:pStyle w:val="2"/>
        <w:ind w:firstLine="280"/>
        <w:rPr>
          <w:rFonts w:ascii="宋体"/>
          <w:color w:val="auto"/>
          <w:highlight w:val="none"/>
        </w:rPr>
      </w:pPr>
      <w:r>
        <w:rPr>
          <w:color w:val="auto"/>
          <w:highlight w:val="none"/>
        </w:rPr>
        <w:br w:type="page"/>
      </w:r>
    </w:p>
    <w:p>
      <w:pPr>
        <w:pStyle w:val="19"/>
        <w:rPr>
          <w:color w:val="auto"/>
          <w:highlight w:val="none"/>
        </w:rPr>
      </w:pPr>
    </w:p>
    <w:p>
      <w:pPr>
        <w:spacing w:line="480" w:lineRule="auto"/>
        <w:jc w:val="center"/>
        <w:rPr>
          <w:b/>
          <w:color w:val="auto"/>
          <w:sz w:val="30"/>
          <w:szCs w:val="30"/>
          <w:highlight w:val="none"/>
        </w:rPr>
      </w:pPr>
      <w:r>
        <w:rPr>
          <w:b/>
          <w:color w:val="auto"/>
          <w:sz w:val="30"/>
          <w:szCs w:val="30"/>
          <w:highlight w:val="none"/>
        </w:rPr>
        <w:t>法定代表人资格证明书</w:t>
      </w:r>
    </w:p>
    <w:p>
      <w:pPr>
        <w:pStyle w:val="2"/>
        <w:ind w:firstLine="280"/>
        <w:rPr>
          <w:color w:val="auto"/>
          <w:highlight w:val="none"/>
        </w:rPr>
      </w:pPr>
    </w:p>
    <w:p>
      <w:pPr>
        <w:adjustRightInd w:val="0"/>
        <w:snapToGrid w:val="0"/>
        <w:spacing w:line="360" w:lineRule="auto"/>
        <w:rPr>
          <w:rFonts w:hint="eastAsia" w:eastAsia="宋体"/>
          <w:color w:val="auto"/>
          <w:sz w:val="21"/>
          <w:szCs w:val="21"/>
          <w:highlight w:val="none"/>
          <w:lang w:eastAsia="zh-CN"/>
        </w:rPr>
      </w:pPr>
      <w:r>
        <w:rPr>
          <w:rFonts w:hint="eastAsia"/>
          <w:color w:val="auto"/>
          <w:sz w:val="21"/>
          <w:szCs w:val="21"/>
          <w:highlight w:val="none"/>
        </w:rPr>
        <w:t>致：</w:t>
      </w:r>
      <w:r>
        <w:rPr>
          <w:rFonts w:hint="eastAsia"/>
          <w:color w:val="auto"/>
          <w:sz w:val="21"/>
          <w:szCs w:val="21"/>
          <w:highlight w:val="none"/>
          <w:u w:val="single"/>
          <w:lang w:eastAsia="zh-CN"/>
        </w:rPr>
        <w:t>温州市龙湾区城市管理服务有限公司</w:t>
      </w:r>
    </w:p>
    <w:p>
      <w:pPr>
        <w:spacing w:line="360" w:lineRule="auto"/>
        <w:ind w:firstLine="396" w:firstLineChars="200"/>
        <w:rPr>
          <w:rFonts w:ascii="宋体" w:hAnsi="宋体"/>
          <w:bCs/>
          <w:color w:val="auto"/>
          <w:spacing w:val="-6"/>
          <w:sz w:val="21"/>
          <w:szCs w:val="21"/>
          <w:highlight w:val="none"/>
        </w:rPr>
      </w:pPr>
      <w:r>
        <w:rPr>
          <w:rFonts w:hint="eastAsia" w:ascii="宋体" w:hAnsi="宋体"/>
          <w:bCs/>
          <w:color w:val="auto"/>
          <w:spacing w:val="-6"/>
          <w:sz w:val="21"/>
          <w:szCs w:val="21"/>
          <w:highlight w:val="none"/>
        </w:rPr>
        <w:t>我</w:t>
      </w:r>
      <w:r>
        <w:rPr>
          <w:rFonts w:ascii="宋体" w:hAnsi="宋体"/>
          <w:color w:val="auto"/>
          <w:spacing w:val="-6"/>
          <w:sz w:val="21"/>
          <w:szCs w:val="21"/>
          <w:highlight w:val="none"/>
        </w:rPr>
        <w:t>_______</w:t>
      </w:r>
      <w:r>
        <w:rPr>
          <w:rFonts w:ascii="宋体" w:hAnsi="宋体"/>
          <w:bCs/>
          <w:i/>
          <w:color w:val="auto"/>
          <w:spacing w:val="-6"/>
          <w:sz w:val="21"/>
          <w:szCs w:val="21"/>
          <w:highlight w:val="none"/>
          <w:u w:val="single"/>
        </w:rPr>
        <w:t>（姓名）</w:t>
      </w:r>
      <w:r>
        <w:rPr>
          <w:rFonts w:hint="eastAsia" w:ascii="宋体" w:hAnsi="宋体"/>
          <w:bCs/>
          <w:i/>
          <w:color w:val="auto"/>
          <w:spacing w:val="-6"/>
          <w:sz w:val="21"/>
          <w:szCs w:val="21"/>
          <w:highlight w:val="none"/>
          <w:u w:val="single"/>
        </w:rPr>
        <w:t xml:space="preserve">  </w:t>
      </w:r>
      <w:r>
        <w:rPr>
          <w:rFonts w:ascii="宋体" w:hAnsi="宋体"/>
          <w:bCs/>
          <w:color w:val="auto"/>
          <w:spacing w:val="-6"/>
          <w:sz w:val="21"/>
          <w:szCs w:val="21"/>
          <w:highlight w:val="none"/>
        </w:rPr>
        <w:t>系</w:t>
      </w:r>
      <w:r>
        <w:rPr>
          <w:rFonts w:hint="eastAsia" w:ascii="宋体" w:hAnsi="宋体"/>
          <w:bCs/>
          <w:color w:val="auto"/>
          <w:spacing w:val="-6"/>
          <w:sz w:val="21"/>
          <w:szCs w:val="21"/>
          <w:highlight w:val="none"/>
        </w:rPr>
        <w:t>____________</w:t>
      </w:r>
      <w:r>
        <w:rPr>
          <w:rFonts w:hint="eastAsia" w:ascii="宋体" w:hAnsi="宋体"/>
          <w:bCs/>
          <w:i/>
          <w:color w:val="auto"/>
          <w:spacing w:val="-6"/>
          <w:sz w:val="21"/>
          <w:szCs w:val="21"/>
          <w:highlight w:val="none"/>
          <w:u w:val="single"/>
        </w:rPr>
        <w:t xml:space="preserve">（投标人名称）         </w:t>
      </w:r>
      <w:r>
        <w:rPr>
          <w:rFonts w:ascii="宋体" w:hAnsi="宋体"/>
          <w:bCs/>
          <w:color w:val="auto"/>
          <w:spacing w:val="-6"/>
          <w:sz w:val="21"/>
          <w:szCs w:val="21"/>
          <w:highlight w:val="none"/>
        </w:rPr>
        <w:t>的法定代表人，身份证</w:t>
      </w:r>
      <w:r>
        <w:rPr>
          <w:rFonts w:hint="eastAsia" w:ascii="宋体" w:hAnsi="宋体"/>
          <w:bCs/>
          <w:color w:val="auto"/>
          <w:spacing w:val="-6"/>
          <w:sz w:val="21"/>
          <w:szCs w:val="21"/>
          <w:highlight w:val="none"/>
        </w:rPr>
        <w:t>号码：___________________________。</w:t>
      </w:r>
    </w:p>
    <w:p>
      <w:pPr>
        <w:spacing w:line="360" w:lineRule="auto"/>
        <w:ind w:firstLine="396" w:firstLineChars="200"/>
        <w:rPr>
          <w:rFonts w:ascii="宋体" w:hAnsi="宋体"/>
          <w:bCs/>
          <w:color w:val="auto"/>
          <w:spacing w:val="-6"/>
          <w:sz w:val="21"/>
          <w:szCs w:val="21"/>
          <w:highlight w:val="none"/>
        </w:rPr>
      </w:pPr>
      <w:r>
        <w:rPr>
          <w:rFonts w:ascii="宋体" w:hAnsi="宋体"/>
          <w:bCs/>
          <w:color w:val="auto"/>
          <w:spacing w:val="-6"/>
          <w:sz w:val="21"/>
          <w:szCs w:val="21"/>
          <w:highlight w:val="none"/>
        </w:rPr>
        <w:t>特此证明。</w:t>
      </w:r>
    </w:p>
    <w:p>
      <w:pPr>
        <w:spacing w:line="360" w:lineRule="auto"/>
        <w:rPr>
          <w:rFonts w:ascii="宋体" w:hAnsi="宋体"/>
          <w:bCs/>
          <w:color w:val="auto"/>
          <w:spacing w:val="-6"/>
          <w:sz w:val="21"/>
          <w:szCs w:val="21"/>
          <w:highlight w:val="none"/>
        </w:rPr>
      </w:pP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2" w:hRule="atLeast"/>
          <w:jc w:val="center"/>
        </w:trPr>
        <w:tc>
          <w:tcPr>
            <w:tcW w:w="9498" w:type="dxa"/>
            <w:noWrap w:val="0"/>
            <w:vAlign w:val="center"/>
          </w:tcPr>
          <w:p>
            <w:pPr>
              <w:spacing w:line="360" w:lineRule="auto"/>
              <w:jc w:val="center"/>
              <w:rPr>
                <w:rFonts w:ascii="宋体" w:hAnsi="宋体"/>
                <w:bCs/>
                <w:color w:val="auto"/>
                <w:spacing w:val="-6"/>
                <w:sz w:val="21"/>
                <w:szCs w:val="21"/>
                <w:highlight w:val="none"/>
              </w:rPr>
            </w:pPr>
            <w:r>
              <w:rPr>
                <w:rFonts w:hint="eastAsia" w:ascii="宋体" w:hAnsi="宋体"/>
                <w:color w:val="auto"/>
                <w:sz w:val="21"/>
                <w:szCs w:val="21"/>
                <w:highlight w:val="none"/>
              </w:rPr>
              <w:t>法定代表人身份证扫描件粘贴处</w:t>
            </w:r>
          </w:p>
        </w:tc>
      </w:tr>
    </w:tbl>
    <w:p>
      <w:pPr>
        <w:spacing w:line="360" w:lineRule="auto"/>
        <w:rPr>
          <w:rFonts w:ascii="宋体" w:hAnsi="宋体"/>
          <w:bCs/>
          <w:color w:val="auto"/>
          <w:spacing w:val="-6"/>
          <w:sz w:val="21"/>
          <w:szCs w:val="21"/>
          <w:highlight w:val="none"/>
        </w:rPr>
      </w:pPr>
    </w:p>
    <w:p>
      <w:pPr>
        <w:spacing w:line="360" w:lineRule="auto"/>
        <w:ind w:right="456"/>
        <w:rPr>
          <w:rFonts w:ascii="宋体" w:hAnsi="宋体"/>
          <w:b/>
          <w:bCs/>
          <w:color w:val="auto"/>
          <w:spacing w:val="-6"/>
          <w:sz w:val="21"/>
          <w:szCs w:val="21"/>
          <w:highlight w:val="none"/>
        </w:rPr>
      </w:pPr>
    </w:p>
    <w:p>
      <w:pPr>
        <w:pStyle w:val="23"/>
        <w:spacing w:before="120" w:after="120" w:line="360" w:lineRule="auto"/>
        <w:ind w:left="560" w:leftChars="200"/>
        <w:rPr>
          <w:rFonts w:hAnsi="宋体"/>
          <w:color w:val="auto"/>
          <w:sz w:val="21"/>
          <w:szCs w:val="21"/>
          <w:highlight w:val="none"/>
        </w:rPr>
      </w:pPr>
      <w:r>
        <w:rPr>
          <w:rFonts w:hint="eastAsia" w:hAnsi="宋体"/>
          <w:color w:val="auto"/>
          <w:sz w:val="21"/>
          <w:szCs w:val="21"/>
          <w:highlight w:val="none"/>
        </w:rPr>
        <w:t xml:space="preserve">投标人（盖公章）：                 </w:t>
      </w:r>
    </w:p>
    <w:p>
      <w:pPr>
        <w:pStyle w:val="23"/>
        <w:spacing w:before="120" w:after="120" w:line="360" w:lineRule="auto"/>
        <w:ind w:left="560" w:leftChars="200"/>
        <w:rPr>
          <w:rFonts w:hAnsi="宋体"/>
          <w:color w:val="auto"/>
          <w:sz w:val="21"/>
          <w:szCs w:val="21"/>
          <w:highlight w:val="none"/>
        </w:rPr>
      </w:pPr>
      <w:r>
        <w:rPr>
          <w:rFonts w:hint="eastAsia" w:hAnsi="宋体"/>
          <w:color w:val="auto"/>
          <w:sz w:val="21"/>
          <w:szCs w:val="21"/>
          <w:highlight w:val="none"/>
        </w:rPr>
        <w:t xml:space="preserve">      </w:t>
      </w:r>
    </w:p>
    <w:p>
      <w:pPr>
        <w:pStyle w:val="2"/>
        <w:ind w:firstLine="210"/>
        <w:rPr>
          <w:rFonts w:hint="eastAsia"/>
          <w:color w:val="auto"/>
          <w:highlight w:val="none"/>
        </w:rPr>
      </w:pPr>
      <w:r>
        <w:rPr>
          <w:rFonts w:hint="eastAsia" w:hAnsi="宋体"/>
          <w:color w:val="auto"/>
          <w:sz w:val="21"/>
          <w:szCs w:val="21"/>
          <w:highlight w:val="none"/>
        </w:rPr>
        <w:t>日期：    年  月  日</w:t>
      </w:r>
    </w:p>
    <w:p>
      <w:pPr>
        <w:pStyle w:val="2"/>
        <w:ind w:firstLine="280"/>
        <w:rPr>
          <w:rFonts w:hint="eastAsia"/>
          <w:color w:val="auto"/>
          <w:highlight w:val="none"/>
        </w:rPr>
      </w:pPr>
    </w:p>
    <w:p>
      <w:pPr>
        <w:pStyle w:val="2"/>
        <w:ind w:firstLine="280"/>
        <w:rPr>
          <w:rFonts w:hint="eastAsia"/>
          <w:color w:val="auto"/>
          <w:highlight w:val="none"/>
        </w:rPr>
      </w:pPr>
    </w:p>
    <w:p>
      <w:pPr>
        <w:pStyle w:val="2"/>
        <w:ind w:firstLine="280"/>
        <w:rPr>
          <w:rFonts w:hint="eastAsia"/>
          <w:color w:val="auto"/>
          <w:highlight w:val="none"/>
        </w:rPr>
      </w:pPr>
    </w:p>
    <w:p>
      <w:pPr>
        <w:pStyle w:val="2"/>
        <w:ind w:firstLine="280"/>
        <w:rPr>
          <w:rFonts w:hint="eastAsia"/>
          <w:color w:val="auto"/>
          <w:highlight w:val="none"/>
        </w:rPr>
      </w:pPr>
    </w:p>
    <w:p>
      <w:pPr>
        <w:spacing w:line="360" w:lineRule="auto"/>
        <w:jc w:val="left"/>
        <w:rPr>
          <w:rFonts w:ascii="宋体" w:hAnsi="宋体"/>
          <w:b/>
          <w:bCs/>
          <w:color w:val="auto"/>
          <w:spacing w:val="-6"/>
          <w:sz w:val="21"/>
          <w:szCs w:val="21"/>
          <w:highlight w:val="none"/>
        </w:rPr>
      </w:pPr>
      <w:r>
        <w:rPr>
          <w:rFonts w:hint="eastAsia" w:ascii="宋体" w:hAnsi="宋体"/>
          <w:b/>
          <w:bCs/>
          <w:color w:val="auto"/>
          <w:spacing w:val="-6"/>
          <w:sz w:val="21"/>
          <w:szCs w:val="21"/>
          <w:highlight w:val="none"/>
        </w:rPr>
        <w:t>说明：投标人的</w:t>
      </w:r>
      <w:r>
        <w:rPr>
          <w:rFonts w:ascii="宋体" w:hAnsi="宋体"/>
          <w:b/>
          <w:bCs/>
          <w:color w:val="auto"/>
          <w:spacing w:val="-6"/>
          <w:sz w:val="21"/>
          <w:szCs w:val="21"/>
          <w:highlight w:val="none"/>
        </w:rPr>
        <w:t>法定代表人参加</w:t>
      </w:r>
      <w:r>
        <w:rPr>
          <w:rFonts w:hint="eastAsia" w:ascii="宋体" w:hAnsi="宋体"/>
          <w:b/>
          <w:bCs/>
          <w:color w:val="auto"/>
          <w:spacing w:val="-6"/>
          <w:sz w:val="21"/>
          <w:szCs w:val="21"/>
          <w:highlight w:val="none"/>
        </w:rPr>
        <w:t>投标的</w:t>
      </w:r>
      <w:r>
        <w:rPr>
          <w:rFonts w:ascii="宋体" w:hAnsi="宋体"/>
          <w:b/>
          <w:bCs/>
          <w:color w:val="auto"/>
          <w:spacing w:val="-6"/>
          <w:sz w:val="21"/>
          <w:szCs w:val="21"/>
          <w:highlight w:val="none"/>
        </w:rPr>
        <w:t>，须在</w:t>
      </w:r>
      <w:r>
        <w:rPr>
          <w:rFonts w:hint="eastAsia" w:ascii="宋体" w:hAnsi="宋体"/>
          <w:b/>
          <w:bCs/>
          <w:color w:val="auto"/>
          <w:spacing w:val="-6"/>
          <w:sz w:val="21"/>
          <w:szCs w:val="21"/>
          <w:highlight w:val="none"/>
        </w:rPr>
        <w:t>投标</w:t>
      </w:r>
      <w:r>
        <w:rPr>
          <w:rFonts w:ascii="宋体" w:hAnsi="宋体"/>
          <w:b/>
          <w:bCs/>
          <w:color w:val="auto"/>
          <w:spacing w:val="-6"/>
          <w:sz w:val="21"/>
          <w:szCs w:val="21"/>
          <w:highlight w:val="none"/>
        </w:rPr>
        <w:t>文件中提供法定代表人资格证明</w:t>
      </w:r>
      <w:r>
        <w:rPr>
          <w:rFonts w:hint="eastAsia" w:ascii="宋体" w:hAnsi="宋体"/>
          <w:b/>
          <w:bCs/>
          <w:color w:val="auto"/>
          <w:spacing w:val="-6"/>
          <w:sz w:val="21"/>
          <w:szCs w:val="21"/>
          <w:highlight w:val="none"/>
        </w:rPr>
        <w:t>书；</w:t>
      </w:r>
    </w:p>
    <w:p>
      <w:pPr>
        <w:spacing w:line="360" w:lineRule="auto"/>
        <w:ind w:left="560" w:leftChars="200"/>
        <w:jc w:val="left"/>
        <w:rPr>
          <w:rFonts w:hAnsi="宋体"/>
          <w:color w:val="auto"/>
          <w:sz w:val="21"/>
          <w:szCs w:val="21"/>
          <w:highlight w:val="none"/>
        </w:rPr>
      </w:pPr>
    </w:p>
    <w:p>
      <w:pPr>
        <w:pStyle w:val="2"/>
        <w:ind w:firstLine="280"/>
        <w:rPr>
          <w:rFonts w:ascii="宋体"/>
          <w:color w:val="auto"/>
          <w:highlight w:val="none"/>
        </w:rPr>
      </w:pPr>
      <w:r>
        <w:rPr>
          <w:color w:val="auto"/>
          <w:highlight w:val="none"/>
        </w:rPr>
        <w:br w:type="page"/>
      </w:r>
    </w:p>
    <w:p>
      <w:pPr>
        <w:spacing w:line="480" w:lineRule="auto"/>
        <w:jc w:val="center"/>
        <w:rPr>
          <w:b/>
          <w:color w:val="auto"/>
          <w:sz w:val="30"/>
          <w:szCs w:val="30"/>
          <w:highlight w:val="none"/>
        </w:rPr>
      </w:pPr>
      <w:r>
        <w:rPr>
          <w:rFonts w:hint="eastAsia"/>
          <w:b/>
          <w:color w:val="auto"/>
          <w:sz w:val="30"/>
          <w:szCs w:val="30"/>
          <w:highlight w:val="none"/>
        </w:rPr>
        <w:t>法定代表人授权委托书</w:t>
      </w:r>
    </w:p>
    <w:p>
      <w:pPr>
        <w:spacing w:line="400" w:lineRule="exact"/>
        <w:jc w:val="center"/>
        <w:rPr>
          <w:rFonts w:ascii="宋体" w:hAnsi="宋体" w:cs="宋体"/>
          <w:b/>
          <w:bCs/>
          <w:color w:val="auto"/>
          <w:sz w:val="30"/>
          <w:szCs w:val="30"/>
          <w:highlight w:val="none"/>
        </w:rPr>
      </w:pPr>
    </w:p>
    <w:p>
      <w:pPr>
        <w:adjustRightInd w:val="0"/>
        <w:snapToGrid w:val="0"/>
        <w:spacing w:line="360" w:lineRule="auto"/>
        <w:rPr>
          <w:rFonts w:hint="eastAsia" w:eastAsia="宋体"/>
          <w:color w:val="auto"/>
          <w:sz w:val="21"/>
          <w:szCs w:val="21"/>
          <w:highlight w:val="none"/>
          <w:lang w:eastAsia="zh-CN"/>
        </w:rPr>
      </w:pPr>
      <w:r>
        <w:rPr>
          <w:rFonts w:hint="eastAsia"/>
          <w:color w:val="auto"/>
          <w:sz w:val="21"/>
          <w:szCs w:val="21"/>
          <w:highlight w:val="none"/>
        </w:rPr>
        <w:t>致：</w:t>
      </w:r>
      <w:r>
        <w:rPr>
          <w:rFonts w:hint="eastAsia"/>
          <w:color w:val="auto"/>
          <w:sz w:val="21"/>
          <w:szCs w:val="21"/>
          <w:highlight w:val="none"/>
          <w:u w:val="single"/>
          <w:lang w:eastAsia="zh-CN"/>
        </w:rPr>
        <w:t>温州市龙湾区城市管理服务有限公司</w:t>
      </w:r>
    </w:p>
    <w:p>
      <w:pPr>
        <w:spacing w:line="400" w:lineRule="exact"/>
        <w:rPr>
          <w:rFonts w:ascii="宋体" w:hAnsi="宋体"/>
          <w:color w:val="auto"/>
          <w:sz w:val="21"/>
          <w:szCs w:val="21"/>
          <w:highlight w:val="none"/>
        </w:rPr>
      </w:pPr>
    </w:p>
    <w:p>
      <w:pPr>
        <w:spacing w:line="400" w:lineRule="exact"/>
        <w:ind w:firstLine="396" w:firstLineChars="200"/>
        <w:rPr>
          <w:rFonts w:ascii="宋体" w:hAnsi="宋体"/>
          <w:color w:val="auto"/>
          <w:spacing w:val="-6"/>
          <w:sz w:val="21"/>
          <w:szCs w:val="21"/>
          <w:highlight w:val="none"/>
        </w:rPr>
      </w:pPr>
      <w:r>
        <w:rPr>
          <w:rFonts w:hint="eastAsia" w:ascii="宋体" w:hAnsi="宋体"/>
          <w:color w:val="auto"/>
          <w:spacing w:val="-6"/>
          <w:sz w:val="21"/>
          <w:szCs w:val="21"/>
          <w:highlight w:val="none"/>
        </w:rPr>
        <w:t xml:space="preserve">我 </w:t>
      </w:r>
      <w:r>
        <w:rPr>
          <w:rFonts w:hint="eastAsia" w:ascii="宋体" w:hAnsi="宋体"/>
          <w:color w:val="auto"/>
          <w:spacing w:val="-6"/>
          <w:sz w:val="21"/>
          <w:szCs w:val="21"/>
          <w:highlight w:val="none"/>
          <w:u w:val="single"/>
        </w:rPr>
        <w:t xml:space="preserve">       </w:t>
      </w:r>
      <w:r>
        <w:rPr>
          <w:rFonts w:hint="eastAsia" w:ascii="宋体" w:hAnsi="宋体"/>
          <w:i/>
          <w:color w:val="auto"/>
          <w:spacing w:val="-6"/>
          <w:sz w:val="21"/>
          <w:szCs w:val="21"/>
          <w:highlight w:val="none"/>
          <w:u w:val="single"/>
        </w:rPr>
        <w:t xml:space="preserve">（姓名）   </w:t>
      </w:r>
      <w:r>
        <w:rPr>
          <w:rFonts w:hint="eastAsia" w:ascii="宋体" w:hAnsi="宋体"/>
          <w:color w:val="auto"/>
          <w:spacing w:val="-6"/>
          <w:sz w:val="21"/>
          <w:szCs w:val="21"/>
          <w:highlight w:val="none"/>
        </w:rPr>
        <w:t xml:space="preserve">系 </w:t>
      </w:r>
      <w:r>
        <w:rPr>
          <w:rFonts w:hint="eastAsia" w:ascii="宋体" w:hAnsi="宋体"/>
          <w:color w:val="auto"/>
          <w:spacing w:val="-6"/>
          <w:sz w:val="21"/>
          <w:szCs w:val="21"/>
          <w:highlight w:val="none"/>
          <w:u w:val="single"/>
        </w:rPr>
        <w:t xml:space="preserve">                  </w:t>
      </w:r>
      <w:r>
        <w:rPr>
          <w:rFonts w:hint="eastAsia" w:ascii="宋体" w:hAnsi="宋体"/>
          <w:i/>
          <w:color w:val="auto"/>
          <w:spacing w:val="-6"/>
          <w:sz w:val="21"/>
          <w:szCs w:val="21"/>
          <w:highlight w:val="none"/>
          <w:u w:val="single"/>
        </w:rPr>
        <w:t xml:space="preserve"> （投标人名称）         </w:t>
      </w:r>
      <w:r>
        <w:rPr>
          <w:rFonts w:hint="eastAsia" w:ascii="宋体" w:hAnsi="宋体"/>
          <w:color w:val="auto"/>
          <w:spacing w:val="-6"/>
          <w:sz w:val="21"/>
          <w:szCs w:val="21"/>
          <w:highlight w:val="none"/>
        </w:rPr>
        <w:t>的法定代表人，现授权委托本单位在职职工：</w:t>
      </w:r>
      <w:r>
        <w:rPr>
          <w:rFonts w:hint="eastAsia" w:ascii="宋体" w:hAnsi="宋体"/>
          <w:color w:val="auto"/>
          <w:spacing w:val="-6"/>
          <w:sz w:val="21"/>
          <w:szCs w:val="21"/>
          <w:highlight w:val="none"/>
          <w:u w:val="single"/>
        </w:rPr>
        <w:t xml:space="preserve">     </w:t>
      </w:r>
      <w:r>
        <w:rPr>
          <w:rFonts w:hint="eastAsia" w:ascii="宋体" w:hAnsi="宋体"/>
          <w:i/>
          <w:color w:val="auto"/>
          <w:spacing w:val="-6"/>
          <w:sz w:val="21"/>
          <w:szCs w:val="21"/>
          <w:highlight w:val="none"/>
          <w:u w:val="single"/>
        </w:rPr>
        <w:t xml:space="preserve"> （姓名）     </w:t>
      </w:r>
      <w:r>
        <w:rPr>
          <w:rFonts w:hint="eastAsia" w:ascii="宋体" w:hAnsi="宋体"/>
          <w:color w:val="auto"/>
          <w:spacing w:val="-6"/>
          <w:sz w:val="21"/>
          <w:szCs w:val="21"/>
          <w:highlight w:val="none"/>
        </w:rPr>
        <w:t>，身份证号码：</w:t>
      </w:r>
      <w:r>
        <w:rPr>
          <w:rFonts w:hint="eastAsia" w:ascii="宋体" w:hAnsi="宋体"/>
          <w:color w:val="auto"/>
          <w:spacing w:val="-6"/>
          <w:sz w:val="21"/>
          <w:szCs w:val="21"/>
          <w:highlight w:val="none"/>
          <w:u w:val="single"/>
        </w:rPr>
        <w:t xml:space="preserve">                                </w:t>
      </w:r>
      <w:r>
        <w:rPr>
          <w:rFonts w:hint="eastAsia" w:ascii="宋体" w:hAnsi="宋体"/>
          <w:color w:val="auto"/>
          <w:spacing w:val="-6"/>
          <w:sz w:val="21"/>
          <w:szCs w:val="21"/>
          <w:highlight w:val="none"/>
        </w:rPr>
        <w:t>以我方的名义参加</w:t>
      </w:r>
      <w:r>
        <w:rPr>
          <w:rFonts w:hint="eastAsia" w:ascii="宋体" w:hAnsi="宋体"/>
          <w:bCs/>
          <w:color w:val="auto"/>
          <w:spacing w:val="-6"/>
          <w:sz w:val="21"/>
          <w:szCs w:val="21"/>
          <w:highlight w:val="none"/>
          <w:u w:val="single"/>
        </w:rPr>
        <w:t xml:space="preserve">  </w:t>
      </w:r>
      <w:r>
        <w:rPr>
          <w:rFonts w:hint="eastAsia" w:ascii="宋体" w:hAnsi="宋体"/>
          <w:bCs/>
          <w:color w:val="auto"/>
          <w:sz w:val="21"/>
          <w:szCs w:val="21"/>
          <w:highlight w:val="none"/>
          <w:u w:val="single"/>
        </w:rPr>
        <w:t>龙湾区瑶溪街道环卫保洁一体化项目</w:t>
      </w:r>
      <w:r>
        <w:rPr>
          <w:rFonts w:hint="eastAsia" w:ascii="宋体" w:hAnsi="宋体"/>
          <w:bCs/>
          <w:color w:val="auto"/>
          <w:spacing w:val="-6"/>
          <w:sz w:val="21"/>
          <w:szCs w:val="21"/>
          <w:highlight w:val="none"/>
          <w:u w:val="single"/>
        </w:rPr>
        <w:t xml:space="preserve">  </w:t>
      </w:r>
      <w:r>
        <w:rPr>
          <w:rFonts w:hint="eastAsia" w:ascii="宋体" w:hAnsi="宋体"/>
          <w:bCs/>
          <w:color w:val="auto"/>
          <w:spacing w:val="-6"/>
          <w:sz w:val="21"/>
          <w:szCs w:val="21"/>
          <w:highlight w:val="none"/>
        </w:rPr>
        <w:t>项目</w:t>
      </w:r>
      <w:r>
        <w:rPr>
          <w:rFonts w:hint="eastAsia" w:ascii="宋体" w:hAnsi="宋体"/>
          <w:color w:val="auto"/>
          <w:spacing w:val="-6"/>
          <w:sz w:val="21"/>
          <w:szCs w:val="21"/>
          <w:highlight w:val="none"/>
        </w:rPr>
        <w:t>的投标活动，并代表我方全权办理针对上述项目的投标、开标、评标、签约等具体事务和签署相关文件。</w:t>
      </w:r>
    </w:p>
    <w:p>
      <w:pPr>
        <w:spacing w:line="400" w:lineRule="exact"/>
        <w:ind w:firstLine="396" w:firstLineChars="200"/>
        <w:rPr>
          <w:rFonts w:ascii="宋体" w:hAnsi="宋体"/>
          <w:color w:val="auto"/>
          <w:spacing w:val="-6"/>
          <w:sz w:val="21"/>
          <w:szCs w:val="21"/>
          <w:highlight w:val="none"/>
        </w:rPr>
      </w:pPr>
      <w:r>
        <w:rPr>
          <w:rFonts w:hint="eastAsia" w:ascii="宋体" w:hAnsi="宋体"/>
          <w:color w:val="auto"/>
          <w:spacing w:val="-6"/>
          <w:sz w:val="21"/>
          <w:szCs w:val="21"/>
          <w:highlight w:val="none"/>
        </w:rPr>
        <w:t>我方对被授权人的签名负全部责任。</w:t>
      </w:r>
    </w:p>
    <w:p>
      <w:pPr>
        <w:spacing w:line="400" w:lineRule="exact"/>
        <w:ind w:firstLine="396" w:firstLineChars="200"/>
        <w:rPr>
          <w:rFonts w:ascii="宋体" w:hAnsi="宋体"/>
          <w:color w:val="auto"/>
          <w:spacing w:val="-6"/>
          <w:sz w:val="21"/>
          <w:szCs w:val="21"/>
          <w:highlight w:val="none"/>
        </w:rPr>
      </w:pPr>
      <w:r>
        <w:rPr>
          <w:rFonts w:hint="eastAsia" w:ascii="宋体" w:hAnsi="宋体"/>
          <w:color w:val="auto"/>
          <w:spacing w:val="-6"/>
          <w:sz w:val="21"/>
          <w:szCs w:val="21"/>
          <w:highlight w:val="none"/>
        </w:rPr>
        <w:t>在撤销授权的书面通知以前，本授权书一直有效。被授权人在授权书有效期内签署的所有文件不因授权的撤销而失效。</w:t>
      </w:r>
    </w:p>
    <w:p>
      <w:pPr>
        <w:spacing w:line="400" w:lineRule="exact"/>
        <w:ind w:firstLine="396" w:firstLineChars="200"/>
        <w:rPr>
          <w:rFonts w:ascii="宋体" w:hAnsi="宋体"/>
          <w:color w:val="auto"/>
          <w:spacing w:val="-6"/>
          <w:sz w:val="21"/>
          <w:szCs w:val="21"/>
          <w:highlight w:val="none"/>
        </w:rPr>
      </w:pPr>
      <w:r>
        <w:rPr>
          <w:rFonts w:hint="eastAsia" w:ascii="宋体" w:hAnsi="宋体"/>
          <w:color w:val="auto"/>
          <w:spacing w:val="-6"/>
          <w:sz w:val="21"/>
          <w:szCs w:val="21"/>
          <w:highlight w:val="none"/>
        </w:rPr>
        <w:t>被授权人无转委托权，特此委托。</w:t>
      </w:r>
    </w:p>
    <w:p>
      <w:pPr>
        <w:spacing w:line="400" w:lineRule="exact"/>
        <w:ind w:firstLine="398" w:firstLineChars="200"/>
        <w:rPr>
          <w:rFonts w:ascii="宋体" w:hAnsi="宋体"/>
          <w:b/>
          <w:color w:val="auto"/>
          <w:spacing w:val="-6"/>
          <w:sz w:val="21"/>
          <w:szCs w:val="21"/>
          <w:highlight w:val="none"/>
        </w:rPr>
      </w:pPr>
      <w:r>
        <w:rPr>
          <w:rFonts w:hint="eastAsia" w:ascii="宋体" w:hAnsi="宋体"/>
          <w:b/>
          <w:color w:val="auto"/>
          <w:spacing w:val="-6"/>
          <w:sz w:val="21"/>
          <w:szCs w:val="21"/>
          <w:highlight w:val="none"/>
        </w:rPr>
        <w:t>附：法定代表人身份证明</w:t>
      </w:r>
    </w:p>
    <w:p>
      <w:pPr>
        <w:pStyle w:val="2"/>
        <w:ind w:firstLine="280"/>
        <w:rPr>
          <w:color w:val="auto"/>
          <w:highlight w:val="none"/>
        </w:rPr>
      </w:pPr>
    </w:p>
    <w:p>
      <w:pPr>
        <w:snapToGrid w:val="0"/>
        <w:spacing w:line="480" w:lineRule="auto"/>
        <w:ind w:firstLine="420" w:firstLineChars="200"/>
        <w:rPr>
          <w:rFonts w:ascii="宋体" w:hAnsi="宋体"/>
          <w:color w:val="auto"/>
          <w:sz w:val="21"/>
          <w:szCs w:val="21"/>
          <w:highlight w:val="none"/>
          <w:u w:val="single"/>
        </w:rPr>
      </w:pPr>
      <w:r>
        <w:rPr>
          <w:rFonts w:hint="eastAsia" w:ascii="宋体" w:hAnsi="宋体"/>
          <w:color w:val="auto"/>
          <w:sz w:val="21"/>
          <w:szCs w:val="21"/>
          <w:highlight w:val="none"/>
        </w:rPr>
        <w:t>法定代表人（签字或盖章）：</w:t>
      </w:r>
      <w:r>
        <w:rPr>
          <w:rFonts w:ascii="宋体" w:hAnsi="宋体"/>
          <w:color w:val="auto"/>
          <w:sz w:val="21"/>
          <w:szCs w:val="21"/>
          <w:highlight w:val="none"/>
          <w:u w:val="single"/>
        </w:rPr>
        <w:t xml:space="preserve">          </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 xml:space="preserve">          </w:t>
      </w:r>
      <w:r>
        <w:rPr>
          <w:rFonts w:ascii="宋体" w:hAnsi="宋体"/>
          <w:color w:val="auto"/>
          <w:sz w:val="21"/>
          <w:szCs w:val="21"/>
          <w:highlight w:val="none"/>
        </w:rPr>
        <w:t xml:space="preserve">                </w:t>
      </w:r>
    </w:p>
    <w:p>
      <w:pPr>
        <w:snapToGrid w:val="0"/>
        <w:spacing w:line="480" w:lineRule="auto"/>
        <w:ind w:firstLine="420" w:firstLineChars="200"/>
        <w:rPr>
          <w:rFonts w:ascii="宋体" w:hAnsi="宋体"/>
          <w:color w:val="auto"/>
          <w:sz w:val="21"/>
          <w:szCs w:val="21"/>
          <w:highlight w:val="none"/>
          <w:u w:val="single"/>
        </w:rPr>
      </w:pPr>
      <w:r>
        <w:rPr>
          <w:rFonts w:hint="eastAsia" w:ascii="宋体" w:hAnsi="宋体"/>
          <w:color w:val="auto"/>
          <w:sz w:val="21"/>
          <w:szCs w:val="21"/>
          <w:highlight w:val="none"/>
        </w:rPr>
        <w:t>投标人（盖公章）：</w:t>
      </w:r>
      <w:r>
        <w:rPr>
          <w:rFonts w:ascii="宋体" w:hAnsi="宋体"/>
          <w:color w:val="auto"/>
          <w:sz w:val="21"/>
          <w:szCs w:val="21"/>
          <w:highlight w:val="none"/>
          <w:u w:val="single"/>
        </w:rPr>
        <w:t xml:space="preserve">    </w:t>
      </w:r>
      <w:r>
        <w:rPr>
          <w:rFonts w:hint="eastAsia" w:ascii="宋体" w:hAnsi="宋体"/>
          <w:color w:val="auto"/>
          <w:sz w:val="21"/>
          <w:szCs w:val="21"/>
          <w:highlight w:val="none"/>
          <w:u w:val="single"/>
        </w:rPr>
        <w:t xml:space="preserve">         </w:t>
      </w:r>
      <w:r>
        <w:rPr>
          <w:rFonts w:ascii="宋体" w:hAnsi="宋体"/>
          <w:color w:val="auto"/>
          <w:sz w:val="21"/>
          <w:szCs w:val="21"/>
          <w:highlight w:val="none"/>
          <w:u w:val="single"/>
        </w:rPr>
        <w:t xml:space="preserve">  </w:t>
      </w:r>
      <w:r>
        <w:rPr>
          <w:rFonts w:hint="eastAsia" w:ascii="宋体" w:hAnsi="宋体"/>
          <w:color w:val="auto"/>
          <w:sz w:val="21"/>
          <w:szCs w:val="21"/>
          <w:highlight w:val="none"/>
          <w:u w:val="single"/>
        </w:rPr>
        <w:t xml:space="preserve">          </w:t>
      </w:r>
      <w:r>
        <w:rPr>
          <w:rFonts w:ascii="宋体" w:hAnsi="宋体"/>
          <w:color w:val="auto"/>
          <w:sz w:val="21"/>
          <w:szCs w:val="21"/>
          <w:highlight w:val="none"/>
          <w:u w:val="single"/>
        </w:rPr>
        <w:t xml:space="preserve">     </w:t>
      </w:r>
    </w:p>
    <w:p>
      <w:pPr>
        <w:snapToGrid w:val="0"/>
        <w:spacing w:line="480" w:lineRule="auto"/>
        <w:ind w:firstLine="420" w:firstLineChars="200"/>
        <w:rPr>
          <w:rFonts w:ascii="宋体" w:hAnsi="宋体"/>
          <w:color w:val="auto"/>
          <w:sz w:val="21"/>
          <w:szCs w:val="21"/>
          <w:highlight w:val="none"/>
        </w:rPr>
      </w:pPr>
      <w:r>
        <w:rPr>
          <w:rFonts w:hint="eastAsia" w:hAnsi="宋体"/>
          <w:color w:val="auto"/>
          <w:sz w:val="21"/>
          <w:szCs w:val="21"/>
          <w:highlight w:val="none"/>
        </w:rPr>
        <w:t>日期：</w:t>
      </w:r>
      <w:r>
        <w:rPr>
          <w:rFonts w:ascii="宋体" w:hAnsi="宋体"/>
          <w:color w:val="auto"/>
          <w:sz w:val="21"/>
          <w:szCs w:val="21"/>
          <w:highlight w:val="none"/>
          <w:u w:val="single"/>
        </w:rPr>
        <w:t xml:space="preserve">    </w:t>
      </w:r>
      <w:r>
        <w:rPr>
          <w:rFonts w:hint="eastAsia" w:ascii="宋体" w:hAnsi="宋体"/>
          <w:color w:val="auto"/>
          <w:sz w:val="21"/>
          <w:szCs w:val="21"/>
          <w:highlight w:val="none"/>
          <w:u w:val="single"/>
        </w:rPr>
        <w:t xml:space="preserve">  </w:t>
      </w:r>
      <w:r>
        <w:rPr>
          <w:rFonts w:ascii="宋体" w:hAnsi="宋体"/>
          <w:color w:val="auto"/>
          <w:sz w:val="21"/>
          <w:szCs w:val="21"/>
          <w:highlight w:val="none"/>
          <w:u w:val="single"/>
        </w:rPr>
        <w:t xml:space="preserve">  </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年</w:t>
      </w:r>
      <w:r>
        <w:rPr>
          <w:rFonts w:ascii="宋体" w:hAnsi="宋体"/>
          <w:color w:val="auto"/>
          <w:sz w:val="21"/>
          <w:szCs w:val="21"/>
          <w:highlight w:val="none"/>
          <w:u w:val="single"/>
        </w:rPr>
        <w:t xml:space="preserve">   </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月</w:t>
      </w:r>
      <w:r>
        <w:rPr>
          <w:rFonts w:ascii="宋体" w:hAnsi="宋体"/>
          <w:color w:val="auto"/>
          <w:sz w:val="21"/>
          <w:szCs w:val="21"/>
          <w:highlight w:val="none"/>
          <w:u w:val="single"/>
        </w:rPr>
        <w:t xml:space="preserve">     </w:t>
      </w:r>
      <w:r>
        <w:rPr>
          <w:rFonts w:hint="eastAsia" w:ascii="宋体" w:hAnsi="宋体"/>
          <w:color w:val="auto"/>
          <w:sz w:val="21"/>
          <w:szCs w:val="21"/>
          <w:highlight w:val="none"/>
        </w:rPr>
        <w:t>日</w:t>
      </w: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6" w:hRule="atLeast"/>
          <w:jc w:val="center"/>
        </w:trPr>
        <w:tc>
          <w:tcPr>
            <w:tcW w:w="9386" w:type="dxa"/>
            <w:noWrap w:val="0"/>
            <w:vAlign w:val="center"/>
          </w:tcPr>
          <w:p>
            <w:pPr>
              <w:pStyle w:val="23"/>
              <w:spacing w:before="120" w:after="120" w:line="440" w:lineRule="atLeast"/>
              <w:jc w:val="center"/>
              <w:rPr>
                <w:rFonts w:hAnsi="宋体"/>
                <w:color w:val="auto"/>
                <w:kern w:val="2"/>
                <w:sz w:val="21"/>
                <w:szCs w:val="21"/>
                <w:highlight w:val="none"/>
              </w:rPr>
            </w:pPr>
            <w:r>
              <w:rPr>
                <w:rFonts w:hint="eastAsia" w:hAnsi="宋体"/>
                <w:color w:val="auto"/>
                <w:spacing w:val="-6"/>
                <w:kern w:val="2"/>
                <w:sz w:val="21"/>
                <w:szCs w:val="21"/>
                <w:highlight w:val="none"/>
              </w:rPr>
              <w:t>被授权人</w:t>
            </w:r>
            <w:r>
              <w:rPr>
                <w:rFonts w:hint="eastAsia" w:hAnsi="宋体"/>
                <w:color w:val="auto"/>
                <w:kern w:val="2"/>
                <w:sz w:val="21"/>
                <w:szCs w:val="21"/>
                <w:highlight w:val="none"/>
              </w:rPr>
              <w:t>身份证扫描件粘贴处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6" w:hRule="atLeast"/>
          <w:jc w:val="center"/>
        </w:trPr>
        <w:tc>
          <w:tcPr>
            <w:tcW w:w="9386" w:type="dxa"/>
            <w:noWrap w:val="0"/>
            <w:vAlign w:val="center"/>
          </w:tcPr>
          <w:p>
            <w:pPr>
              <w:pStyle w:val="23"/>
              <w:spacing w:before="120" w:after="120" w:line="440" w:lineRule="atLeast"/>
              <w:jc w:val="center"/>
              <w:rPr>
                <w:rFonts w:hint="eastAsia" w:hAnsi="宋体"/>
                <w:color w:val="auto"/>
                <w:spacing w:val="-6"/>
                <w:kern w:val="2"/>
                <w:sz w:val="21"/>
                <w:szCs w:val="21"/>
                <w:highlight w:val="none"/>
              </w:rPr>
            </w:pPr>
            <w:r>
              <w:rPr>
                <w:rFonts w:hint="eastAsia" w:ascii="宋体" w:hAnsi="宋体"/>
                <w:color w:val="auto"/>
                <w:sz w:val="21"/>
                <w:szCs w:val="21"/>
                <w:highlight w:val="none"/>
              </w:rPr>
              <w:t>法定代表人身份证扫描件粘贴处</w:t>
            </w:r>
          </w:p>
        </w:tc>
      </w:tr>
    </w:tbl>
    <w:p>
      <w:pPr>
        <w:spacing w:line="280" w:lineRule="exact"/>
        <w:rPr>
          <w:rFonts w:ascii="宋体" w:hAnsi="宋体"/>
          <w:bCs/>
          <w:color w:val="auto"/>
          <w:sz w:val="21"/>
          <w:szCs w:val="21"/>
          <w:highlight w:val="none"/>
        </w:rPr>
      </w:pPr>
    </w:p>
    <w:p>
      <w:pPr>
        <w:spacing w:line="360" w:lineRule="auto"/>
        <w:jc w:val="left"/>
        <w:rPr>
          <w:rFonts w:ascii="宋体" w:hAnsi="宋体"/>
          <w:b/>
          <w:bCs/>
          <w:color w:val="auto"/>
          <w:spacing w:val="-6"/>
          <w:sz w:val="21"/>
          <w:szCs w:val="21"/>
          <w:highlight w:val="none"/>
        </w:rPr>
      </w:pPr>
      <w:r>
        <w:rPr>
          <w:rFonts w:hint="eastAsia" w:ascii="宋体" w:hAnsi="宋体"/>
          <w:b/>
          <w:bCs/>
          <w:color w:val="auto"/>
          <w:spacing w:val="-6"/>
          <w:sz w:val="21"/>
          <w:szCs w:val="21"/>
          <w:highlight w:val="none"/>
        </w:rPr>
        <w:t>说明：投标人的法定代表人委托授权代表</w:t>
      </w:r>
      <w:r>
        <w:rPr>
          <w:rFonts w:ascii="宋体" w:hAnsi="宋体"/>
          <w:b/>
          <w:bCs/>
          <w:color w:val="auto"/>
          <w:spacing w:val="-6"/>
          <w:sz w:val="21"/>
          <w:szCs w:val="21"/>
          <w:highlight w:val="none"/>
        </w:rPr>
        <w:t>参加投标，须在投标文件中提供</w:t>
      </w:r>
      <w:r>
        <w:rPr>
          <w:rFonts w:hint="eastAsia" w:ascii="宋体" w:hAnsi="宋体"/>
          <w:b/>
          <w:bCs/>
          <w:color w:val="auto"/>
          <w:spacing w:val="-6"/>
          <w:sz w:val="21"/>
          <w:szCs w:val="21"/>
          <w:highlight w:val="none"/>
        </w:rPr>
        <w:t>：</w:t>
      </w:r>
      <w:r>
        <w:rPr>
          <w:rFonts w:ascii="宋体" w:hAnsi="宋体"/>
          <w:b/>
          <w:bCs/>
          <w:color w:val="auto"/>
          <w:spacing w:val="-6"/>
          <w:sz w:val="21"/>
          <w:szCs w:val="21"/>
          <w:highlight w:val="none"/>
        </w:rPr>
        <w:t>法定代表人资格证明</w:t>
      </w:r>
      <w:r>
        <w:rPr>
          <w:rFonts w:hint="eastAsia" w:ascii="宋体" w:hAnsi="宋体"/>
          <w:b/>
          <w:bCs/>
          <w:color w:val="auto"/>
          <w:spacing w:val="-6"/>
          <w:sz w:val="21"/>
          <w:szCs w:val="21"/>
          <w:highlight w:val="none"/>
        </w:rPr>
        <w:t>书和</w:t>
      </w:r>
      <w:r>
        <w:rPr>
          <w:rFonts w:ascii="宋体" w:hAnsi="宋体"/>
          <w:b/>
          <w:bCs/>
          <w:color w:val="auto"/>
          <w:spacing w:val="-6"/>
          <w:sz w:val="21"/>
          <w:szCs w:val="21"/>
          <w:highlight w:val="none"/>
        </w:rPr>
        <w:t>法定代表人授权</w:t>
      </w:r>
      <w:r>
        <w:rPr>
          <w:rFonts w:hint="eastAsia" w:ascii="宋体" w:hAnsi="宋体"/>
          <w:b/>
          <w:bCs/>
          <w:color w:val="auto"/>
          <w:spacing w:val="-6"/>
          <w:sz w:val="21"/>
          <w:szCs w:val="21"/>
          <w:highlight w:val="none"/>
        </w:rPr>
        <w:t>委托</w:t>
      </w:r>
      <w:r>
        <w:rPr>
          <w:rFonts w:ascii="宋体" w:hAnsi="宋体"/>
          <w:b/>
          <w:bCs/>
          <w:color w:val="auto"/>
          <w:spacing w:val="-6"/>
          <w:sz w:val="21"/>
          <w:szCs w:val="21"/>
          <w:highlight w:val="none"/>
        </w:rPr>
        <w:t>书</w:t>
      </w:r>
      <w:r>
        <w:rPr>
          <w:rFonts w:hint="eastAsia" w:ascii="宋体" w:hAnsi="宋体"/>
          <w:b/>
          <w:bCs/>
          <w:color w:val="auto"/>
          <w:spacing w:val="-6"/>
          <w:sz w:val="21"/>
          <w:szCs w:val="21"/>
          <w:highlight w:val="none"/>
        </w:rPr>
        <w:t>。</w:t>
      </w:r>
    </w:p>
    <w:p>
      <w:pPr>
        <w:pStyle w:val="2"/>
        <w:ind w:firstLine="280"/>
        <w:rPr>
          <w:rFonts w:ascii="宋体" w:hAnsi="宋体"/>
          <w:color w:val="auto"/>
          <w:sz w:val="21"/>
          <w:szCs w:val="21"/>
          <w:highlight w:val="none"/>
        </w:rPr>
      </w:pPr>
      <w:r>
        <w:rPr>
          <w:color w:val="auto"/>
          <w:highlight w:val="none"/>
        </w:rPr>
        <w:br w:type="page"/>
      </w:r>
    </w:p>
    <w:p>
      <w:pPr>
        <w:spacing w:line="480" w:lineRule="auto"/>
        <w:jc w:val="center"/>
        <w:rPr>
          <w:b/>
          <w:color w:val="auto"/>
          <w:sz w:val="30"/>
          <w:szCs w:val="30"/>
          <w:highlight w:val="none"/>
        </w:rPr>
      </w:pPr>
      <w:r>
        <w:rPr>
          <w:rFonts w:hint="eastAsia"/>
          <w:b/>
          <w:color w:val="auto"/>
          <w:sz w:val="30"/>
          <w:szCs w:val="30"/>
          <w:highlight w:val="none"/>
        </w:rPr>
        <w:t>投标声明书</w:t>
      </w:r>
    </w:p>
    <w:p>
      <w:pPr>
        <w:spacing w:line="360" w:lineRule="auto"/>
        <w:jc w:val="center"/>
        <w:rPr>
          <w:rFonts w:ascii="宋体" w:hAnsi="宋体"/>
          <w:color w:val="auto"/>
          <w:sz w:val="21"/>
          <w:szCs w:val="21"/>
          <w:highlight w:val="none"/>
        </w:rPr>
      </w:pPr>
    </w:p>
    <w:p>
      <w:pPr>
        <w:adjustRightInd w:val="0"/>
        <w:snapToGrid w:val="0"/>
        <w:spacing w:line="360" w:lineRule="auto"/>
        <w:rPr>
          <w:rFonts w:hint="eastAsia" w:eastAsia="宋体"/>
          <w:color w:val="auto"/>
          <w:sz w:val="21"/>
          <w:szCs w:val="21"/>
          <w:highlight w:val="none"/>
          <w:lang w:eastAsia="zh-CN"/>
        </w:rPr>
      </w:pPr>
      <w:r>
        <w:rPr>
          <w:rFonts w:hint="eastAsia"/>
          <w:color w:val="auto"/>
          <w:sz w:val="21"/>
          <w:szCs w:val="21"/>
          <w:highlight w:val="none"/>
        </w:rPr>
        <w:t>致：</w:t>
      </w:r>
      <w:r>
        <w:rPr>
          <w:rFonts w:hint="eastAsia"/>
          <w:color w:val="auto"/>
          <w:sz w:val="21"/>
          <w:szCs w:val="21"/>
          <w:highlight w:val="none"/>
          <w:u w:val="single"/>
          <w:lang w:eastAsia="zh-CN"/>
        </w:rPr>
        <w:t>温州市龙湾区城市管理服务有限公司</w:t>
      </w:r>
    </w:p>
    <w:p>
      <w:pPr>
        <w:spacing w:line="50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u w:val="single"/>
        </w:rPr>
        <w:t xml:space="preserve">                 </w:t>
      </w:r>
      <w:r>
        <w:rPr>
          <w:rFonts w:hint="eastAsia" w:ascii="宋体" w:hAnsi="宋体"/>
          <w:i/>
          <w:color w:val="auto"/>
          <w:sz w:val="21"/>
          <w:szCs w:val="21"/>
          <w:highlight w:val="none"/>
          <w:u w:val="single"/>
        </w:rPr>
        <w:t xml:space="preserve">（投标人名称）          </w:t>
      </w:r>
      <w:r>
        <w:rPr>
          <w:rFonts w:hint="eastAsia" w:ascii="宋体" w:hAnsi="宋体"/>
          <w:color w:val="auto"/>
          <w:sz w:val="21"/>
          <w:szCs w:val="21"/>
          <w:highlight w:val="none"/>
        </w:rPr>
        <w:t>系中华人民共和国合法企业，经营地址</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w:t>
      </w:r>
    </w:p>
    <w:p>
      <w:pPr>
        <w:spacing w:line="50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我</w:t>
      </w:r>
      <w:r>
        <w:rPr>
          <w:rFonts w:hint="eastAsia" w:ascii="宋体" w:hAnsi="宋体"/>
          <w:color w:val="auto"/>
          <w:sz w:val="21"/>
          <w:szCs w:val="21"/>
          <w:highlight w:val="none"/>
          <w:u w:val="single"/>
        </w:rPr>
        <w:t xml:space="preserve">      </w:t>
      </w:r>
      <w:r>
        <w:rPr>
          <w:rFonts w:hint="eastAsia" w:ascii="宋体" w:hAnsi="宋体"/>
          <w:i/>
          <w:color w:val="auto"/>
          <w:sz w:val="21"/>
          <w:szCs w:val="21"/>
          <w:highlight w:val="none"/>
          <w:u w:val="single"/>
        </w:rPr>
        <w:t xml:space="preserve">（姓名）    </w:t>
      </w:r>
      <w:r>
        <w:rPr>
          <w:rFonts w:hint="eastAsia" w:ascii="宋体" w:hAnsi="宋体"/>
          <w:color w:val="auto"/>
          <w:sz w:val="21"/>
          <w:szCs w:val="21"/>
          <w:highlight w:val="none"/>
        </w:rPr>
        <w:t>系</w:t>
      </w:r>
      <w:r>
        <w:rPr>
          <w:rFonts w:hint="eastAsia" w:ascii="宋体" w:hAnsi="宋体"/>
          <w:color w:val="auto"/>
          <w:sz w:val="21"/>
          <w:szCs w:val="21"/>
          <w:highlight w:val="none"/>
          <w:u w:val="single"/>
        </w:rPr>
        <w:t xml:space="preserve">               </w:t>
      </w:r>
      <w:r>
        <w:rPr>
          <w:rFonts w:hint="eastAsia" w:ascii="宋体" w:hAnsi="宋体"/>
          <w:i/>
          <w:color w:val="auto"/>
          <w:sz w:val="21"/>
          <w:szCs w:val="21"/>
          <w:highlight w:val="none"/>
          <w:u w:val="single"/>
        </w:rPr>
        <w:t xml:space="preserve"> （投标人名称）      </w:t>
      </w:r>
      <w:r>
        <w:rPr>
          <w:rFonts w:hint="eastAsia" w:ascii="宋体" w:hAnsi="宋体"/>
          <w:color w:val="auto"/>
          <w:sz w:val="21"/>
          <w:szCs w:val="21"/>
          <w:highlight w:val="none"/>
        </w:rPr>
        <w:t>的法定代表人，我方愿意参加贵方组织的</w:t>
      </w:r>
      <w:r>
        <w:rPr>
          <w:rFonts w:hint="eastAsia" w:ascii="宋体" w:hAnsi="宋体"/>
          <w:color w:val="auto"/>
          <w:sz w:val="21"/>
          <w:szCs w:val="21"/>
          <w:highlight w:val="none"/>
          <w:u w:val="single"/>
        </w:rPr>
        <w:t xml:space="preserve">  </w:t>
      </w:r>
      <w:r>
        <w:rPr>
          <w:rFonts w:hint="eastAsia" w:ascii="宋体" w:hAnsi="宋体"/>
          <w:bCs/>
          <w:color w:val="auto"/>
          <w:sz w:val="21"/>
          <w:szCs w:val="21"/>
          <w:highlight w:val="none"/>
          <w:u w:val="single"/>
        </w:rPr>
        <w:t>龙湾区瑶溪街道环卫保洁一体化项目</w:t>
      </w:r>
      <w:r>
        <w:rPr>
          <w:rFonts w:hint="eastAsia" w:ascii="宋体" w:hAnsi="宋体"/>
          <w:color w:val="auto"/>
          <w:sz w:val="21"/>
          <w:szCs w:val="21"/>
          <w:highlight w:val="none"/>
          <w:u w:val="single"/>
        </w:rPr>
        <w:t xml:space="preserve">  </w:t>
      </w:r>
      <w:r>
        <w:rPr>
          <w:rFonts w:hint="eastAsia" w:ascii="宋体" w:hAnsi="宋体"/>
          <w:bCs/>
          <w:color w:val="auto"/>
          <w:sz w:val="21"/>
          <w:szCs w:val="21"/>
          <w:highlight w:val="none"/>
        </w:rPr>
        <w:t>项目</w:t>
      </w:r>
      <w:r>
        <w:rPr>
          <w:rFonts w:hint="eastAsia" w:ascii="宋体" w:hAnsi="宋体"/>
          <w:color w:val="auto"/>
          <w:sz w:val="21"/>
          <w:szCs w:val="21"/>
          <w:highlight w:val="none"/>
        </w:rPr>
        <w:t>的投标，为便于贵方公正、择优地确定中标单位及其投标产品和服务，我方就本次投标有关事项郑重声明如下：</w:t>
      </w:r>
    </w:p>
    <w:p>
      <w:pPr>
        <w:spacing w:line="50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1</w:t>
      </w:r>
      <w:r>
        <w:rPr>
          <w:rFonts w:ascii="宋体" w:hAnsi="宋体"/>
          <w:color w:val="auto"/>
          <w:sz w:val="21"/>
          <w:szCs w:val="21"/>
          <w:highlight w:val="none"/>
        </w:rPr>
        <w:t>.</w:t>
      </w:r>
      <w:r>
        <w:rPr>
          <w:rFonts w:hint="eastAsia" w:ascii="宋体" w:hAnsi="宋体"/>
          <w:color w:val="auto"/>
          <w:sz w:val="21"/>
          <w:szCs w:val="21"/>
          <w:highlight w:val="none"/>
        </w:rPr>
        <w:t>我方向贵方提交的所有投标文件、资料都是准确的和真实的；</w:t>
      </w:r>
    </w:p>
    <w:p>
      <w:pPr>
        <w:spacing w:line="50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2</w:t>
      </w:r>
      <w:r>
        <w:rPr>
          <w:rFonts w:ascii="宋体" w:hAnsi="宋体"/>
          <w:color w:val="auto"/>
          <w:sz w:val="21"/>
          <w:szCs w:val="21"/>
          <w:highlight w:val="none"/>
        </w:rPr>
        <w:t>.</w:t>
      </w:r>
      <w:r>
        <w:rPr>
          <w:rFonts w:hint="eastAsia" w:ascii="宋体" w:hAnsi="宋体"/>
          <w:color w:val="auto"/>
          <w:sz w:val="21"/>
          <w:szCs w:val="21"/>
          <w:highlight w:val="none"/>
        </w:rPr>
        <w:t>我方不是采购人的附属机构；在获知本项目采购信息后，与采购人聘请的为此项目提供咨询服务的公司及其附属机构没有任何联系。</w:t>
      </w:r>
    </w:p>
    <w:p>
      <w:pPr>
        <w:spacing w:line="500" w:lineRule="exact"/>
        <w:ind w:firstLine="420" w:firstLineChars="200"/>
        <w:rPr>
          <w:rFonts w:hAnsi="宋体"/>
          <w:b/>
          <w:color w:val="auto"/>
          <w:sz w:val="21"/>
          <w:szCs w:val="21"/>
          <w:highlight w:val="none"/>
        </w:rPr>
      </w:pPr>
      <w:r>
        <w:rPr>
          <w:rFonts w:hint="eastAsia" w:ascii="宋体" w:hAnsi="宋体"/>
          <w:color w:val="auto"/>
          <w:sz w:val="21"/>
          <w:szCs w:val="21"/>
          <w:highlight w:val="none"/>
        </w:rPr>
        <w:t>3.我方</w:t>
      </w:r>
      <w:r>
        <w:rPr>
          <w:rFonts w:hint="eastAsia" w:hAnsi="宋体"/>
          <w:color w:val="auto"/>
          <w:sz w:val="21"/>
          <w:szCs w:val="21"/>
          <w:highlight w:val="none"/>
          <w:u w:val="single"/>
        </w:rPr>
        <w:t xml:space="preserve">      </w:t>
      </w:r>
      <w:r>
        <w:rPr>
          <w:rFonts w:hint="eastAsia" w:hAnsi="宋体"/>
          <w:b/>
          <w:color w:val="auto"/>
          <w:sz w:val="21"/>
          <w:szCs w:val="21"/>
          <w:highlight w:val="none"/>
        </w:rPr>
        <w:t>（如实填写，填写“有”或“没有”；如填写“有”，符合性审查不合格；如不填写视同未提供本声明书）</w:t>
      </w:r>
      <w:r>
        <w:rPr>
          <w:rFonts w:hint="eastAsia" w:ascii="宋体" w:hAnsi="宋体"/>
          <w:color w:val="auto"/>
          <w:sz w:val="21"/>
          <w:szCs w:val="21"/>
          <w:highlight w:val="none"/>
        </w:rPr>
        <w:t>为采购项目提供整体设计、规范编制或者项目管理、监理、检测等服务后再参加该采购项目的其他采购活动的。</w:t>
      </w:r>
    </w:p>
    <w:p>
      <w:pPr>
        <w:pStyle w:val="19"/>
        <w:spacing w:line="500" w:lineRule="exact"/>
        <w:ind w:firstLine="420" w:firstLineChars="200"/>
        <w:rPr>
          <w:rFonts w:hint="eastAsia" w:hAnsi="宋体"/>
          <w:color w:val="auto"/>
          <w:spacing w:val="0"/>
          <w:sz w:val="21"/>
          <w:szCs w:val="21"/>
          <w:highlight w:val="none"/>
        </w:rPr>
      </w:pPr>
      <w:r>
        <w:rPr>
          <w:rFonts w:hint="eastAsia" w:hAnsi="宋体"/>
          <w:color w:val="auto"/>
          <w:spacing w:val="0"/>
          <w:sz w:val="21"/>
          <w:szCs w:val="21"/>
          <w:highlight w:val="none"/>
        </w:rPr>
        <w:t>4</w:t>
      </w:r>
      <w:r>
        <w:rPr>
          <w:rFonts w:hAnsi="宋体"/>
          <w:color w:val="auto"/>
          <w:spacing w:val="0"/>
          <w:sz w:val="21"/>
          <w:szCs w:val="21"/>
          <w:highlight w:val="none"/>
        </w:rPr>
        <w:t>.我方</w:t>
      </w:r>
      <w:r>
        <w:rPr>
          <w:rFonts w:hint="eastAsia" w:hAnsi="宋体"/>
          <w:color w:val="auto"/>
          <w:spacing w:val="0"/>
          <w:sz w:val="21"/>
          <w:szCs w:val="21"/>
          <w:highlight w:val="none"/>
        </w:rPr>
        <w:t>在参加政府采购活动前3年内：</w:t>
      </w:r>
      <w:r>
        <w:rPr>
          <w:rFonts w:hint="eastAsia" w:hAnsi="宋体"/>
          <w:color w:val="auto"/>
          <w:spacing w:val="0"/>
          <w:sz w:val="21"/>
          <w:szCs w:val="21"/>
          <w:highlight w:val="none"/>
          <w:u w:val="single"/>
        </w:rPr>
        <w:t xml:space="preserve">      </w:t>
      </w:r>
      <w:r>
        <w:rPr>
          <w:rFonts w:hint="eastAsia" w:hAnsi="宋体"/>
          <w:b/>
          <w:color w:val="auto"/>
          <w:sz w:val="21"/>
          <w:szCs w:val="21"/>
          <w:highlight w:val="none"/>
        </w:rPr>
        <w:t>（如实填写，填写“有”或“没有”；如填写“有”，符合性审查不合格；如不填写视同未提供本声明书）</w:t>
      </w:r>
      <w:r>
        <w:rPr>
          <w:rFonts w:hint="eastAsia" w:hAnsi="宋体"/>
          <w:color w:val="auto"/>
          <w:spacing w:val="0"/>
          <w:sz w:val="21"/>
          <w:szCs w:val="21"/>
          <w:highlight w:val="none"/>
        </w:rPr>
        <w:t>因违法经营被禁止在一定期限内参加政府采购活动,且期限未满的情形。</w:t>
      </w:r>
    </w:p>
    <w:p>
      <w:pPr>
        <w:pStyle w:val="19"/>
        <w:spacing w:line="500" w:lineRule="exact"/>
        <w:ind w:firstLine="420" w:firstLineChars="200"/>
        <w:rPr>
          <w:rFonts w:hint="eastAsia" w:hAnsi="宋体"/>
          <w:color w:val="auto"/>
          <w:spacing w:val="0"/>
          <w:sz w:val="21"/>
          <w:szCs w:val="21"/>
          <w:highlight w:val="none"/>
        </w:rPr>
      </w:pPr>
      <w:r>
        <w:rPr>
          <w:rFonts w:hint="eastAsia" w:hAnsi="宋体"/>
          <w:color w:val="auto"/>
          <w:spacing w:val="0"/>
          <w:sz w:val="21"/>
          <w:szCs w:val="21"/>
          <w:highlight w:val="none"/>
        </w:rPr>
        <w:t>5.我方在参加本项目政府采购活动时，</w:t>
      </w:r>
      <w:r>
        <w:rPr>
          <w:rFonts w:hint="eastAsia" w:hAnsi="宋体"/>
          <w:color w:val="auto"/>
          <w:spacing w:val="0"/>
          <w:sz w:val="21"/>
          <w:szCs w:val="21"/>
          <w:highlight w:val="none"/>
          <w:u w:val="single"/>
        </w:rPr>
        <w:t xml:space="preserve">      </w:t>
      </w:r>
      <w:r>
        <w:rPr>
          <w:rFonts w:hint="eastAsia" w:hAnsi="宋体"/>
          <w:b/>
          <w:color w:val="auto"/>
          <w:sz w:val="21"/>
          <w:szCs w:val="21"/>
          <w:highlight w:val="none"/>
        </w:rPr>
        <w:t>（如实填写，填写“有”或“没有”；如填写“有”，符合性审查不合格；如不填写视同未提供本声明书）</w:t>
      </w:r>
      <w:r>
        <w:rPr>
          <w:rFonts w:hint="eastAsia" w:hAnsi="宋体"/>
          <w:color w:val="auto"/>
          <w:spacing w:val="0"/>
          <w:sz w:val="21"/>
          <w:szCs w:val="21"/>
          <w:highlight w:val="none"/>
        </w:rPr>
        <w:t>和其他投标人的单位负责人为同一人或者存在直接控股、管理关系。</w:t>
      </w:r>
    </w:p>
    <w:p>
      <w:pPr>
        <w:pStyle w:val="19"/>
        <w:spacing w:line="500" w:lineRule="exact"/>
        <w:ind w:firstLine="420" w:firstLineChars="200"/>
        <w:rPr>
          <w:rFonts w:hAnsi="宋体"/>
          <w:color w:val="auto"/>
          <w:spacing w:val="0"/>
          <w:sz w:val="21"/>
          <w:szCs w:val="21"/>
          <w:highlight w:val="none"/>
        </w:rPr>
      </w:pPr>
      <w:r>
        <w:rPr>
          <w:rFonts w:hint="eastAsia" w:hAnsi="宋体"/>
          <w:color w:val="auto"/>
          <w:spacing w:val="0"/>
          <w:sz w:val="21"/>
          <w:szCs w:val="21"/>
          <w:highlight w:val="none"/>
        </w:rPr>
        <w:t>6</w:t>
      </w:r>
      <w:r>
        <w:rPr>
          <w:rFonts w:hAnsi="宋体"/>
          <w:color w:val="auto"/>
          <w:spacing w:val="0"/>
          <w:sz w:val="21"/>
          <w:szCs w:val="21"/>
          <w:highlight w:val="none"/>
        </w:rPr>
        <w:t>.</w:t>
      </w:r>
      <w:r>
        <w:rPr>
          <w:rFonts w:hint="eastAsia" w:hAnsi="宋体"/>
          <w:color w:val="auto"/>
          <w:spacing w:val="0"/>
          <w:sz w:val="21"/>
          <w:szCs w:val="21"/>
          <w:highlight w:val="none"/>
        </w:rPr>
        <w:t>以上事项如有虚假或隐瞒，我方愿意承担一切后果，并不再寻求任何旨在减轻或免除法律责任的辩解</w:t>
      </w:r>
      <w:r>
        <w:rPr>
          <w:rFonts w:hAnsi="宋体"/>
          <w:color w:val="auto"/>
          <w:spacing w:val="0"/>
          <w:sz w:val="21"/>
          <w:szCs w:val="21"/>
          <w:highlight w:val="none"/>
        </w:rPr>
        <w:t>。</w:t>
      </w:r>
    </w:p>
    <w:p>
      <w:pPr>
        <w:spacing w:line="360" w:lineRule="auto"/>
        <w:jc w:val="center"/>
        <w:rPr>
          <w:rFonts w:ascii="宋体" w:hAnsi="宋体"/>
          <w:b/>
          <w:color w:val="auto"/>
          <w:sz w:val="30"/>
          <w:szCs w:val="30"/>
          <w:highlight w:val="none"/>
        </w:rPr>
      </w:pPr>
    </w:p>
    <w:p>
      <w:pPr>
        <w:pStyle w:val="23"/>
        <w:spacing w:before="120" w:after="120" w:line="360" w:lineRule="auto"/>
        <w:ind w:left="560" w:leftChars="200"/>
        <w:rPr>
          <w:rFonts w:hAnsi="宋体"/>
          <w:color w:val="auto"/>
          <w:sz w:val="21"/>
          <w:szCs w:val="21"/>
          <w:highlight w:val="none"/>
        </w:rPr>
      </w:pPr>
      <w:r>
        <w:rPr>
          <w:rFonts w:hint="eastAsia" w:hAnsi="宋体"/>
          <w:color w:val="auto"/>
          <w:sz w:val="21"/>
          <w:szCs w:val="21"/>
          <w:highlight w:val="none"/>
        </w:rPr>
        <w:t xml:space="preserve">投标人（盖公章）：                 </w:t>
      </w:r>
    </w:p>
    <w:p>
      <w:pPr>
        <w:pStyle w:val="23"/>
        <w:spacing w:before="120" w:after="120" w:line="360" w:lineRule="auto"/>
        <w:ind w:left="560" w:leftChars="200"/>
        <w:rPr>
          <w:rFonts w:hAnsi="宋体"/>
          <w:color w:val="auto"/>
          <w:sz w:val="21"/>
          <w:szCs w:val="21"/>
          <w:highlight w:val="none"/>
        </w:rPr>
      </w:pPr>
      <w:r>
        <w:rPr>
          <w:rFonts w:hint="eastAsia" w:hAnsi="宋体"/>
          <w:color w:val="auto"/>
          <w:sz w:val="21"/>
          <w:szCs w:val="21"/>
          <w:highlight w:val="none"/>
        </w:rPr>
        <w:t xml:space="preserve">投标人法定代表人或授权代表（签字或盖章）：        </w:t>
      </w:r>
    </w:p>
    <w:p>
      <w:pPr>
        <w:spacing w:line="360" w:lineRule="auto"/>
        <w:ind w:left="560" w:leftChars="200"/>
        <w:rPr>
          <w:rFonts w:hAnsi="宋体"/>
          <w:color w:val="auto"/>
          <w:sz w:val="21"/>
          <w:szCs w:val="21"/>
          <w:highlight w:val="none"/>
        </w:rPr>
      </w:pPr>
      <w:r>
        <w:rPr>
          <w:rFonts w:hint="eastAsia" w:hAnsi="宋体"/>
          <w:color w:val="auto"/>
          <w:sz w:val="21"/>
          <w:szCs w:val="21"/>
          <w:highlight w:val="none"/>
        </w:rPr>
        <w:t>日期：    年  月  日</w:t>
      </w:r>
    </w:p>
    <w:p>
      <w:pPr>
        <w:pStyle w:val="2"/>
        <w:ind w:firstLine="280"/>
        <w:rPr>
          <w:rFonts w:ascii="宋体"/>
          <w:color w:val="auto"/>
          <w:sz w:val="30"/>
          <w:szCs w:val="30"/>
          <w:highlight w:val="none"/>
        </w:rPr>
      </w:pPr>
      <w:r>
        <w:rPr>
          <w:color w:val="auto"/>
          <w:highlight w:val="none"/>
        </w:rPr>
        <w:br w:type="page"/>
      </w:r>
    </w:p>
    <w:p>
      <w:pPr>
        <w:pStyle w:val="2"/>
        <w:ind w:firstLine="280"/>
        <w:rPr>
          <w:color w:val="auto"/>
          <w:highlight w:val="none"/>
        </w:rPr>
      </w:pPr>
    </w:p>
    <w:p>
      <w:pPr>
        <w:spacing w:line="360" w:lineRule="auto"/>
        <w:jc w:val="center"/>
        <w:rPr>
          <w:rFonts w:hint="eastAsia"/>
          <w:b/>
          <w:color w:val="auto"/>
          <w:sz w:val="30"/>
          <w:szCs w:val="30"/>
          <w:highlight w:val="none"/>
        </w:rPr>
      </w:pPr>
      <w:r>
        <w:rPr>
          <w:rFonts w:hint="eastAsia"/>
          <w:b/>
          <w:color w:val="auto"/>
          <w:sz w:val="30"/>
          <w:szCs w:val="30"/>
          <w:highlight w:val="none"/>
        </w:rPr>
        <w:t>采购需求偏离表</w:t>
      </w:r>
    </w:p>
    <w:p>
      <w:pPr>
        <w:spacing w:line="360" w:lineRule="auto"/>
        <w:rPr>
          <w:rFonts w:hint="eastAsia" w:ascii="宋体" w:hAnsi="宋体" w:eastAsia="宋体"/>
          <w:color w:val="auto"/>
          <w:sz w:val="21"/>
          <w:szCs w:val="21"/>
          <w:highlight w:val="none"/>
          <w:lang w:eastAsia="zh-CN"/>
        </w:rPr>
      </w:pPr>
      <w:r>
        <w:rPr>
          <w:rFonts w:hint="eastAsia" w:ascii="宋体" w:hAnsi="宋体"/>
          <w:color w:val="auto"/>
          <w:sz w:val="21"/>
          <w:szCs w:val="21"/>
          <w:highlight w:val="none"/>
        </w:rPr>
        <w:t>项目名称：龙湾区瑶溪街道环卫保洁一体化项目       项目编号：</w:t>
      </w:r>
      <w:r>
        <w:rPr>
          <w:rFonts w:hint="eastAsia" w:ascii="宋体" w:hAnsi="宋体"/>
          <w:color w:val="auto"/>
          <w:sz w:val="21"/>
          <w:szCs w:val="21"/>
          <w:highlight w:val="none"/>
          <w:lang w:eastAsia="zh-CN"/>
        </w:rPr>
        <w:t>WZHC-20220923</w:t>
      </w:r>
    </w:p>
    <w:tbl>
      <w:tblPr>
        <w:tblStyle w:val="4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260"/>
        <w:gridCol w:w="3402"/>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851" w:type="dxa"/>
            <w:noWrap w:val="0"/>
            <w:vAlign w:val="center"/>
          </w:tcPr>
          <w:p>
            <w:pPr>
              <w:snapToGrid w:val="0"/>
              <w:jc w:val="center"/>
              <w:rPr>
                <w:rFonts w:ascii="宋体" w:hAnsi="宋体"/>
                <w:b/>
                <w:color w:val="auto"/>
                <w:sz w:val="21"/>
                <w:szCs w:val="21"/>
                <w:highlight w:val="none"/>
              </w:rPr>
            </w:pPr>
            <w:r>
              <w:rPr>
                <w:rFonts w:hint="eastAsia" w:ascii="宋体" w:hAnsi="宋体"/>
                <w:b/>
                <w:color w:val="auto"/>
                <w:sz w:val="21"/>
                <w:szCs w:val="21"/>
                <w:highlight w:val="none"/>
              </w:rPr>
              <w:t>序号</w:t>
            </w:r>
          </w:p>
        </w:tc>
        <w:tc>
          <w:tcPr>
            <w:tcW w:w="3260" w:type="dxa"/>
            <w:noWrap w:val="0"/>
            <w:vAlign w:val="center"/>
          </w:tcPr>
          <w:p>
            <w:pPr>
              <w:snapToGrid w:val="0"/>
              <w:jc w:val="center"/>
              <w:rPr>
                <w:rFonts w:ascii="宋体" w:hAnsi="宋体"/>
                <w:b/>
                <w:color w:val="auto"/>
                <w:sz w:val="21"/>
                <w:szCs w:val="21"/>
                <w:highlight w:val="none"/>
              </w:rPr>
            </w:pPr>
            <w:r>
              <w:rPr>
                <w:rFonts w:hint="eastAsia" w:ascii="宋体" w:hAnsi="宋体"/>
                <w:b/>
                <w:color w:val="auto"/>
                <w:sz w:val="21"/>
                <w:szCs w:val="21"/>
                <w:highlight w:val="none"/>
              </w:rPr>
              <w:t>招标文件要求</w:t>
            </w:r>
          </w:p>
        </w:tc>
        <w:tc>
          <w:tcPr>
            <w:tcW w:w="3402" w:type="dxa"/>
            <w:noWrap w:val="0"/>
            <w:vAlign w:val="center"/>
          </w:tcPr>
          <w:p>
            <w:pPr>
              <w:snapToGrid w:val="0"/>
              <w:jc w:val="center"/>
              <w:rPr>
                <w:rFonts w:ascii="宋体" w:hAnsi="宋体"/>
                <w:b/>
                <w:color w:val="auto"/>
                <w:sz w:val="21"/>
                <w:szCs w:val="21"/>
                <w:highlight w:val="none"/>
              </w:rPr>
            </w:pPr>
            <w:r>
              <w:rPr>
                <w:rFonts w:hint="eastAsia" w:ascii="宋体" w:hAnsi="宋体"/>
                <w:b/>
                <w:color w:val="auto"/>
                <w:sz w:val="21"/>
                <w:szCs w:val="21"/>
                <w:highlight w:val="none"/>
              </w:rPr>
              <w:t>投标内容</w:t>
            </w:r>
          </w:p>
        </w:tc>
        <w:tc>
          <w:tcPr>
            <w:tcW w:w="1985" w:type="dxa"/>
            <w:noWrap w:val="0"/>
            <w:vAlign w:val="center"/>
          </w:tcPr>
          <w:p>
            <w:pPr>
              <w:snapToGrid w:val="0"/>
              <w:jc w:val="center"/>
              <w:rPr>
                <w:rFonts w:ascii="宋体" w:hAnsi="宋体"/>
                <w:b/>
                <w:color w:val="auto"/>
                <w:sz w:val="21"/>
                <w:szCs w:val="21"/>
                <w:highlight w:val="none"/>
              </w:rPr>
            </w:pPr>
            <w:r>
              <w:rPr>
                <w:rFonts w:hint="eastAsia" w:ascii="宋体" w:hAnsi="宋体"/>
                <w:b/>
                <w:color w:val="auto"/>
                <w:sz w:val="21"/>
                <w:szCs w:val="21"/>
                <w:highlight w:val="none"/>
              </w:rPr>
              <w:t>是否偏离</w:t>
            </w:r>
          </w:p>
          <w:p>
            <w:pPr>
              <w:snapToGrid w:val="0"/>
              <w:jc w:val="center"/>
              <w:rPr>
                <w:rFonts w:ascii="宋体" w:hAnsi="宋体"/>
                <w:b/>
                <w:color w:val="auto"/>
                <w:sz w:val="21"/>
                <w:szCs w:val="21"/>
                <w:highlight w:val="none"/>
              </w:rPr>
            </w:pPr>
            <w:r>
              <w:rPr>
                <w:rFonts w:hint="eastAsia" w:ascii="宋体" w:hAnsi="宋体"/>
                <w:b/>
                <w:color w:val="auto"/>
                <w:sz w:val="21"/>
                <w:szCs w:val="21"/>
                <w:highlight w:val="none"/>
              </w:rPr>
              <w:t>（提供说明）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98" w:type="dxa"/>
            <w:gridSpan w:val="4"/>
            <w:noWrap w:val="0"/>
            <w:vAlign w:val="center"/>
          </w:tcPr>
          <w:p>
            <w:pPr>
              <w:snapToGrid w:val="0"/>
              <w:rPr>
                <w:rFonts w:ascii="宋体" w:hAnsi="宋体"/>
                <w:color w:val="auto"/>
                <w:sz w:val="21"/>
                <w:szCs w:val="21"/>
                <w:highlight w:val="none"/>
              </w:rPr>
            </w:pPr>
            <w:r>
              <w:rPr>
                <w:rFonts w:hint="eastAsia" w:ascii="宋体" w:hAnsi="宋体"/>
                <w:color w:val="auto"/>
                <w:sz w:val="21"/>
                <w:szCs w:val="21"/>
                <w:highlight w:val="none"/>
              </w:rPr>
              <w:t>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noWrap w:val="0"/>
            <w:vAlign w:val="center"/>
          </w:tcPr>
          <w:p>
            <w:pPr>
              <w:snapToGrid w:val="0"/>
              <w:jc w:val="center"/>
              <w:rPr>
                <w:rFonts w:ascii="宋体" w:hAnsi="宋体"/>
                <w:color w:val="auto"/>
                <w:sz w:val="21"/>
                <w:szCs w:val="21"/>
                <w:highlight w:val="none"/>
              </w:rPr>
            </w:pPr>
          </w:p>
        </w:tc>
        <w:tc>
          <w:tcPr>
            <w:tcW w:w="3260" w:type="dxa"/>
            <w:noWrap w:val="0"/>
            <w:vAlign w:val="center"/>
          </w:tcPr>
          <w:p>
            <w:pPr>
              <w:snapToGrid w:val="0"/>
              <w:jc w:val="center"/>
              <w:rPr>
                <w:rFonts w:ascii="宋体" w:hAnsi="宋体"/>
                <w:color w:val="auto"/>
                <w:sz w:val="21"/>
                <w:szCs w:val="21"/>
                <w:highlight w:val="none"/>
              </w:rPr>
            </w:pPr>
          </w:p>
        </w:tc>
        <w:tc>
          <w:tcPr>
            <w:tcW w:w="3402" w:type="dxa"/>
            <w:noWrap w:val="0"/>
            <w:vAlign w:val="center"/>
          </w:tcPr>
          <w:p>
            <w:pPr>
              <w:snapToGrid w:val="0"/>
              <w:jc w:val="center"/>
              <w:rPr>
                <w:rFonts w:ascii="宋体" w:hAnsi="宋体"/>
                <w:color w:val="auto"/>
                <w:sz w:val="21"/>
                <w:szCs w:val="21"/>
                <w:highlight w:val="none"/>
              </w:rPr>
            </w:pPr>
          </w:p>
        </w:tc>
        <w:tc>
          <w:tcPr>
            <w:tcW w:w="1985" w:type="dxa"/>
            <w:noWrap w:val="0"/>
            <w:vAlign w:val="center"/>
          </w:tcPr>
          <w:p>
            <w:pPr>
              <w:snapToGrid w:val="0"/>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noWrap w:val="0"/>
            <w:vAlign w:val="center"/>
          </w:tcPr>
          <w:p>
            <w:pPr>
              <w:snapToGrid w:val="0"/>
              <w:jc w:val="center"/>
              <w:rPr>
                <w:rFonts w:ascii="宋体" w:hAnsi="宋体"/>
                <w:color w:val="auto"/>
                <w:sz w:val="21"/>
                <w:szCs w:val="21"/>
                <w:highlight w:val="none"/>
              </w:rPr>
            </w:pPr>
          </w:p>
        </w:tc>
        <w:tc>
          <w:tcPr>
            <w:tcW w:w="3260" w:type="dxa"/>
            <w:noWrap w:val="0"/>
            <w:vAlign w:val="center"/>
          </w:tcPr>
          <w:p>
            <w:pPr>
              <w:snapToGrid w:val="0"/>
              <w:jc w:val="center"/>
              <w:rPr>
                <w:rFonts w:ascii="宋体" w:hAnsi="宋体"/>
                <w:color w:val="auto"/>
                <w:sz w:val="21"/>
                <w:szCs w:val="21"/>
                <w:highlight w:val="none"/>
              </w:rPr>
            </w:pPr>
          </w:p>
        </w:tc>
        <w:tc>
          <w:tcPr>
            <w:tcW w:w="3402" w:type="dxa"/>
            <w:noWrap w:val="0"/>
            <w:vAlign w:val="center"/>
          </w:tcPr>
          <w:p>
            <w:pPr>
              <w:snapToGrid w:val="0"/>
              <w:jc w:val="center"/>
              <w:rPr>
                <w:rFonts w:ascii="宋体" w:hAnsi="宋体"/>
                <w:color w:val="auto"/>
                <w:sz w:val="21"/>
                <w:szCs w:val="21"/>
                <w:highlight w:val="none"/>
              </w:rPr>
            </w:pPr>
          </w:p>
        </w:tc>
        <w:tc>
          <w:tcPr>
            <w:tcW w:w="1985" w:type="dxa"/>
            <w:noWrap w:val="0"/>
            <w:vAlign w:val="center"/>
          </w:tcPr>
          <w:p>
            <w:pPr>
              <w:snapToGrid w:val="0"/>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noWrap w:val="0"/>
            <w:vAlign w:val="center"/>
          </w:tcPr>
          <w:p>
            <w:pPr>
              <w:snapToGrid w:val="0"/>
              <w:jc w:val="center"/>
              <w:rPr>
                <w:rFonts w:ascii="宋体" w:hAnsi="宋体"/>
                <w:color w:val="auto"/>
                <w:sz w:val="21"/>
                <w:szCs w:val="21"/>
                <w:highlight w:val="none"/>
              </w:rPr>
            </w:pPr>
          </w:p>
        </w:tc>
        <w:tc>
          <w:tcPr>
            <w:tcW w:w="3260" w:type="dxa"/>
            <w:noWrap w:val="0"/>
            <w:vAlign w:val="center"/>
          </w:tcPr>
          <w:p>
            <w:pPr>
              <w:snapToGrid w:val="0"/>
              <w:jc w:val="center"/>
              <w:rPr>
                <w:rFonts w:ascii="宋体" w:hAnsi="宋体"/>
                <w:color w:val="auto"/>
                <w:sz w:val="21"/>
                <w:szCs w:val="21"/>
                <w:highlight w:val="none"/>
              </w:rPr>
            </w:pPr>
          </w:p>
        </w:tc>
        <w:tc>
          <w:tcPr>
            <w:tcW w:w="3402" w:type="dxa"/>
            <w:noWrap w:val="0"/>
            <w:vAlign w:val="center"/>
          </w:tcPr>
          <w:p>
            <w:pPr>
              <w:snapToGrid w:val="0"/>
              <w:jc w:val="center"/>
              <w:rPr>
                <w:rFonts w:ascii="宋体" w:hAnsi="宋体"/>
                <w:color w:val="auto"/>
                <w:sz w:val="21"/>
                <w:szCs w:val="21"/>
                <w:highlight w:val="none"/>
              </w:rPr>
            </w:pPr>
          </w:p>
        </w:tc>
        <w:tc>
          <w:tcPr>
            <w:tcW w:w="1985" w:type="dxa"/>
            <w:noWrap w:val="0"/>
            <w:vAlign w:val="center"/>
          </w:tcPr>
          <w:p>
            <w:pPr>
              <w:snapToGrid w:val="0"/>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noWrap w:val="0"/>
            <w:vAlign w:val="center"/>
          </w:tcPr>
          <w:p>
            <w:pPr>
              <w:snapToGrid w:val="0"/>
              <w:jc w:val="center"/>
              <w:rPr>
                <w:rFonts w:ascii="宋体" w:hAnsi="宋体"/>
                <w:color w:val="auto"/>
                <w:sz w:val="21"/>
                <w:szCs w:val="21"/>
                <w:highlight w:val="none"/>
              </w:rPr>
            </w:pPr>
            <w:r>
              <w:rPr>
                <w:rFonts w:hint="eastAsia" w:ascii="宋体" w:hAnsi="宋体"/>
                <w:color w:val="auto"/>
                <w:sz w:val="21"/>
                <w:szCs w:val="21"/>
                <w:highlight w:val="none"/>
              </w:rPr>
              <w:t>……</w:t>
            </w:r>
          </w:p>
        </w:tc>
        <w:tc>
          <w:tcPr>
            <w:tcW w:w="3260" w:type="dxa"/>
            <w:noWrap w:val="0"/>
            <w:vAlign w:val="center"/>
          </w:tcPr>
          <w:p>
            <w:pPr>
              <w:snapToGrid w:val="0"/>
              <w:jc w:val="center"/>
              <w:rPr>
                <w:rFonts w:ascii="宋体" w:hAnsi="宋体"/>
                <w:color w:val="auto"/>
                <w:sz w:val="21"/>
                <w:szCs w:val="21"/>
                <w:highlight w:val="none"/>
              </w:rPr>
            </w:pPr>
          </w:p>
        </w:tc>
        <w:tc>
          <w:tcPr>
            <w:tcW w:w="3402" w:type="dxa"/>
            <w:noWrap w:val="0"/>
            <w:vAlign w:val="center"/>
          </w:tcPr>
          <w:p>
            <w:pPr>
              <w:snapToGrid w:val="0"/>
              <w:jc w:val="center"/>
              <w:rPr>
                <w:rFonts w:ascii="宋体" w:hAnsi="宋体"/>
                <w:color w:val="auto"/>
                <w:sz w:val="21"/>
                <w:szCs w:val="21"/>
                <w:highlight w:val="none"/>
              </w:rPr>
            </w:pPr>
          </w:p>
        </w:tc>
        <w:tc>
          <w:tcPr>
            <w:tcW w:w="1985" w:type="dxa"/>
            <w:noWrap w:val="0"/>
            <w:vAlign w:val="center"/>
          </w:tcPr>
          <w:p>
            <w:pPr>
              <w:snapToGrid w:val="0"/>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98" w:type="dxa"/>
            <w:gridSpan w:val="4"/>
            <w:noWrap w:val="0"/>
            <w:vAlign w:val="center"/>
          </w:tcPr>
          <w:p>
            <w:pPr>
              <w:snapToGrid w:val="0"/>
              <w:rPr>
                <w:rFonts w:ascii="宋体" w:hAnsi="宋体"/>
                <w:color w:val="auto"/>
                <w:sz w:val="21"/>
                <w:szCs w:val="21"/>
                <w:highlight w:val="none"/>
              </w:rPr>
            </w:pPr>
            <w:r>
              <w:rPr>
                <w:rFonts w:ascii="宋体" w:hAnsi="宋体"/>
                <w:color w:val="auto"/>
                <w:sz w:val="21"/>
                <w:szCs w:val="21"/>
                <w:highlight w:val="none"/>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noWrap w:val="0"/>
            <w:vAlign w:val="center"/>
          </w:tcPr>
          <w:p>
            <w:pPr>
              <w:snapToGrid w:val="0"/>
              <w:jc w:val="center"/>
              <w:rPr>
                <w:rFonts w:ascii="宋体" w:hAnsi="宋体"/>
                <w:color w:val="auto"/>
                <w:sz w:val="21"/>
                <w:szCs w:val="21"/>
                <w:highlight w:val="none"/>
              </w:rPr>
            </w:pPr>
          </w:p>
        </w:tc>
        <w:tc>
          <w:tcPr>
            <w:tcW w:w="3260" w:type="dxa"/>
            <w:noWrap w:val="0"/>
            <w:vAlign w:val="center"/>
          </w:tcPr>
          <w:p>
            <w:pPr>
              <w:snapToGrid w:val="0"/>
              <w:jc w:val="center"/>
              <w:rPr>
                <w:rFonts w:ascii="宋体" w:hAnsi="宋体"/>
                <w:color w:val="auto"/>
                <w:sz w:val="21"/>
                <w:szCs w:val="21"/>
                <w:highlight w:val="none"/>
              </w:rPr>
            </w:pPr>
          </w:p>
        </w:tc>
        <w:tc>
          <w:tcPr>
            <w:tcW w:w="3402" w:type="dxa"/>
            <w:noWrap w:val="0"/>
            <w:vAlign w:val="center"/>
          </w:tcPr>
          <w:p>
            <w:pPr>
              <w:snapToGrid w:val="0"/>
              <w:jc w:val="center"/>
              <w:rPr>
                <w:rFonts w:ascii="宋体" w:hAnsi="宋体"/>
                <w:color w:val="auto"/>
                <w:sz w:val="21"/>
                <w:szCs w:val="21"/>
                <w:highlight w:val="none"/>
              </w:rPr>
            </w:pPr>
          </w:p>
        </w:tc>
        <w:tc>
          <w:tcPr>
            <w:tcW w:w="1985" w:type="dxa"/>
            <w:noWrap w:val="0"/>
            <w:vAlign w:val="center"/>
          </w:tcPr>
          <w:p>
            <w:pPr>
              <w:snapToGrid w:val="0"/>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noWrap w:val="0"/>
            <w:vAlign w:val="center"/>
          </w:tcPr>
          <w:p>
            <w:pPr>
              <w:snapToGrid w:val="0"/>
              <w:jc w:val="center"/>
              <w:rPr>
                <w:rFonts w:ascii="宋体" w:hAnsi="宋体"/>
                <w:color w:val="auto"/>
                <w:sz w:val="21"/>
                <w:szCs w:val="21"/>
                <w:highlight w:val="none"/>
              </w:rPr>
            </w:pPr>
          </w:p>
        </w:tc>
        <w:tc>
          <w:tcPr>
            <w:tcW w:w="3260" w:type="dxa"/>
            <w:noWrap w:val="0"/>
            <w:vAlign w:val="center"/>
          </w:tcPr>
          <w:p>
            <w:pPr>
              <w:snapToGrid w:val="0"/>
              <w:jc w:val="center"/>
              <w:rPr>
                <w:rFonts w:ascii="宋体" w:hAnsi="宋体"/>
                <w:color w:val="auto"/>
                <w:sz w:val="21"/>
                <w:szCs w:val="21"/>
                <w:highlight w:val="none"/>
              </w:rPr>
            </w:pPr>
          </w:p>
        </w:tc>
        <w:tc>
          <w:tcPr>
            <w:tcW w:w="3402" w:type="dxa"/>
            <w:noWrap w:val="0"/>
            <w:vAlign w:val="center"/>
          </w:tcPr>
          <w:p>
            <w:pPr>
              <w:snapToGrid w:val="0"/>
              <w:jc w:val="center"/>
              <w:rPr>
                <w:rFonts w:ascii="宋体" w:hAnsi="宋体"/>
                <w:color w:val="auto"/>
                <w:sz w:val="21"/>
                <w:szCs w:val="21"/>
                <w:highlight w:val="none"/>
              </w:rPr>
            </w:pPr>
          </w:p>
        </w:tc>
        <w:tc>
          <w:tcPr>
            <w:tcW w:w="1985" w:type="dxa"/>
            <w:noWrap w:val="0"/>
            <w:vAlign w:val="center"/>
          </w:tcPr>
          <w:p>
            <w:pPr>
              <w:snapToGrid w:val="0"/>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noWrap w:val="0"/>
            <w:vAlign w:val="center"/>
          </w:tcPr>
          <w:p>
            <w:pPr>
              <w:snapToGrid w:val="0"/>
              <w:jc w:val="center"/>
              <w:rPr>
                <w:rFonts w:ascii="宋体" w:hAnsi="宋体"/>
                <w:color w:val="auto"/>
                <w:sz w:val="21"/>
                <w:szCs w:val="21"/>
                <w:highlight w:val="none"/>
              </w:rPr>
            </w:pPr>
          </w:p>
        </w:tc>
        <w:tc>
          <w:tcPr>
            <w:tcW w:w="3260" w:type="dxa"/>
            <w:noWrap w:val="0"/>
            <w:vAlign w:val="center"/>
          </w:tcPr>
          <w:p>
            <w:pPr>
              <w:snapToGrid w:val="0"/>
              <w:jc w:val="center"/>
              <w:rPr>
                <w:rFonts w:ascii="宋体" w:hAnsi="宋体"/>
                <w:color w:val="auto"/>
                <w:sz w:val="21"/>
                <w:szCs w:val="21"/>
                <w:highlight w:val="none"/>
              </w:rPr>
            </w:pPr>
          </w:p>
        </w:tc>
        <w:tc>
          <w:tcPr>
            <w:tcW w:w="3402" w:type="dxa"/>
            <w:noWrap w:val="0"/>
            <w:vAlign w:val="center"/>
          </w:tcPr>
          <w:p>
            <w:pPr>
              <w:snapToGrid w:val="0"/>
              <w:jc w:val="center"/>
              <w:rPr>
                <w:rFonts w:ascii="宋体" w:hAnsi="宋体"/>
                <w:color w:val="auto"/>
                <w:sz w:val="21"/>
                <w:szCs w:val="21"/>
                <w:highlight w:val="none"/>
              </w:rPr>
            </w:pPr>
          </w:p>
        </w:tc>
        <w:tc>
          <w:tcPr>
            <w:tcW w:w="1985" w:type="dxa"/>
            <w:noWrap w:val="0"/>
            <w:vAlign w:val="center"/>
          </w:tcPr>
          <w:p>
            <w:pPr>
              <w:snapToGrid w:val="0"/>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noWrap w:val="0"/>
            <w:vAlign w:val="center"/>
          </w:tcPr>
          <w:p>
            <w:pPr>
              <w:snapToGrid w:val="0"/>
              <w:jc w:val="center"/>
              <w:rPr>
                <w:rFonts w:ascii="宋体" w:hAnsi="宋体"/>
                <w:color w:val="auto"/>
                <w:sz w:val="21"/>
                <w:szCs w:val="21"/>
                <w:highlight w:val="none"/>
              </w:rPr>
            </w:pPr>
            <w:r>
              <w:rPr>
                <w:rFonts w:hint="eastAsia" w:ascii="宋体" w:hAnsi="宋体"/>
                <w:color w:val="auto"/>
                <w:sz w:val="21"/>
                <w:szCs w:val="21"/>
                <w:highlight w:val="none"/>
              </w:rPr>
              <w:t>……</w:t>
            </w:r>
          </w:p>
        </w:tc>
        <w:tc>
          <w:tcPr>
            <w:tcW w:w="3260" w:type="dxa"/>
            <w:noWrap w:val="0"/>
            <w:vAlign w:val="center"/>
          </w:tcPr>
          <w:p>
            <w:pPr>
              <w:snapToGrid w:val="0"/>
              <w:jc w:val="center"/>
              <w:rPr>
                <w:rFonts w:ascii="宋体" w:hAnsi="宋体"/>
                <w:color w:val="auto"/>
                <w:sz w:val="21"/>
                <w:szCs w:val="21"/>
                <w:highlight w:val="none"/>
              </w:rPr>
            </w:pPr>
          </w:p>
        </w:tc>
        <w:tc>
          <w:tcPr>
            <w:tcW w:w="3402" w:type="dxa"/>
            <w:noWrap w:val="0"/>
            <w:vAlign w:val="center"/>
          </w:tcPr>
          <w:p>
            <w:pPr>
              <w:snapToGrid w:val="0"/>
              <w:jc w:val="center"/>
              <w:rPr>
                <w:rFonts w:ascii="宋体" w:hAnsi="宋体"/>
                <w:color w:val="auto"/>
                <w:sz w:val="21"/>
                <w:szCs w:val="21"/>
                <w:highlight w:val="none"/>
              </w:rPr>
            </w:pPr>
          </w:p>
        </w:tc>
        <w:tc>
          <w:tcPr>
            <w:tcW w:w="1985" w:type="dxa"/>
            <w:noWrap w:val="0"/>
            <w:vAlign w:val="center"/>
          </w:tcPr>
          <w:p>
            <w:pPr>
              <w:snapToGrid w:val="0"/>
              <w:jc w:val="center"/>
              <w:rPr>
                <w:rFonts w:ascii="宋体" w:hAnsi="宋体"/>
                <w:color w:val="auto"/>
                <w:sz w:val="21"/>
                <w:szCs w:val="21"/>
                <w:highlight w:val="none"/>
              </w:rPr>
            </w:pPr>
          </w:p>
        </w:tc>
      </w:tr>
    </w:tbl>
    <w:p>
      <w:pPr>
        <w:spacing w:line="360" w:lineRule="auto"/>
        <w:rPr>
          <w:rFonts w:ascii="宋体" w:hAnsi="宋体"/>
          <w:b/>
          <w:color w:val="auto"/>
          <w:sz w:val="21"/>
          <w:szCs w:val="21"/>
          <w:highlight w:val="none"/>
        </w:rPr>
      </w:pPr>
      <w:r>
        <w:rPr>
          <w:rFonts w:hint="eastAsia" w:ascii="宋体" w:hAnsi="宋体"/>
          <w:b/>
          <w:color w:val="auto"/>
          <w:sz w:val="21"/>
          <w:szCs w:val="21"/>
          <w:highlight w:val="none"/>
        </w:rPr>
        <w:t>说明：</w:t>
      </w:r>
    </w:p>
    <w:p>
      <w:pPr>
        <w:spacing w:line="360" w:lineRule="auto"/>
        <w:rPr>
          <w:rFonts w:ascii="宋体" w:hAnsi="宋体"/>
          <w:b/>
          <w:color w:val="auto"/>
          <w:sz w:val="21"/>
          <w:szCs w:val="21"/>
          <w:highlight w:val="none"/>
        </w:rPr>
      </w:pPr>
      <w:r>
        <w:rPr>
          <w:rFonts w:hint="eastAsia" w:ascii="宋体" w:hAnsi="宋体"/>
          <w:b/>
          <w:color w:val="auto"/>
          <w:sz w:val="21"/>
          <w:szCs w:val="21"/>
          <w:highlight w:val="none"/>
        </w:rPr>
        <w:t>1</w:t>
      </w:r>
      <w:r>
        <w:rPr>
          <w:rFonts w:ascii="宋体" w:hAnsi="宋体"/>
          <w:b/>
          <w:color w:val="auto"/>
          <w:sz w:val="21"/>
          <w:szCs w:val="21"/>
          <w:highlight w:val="none"/>
        </w:rPr>
        <w:t>.</w:t>
      </w:r>
      <w:r>
        <w:rPr>
          <w:rFonts w:hint="eastAsia" w:ascii="宋体" w:hAnsi="宋体"/>
          <w:b/>
          <w:color w:val="auto"/>
          <w:sz w:val="21"/>
          <w:szCs w:val="21"/>
          <w:highlight w:val="none"/>
        </w:rPr>
        <w:t>偏离说明是指对招标文件要求存在不同之处的解释说明。偏离系指：正偏离（高于采购需求）、负偏离（低于采购需求）、无偏离（满足采购需求）；</w:t>
      </w:r>
    </w:p>
    <w:p>
      <w:pPr>
        <w:spacing w:line="360" w:lineRule="auto"/>
        <w:rPr>
          <w:rFonts w:ascii="宋体" w:hAnsi="宋体"/>
          <w:b/>
          <w:color w:val="auto"/>
          <w:sz w:val="21"/>
          <w:szCs w:val="21"/>
          <w:highlight w:val="none"/>
        </w:rPr>
      </w:pPr>
      <w:r>
        <w:rPr>
          <w:rFonts w:hint="eastAsia" w:ascii="宋体" w:hAnsi="宋体"/>
          <w:b/>
          <w:color w:val="auto"/>
          <w:sz w:val="21"/>
          <w:szCs w:val="21"/>
          <w:highlight w:val="none"/>
        </w:rPr>
        <w:t>2</w:t>
      </w:r>
      <w:r>
        <w:rPr>
          <w:rFonts w:ascii="宋体" w:hAnsi="宋体"/>
          <w:b/>
          <w:color w:val="auto"/>
          <w:sz w:val="21"/>
          <w:szCs w:val="21"/>
          <w:highlight w:val="none"/>
        </w:rPr>
        <w:t>.</w:t>
      </w:r>
      <w:r>
        <w:rPr>
          <w:rFonts w:hint="eastAsia" w:ascii="宋体" w:hAnsi="宋体"/>
          <w:b/>
          <w:color w:val="auto"/>
          <w:sz w:val="21"/>
          <w:szCs w:val="21"/>
          <w:highlight w:val="none"/>
        </w:rPr>
        <w:t>如有偏离，须在偏离表中进行详细对比说明并注明正偏离和负偏离，如不填写或未如实填写，自行承担投标风险。</w:t>
      </w:r>
    </w:p>
    <w:p>
      <w:pPr>
        <w:pStyle w:val="23"/>
        <w:spacing w:before="120" w:after="120" w:line="360" w:lineRule="auto"/>
        <w:ind w:left="560" w:leftChars="200"/>
        <w:rPr>
          <w:rFonts w:hAnsi="宋体"/>
          <w:color w:val="auto"/>
          <w:sz w:val="21"/>
          <w:szCs w:val="21"/>
          <w:highlight w:val="none"/>
        </w:rPr>
      </w:pPr>
    </w:p>
    <w:p>
      <w:pPr>
        <w:pStyle w:val="23"/>
        <w:spacing w:before="120" w:after="120" w:line="360" w:lineRule="auto"/>
        <w:ind w:left="560" w:leftChars="200"/>
        <w:rPr>
          <w:rFonts w:hAnsi="宋体"/>
          <w:color w:val="auto"/>
          <w:sz w:val="21"/>
          <w:szCs w:val="21"/>
          <w:highlight w:val="none"/>
        </w:rPr>
      </w:pPr>
      <w:r>
        <w:rPr>
          <w:rFonts w:hint="eastAsia" w:hAnsi="宋体"/>
          <w:color w:val="auto"/>
          <w:sz w:val="21"/>
          <w:szCs w:val="21"/>
          <w:highlight w:val="none"/>
        </w:rPr>
        <w:t xml:space="preserve">投标人（盖公章）：                 </w:t>
      </w:r>
    </w:p>
    <w:p>
      <w:pPr>
        <w:pStyle w:val="23"/>
        <w:spacing w:before="120" w:after="120" w:line="360" w:lineRule="auto"/>
        <w:ind w:left="560" w:leftChars="200"/>
        <w:rPr>
          <w:rFonts w:hAnsi="宋体"/>
          <w:color w:val="auto"/>
          <w:sz w:val="21"/>
          <w:szCs w:val="21"/>
          <w:highlight w:val="none"/>
        </w:rPr>
      </w:pPr>
      <w:r>
        <w:rPr>
          <w:rFonts w:hint="eastAsia" w:hAnsi="宋体"/>
          <w:color w:val="auto"/>
          <w:sz w:val="21"/>
          <w:szCs w:val="21"/>
          <w:highlight w:val="none"/>
        </w:rPr>
        <w:t xml:space="preserve">投标人法定代表人或授权代表（签字或盖章）：        </w:t>
      </w:r>
    </w:p>
    <w:p>
      <w:pPr>
        <w:spacing w:line="360" w:lineRule="auto"/>
        <w:ind w:left="560" w:leftChars="200"/>
        <w:rPr>
          <w:rFonts w:hAnsi="宋体"/>
          <w:color w:val="auto"/>
          <w:sz w:val="21"/>
          <w:szCs w:val="21"/>
          <w:highlight w:val="none"/>
        </w:rPr>
      </w:pPr>
      <w:r>
        <w:rPr>
          <w:rFonts w:hint="eastAsia" w:hAnsi="宋体"/>
          <w:color w:val="auto"/>
          <w:sz w:val="21"/>
          <w:szCs w:val="21"/>
          <w:highlight w:val="none"/>
        </w:rPr>
        <w:t>日期：    年  月  日</w:t>
      </w:r>
    </w:p>
    <w:p>
      <w:pPr>
        <w:spacing w:line="360" w:lineRule="auto"/>
        <w:jc w:val="center"/>
        <w:rPr>
          <w:rFonts w:hint="eastAsia"/>
          <w:color w:val="auto"/>
          <w:highlight w:val="none"/>
        </w:rPr>
      </w:pPr>
      <w:r>
        <w:rPr>
          <w:color w:val="auto"/>
          <w:highlight w:val="none"/>
        </w:rPr>
        <w:br w:type="page"/>
      </w:r>
      <w:bookmarkStart w:id="497" w:name="_Toc338075726"/>
      <w:bookmarkStart w:id="498" w:name="_Toc14578"/>
    </w:p>
    <w:p>
      <w:pPr>
        <w:spacing w:line="360" w:lineRule="auto"/>
        <w:jc w:val="center"/>
        <w:rPr>
          <w:b/>
          <w:color w:val="auto"/>
          <w:sz w:val="30"/>
          <w:szCs w:val="30"/>
          <w:highlight w:val="none"/>
        </w:rPr>
      </w:pPr>
      <w:r>
        <w:rPr>
          <w:b/>
          <w:color w:val="auto"/>
          <w:sz w:val="30"/>
          <w:szCs w:val="30"/>
          <w:highlight w:val="none"/>
        </w:rPr>
        <w:t>环卫保洁承诺书</w:t>
      </w:r>
      <w:bookmarkEnd w:id="497"/>
      <w:bookmarkEnd w:id="498"/>
    </w:p>
    <w:p>
      <w:pPr>
        <w:adjustRightInd w:val="0"/>
        <w:snapToGrid w:val="0"/>
        <w:spacing w:line="360" w:lineRule="auto"/>
        <w:rPr>
          <w:rFonts w:hint="eastAsia"/>
          <w:b/>
          <w:color w:val="auto"/>
          <w:sz w:val="21"/>
          <w:szCs w:val="21"/>
          <w:highlight w:val="none"/>
        </w:rPr>
      </w:pPr>
      <w:bookmarkStart w:id="499" w:name="_附件八___建议与少量偏离表"/>
      <w:bookmarkEnd w:id="499"/>
    </w:p>
    <w:p>
      <w:pPr>
        <w:adjustRightInd w:val="0"/>
        <w:snapToGrid w:val="0"/>
        <w:spacing w:line="360" w:lineRule="auto"/>
        <w:rPr>
          <w:rFonts w:hint="eastAsia" w:eastAsia="宋体"/>
          <w:b/>
          <w:color w:val="auto"/>
          <w:sz w:val="21"/>
          <w:szCs w:val="21"/>
          <w:highlight w:val="none"/>
          <w:lang w:eastAsia="zh-CN"/>
        </w:rPr>
      </w:pPr>
      <w:r>
        <w:rPr>
          <w:rFonts w:hint="eastAsia"/>
          <w:b/>
          <w:color w:val="auto"/>
          <w:sz w:val="21"/>
          <w:szCs w:val="21"/>
          <w:highlight w:val="none"/>
        </w:rPr>
        <w:t>致：</w:t>
      </w:r>
      <w:r>
        <w:rPr>
          <w:rFonts w:hint="eastAsia"/>
          <w:b/>
          <w:color w:val="auto"/>
          <w:sz w:val="21"/>
          <w:szCs w:val="21"/>
          <w:highlight w:val="none"/>
          <w:u w:val="single"/>
          <w:lang w:eastAsia="zh-CN"/>
        </w:rPr>
        <w:t>温州市龙湾区城市管理服务有限公司</w:t>
      </w:r>
    </w:p>
    <w:p>
      <w:pPr>
        <w:spacing w:line="400" w:lineRule="exact"/>
        <w:ind w:firstLine="420" w:firstLineChars="200"/>
        <w:jc w:val="left"/>
        <w:rPr>
          <w:rFonts w:ascii="宋体" w:hAnsi="宋体" w:cs="Arial"/>
          <w:color w:val="auto"/>
          <w:sz w:val="21"/>
          <w:szCs w:val="21"/>
          <w:highlight w:val="none"/>
        </w:rPr>
      </w:pPr>
      <w:r>
        <w:rPr>
          <w:rFonts w:ascii="宋体" w:hAnsi="宋体" w:cs="Arial"/>
          <w:color w:val="auto"/>
          <w:sz w:val="21"/>
          <w:szCs w:val="21"/>
          <w:highlight w:val="none"/>
        </w:rPr>
        <w:t>我方全面阅读和研究了</w:t>
      </w:r>
      <w:r>
        <w:rPr>
          <w:rFonts w:hint="eastAsia" w:ascii="宋体" w:hAnsi="宋体"/>
          <w:bCs/>
          <w:color w:val="auto"/>
          <w:sz w:val="21"/>
          <w:szCs w:val="21"/>
          <w:highlight w:val="none"/>
          <w:u w:val="single"/>
        </w:rPr>
        <w:t xml:space="preserve">龙湾区瑶溪街道环卫保洁一体化项目（项目编号： </w:t>
      </w:r>
      <w:r>
        <w:rPr>
          <w:rFonts w:hint="eastAsia" w:ascii="宋体" w:hAnsi="宋体"/>
          <w:bCs/>
          <w:color w:val="auto"/>
          <w:sz w:val="21"/>
          <w:szCs w:val="21"/>
          <w:highlight w:val="none"/>
          <w:u w:val="single"/>
          <w:lang w:eastAsia="zh-CN"/>
        </w:rPr>
        <w:t>WZHC-20220923</w:t>
      </w:r>
      <w:r>
        <w:rPr>
          <w:rFonts w:hint="eastAsia" w:ascii="宋体" w:hAnsi="宋体"/>
          <w:bCs/>
          <w:color w:val="auto"/>
          <w:sz w:val="21"/>
          <w:szCs w:val="21"/>
          <w:highlight w:val="none"/>
          <w:u w:val="single"/>
        </w:rPr>
        <w:t>）</w:t>
      </w:r>
      <w:r>
        <w:rPr>
          <w:rFonts w:ascii="宋体" w:hAnsi="宋体" w:cs="Arial"/>
          <w:color w:val="auto"/>
          <w:sz w:val="21"/>
          <w:szCs w:val="21"/>
          <w:highlight w:val="none"/>
        </w:rPr>
        <w:t>已充分理解和掌握本次招标的全部有关情况，充分理解</w:t>
      </w:r>
      <w:r>
        <w:rPr>
          <w:rFonts w:hint="eastAsia" w:ascii="宋体" w:hAnsi="宋体"/>
          <w:bCs/>
          <w:color w:val="auto"/>
          <w:sz w:val="21"/>
          <w:szCs w:val="21"/>
          <w:highlight w:val="none"/>
          <w:u w:val="single"/>
        </w:rPr>
        <w:t xml:space="preserve">龙湾区瑶溪街道环卫保洁一体化项目（项目编号： </w:t>
      </w:r>
      <w:r>
        <w:rPr>
          <w:rFonts w:hint="eastAsia" w:ascii="宋体" w:hAnsi="宋体"/>
          <w:bCs/>
          <w:color w:val="auto"/>
          <w:sz w:val="21"/>
          <w:szCs w:val="21"/>
          <w:highlight w:val="none"/>
          <w:u w:val="single"/>
          <w:lang w:eastAsia="zh-CN"/>
        </w:rPr>
        <w:t>WZHC-20220923</w:t>
      </w:r>
      <w:r>
        <w:rPr>
          <w:rFonts w:hint="eastAsia" w:ascii="宋体" w:hAnsi="宋体"/>
          <w:bCs/>
          <w:color w:val="auto"/>
          <w:sz w:val="21"/>
          <w:szCs w:val="21"/>
          <w:highlight w:val="none"/>
          <w:u w:val="single"/>
        </w:rPr>
        <w:t>）</w:t>
      </w:r>
      <w:r>
        <w:rPr>
          <w:rFonts w:ascii="宋体" w:hAnsi="宋体" w:cs="Arial"/>
          <w:color w:val="auto"/>
          <w:sz w:val="21"/>
          <w:szCs w:val="21"/>
          <w:highlight w:val="none"/>
        </w:rPr>
        <w:t>的重要性，同意接受招标文件的全部内容和条件，如果我公司中标，承诺如下：</w:t>
      </w:r>
    </w:p>
    <w:p>
      <w:pPr>
        <w:spacing w:line="400" w:lineRule="exact"/>
        <w:ind w:firstLine="420" w:firstLineChars="200"/>
        <w:jc w:val="left"/>
        <w:rPr>
          <w:rFonts w:ascii="宋体" w:hAnsi="宋体" w:cs="Arial"/>
          <w:color w:val="auto"/>
          <w:sz w:val="21"/>
          <w:szCs w:val="21"/>
          <w:highlight w:val="none"/>
        </w:rPr>
      </w:pPr>
      <w:r>
        <w:rPr>
          <w:rFonts w:ascii="宋体" w:hAnsi="宋体" w:cs="Arial"/>
          <w:color w:val="auto"/>
          <w:sz w:val="21"/>
          <w:szCs w:val="21"/>
          <w:highlight w:val="none"/>
        </w:rPr>
        <w:t>1、按招标文件要求做好清扫保洁工作。</w:t>
      </w:r>
    </w:p>
    <w:p>
      <w:pPr>
        <w:spacing w:line="400" w:lineRule="exact"/>
        <w:ind w:firstLine="420" w:firstLineChars="200"/>
        <w:jc w:val="left"/>
        <w:rPr>
          <w:rFonts w:ascii="宋体" w:hAnsi="宋体" w:cs="Arial"/>
          <w:color w:val="auto"/>
          <w:sz w:val="21"/>
          <w:szCs w:val="21"/>
          <w:highlight w:val="none"/>
        </w:rPr>
      </w:pPr>
      <w:r>
        <w:rPr>
          <w:rFonts w:ascii="宋体" w:hAnsi="宋体" w:cs="Arial"/>
          <w:color w:val="auto"/>
          <w:sz w:val="21"/>
          <w:szCs w:val="21"/>
          <w:highlight w:val="none"/>
        </w:rPr>
        <w:t>2、对员工做好安全教育，消除事故隐患，并承担安全责任及发生的费用。</w:t>
      </w:r>
    </w:p>
    <w:p>
      <w:pPr>
        <w:spacing w:line="400" w:lineRule="exact"/>
        <w:ind w:firstLine="420" w:firstLineChars="200"/>
        <w:jc w:val="left"/>
        <w:rPr>
          <w:rFonts w:ascii="宋体" w:hAnsi="宋体" w:cs="Arial"/>
          <w:color w:val="auto"/>
          <w:sz w:val="21"/>
          <w:szCs w:val="21"/>
          <w:highlight w:val="none"/>
        </w:rPr>
      </w:pPr>
      <w:r>
        <w:rPr>
          <w:rFonts w:ascii="宋体" w:hAnsi="宋体" w:cs="Arial"/>
          <w:color w:val="auto"/>
          <w:sz w:val="21"/>
          <w:szCs w:val="21"/>
          <w:highlight w:val="none"/>
        </w:rPr>
        <w:t>3、自行解决员工食宿、机械车辆停车、洗车场地。</w:t>
      </w:r>
    </w:p>
    <w:p>
      <w:pPr>
        <w:spacing w:line="400" w:lineRule="exact"/>
        <w:ind w:firstLine="420" w:firstLineChars="200"/>
        <w:jc w:val="left"/>
        <w:rPr>
          <w:rFonts w:ascii="宋体" w:hAnsi="宋体" w:cs="Arial"/>
          <w:color w:val="auto"/>
          <w:sz w:val="21"/>
          <w:szCs w:val="21"/>
          <w:highlight w:val="none"/>
        </w:rPr>
      </w:pPr>
      <w:r>
        <w:rPr>
          <w:rFonts w:ascii="宋体" w:hAnsi="宋体" w:cs="Arial"/>
          <w:color w:val="auto"/>
          <w:sz w:val="21"/>
          <w:szCs w:val="21"/>
          <w:highlight w:val="none"/>
        </w:rPr>
        <w:t>4、在合同期内，同意因市政建设需要征用、临时占用需要调整清扫保洁面积时，</w:t>
      </w:r>
      <w:r>
        <w:rPr>
          <w:rFonts w:hint="eastAsia" w:ascii="宋体" w:hAnsi="宋体" w:cs="Arial"/>
          <w:color w:val="auto"/>
          <w:sz w:val="21"/>
          <w:szCs w:val="21"/>
          <w:highlight w:val="none"/>
          <w:lang w:eastAsia="zh-CN"/>
        </w:rPr>
        <w:t>瑶溪街道</w:t>
      </w:r>
      <w:r>
        <w:rPr>
          <w:rFonts w:ascii="宋体" w:hAnsi="宋体" w:cs="Arial"/>
          <w:color w:val="auto"/>
          <w:sz w:val="21"/>
          <w:szCs w:val="21"/>
          <w:highlight w:val="none"/>
        </w:rPr>
        <w:t>可根据占用的时间和面积数，扣除相应的清扫保洁费。</w:t>
      </w:r>
    </w:p>
    <w:p>
      <w:pPr>
        <w:spacing w:line="400" w:lineRule="exact"/>
        <w:ind w:firstLine="420" w:firstLineChars="200"/>
        <w:jc w:val="left"/>
        <w:rPr>
          <w:rFonts w:ascii="宋体" w:hAnsi="宋体" w:cs="Arial"/>
          <w:color w:val="auto"/>
          <w:sz w:val="21"/>
          <w:szCs w:val="21"/>
          <w:highlight w:val="none"/>
        </w:rPr>
      </w:pPr>
      <w:r>
        <w:rPr>
          <w:rFonts w:ascii="宋体" w:hAnsi="宋体" w:cs="Arial"/>
          <w:color w:val="auto"/>
          <w:sz w:val="21"/>
          <w:szCs w:val="21"/>
          <w:highlight w:val="none"/>
        </w:rPr>
        <w:t>5、在合同期内，出现新增道路，新增小区或因改造、改建新增清扫保洁面积时，</w:t>
      </w:r>
      <w:r>
        <w:rPr>
          <w:rFonts w:hint="eastAsia" w:ascii="宋体" w:hAnsi="宋体" w:cs="Arial"/>
          <w:color w:val="auto"/>
          <w:sz w:val="21"/>
          <w:szCs w:val="21"/>
          <w:highlight w:val="none"/>
          <w:lang w:eastAsia="zh-CN"/>
        </w:rPr>
        <w:t>瑶溪街道</w:t>
      </w:r>
      <w:r>
        <w:rPr>
          <w:rFonts w:ascii="宋体" w:hAnsi="宋体" w:cs="Arial"/>
          <w:color w:val="auto"/>
          <w:sz w:val="21"/>
          <w:szCs w:val="21"/>
          <w:highlight w:val="none"/>
        </w:rPr>
        <w:t>可根据实际情况做出调整，或增加清扫保洁费的决定。</w:t>
      </w:r>
    </w:p>
    <w:p>
      <w:pPr>
        <w:spacing w:line="400" w:lineRule="exact"/>
        <w:ind w:firstLine="420" w:firstLineChars="200"/>
        <w:jc w:val="left"/>
        <w:rPr>
          <w:rFonts w:ascii="宋体" w:hAnsi="宋体" w:cs="Arial"/>
          <w:color w:val="auto"/>
          <w:sz w:val="21"/>
          <w:szCs w:val="21"/>
          <w:highlight w:val="none"/>
        </w:rPr>
      </w:pPr>
      <w:r>
        <w:rPr>
          <w:rFonts w:ascii="宋体" w:hAnsi="宋体" w:cs="Arial"/>
          <w:color w:val="auto"/>
          <w:sz w:val="21"/>
          <w:szCs w:val="21"/>
          <w:highlight w:val="none"/>
        </w:rPr>
        <w:t>6、本清扫保洁作业除在招投标文件中列明并经</w:t>
      </w:r>
      <w:r>
        <w:rPr>
          <w:rFonts w:hint="eastAsia" w:ascii="宋体" w:hAnsi="宋体" w:cs="Arial"/>
          <w:color w:val="auto"/>
          <w:sz w:val="21"/>
          <w:szCs w:val="21"/>
          <w:highlight w:val="none"/>
          <w:lang w:eastAsia="zh-CN"/>
        </w:rPr>
        <w:t>瑶溪街道</w:t>
      </w:r>
      <w:r>
        <w:rPr>
          <w:rFonts w:ascii="宋体" w:hAnsi="宋体" w:cs="Arial"/>
          <w:color w:val="auto"/>
          <w:sz w:val="21"/>
          <w:szCs w:val="21"/>
          <w:highlight w:val="none"/>
        </w:rPr>
        <w:t>同意外，同意不得将本项目分包与转包，一经发现立即取消承包资格，并承担由此引起的法律责任及一切经济损失。</w:t>
      </w:r>
    </w:p>
    <w:p>
      <w:pPr>
        <w:spacing w:line="400" w:lineRule="exact"/>
        <w:ind w:firstLine="420" w:firstLineChars="200"/>
        <w:jc w:val="left"/>
        <w:rPr>
          <w:rFonts w:ascii="宋体" w:hAnsi="宋体" w:cs="Arial"/>
          <w:color w:val="auto"/>
          <w:sz w:val="21"/>
          <w:szCs w:val="21"/>
          <w:highlight w:val="none"/>
        </w:rPr>
      </w:pPr>
      <w:r>
        <w:rPr>
          <w:rFonts w:ascii="宋体" w:hAnsi="宋体" w:cs="Arial"/>
          <w:color w:val="auto"/>
          <w:sz w:val="21"/>
          <w:szCs w:val="21"/>
          <w:highlight w:val="none"/>
        </w:rPr>
        <w:t>7、按招标文件的要求和承诺配备人员。擅自减少清扫保洁人员的，</w:t>
      </w:r>
      <w:r>
        <w:rPr>
          <w:rFonts w:hint="eastAsia" w:ascii="宋体" w:hAnsi="宋体" w:cs="Arial"/>
          <w:color w:val="auto"/>
          <w:sz w:val="21"/>
          <w:szCs w:val="21"/>
          <w:highlight w:val="none"/>
          <w:lang w:eastAsia="zh-CN"/>
        </w:rPr>
        <w:t>瑶溪街道</w:t>
      </w:r>
      <w:r>
        <w:rPr>
          <w:rFonts w:ascii="宋体" w:hAnsi="宋体" w:cs="Arial"/>
          <w:color w:val="auto"/>
          <w:sz w:val="21"/>
          <w:szCs w:val="21"/>
          <w:highlight w:val="none"/>
        </w:rPr>
        <w:t>有权根据考核结核进行处罚，并保留向违规供应商进一步索赔的权利，将违规供应商列入不诚信供应商黑名单。</w:t>
      </w:r>
    </w:p>
    <w:p>
      <w:pPr>
        <w:spacing w:line="400" w:lineRule="exact"/>
        <w:ind w:firstLine="420" w:firstLineChars="200"/>
        <w:jc w:val="left"/>
        <w:rPr>
          <w:rFonts w:ascii="宋体" w:hAnsi="宋体" w:cs="Arial"/>
          <w:color w:val="auto"/>
          <w:sz w:val="21"/>
          <w:szCs w:val="21"/>
          <w:highlight w:val="none"/>
        </w:rPr>
      </w:pPr>
      <w:r>
        <w:rPr>
          <w:rFonts w:ascii="宋体" w:hAnsi="宋体" w:cs="Arial"/>
          <w:color w:val="auto"/>
          <w:sz w:val="21"/>
          <w:szCs w:val="21"/>
          <w:highlight w:val="none"/>
        </w:rPr>
        <w:t>8、作业机械车辆船只（含增配）弄虚作假没有实际作业的，一经发现，扣除作业机械车辆船只全年清扫费用，并有权终止采购合同，保留向违规供应商进一步索赔的权利，将违规供应商列入不诚信供应商黑名单。</w:t>
      </w:r>
    </w:p>
    <w:p>
      <w:pPr>
        <w:spacing w:line="400" w:lineRule="exact"/>
        <w:ind w:firstLine="420" w:firstLineChars="200"/>
        <w:jc w:val="left"/>
        <w:rPr>
          <w:rFonts w:ascii="宋体" w:hAnsi="宋体" w:cs="Arial"/>
          <w:color w:val="auto"/>
          <w:sz w:val="21"/>
          <w:szCs w:val="21"/>
          <w:highlight w:val="none"/>
        </w:rPr>
      </w:pPr>
      <w:r>
        <w:rPr>
          <w:rFonts w:ascii="宋体" w:hAnsi="宋体" w:cs="Arial"/>
          <w:color w:val="auto"/>
          <w:sz w:val="21"/>
          <w:szCs w:val="21"/>
          <w:highlight w:val="none"/>
        </w:rPr>
        <w:t>9、提供用于本项目的机动车辆、船只如出安全事故，则由我公司自行负责处理并承担相应责任和费用，并根据驾驶员责任大小处以500元-2000元的罚款，罚款从承包费中扣除。</w:t>
      </w:r>
    </w:p>
    <w:p>
      <w:pPr>
        <w:spacing w:line="400" w:lineRule="exact"/>
        <w:ind w:firstLine="420" w:firstLineChars="200"/>
        <w:jc w:val="left"/>
        <w:rPr>
          <w:rFonts w:ascii="宋体" w:hAnsi="宋体" w:cs="Arial"/>
          <w:color w:val="auto"/>
          <w:sz w:val="21"/>
          <w:szCs w:val="21"/>
          <w:highlight w:val="none"/>
        </w:rPr>
      </w:pPr>
      <w:r>
        <w:rPr>
          <w:rFonts w:ascii="宋体" w:hAnsi="宋体" w:cs="Arial"/>
          <w:color w:val="auto"/>
          <w:sz w:val="21"/>
          <w:szCs w:val="21"/>
          <w:highlight w:val="none"/>
        </w:rPr>
        <w:t>10、本项目专用的机械设备（车辆、船只）建立使用台账，做好使用记录。</w:t>
      </w:r>
      <w:r>
        <w:rPr>
          <w:rFonts w:hint="eastAsia" w:ascii="宋体" w:hAnsi="宋体" w:cs="Arial"/>
          <w:color w:val="auto"/>
          <w:sz w:val="21"/>
          <w:szCs w:val="21"/>
          <w:highlight w:val="none"/>
          <w:lang w:eastAsia="zh-CN"/>
        </w:rPr>
        <w:t>瑶溪街道</w:t>
      </w:r>
      <w:r>
        <w:rPr>
          <w:rFonts w:ascii="宋体" w:hAnsi="宋体" w:cs="Arial"/>
          <w:color w:val="auto"/>
          <w:sz w:val="21"/>
          <w:szCs w:val="21"/>
          <w:highlight w:val="none"/>
        </w:rPr>
        <w:t>有权进行检查</w:t>
      </w:r>
    </w:p>
    <w:p>
      <w:pPr>
        <w:spacing w:line="400" w:lineRule="exact"/>
        <w:ind w:firstLine="420" w:firstLineChars="200"/>
        <w:jc w:val="left"/>
        <w:rPr>
          <w:rFonts w:ascii="宋体" w:hAnsi="宋体" w:cs="Arial"/>
          <w:color w:val="auto"/>
          <w:sz w:val="21"/>
          <w:szCs w:val="21"/>
          <w:highlight w:val="none"/>
        </w:rPr>
      </w:pPr>
      <w:r>
        <w:rPr>
          <w:rFonts w:ascii="宋体" w:hAnsi="宋体" w:cs="Arial"/>
          <w:color w:val="auto"/>
          <w:sz w:val="21"/>
          <w:szCs w:val="21"/>
          <w:highlight w:val="none"/>
        </w:rPr>
        <w:t>11、如果我公司不遵守承诺，采购人有权履约保证金不予退还，并接受政府采购有关法规处罚，我们没有异议。</w:t>
      </w:r>
    </w:p>
    <w:p>
      <w:pPr>
        <w:spacing w:line="400" w:lineRule="exact"/>
        <w:ind w:right="480" w:firstLine="3364" w:firstLineChars="1602"/>
        <w:jc w:val="left"/>
        <w:rPr>
          <w:rFonts w:ascii="宋体" w:hAnsi="宋体" w:cs="Arial"/>
          <w:color w:val="auto"/>
          <w:sz w:val="21"/>
          <w:szCs w:val="21"/>
          <w:highlight w:val="none"/>
        </w:rPr>
      </w:pPr>
    </w:p>
    <w:p>
      <w:pPr>
        <w:spacing w:line="400" w:lineRule="exact"/>
        <w:ind w:right="480" w:firstLine="3364" w:firstLineChars="1602"/>
        <w:jc w:val="left"/>
        <w:rPr>
          <w:rFonts w:ascii="宋体" w:hAnsi="宋体" w:cs="Arial"/>
          <w:color w:val="auto"/>
          <w:sz w:val="21"/>
          <w:szCs w:val="21"/>
          <w:highlight w:val="none"/>
        </w:rPr>
      </w:pPr>
      <w:r>
        <w:rPr>
          <w:rFonts w:hint="eastAsia" w:hAnsi="宋体"/>
          <w:color w:val="auto"/>
          <w:sz w:val="21"/>
          <w:szCs w:val="21"/>
          <w:highlight w:val="none"/>
        </w:rPr>
        <w:t>投标人（盖公章）</w:t>
      </w:r>
      <w:r>
        <w:rPr>
          <w:rFonts w:ascii="宋体" w:hAnsi="宋体" w:cs="Arial"/>
          <w:color w:val="auto"/>
          <w:sz w:val="21"/>
          <w:szCs w:val="21"/>
          <w:highlight w:val="none"/>
        </w:rPr>
        <w:t>：</w:t>
      </w:r>
    </w:p>
    <w:p>
      <w:pPr>
        <w:spacing w:line="400" w:lineRule="exact"/>
        <w:ind w:right="480" w:firstLine="3332" w:firstLineChars="1587"/>
        <w:jc w:val="left"/>
        <w:rPr>
          <w:rFonts w:ascii="宋体" w:hAnsi="宋体" w:cs="Arial"/>
          <w:color w:val="auto"/>
          <w:sz w:val="21"/>
          <w:szCs w:val="21"/>
          <w:highlight w:val="none"/>
        </w:rPr>
      </w:pPr>
      <w:r>
        <w:rPr>
          <w:rFonts w:ascii="宋体" w:hAnsi="宋体" w:cs="Arial"/>
          <w:color w:val="auto"/>
          <w:sz w:val="21"/>
          <w:szCs w:val="21"/>
          <w:highlight w:val="none"/>
        </w:rPr>
        <w:t>法定代表人或授权代表人（签字或盖章）：</w:t>
      </w:r>
    </w:p>
    <w:p>
      <w:pPr>
        <w:spacing w:line="400" w:lineRule="exact"/>
        <w:ind w:right="480" w:firstLine="3990" w:firstLineChars="1900"/>
        <w:jc w:val="left"/>
        <w:rPr>
          <w:rFonts w:ascii="Arial" w:hAnsi="Arial" w:cs="Arial"/>
          <w:color w:val="auto"/>
          <w:sz w:val="21"/>
          <w:szCs w:val="21"/>
          <w:highlight w:val="none"/>
        </w:rPr>
      </w:pPr>
      <w:r>
        <w:rPr>
          <w:rFonts w:ascii="Arial" w:hAnsi="Arial" w:cs="Arial"/>
          <w:color w:val="auto"/>
          <w:sz w:val="21"/>
          <w:szCs w:val="21"/>
          <w:highlight w:val="none"/>
        </w:rPr>
        <w:t>年   月   日</w:t>
      </w:r>
    </w:p>
    <w:p>
      <w:pPr>
        <w:pStyle w:val="2"/>
        <w:ind w:firstLine="280"/>
        <w:rPr>
          <w:rFonts w:ascii="宋体" w:hAnsi="宋体"/>
          <w:b/>
          <w:color w:val="auto"/>
          <w:sz w:val="30"/>
          <w:szCs w:val="30"/>
          <w:highlight w:val="none"/>
        </w:rPr>
      </w:pPr>
      <w:r>
        <w:rPr>
          <w:color w:val="auto"/>
          <w:highlight w:val="none"/>
        </w:rPr>
        <w:br w:type="page"/>
      </w:r>
    </w:p>
    <w:p>
      <w:pPr>
        <w:spacing w:line="480" w:lineRule="auto"/>
        <w:jc w:val="center"/>
        <w:rPr>
          <w:b/>
          <w:color w:val="auto"/>
          <w:sz w:val="30"/>
          <w:szCs w:val="30"/>
          <w:highlight w:val="none"/>
        </w:rPr>
      </w:pPr>
      <w:r>
        <w:rPr>
          <w:rFonts w:hint="eastAsia"/>
          <w:b/>
          <w:color w:val="auto"/>
          <w:sz w:val="30"/>
          <w:szCs w:val="30"/>
          <w:highlight w:val="none"/>
        </w:rPr>
        <w:t>投标人情况介绍表</w:t>
      </w:r>
    </w:p>
    <w:tbl>
      <w:tblPr>
        <w:tblStyle w:val="42"/>
        <w:tblW w:w="924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80"/>
        <w:gridCol w:w="4554"/>
        <w:gridCol w:w="1525"/>
        <w:gridCol w:w="15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80" w:type="dxa"/>
            <w:noWrap w:val="0"/>
            <w:vAlign w:val="center"/>
          </w:tcPr>
          <w:p>
            <w:pPr>
              <w:pStyle w:val="136"/>
              <w:jc w:val="center"/>
              <w:rPr>
                <w:rFonts w:ascii="Arial" w:hAnsi="Arial" w:cs="Arial"/>
                <w:color w:val="auto"/>
                <w:sz w:val="21"/>
                <w:highlight w:val="none"/>
              </w:rPr>
            </w:pPr>
            <w:r>
              <w:rPr>
                <w:rFonts w:ascii="Arial" w:hAnsi="Arial" w:cs="Arial"/>
                <w:color w:val="auto"/>
                <w:sz w:val="21"/>
                <w:highlight w:val="none"/>
              </w:rPr>
              <w:t>企业名称</w:t>
            </w:r>
          </w:p>
        </w:tc>
        <w:tc>
          <w:tcPr>
            <w:tcW w:w="4554" w:type="dxa"/>
            <w:noWrap w:val="0"/>
            <w:vAlign w:val="center"/>
          </w:tcPr>
          <w:p>
            <w:pPr>
              <w:pStyle w:val="136"/>
              <w:jc w:val="center"/>
              <w:rPr>
                <w:rFonts w:ascii="Arial" w:hAnsi="Arial" w:cs="Arial"/>
                <w:color w:val="auto"/>
                <w:sz w:val="24"/>
                <w:szCs w:val="24"/>
                <w:highlight w:val="none"/>
              </w:rPr>
            </w:pPr>
          </w:p>
        </w:tc>
        <w:tc>
          <w:tcPr>
            <w:tcW w:w="1525" w:type="dxa"/>
            <w:noWrap w:val="0"/>
            <w:vAlign w:val="center"/>
          </w:tcPr>
          <w:p>
            <w:pPr>
              <w:pStyle w:val="136"/>
              <w:jc w:val="center"/>
              <w:rPr>
                <w:rFonts w:ascii="Arial" w:hAnsi="Arial" w:cs="Arial"/>
                <w:color w:val="auto"/>
                <w:sz w:val="21"/>
                <w:highlight w:val="none"/>
              </w:rPr>
            </w:pPr>
            <w:r>
              <w:rPr>
                <w:rFonts w:ascii="Arial" w:hAnsi="Arial" w:cs="Arial"/>
                <w:color w:val="auto"/>
                <w:sz w:val="21"/>
                <w:highlight w:val="none"/>
              </w:rPr>
              <w:t>企业成立时间</w:t>
            </w:r>
          </w:p>
        </w:tc>
        <w:tc>
          <w:tcPr>
            <w:tcW w:w="1587" w:type="dxa"/>
            <w:noWrap w:val="0"/>
            <w:vAlign w:val="center"/>
          </w:tcPr>
          <w:p>
            <w:pPr>
              <w:pStyle w:val="136"/>
              <w:jc w:val="center"/>
              <w:rPr>
                <w:rFonts w:ascii="Arial" w:hAnsi="Arial" w:cs="Arial"/>
                <w:color w:val="auto"/>
                <w:sz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80" w:type="dxa"/>
            <w:noWrap w:val="0"/>
            <w:vAlign w:val="center"/>
          </w:tcPr>
          <w:p>
            <w:pPr>
              <w:pStyle w:val="136"/>
              <w:jc w:val="center"/>
              <w:rPr>
                <w:rFonts w:ascii="Arial" w:hAnsi="Arial" w:cs="Arial"/>
                <w:color w:val="auto"/>
                <w:sz w:val="21"/>
                <w:highlight w:val="none"/>
              </w:rPr>
            </w:pPr>
            <w:r>
              <w:rPr>
                <w:rFonts w:ascii="Arial" w:hAnsi="Arial" w:cs="Arial"/>
                <w:color w:val="auto"/>
                <w:sz w:val="21"/>
                <w:highlight w:val="none"/>
              </w:rPr>
              <w:t>企业地址</w:t>
            </w:r>
          </w:p>
        </w:tc>
        <w:tc>
          <w:tcPr>
            <w:tcW w:w="4554" w:type="dxa"/>
            <w:noWrap w:val="0"/>
            <w:vAlign w:val="center"/>
          </w:tcPr>
          <w:p>
            <w:pPr>
              <w:pStyle w:val="136"/>
              <w:rPr>
                <w:rFonts w:ascii="Arial" w:hAnsi="Arial" w:cs="Arial"/>
                <w:color w:val="auto"/>
                <w:sz w:val="24"/>
                <w:szCs w:val="24"/>
                <w:highlight w:val="none"/>
              </w:rPr>
            </w:pPr>
          </w:p>
        </w:tc>
        <w:tc>
          <w:tcPr>
            <w:tcW w:w="1525" w:type="dxa"/>
            <w:noWrap w:val="0"/>
            <w:vAlign w:val="center"/>
          </w:tcPr>
          <w:p>
            <w:pPr>
              <w:pStyle w:val="136"/>
              <w:jc w:val="center"/>
              <w:rPr>
                <w:rFonts w:ascii="Arial" w:hAnsi="Arial" w:cs="Arial"/>
                <w:color w:val="auto"/>
                <w:sz w:val="21"/>
                <w:highlight w:val="none"/>
              </w:rPr>
            </w:pPr>
            <w:r>
              <w:rPr>
                <w:rFonts w:ascii="Arial" w:hAnsi="Arial" w:cs="Arial"/>
                <w:color w:val="auto"/>
                <w:sz w:val="21"/>
                <w:highlight w:val="none"/>
              </w:rPr>
              <w:t>企业负责人</w:t>
            </w:r>
          </w:p>
        </w:tc>
        <w:tc>
          <w:tcPr>
            <w:tcW w:w="1587" w:type="dxa"/>
            <w:noWrap w:val="0"/>
            <w:vAlign w:val="center"/>
          </w:tcPr>
          <w:p>
            <w:pPr>
              <w:pStyle w:val="136"/>
              <w:jc w:val="center"/>
              <w:rPr>
                <w:rFonts w:ascii="Arial" w:hAnsi="Arial" w:cs="Arial"/>
                <w:color w:val="auto"/>
                <w:sz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80" w:type="dxa"/>
            <w:noWrap w:val="0"/>
            <w:vAlign w:val="center"/>
          </w:tcPr>
          <w:p>
            <w:pPr>
              <w:pStyle w:val="136"/>
              <w:jc w:val="center"/>
              <w:rPr>
                <w:rFonts w:ascii="Arial" w:hAnsi="Arial" w:cs="Arial"/>
                <w:color w:val="auto"/>
                <w:sz w:val="21"/>
                <w:highlight w:val="none"/>
              </w:rPr>
            </w:pPr>
            <w:r>
              <w:rPr>
                <w:rFonts w:ascii="Arial" w:hAnsi="Arial" w:cs="Arial"/>
                <w:color w:val="auto"/>
                <w:sz w:val="21"/>
                <w:highlight w:val="none"/>
              </w:rPr>
              <w:t>企业性质</w:t>
            </w:r>
          </w:p>
        </w:tc>
        <w:tc>
          <w:tcPr>
            <w:tcW w:w="4554" w:type="dxa"/>
            <w:noWrap w:val="0"/>
            <w:vAlign w:val="center"/>
          </w:tcPr>
          <w:p>
            <w:pPr>
              <w:pStyle w:val="136"/>
              <w:jc w:val="center"/>
              <w:rPr>
                <w:rFonts w:ascii="Arial" w:hAnsi="Arial" w:cs="Arial"/>
                <w:color w:val="auto"/>
                <w:sz w:val="21"/>
                <w:highlight w:val="none"/>
              </w:rPr>
            </w:pPr>
          </w:p>
        </w:tc>
        <w:tc>
          <w:tcPr>
            <w:tcW w:w="1525" w:type="dxa"/>
            <w:noWrap w:val="0"/>
            <w:vAlign w:val="center"/>
          </w:tcPr>
          <w:p>
            <w:pPr>
              <w:pStyle w:val="136"/>
              <w:jc w:val="center"/>
              <w:rPr>
                <w:rFonts w:ascii="Arial" w:hAnsi="Arial" w:cs="Arial"/>
                <w:color w:val="auto"/>
                <w:sz w:val="21"/>
                <w:highlight w:val="none"/>
              </w:rPr>
            </w:pPr>
            <w:r>
              <w:rPr>
                <w:rFonts w:ascii="Arial" w:hAnsi="Arial" w:cs="Arial"/>
                <w:color w:val="auto"/>
                <w:sz w:val="21"/>
                <w:highlight w:val="none"/>
              </w:rPr>
              <w:t>注册资金</w:t>
            </w:r>
          </w:p>
        </w:tc>
        <w:tc>
          <w:tcPr>
            <w:tcW w:w="1587" w:type="dxa"/>
            <w:noWrap w:val="0"/>
            <w:vAlign w:val="center"/>
          </w:tcPr>
          <w:p>
            <w:pPr>
              <w:pStyle w:val="136"/>
              <w:jc w:val="center"/>
              <w:rPr>
                <w:rFonts w:ascii="Arial" w:hAnsi="Arial" w:cs="Arial"/>
                <w:color w:val="auto"/>
                <w:sz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80" w:type="dxa"/>
            <w:noWrap w:val="0"/>
            <w:vAlign w:val="center"/>
          </w:tcPr>
          <w:p>
            <w:pPr>
              <w:pStyle w:val="136"/>
              <w:jc w:val="center"/>
              <w:rPr>
                <w:rFonts w:ascii="Arial" w:hAnsi="Arial" w:cs="Arial"/>
                <w:color w:val="auto"/>
                <w:sz w:val="21"/>
                <w:highlight w:val="none"/>
              </w:rPr>
            </w:pPr>
            <w:r>
              <w:rPr>
                <w:rFonts w:ascii="Arial" w:hAnsi="Arial" w:cs="Arial"/>
                <w:color w:val="auto"/>
                <w:sz w:val="21"/>
                <w:highlight w:val="none"/>
              </w:rPr>
              <w:t>企业经</w:t>
            </w:r>
          </w:p>
          <w:p>
            <w:pPr>
              <w:pStyle w:val="136"/>
              <w:jc w:val="center"/>
              <w:rPr>
                <w:rFonts w:ascii="Arial" w:hAnsi="Arial" w:cs="Arial"/>
                <w:color w:val="auto"/>
                <w:sz w:val="21"/>
                <w:highlight w:val="none"/>
              </w:rPr>
            </w:pPr>
            <w:r>
              <w:rPr>
                <w:rFonts w:ascii="Arial" w:hAnsi="Arial" w:cs="Arial"/>
                <w:color w:val="auto"/>
                <w:sz w:val="21"/>
                <w:highlight w:val="none"/>
              </w:rPr>
              <w:t>营范围</w:t>
            </w:r>
          </w:p>
        </w:tc>
        <w:tc>
          <w:tcPr>
            <w:tcW w:w="4554" w:type="dxa"/>
            <w:noWrap w:val="0"/>
            <w:vAlign w:val="center"/>
          </w:tcPr>
          <w:p>
            <w:pPr>
              <w:pStyle w:val="136"/>
              <w:jc w:val="center"/>
              <w:rPr>
                <w:rFonts w:ascii="Arial" w:hAnsi="Arial" w:cs="Arial"/>
                <w:color w:val="auto"/>
                <w:sz w:val="21"/>
                <w:highlight w:val="none"/>
              </w:rPr>
            </w:pPr>
          </w:p>
        </w:tc>
        <w:tc>
          <w:tcPr>
            <w:tcW w:w="1525" w:type="dxa"/>
            <w:noWrap w:val="0"/>
            <w:vAlign w:val="center"/>
          </w:tcPr>
          <w:p>
            <w:pPr>
              <w:pStyle w:val="136"/>
              <w:jc w:val="center"/>
              <w:rPr>
                <w:rFonts w:ascii="Arial" w:hAnsi="Arial" w:cs="Arial"/>
                <w:color w:val="auto"/>
                <w:sz w:val="21"/>
                <w:highlight w:val="none"/>
              </w:rPr>
            </w:pPr>
            <w:r>
              <w:rPr>
                <w:rFonts w:ascii="Arial" w:hAnsi="Arial" w:cs="Arial"/>
                <w:color w:val="auto"/>
                <w:sz w:val="21"/>
                <w:highlight w:val="none"/>
              </w:rPr>
              <w:t>固定总资产</w:t>
            </w:r>
          </w:p>
        </w:tc>
        <w:tc>
          <w:tcPr>
            <w:tcW w:w="1587" w:type="dxa"/>
            <w:noWrap w:val="0"/>
            <w:vAlign w:val="center"/>
          </w:tcPr>
          <w:p>
            <w:pPr>
              <w:pStyle w:val="136"/>
              <w:jc w:val="center"/>
              <w:rPr>
                <w:rFonts w:ascii="Arial" w:hAnsi="Arial" w:cs="Arial"/>
                <w:color w:val="auto"/>
                <w:sz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80" w:type="dxa"/>
            <w:noWrap w:val="0"/>
            <w:vAlign w:val="center"/>
          </w:tcPr>
          <w:p>
            <w:pPr>
              <w:pStyle w:val="136"/>
              <w:jc w:val="center"/>
              <w:rPr>
                <w:rFonts w:ascii="Arial" w:hAnsi="Arial" w:cs="Arial"/>
                <w:color w:val="auto"/>
                <w:sz w:val="21"/>
                <w:highlight w:val="none"/>
              </w:rPr>
            </w:pPr>
            <w:r>
              <w:rPr>
                <w:rFonts w:ascii="Arial" w:hAnsi="Arial" w:cs="Arial"/>
                <w:color w:val="auto"/>
                <w:sz w:val="21"/>
                <w:highlight w:val="none"/>
              </w:rPr>
              <w:t>企业网址</w:t>
            </w:r>
          </w:p>
        </w:tc>
        <w:tc>
          <w:tcPr>
            <w:tcW w:w="4554" w:type="dxa"/>
            <w:noWrap w:val="0"/>
            <w:vAlign w:val="center"/>
          </w:tcPr>
          <w:p>
            <w:pPr>
              <w:pStyle w:val="136"/>
              <w:jc w:val="center"/>
              <w:rPr>
                <w:rFonts w:ascii="Arial" w:hAnsi="Arial" w:cs="Arial"/>
                <w:color w:val="auto"/>
                <w:sz w:val="21"/>
                <w:highlight w:val="none"/>
              </w:rPr>
            </w:pPr>
          </w:p>
        </w:tc>
        <w:tc>
          <w:tcPr>
            <w:tcW w:w="1525" w:type="dxa"/>
            <w:noWrap w:val="0"/>
            <w:vAlign w:val="center"/>
          </w:tcPr>
          <w:p>
            <w:pPr>
              <w:pStyle w:val="136"/>
              <w:jc w:val="center"/>
              <w:rPr>
                <w:rFonts w:ascii="Arial" w:hAnsi="Arial" w:cs="Arial"/>
                <w:color w:val="auto"/>
                <w:sz w:val="21"/>
                <w:highlight w:val="none"/>
              </w:rPr>
            </w:pPr>
            <w:r>
              <w:rPr>
                <w:rFonts w:ascii="Arial" w:hAnsi="Arial" w:cs="Arial"/>
                <w:color w:val="auto"/>
                <w:sz w:val="21"/>
                <w:highlight w:val="none"/>
              </w:rPr>
              <w:t>所属行业</w:t>
            </w:r>
          </w:p>
        </w:tc>
        <w:tc>
          <w:tcPr>
            <w:tcW w:w="1587" w:type="dxa"/>
            <w:noWrap w:val="0"/>
            <w:vAlign w:val="center"/>
          </w:tcPr>
          <w:p>
            <w:pPr>
              <w:pStyle w:val="136"/>
              <w:jc w:val="center"/>
              <w:rPr>
                <w:rFonts w:ascii="Arial" w:hAnsi="Arial" w:cs="Arial"/>
                <w:color w:val="auto"/>
                <w:sz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80" w:type="dxa"/>
            <w:noWrap w:val="0"/>
            <w:vAlign w:val="center"/>
          </w:tcPr>
          <w:p>
            <w:pPr>
              <w:pStyle w:val="136"/>
              <w:jc w:val="center"/>
              <w:rPr>
                <w:rFonts w:ascii="Arial" w:hAnsi="Arial" w:cs="Arial"/>
                <w:color w:val="auto"/>
                <w:sz w:val="21"/>
                <w:highlight w:val="none"/>
              </w:rPr>
            </w:pPr>
            <w:r>
              <w:rPr>
                <w:rFonts w:ascii="Arial" w:hAnsi="Arial" w:cs="Arial"/>
                <w:color w:val="auto"/>
                <w:sz w:val="21"/>
                <w:highlight w:val="none"/>
              </w:rPr>
              <w:t>从业人员总数</w:t>
            </w:r>
          </w:p>
        </w:tc>
        <w:tc>
          <w:tcPr>
            <w:tcW w:w="4554" w:type="dxa"/>
            <w:noWrap w:val="0"/>
            <w:vAlign w:val="center"/>
          </w:tcPr>
          <w:p>
            <w:pPr>
              <w:pStyle w:val="136"/>
              <w:jc w:val="center"/>
              <w:rPr>
                <w:rFonts w:ascii="Arial" w:hAnsi="Arial" w:cs="Arial"/>
                <w:color w:val="auto"/>
                <w:sz w:val="21"/>
                <w:highlight w:val="none"/>
              </w:rPr>
            </w:pPr>
          </w:p>
        </w:tc>
        <w:tc>
          <w:tcPr>
            <w:tcW w:w="1525" w:type="dxa"/>
            <w:noWrap w:val="0"/>
            <w:vAlign w:val="center"/>
          </w:tcPr>
          <w:p>
            <w:pPr>
              <w:pStyle w:val="136"/>
              <w:jc w:val="center"/>
              <w:rPr>
                <w:rFonts w:ascii="Arial" w:hAnsi="Arial" w:cs="Arial"/>
                <w:color w:val="auto"/>
                <w:sz w:val="21"/>
                <w:highlight w:val="none"/>
              </w:rPr>
            </w:pPr>
            <w:r>
              <w:rPr>
                <w:rFonts w:ascii="Arial" w:hAnsi="Arial" w:cs="Arial"/>
                <w:color w:val="auto"/>
                <w:sz w:val="21"/>
                <w:highlight w:val="none"/>
              </w:rPr>
              <w:t>研发人员人数</w:t>
            </w:r>
          </w:p>
        </w:tc>
        <w:tc>
          <w:tcPr>
            <w:tcW w:w="1587" w:type="dxa"/>
            <w:noWrap w:val="0"/>
            <w:vAlign w:val="center"/>
          </w:tcPr>
          <w:p>
            <w:pPr>
              <w:pStyle w:val="136"/>
              <w:jc w:val="center"/>
              <w:rPr>
                <w:rFonts w:ascii="Arial" w:hAnsi="Arial" w:cs="Arial"/>
                <w:color w:val="auto"/>
                <w:sz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09" w:hRule="atLeast"/>
          <w:jc w:val="center"/>
        </w:trPr>
        <w:tc>
          <w:tcPr>
            <w:tcW w:w="9246" w:type="dxa"/>
            <w:gridSpan w:val="4"/>
            <w:noWrap w:val="0"/>
            <w:vAlign w:val="center"/>
          </w:tcPr>
          <w:p>
            <w:pPr>
              <w:pStyle w:val="136"/>
              <w:rPr>
                <w:rFonts w:ascii="Arial" w:hAnsi="Arial" w:cs="Arial"/>
                <w:color w:val="auto"/>
                <w:sz w:val="21"/>
                <w:highlight w:val="none"/>
              </w:rPr>
            </w:pPr>
            <w:r>
              <w:rPr>
                <w:rFonts w:ascii="Arial" w:hAnsi="Arial" w:cs="Arial"/>
                <w:color w:val="auto"/>
                <w:sz w:val="21"/>
                <w:highlight w:val="none"/>
              </w:rPr>
              <w:t>公司主要负责人员的联系方式：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41" w:hRule="atLeast"/>
          <w:jc w:val="center"/>
        </w:trPr>
        <w:tc>
          <w:tcPr>
            <w:tcW w:w="1580" w:type="dxa"/>
            <w:noWrap w:val="0"/>
            <w:vAlign w:val="center"/>
          </w:tcPr>
          <w:p>
            <w:pPr>
              <w:pStyle w:val="136"/>
              <w:rPr>
                <w:rFonts w:ascii="Arial" w:hAnsi="Arial" w:cs="Arial"/>
                <w:color w:val="auto"/>
                <w:sz w:val="21"/>
                <w:highlight w:val="none"/>
              </w:rPr>
            </w:pPr>
            <w:r>
              <w:rPr>
                <w:rFonts w:ascii="Arial" w:hAnsi="Arial" w:cs="Arial"/>
                <w:color w:val="auto"/>
                <w:sz w:val="21"/>
                <w:highlight w:val="none"/>
              </w:rPr>
              <w:t>企业发展史</w:t>
            </w:r>
          </w:p>
        </w:tc>
        <w:tc>
          <w:tcPr>
            <w:tcW w:w="7666" w:type="dxa"/>
            <w:gridSpan w:val="3"/>
            <w:noWrap w:val="0"/>
            <w:vAlign w:val="center"/>
          </w:tcPr>
          <w:p>
            <w:pPr>
              <w:pStyle w:val="136"/>
              <w:rPr>
                <w:rFonts w:ascii="Arial" w:hAnsi="Arial" w:cs="Arial"/>
                <w:color w:val="auto"/>
                <w:sz w:val="21"/>
                <w:highlight w:val="none"/>
              </w:rPr>
            </w:pPr>
          </w:p>
          <w:p>
            <w:pPr>
              <w:pStyle w:val="136"/>
              <w:rPr>
                <w:rFonts w:ascii="Arial" w:hAnsi="Arial" w:cs="Arial"/>
                <w:color w:val="auto"/>
                <w:sz w:val="21"/>
                <w:highlight w:val="none"/>
              </w:rPr>
            </w:pPr>
          </w:p>
          <w:p>
            <w:pPr>
              <w:pStyle w:val="136"/>
              <w:rPr>
                <w:rFonts w:ascii="Arial" w:hAnsi="Arial" w:cs="Arial"/>
                <w:color w:val="auto"/>
                <w:sz w:val="21"/>
                <w:highlight w:val="none"/>
              </w:rPr>
            </w:pPr>
          </w:p>
          <w:p>
            <w:pPr>
              <w:pStyle w:val="136"/>
              <w:rPr>
                <w:rFonts w:ascii="Arial" w:hAnsi="Arial" w:cs="Arial"/>
                <w:color w:val="auto"/>
                <w:sz w:val="21"/>
                <w:highlight w:val="none"/>
              </w:rPr>
            </w:pPr>
          </w:p>
          <w:p>
            <w:pPr>
              <w:pStyle w:val="136"/>
              <w:rPr>
                <w:rFonts w:ascii="Arial" w:hAnsi="Arial" w:cs="Arial"/>
                <w:color w:val="auto"/>
                <w:sz w:val="21"/>
                <w:highlight w:val="none"/>
              </w:rPr>
            </w:pPr>
          </w:p>
          <w:p>
            <w:pPr>
              <w:pStyle w:val="136"/>
              <w:rPr>
                <w:rFonts w:ascii="Arial" w:hAnsi="Arial" w:cs="Arial"/>
                <w:color w:val="auto"/>
                <w:sz w:val="21"/>
                <w:highlight w:val="none"/>
              </w:rPr>
            </w:pPr>
          </w:p>
          <w:p>
            <w:pPr>
              <w:pStyle w:val="136"/>
              <w:rPr>
                <w:rFonts w:ascii="Arial" w:hAnsi="Arial" w:cs="Arial"/>
                <w:color w:val="auto"/>
                <w:sz w:val="21"/>
                <w:highlight w:val="none"/>
              </w:rPr>
            </w:pPr>
          </w:p>
          <w:p>
            <w:pPr>
              <w:pStyle w:val="136"/>
              <w:rPr>
                <w:rFonts w:ascii="Arial" w:hAnsi="Arial" w:cs="Arial"/>
                <w:color w:val="auto"/>
                <w:sz w:val="21"/>
                <w:highlight w:val="none"/>
              </w:rPr>
            </w:pPr>
          </w:p>
          <w:p>
            <w:pPr>
              <w:pStyle w:val="136"/>
              <w:rPr>
                <w:rFonts w:ascii="Arial" w:hAnsi="Arial" w:cs="Arial"/>
                <w:color w:val="auto"/>
                <w:sz w:val="21"/>
                <w:highlight w:val="none"/>
              </w:rPr>
            </w:pPr>
          </w:p>
          <w:p>
            <w:pPr>
              <w:pStyle w:val="136"/>
              <w:rPr>
                <w:rFonts w:ascii="Arial" w:hAnsi="Arial" w:cs="Arial"/>
                <w:color w:val="auto"/>
                <w:sz w:val="21"/>
                <w:highlight w:val="none"/>
              </w:rPr>
            </w:pPr>
          </w:p>
          <w:p>
            <w:pPr>
              <w:pStyle w:val="136"/>
              <w:rPr>
                <w:rFonts w:ascii="Arial" w:hAnsi="Arial" w:cs="Arial"/>
                <w:color w:val="auto"/>
                <w:sz w:val="21"/>
                <w:highlight w:val="none"/>
              </w:rPr>
            </w:pPr>
          </w:p>
          <w:p>
            <w:pPr>
              <w:pStyle w:val="136"/>
              <w:rPr>
                <w:rFonts w:ascii="Arial" w:hAnsi="Arial" w:cs="Arial"/>
                <w:color w:val="auto"/>
                <w:sz w:val="21"/>
                <w:highlight w:val="none"/>
              </w:rPr>
            </w:pPr>
          </w:p>
        </w:tc>
      </w:tr>
    </w:tbl>
    <w:p>
      <w:pPr>
        <w:pStyle w:val="23"/>
        <w:spacing w:before="120" w:after="120" w:line="360" w:lineRule="auto"/>
        <w:ind w:left="560" w:leftChars="200"/>
        <w:rPr>
          <w:rFonts w:hAnsi="宋体"/>
          <w:color w:val="auto"/>
          <w:sz w:val="21"/>
          <w:szCs w:val="21"/>
          <w:highlight w:val="none"/>
        </w:rPr>
      </w:pPr>
      <w:r>
        <w:rPr>
          <w:rFonts w:hint="eastAsia" w:hAnsi="宋体"/>
          <w:color w:val="auto"/>
          <w:sz w:val="21"/>
          <w:szCs w:val="21"/>
          <w:highlight w:val="none"/>
        </w:rPr>
        <w:t xml:space="preserve">投标人（盖公章）：                 </w:t>
      </w:r>
    </w:p>
    <w:p>
      <w:pPr>
        <w:pStyle w:val="23"/>
        <w:spacing w:before="120" w:after="120" w:line="360" w:lineRule="auto"/>
        <w:ind w:left="560" w:leftChars="200"/>
        <w:rPr>
          <w:rFonts w:hAnsi="宋体"/>
          <w:color w:val="auto"/>
          <w:sz w:val="21"/>
          <w:szCs w:val="21"/>
          <w:highlight w:val="none"/>
        </w:rPr>
      </w:pPr>
      <w:r>
        <w:rPr>
          <w:rFonts w:hint="eastAsia" w:hAnsi="宋体"/>
          <w:color w:val="auto"/>
          <w:sz w:val="21"/>
          <w:szCs w:val="21"/>
          <w:highlight w:val="none"/>
        </w:rPr>
        <w:t xml:space="preserve">投标人法定代表人或授权代表（签字或盖章）：        </w:t>
      </w:r>
    </w:p>
    <w:p>
      <w:pPr>
        <w:spacing w:line="360" w:lineRule="auto"/>
        <w:ind w:left="560" w:leftChars="200"/>
        <w:rPr>
          <w:rFonts w:hAnsi="宋体"/>
          <w:color w:val="auto"/>
          <w:sz w:val="21"/>
          <w:szCs w:val="21"/>
          <w:highlight w:val="none"/>
        </w:rPr>
      </w:pPr>
      <w:r>
        <w:rPr>
          <w:rFonts w:hint="eastAsia" w:hAnsi="宋体"/>
          <w:color w:val="auto"/>
          <w:sz w:val="21"/>
          <w:szCs w:val="21"/>
          <w:highlight w:val="none"/>
        </w:rPr>
        <w:t>日期：    年  月  日</w:t>
      </w:r>
    </w:p>
    <w:p>
      <w:pPr>
        <w:pStyle w:val="2"/>
        <w:ind w:firstLine="280"/>
        <w:rPr>
          <w:rFonts w:ascii="宋体" w:hAnsi="宋体"/>
          <w:color w:val="auto"/>
          <w:sz w:val="21"/>
          <w:szCs w:val="21"/>
          <w:highlight w:val="none"/>
        </w:rPr>
      </w:pPr>
      <w:r>
        <w:rPr>
          <w:color w:val="auto"/>
          <w:highlight w:val="none"/>
        </w:rPr>
        <w:br w:type="page"/>
      </w:r>
    </w:p>
    <w:p>
      <w:pPr>
        <w:spacing w:line="360" w:lineRule="auto"/>
        <w:jc w:val="left"/>
        <w:rPr>
          <w:rFonts w:ascii="宋体" w:hAnsi="宋体"/>
          <w:color w:val="auto"/>
          <w:sz w:val="21"/>
          <w:szCs w:val="21"/>
          <w:highlight w:val="none"/>
        </w:rPr>
      </w:pPr>
    </w:p>
    <w:p>
      <w:pPr>
        <w:spacing w:line="480" w:lineRule="auto"/>
        <w:jc w:val="center"/>
        <w:rPr>
          <w:b/>
          <w:color w:val="auto"/>
          <w:sz w:val="30"/>
          <w:szCs w:val="30"/>
          <w:highlight w:val="none"/>
        </w:rPr>
      </w:pPr>
      <w:r>
        <w:rPr>
          <w:rFonts w:hint="eastAsia"/>
          <w:b/>
          <w:color w:val="auto"/>
          <w:sz w:val="30"/>
          <w:szCs w:val="30"/>
          <w:highlight w:val="none"/>
        </w:rPr>
        <w:t xml:space="preserve">投标人项目业绩一览表 </w:t>
      </w:r>
    </w:p>
    <w:p>
      <w:pPr>
        <w:spacing w:line="360" w:lineRule="auto"/>
        <w:rPr>
          <w:rFonts w:hint="eastAsia" w:ascii="宋体" w:hAnsi="宋体" w:eastAsia="宋体"/>
          <w:color w:val="auto"/>
          <w:sz w:val="21"/>
          <w:szCs w:val="21"/>
          <w:highlight w:val="none"/>
          <w:lang w:eastAsia="zh-CN"/>
        </w:rPr>
      </w:pPr>
      <w:r>
        <w:rPr>
          <w:rFonts w:hint="eastAsia" w:ascii="宋体" w:hAnsi="宋体"/>
          <w:color w:val="auto"/>
          <w:sz w:val="21"/>
          <w:szCs w:val="21"/>
          <w:highlight w:val="none"/>
        </w:rPr>
        <w:t>项目名称：龙湾区瑶溪街道环卫保洁一体化项目       项目编号：</w:t>
      </w:r>
      <w:r>
        <w:rPr>
          <w:rFonts w:hint="eastAsia" w:ascii="宋体" w:hAnsi="宋体"/>
          <w:color w:val="auto"/>
          <w:sz w:val="21"/>
          <w:szCs w:val="21"/>
          <w:highlight w:val="none"/>
          <w:lang w:eastAsia="zh-CN"/>
        </w:rPr>
        <w:t>WZHC-20220923</w:t>
      </w:r>
    </w:p>
    <w:tbl>
      <w:tblPr>
        <w:tblStyle w:val="42"/>
        <w:tblW w:w="9501"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
        <w:gridCol w:w="2268"/>
        <w:gridCol w:w="2268"/>
        <w:gridCol w:w="1207"/>
        <w:gridCol w:w="1207"/>
        <w:gridCol w:w="1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trPr>
        <w:tc>
          <w:tcPr>
            <w:tcW w:w="865" w:type="dxa"/>
            <w:noWrap w:val="0"/>
            <w:vAlign w:val="center"/>
          </w:tcPr>
          <w:p>
            <w:pPr>
              <w:tabs>
                <w:tab w:val="left" w:pos="4140"/>
              </w:tabs>
              <w:adjustRightInd w:val="0"/>
              <w:snapToGrid w:val="0"/>
              <w:spacing w:line="320" w:lineRule="atLeast"/>
              <w:jc w:val="center"/>
              <w:rPr>
                <w:rFonts w:ascii="宋体" w:hAnsi="宋体" w:cs="宋体"/>
                <w:b/>
                <w:caps/>
                <w:color w:val="auto"/>
                <w:sz w:val="21"/>
                <w:szCs w:val="21"/>
                <w:highlight w:val="none"/>
              </w:rPr>
            </w:pPr>
            <w:r>
              <w:rPr>
                <w:rFonts w:hint="eastAsia" w:ascii="宋体" w:hAnsi="宋体" w:cs="宋体"/>
                <w:b/>
                <w:caps/>
                <w:color w:val="auto"/>
                <w:sz w:val="21"/>
                <w:szCs w:val="21"/>
                <w:highlight w:val="none"/>
              </w:rPr>
              <w:t>序号</w:t>
            </w:r>
          </w:p>
        </w:tc>
        <w:tc>
          <w:tcPr>
            <w:tcW w:w="2268" w:type="dxa"/>
            <w:noWrap w:val="0"/>
            <w:vAlign w:val="center"/>
          </w:tcPr>
          <w:p>
            <w:pPr>
              <w:tabs>
                <w:tab w:val="left" w:pos="4140"/>
              </w:tabs>
              <w:adjustRightInd w:val="0"/>
              <w:snapToGrid w:val="0"/>
              <w:spacing w:line="320" w:lineRule="atLeast"/>
              <w:jc w:val="center"/>
              <w:rPr>
                <w:rFonts w:ascii="宋体" w:hAnsi="宋体" w:cs="宋体"/>
                <w:b/>
                <w:color w:val="auto"/>
                <w:sz w:val="21"/>
                <w:szCs w:val="21"/>
                <w:highlight w:val="none"/>
              </w:rPr>
            </w:pPr>
            <w:r>
              <w:rPr>
                <w:rFonts w:hint="eastAsia" w:ascii="宋体" w:hAnsi="宋体" w:cs="宋体"/>
                <w:b/>
                <w:color w:val="auto"/>
                <w:sz w:val="21"/>
                <w:szCs w:val="21"/>
                <w:highlight w:val="none"/>
              </w:rPr>
              <w:t>采购人</w:t>
            </w:r>
          </w:p>
        </w:tc>
        <w:tc>
          <w:tcPr>
            <w:tcW w:w="2268" w:type="dxa"/>
            <w:noWrap w:val="0"/>
            <w:vAlign w:val="center"/>
          </w:tcPr>
          <w:p>
            <w:pPr>
              <w:tabs>
                <w:tab w:val="left" w:pos="4140"/>
              </w:tabs>
              <w:adjustRightInd w:val="0"/>
              <w:snapToGrid w:val="0"/>
              <w:spacing w:line="320" w:lineRule="atLeast"/>
              <w:jc w:val="center"/>
              <w:rPr>
                <w:rFonts w:ascii="宋体" w:hAnsi="宋体" w:cs="宋体"/>
                <w:b/>
                <w:caps/>
                <w:color w:val="auto"/>
                <w:sz w:val="21"/>
                <w:szCs w:val="21"/>
                <w:highlight w:val="none"/>
              </w:rPr>
            </w:pPr>
            <w:r>
              <w:rPr>
                <w:rFonts w:hint="eastAsia" w:ascii="宋体" w:hAnsi="宋体" w:cs="宋体"/>
                <w:b/>
                <w:caps/>
                <w:color w:val="auto"/>
                <w:sz w:val="21"/>
                <w:szCs w:val="21"/>
                <w:highlight w:val="none"/>
              </w:rPr>
              <w:t>项目名称</w:t>
            </w:r>
          </w:p>
        </w:tc>
        <w:tc>
          <w:tcPr>
            <w:tcW w:w="1207" w:type="dxa"/>
            <w:noWrap w:val="0"/>
            <w:vAlign w:val="center"/>
          </w:tcPr>
          <w:p>
            <w:pPr>
              <w:tabs>
                <w:tab w:val="left" w:pos="4140"/>
              </w:tabs>
              <w:adjustRightInd w:val="0"/>
              <w:snapToGrid w:val="0"/>
              <w:spacing w:line="320" w:lineRule="atLeast"/>
              <w:jc w:val="center"/>
              <w:rPr>
                <w:rFonts w:ascii="宋体" w:hAnsi="宋体" w:cs="宋体"/>
                <w:b/>
                <w:caps/>
                <w:color w:val="auto"/>
                <w:sz w:val="21"/>
                <w:szCs w:val="21"/>
                <w:highlight w:val="none"/>
              </w:rPr>
            </w:pPr>
            <w:r>
              <w:rPr>
                <w:rFonts w:hint="eastAsia" w:ascii="宋体" w:hAnsi="宋体" w:cs="宋体"/>
                <w:b/>
                <w:caps/>
                <w:color w:val="auto"/>
                <w:sz w:val="21"/>
                <w:szCs w:val="21"/>
                <w:highlight w:val="none"/>
              </w:rPr>
              <w:t>合同金额</w:t>
            </w:r>
          </w:p>
        </w:tc>
        <w:tc>
          <w:tcPr>
            <w:tcW w:w="1207" w:type="dxa"/>
            <w:noWrap w:val="0"/>
            <w:vAlign w:val="center"/>
          </w:tcPr>
          <w:p>
            <w:pPr>
              <w:tabs>
                <w:tab w:val="left" w:pos="4140"/>
              </w:tabs>
              <w:adjustRightInd w:val="0"/>
              <w:snapToGrid w:val="0"/>
              <w:spacing w:line="320" w:lineRule="atLeast"/>
              <w:jc w:val="center"/>
              <w:rPr>
                <w:rFonts w:ascii="宋体" w:hAnsi="宋体" w:cs="宋体"/>
                <w:b/>
                <w:color w:val="auto"/>
                <w:sz w:val="21"/>
                <w:szCs w:val="21"/>
                <w:highlight w:val="none"/>
              </w:rPr>
            </w:pPr>
            <w:r>
              <w:rPr>
                <w:rFonts w:hint="eastAsia" w:ascii="宋体" w:hAnsi="宋体" w:cs="宋体"/>
                <w:b/>
                <w:color w:val="auto"/>
                <w:sz w:val="21"/>
                <w:szCs w:val="21"/>
                <w:highlight w:val="none"/>
              </w:rPr>
              <w:t>签约日期</w:t>
            </w:r>
          </w:p>
        </w:tc>
        <w:tc>
          <w:tcPr>
            <w:tcW w:w="1686" w:type="dxa"/>
            <w:noWrap w:val="0"/>
            <w:vAlign w:val="center"/>
          </w:tcPr>
          <w:p>
            <w:pPr>
              <w:tabs>
                <w:tab w:val="left" w:pos="4140"/>
              </w:tabs>
              <w:adjustRightInd w:val="0"/>
              <w:snapToGrid w:val="0"/>
              <w:spacing w:line="320" w:lineRule="atLeast"/>
              <w:jc w:val="center"/>
              <w:rPr>
                <w:rFonts w:ascii="宋体" w:hAnsi="宋体" w:cs="宋体"/>
                <w:b/>
                <w:color w:val="auto"/>
                <w:sz w:val="21"/>
                <w:szCs w:val="21"/>
                <w:highlight w:val="none"/>
              </w:rPr>
            </w:pPr>
            <w:r>
              <w:rPr>
                <w:rFonts w:hint="eastAsia" w:ascii="宋体" w:hAnsi="宋体" w:cs="宋体"/>
                <w:b/>
                <w:color w:val="auto"/>
                <w:sz w:val="21"/>
                <w:szCs w:val="21"/>
                <w:highlight w:val="none"/>
              </w:rPr>
              <w:t>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865" w:type="dxa"/>
            <w:noWrap w:val="0"/>
            <w:vAlign w:val="center"/>
          </w:tcPr>
          <w:p>
            <w:pPr>
              <w:tabs>
                <w:tab w:val="left" w:pos="4140"/>
              </w:tabs>
              <w:adjustRightInd w:val="0"/>
              <w:snapToGrid w:val="0"/>
              <w:spacing w:line="320" w:lineRule="atLeast"/>
              <w:jc w:val="center"/>
              <w:rPr>
                <w:rFonts w:ascii="宋体" w:hAnsi="宋体" w:cs="宋体"/>
                <w:color w:val="auto"/>
                <w:sz w:val="21"/>
                <w:szCs w:val="21"/>
                <w:highlight w:val="none"/>
              </w:rPr>
            </w:pPr>
          </w:p>
        </w:tc>
        <w:tc>
          <w:tcPr>
            <w:tcW w:w="2268" w:type="dxa"/>
            <w:noWrap w:val="0"/>
            <w:vAlign w:val="center"/>
          </w:tcPr>
          <w:p>
            <w:pPr>
              <w:tabs>
                <w:tab w:val="left" w:pos="4140"/>
              </w:tabs>
              <w:adjustRightInd w:val="0"/>
              <w:snapToGrid w:val="0"/>
              <w:spacing w:line="320" w:lineRule="atLeast"/>
              <w:jc w:val="center"/>
              <w:rPr>
                <w:rFonts w:ascii="宋体" w:hAnsi="宋体" w:cs="宋体"/>
                <w:color w:val="auto"/>
                <w:sz w:val="21"/>
                <w:szCs w:val="21"/>
                <w:highlight w:val="none"/>
              </w:rPr>
            </w:pPr>
          </w:p>
        </w:tc>
        <w:tc>
          <w:tcPr>
            <w:tcW w:w="2268" w:type="dxa"/>
            <w:noWrap w:val="0"/>
            <w:vAlign w:val="center"/>
          </w:tcPr>
          <w:p>
            <w:pPr>
              <w:tabs>
                <w:tab w:val="left" w:pos="4140"/>
              </w:tabs>
              <w:adjustRightInd w:val="0"/>
              <w:snapToGrid w:val="0"/>
              <w:spacing w:line="320" w:lineRule="atLeast"/>
              <w:jc w:val="center"/>
              <w:rPr>
                <w:rFonts w:ascii="宋体" w:hAnsi="宋体" w:cs="宋体"/>
                <w:color w:val="auto"/>
                <w:sz w:val="21"/>
                <w:szCs w:val="21"/>
                <w:highlight w:val="none"/>
              </w:rPr>
            </w:pPr>
          </w:p>
        </w:tc>
        <w:tc>
          <w:tcPr>
            <w:tcW w:w="1207" w:type="dxa"/>
            <w:noWrap w:val="0"/>
            <w:vAlign w:val="center"/>
          </w:tcPr>
          <w:p>
            <w:pPr>
              <w:tabs>
                <w:tab w:val="left" w:pos="4140"/>
              </w:tabs>
              <w:adjustRightInd w:val="0"/>
              <w:snapToGrid w:val="0"/>
              <w:spacing w:line="320" w:lineRule="atLeast"/>
              <w:jc w:val="center"/>
              <w:rPr>
                <w:rFonts w:ascii="宋体" w:hAnsi="宋体" w:cs="宋体"/>
                <w:color w:val="auto"/>
                <w:sz w:val="21"/>
                <w:szCs w:val="21"/>
                <w:highlight w:val="none"/>
              </w:rPr>
            </w:pPr>
          </w:p>
        </w:tc>
        <w:tc>
          <w:tcPr>
            <w:tcW w:w="1207" w:type="dxa"/>
            <w:noWrap w:val="0"/>
            <w:vAlign w:val="center"/>
          </w:tcPr>
          <w:p>
            <w:pPr>
              <w:tabs>
                <w:tab w:val="left" w:pos="4140"/>
              </w:tabs>
              <w:adjustRightInd w:val="0"/>
              <w:snapToGrid w:val="0"/>
              <w:spacing w:line="320" w:lineRule="atLeast"/>
              <w:jc w:val="center"/>
              <w:rPr>
                <w:rFonts w:ascii="宋体" w:hAnsi="宋体" w:cs="宋体"/>
                <w:color w:val="auto"/>
                <w:sz w:val="21"/>
                <w:szCs w:val="21"/>
                <w:highlight w:val="none"/>
              </w:rPr>
            </w:pPr>
          </w:p>
        </w:tc>
        <w:tc>
          <w:tcPr>
            <w:tcW w:w="1686" w:type="dxa"/>
            <w:noWrap w:val="0"/>
            <w:vAlign w:val="center"/>
          </w:tcPr>
          <w:p>
            <w:pPr>
              <w:tabs>
                <w:tab w:val="left" w:pos="4140"/>
              </w:tabs>
              <w:adjustRightInd w:val="0"/>
              <w:snapToGrid w:val="0"/>
              <w:spacing w:line="320" w:lineRule="atLeast"/>
              <w:jc w:val="center"/>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865" w:type="dxa"/>
            <w:noWrap w:val="0"/>
            <w:vAlign w:val="center"/>
          </w:tcPr>
          <w:p>
            <w:pPr>
              <w:tabs>
                <w:tab w:val="left" w:pos="4140"/>
              </w:tabs>
              <w:adjustRightInd w:val="0"/>
              <w:snapToGrid w:val="0"/>
              <w:spacing w:line="320" w:lineRule="atLeast"/>
              <w:jc w:val="center"/>
              <w:rPr>
                <w:rFonts w:ascii="宋体" w:hAnsi="宋体" w:cs="宋体"/>
                <w:color w:val="auto"/>
                <w:sz w:val="21"/>
                <w:szCs w:val="21"/>
                <w:highlight w:val="none"/>
              </w:rPr>
            </w:pPr>
          </w:p>
        </w:tc>
        <w:tc>
          <w:tcPr>
            <w:tcW w:w="2268" w:type="dxa"/>
            <w:noWrap w:val="0"/>
            <w:vAlign w:val="center"/>
          </w:tcPr>
          <w:p>
            <w:pPr>
              <w:tabs>
                <w:tab w:val="left" w:pos="4140"/>
              </w:tabs>
              <w:adjustRightInd w:val="0"/>
              <w:snapToGrid w:val="0"/>
              <w:spacing w:line="320" w:lineRule="atLeast"/>
              <w:jc w:val="center"/>
              <w:rPr>
                <w:rFonts w:ascii="宋体" w:hAnsi="宋体" w:cs="宋体"/>
                <w:color w:val="auto"/>
                <w:sz w:val="21"/>
                <w:szCs w:val="21"/>
                <w:highlight w:val="none"/>
              </w:rPr>
            </w:pPr>
          </w:p>
        </w:tc>
        <w:tc>
          <w:tcPr>
            <w:tcW w:w="2268" w:type="dxa"/>
            <w:noWrap w:val="0"/>
            <w:vAlign w:val="center"/>
          </w:tcPr>
          <w:p>
            <w:pPr>
              <w:tabs>
                <w:tab w:val="left" w:pos="4140"/>
              </w:tabs>
              <w:adjustRightInd w:val="0"/>
              <w:snapToGrid w:val="0"/>
              <w:spacing w:line="320" w:lineRule="atLeast"/>
              <w:jc w:val="center"/>
              <w:rPr>
                <w:rFonts w:ascii="宋体" w:hAnsi="宋体" w:cs="宋体"/>
                <w:color w:val="auto"/>
                <w:sz w:val="21"/>
                <w:szCs w:val="21"/>
                <w:highlight w:val="none"/>
              </w:rPr>
            </w:pPr>
          </w:p>
        </w:tc>
        <w:tc>
          <w:tcPr>
            <w:tcW w:w="1207" w:type="dxa"/>
            <w:noWrap w:val="0"/>
            <w:vAlign w:val="center"/>
          </w:tcPr>
          <w:p>
            <w:pPr>
              <w:tabs>
                <w:tab w:val="left" w:pos="4140"/>
              </w:tabs>
              <w:adjustRightInd w:val="0"/>
              <w:snapToGrid w:val="0"/>
              <w:spacing w:line="320" w:lineRule="atLeast"/>
              <w:jc w:val="center"/>
              <w:rPr>
                <w:rFonts w:ascii="宋体" w:hAnsi="宋体" w:cs="宋体"/>
                <w:color w:val="auto"/>
                <w:sz w:val="21"/>
                <w:szCs w:val="21"/>
                <w:highlight w:val="none"/>
              </w:rPr>
            </w:pPr>
          </w:p>
        </w:tc>
        <w:tc>
          <w:tcPr>
            <w:tcW w:w="1207" w:type="dxa"/>
            <w:noWrap w:val="0"/>
            <w:vAlign w:val="center"/>
          </w:tcPr>
          <w:p>
            <w:pPr>
              <w:tabs>
                <w:tab w:val="left" w:pos="4140"/>
              </w:tabs>
              <w:adjustRightInd w:val="0"/>
              <w:snapToGrid w:val="0"/>
              <w:spacing w:line="320" w:lineRule="atLeast"/>
              <w:jc w:val="center"/>
              <w:rPr>
                <w:rFonts w:ascii="宋体" w:hAnsi="宋体" w:cs="宋体"/>
                <w:color w:val="auto"/>
                <w:sz w:val="21"/>
                <w:szCs w:val="21"/>
                <w:highlight w:val="none"/>
              </w:rPr>
            </w:pPr>
          </w:p>
        </w:tc>
        <w:tc>
          <w:tcPr>
            <w:tcW w:w="1686" w:type="dxa"/>
            <w:noWrap w:val="0"/>
            <w:vAlign w:val="center"/>
          </w:tcPr>
          <w:p>
            <w:pPr>
              <w:tabs>
                <w:tab w:val="left" w:pos="4140"/>
              </w:tabs>
              <w:adjustRightInd w:val="0"/>
              <w:snapToGrid w:val="0"/>
              <w:spacing w:line="320" w:lineRule="atLeast"/>
              <w:jc w:val="center"/>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865" w:type="dxa"/>
            <w:noWrap w:val="0"/>
            <w:vAlign w:val="center"/>
          </w:tcPr>
          <w:p>
            <w:pPr>
              <w:tabs>
                <w:tab w:val="left" w:pos="4140"/>
              </w:tabs>
              <w:adjustRightInd w:val="0"/>
              <w:snapToGrid w:val="0"/>
              <w:spacing w:line="320" w:lineRule="atLeast"/>
              <w:jc w:val="center"/>
              <w:rPr>
                <w:rFonts w:ascii="宋体" w:hAnsi="宋体" w:cs="宋体"/>
                <w:color w:val="auto"/>
                <w:sz w:val="21"/>
                <w:szCs w:val="21"/>
                <w:highlight w:val="none"/>
              </w:rPr>
            </w:pPr>
          </w:p>
        </w:tc>
        <w:tc>
          <w:tcPr>
            <w:tcW w:w="2268" w:type="dxa"/>
            <w:noWrap w:val="0"/>
            <w:vAlign w:val="center"/>
          </w:tcPr>
          <w:p>
            <w:pPr>
              <w:tabs>
                <w:tab w:val="left" w:pos="4140"/>
              </w:tabs>
              <w:adjustRightInd w:val="0"/>
              <w:snapToGrid w:val="0"/>
              <w:spacing w:line="320" w:lineRule="atLeast"/>
              <w:jc w:val="center"/>
              <w:rPr>
                <w:rFonts w:ascii="宋体" w:hAnsi="宋体" w:cs="宋体"/>
                <w:color w:val="auto"/>
                <w:sz w:val="21"/>
                <w:szCs w:val="21"/>
                <w:highlight w:val="none"/>
              </w:rPr>
            </w:pPr>
          </w:p>
        </w:tc>
        <w:tc>
          <w:tcPr>
            <w:tcW w:w="2268" w:type="dxa"/>
            <w:noWrap w:val="0"/>
            <w:vAlign w:val="center"/>
          </w:tcPr>
          <w:p>
            <w:pPr>
              <w:tabs>
                <w:tab w:val="left" w:pos="4140"/>
              </w:tabs>
              <w:adjustRightInd w:val="0"/>
              <w:snapToGrid w:val="0"/>
              <w:spacing w:line="320" w:lineRule="atLeast"/>
              <w:jc w:val="center"/>
              <w:rPr>
                <w:rFonts w:ascii="宋体" w:hAnsi="宋体" w:cs="宋体"/>
                <w:color w:val="auto"/>
                <w:sz w:val="21"/>
                <w:szCs w:val="21"/>
                <w:highlight w:val="none"/>
              </w:rPr>
            </w:pPr>
          </w:p>
        </w:tc>
        <w:tc>
          <w:tcPr>
            <w:tcW w:w="1207" w:type="dxa"/>
            <w:noWrap w:val="0"/>
            <w:vAlign w:val="center"/>
          </w:tcPr>
          <w:p>
            <w:pPr>
              <w:tabs>
                <w:tab w:val="left" w:pos="4140"/>
              </w:tabs>
              <w:adjustRightInd w:val="0"/>
              <w:snapToGrid w:val="0"/>
              <w:spacing w:line="320" w:lineRule="atLeast"/>
              <w:jc w:val="center"/>
              <w:rPr>
                <w:rFonts w:ascii="宋体" w:hAnsi="宋体" w:cs="宋体"/>
                <w:color w:val="auto"/>
                <w:sz w:val="21"/>
                <w:szCs w:val="21"/>
                <w:highlight w:val="none"/>
              </w:rPr>
            </w:pPr>
          </w:p>
        </w:tc>
        <w:tc>
          <w:tcPr>
            <w:tcW w:w="1207" w:type="dxa"/>
            <w:noWrap w:val="0"/>
            <w:vAlign w:val="center"/>
          </w:tcPr>
          <w:p>
            <w:pPr>
              <w:tabs>
                <w:tab w:val="left" w:pos="4140"/>
              </w:tabs>
              <w:adjustRightInd w:val="0"/>
              <w:snapToGrid w:val="0"/>
              <w:spacing w:line="320" w:lineRule="atLeast"/>
              <w:jc w:val="center"/>
              <w:rPr>
                <w:rFonts w:ascii="宋体" w:hAnsi="宋体" w:cs="宋体"/>
                <w:color w:val="auto"/>
                <w:sz w:val="21"/>
                <w:szCs w:val="21"/>
                <w:highlight w:val="none"/>
              </w:rPr>
            </w:pPr>
          </w:p>
        </w:tc>
        <w:tc>
          <w:tcPr>
            <w:tcW w:w="1686" w:type="dxa"/>
            <w:noWrap w:val="0"/>
            <w:vAlign w:val="center"/>
          </w:tcPr>
          <w:p>
            <w:pPr>
              <w:tabs>
                <w:tab w:val="left" w:pos="4140"/>
              </w:tabs>
              <w:adjustRightInd w:val="0"/>
              <w:snapToGrid w:val="0"/>
              <w:spacing w:line="320" w:lineRule="atLeast"/>
              <w:jc w:val="center"/>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865" w:type="dxa"/>
            <w:noWrap w:val="0"/>
            <w:vAlign w:val="center"/>
          </w:tcPr>
          <w:p>
            <w:pPr>
              <w:tabs>
                <w:tab w:val="left" w:pos="4140"/>
              </w:tabs>
              <w:adjustRightInd w:val="0"/>
              <w:snapToGrid w:val="0"/>
              <w:spacing w:line="320" w:lineRule="atLeast"/>
              <w:jc w:val="center"/>
              <w:rPr>
                <w:rFonts w:ascii="宋体" w:hAnsi="宋体" w:cs="宋体"/>
                <w:color w:val="auto"/>
                <w:sz w:val="21"/>
                <w:szCs w:val="21"/>
                <w:highlight w:val="none"/>
              </w:rPr>
            </w:pPr>
          </w:p>
        </w:tc>
        <w:tc>
          <w:tcPr>
            <w:tcW w:w="2268" w:type="dxa"/>
            <w:noWrap w:val="0"/>
            <w:vAlign w:val="center"/>
          </w:tcPr>
          <w:p>
            <w:pPr>
              <w:tabs>
                <w:tab w:val="left" w:pos="4140"/>
              </w:tabs>
              <w:adjustRightInd w:val="0"/>
              <w:snapToGrid w:val="0"/>
              <w:spacing w:line="320" w:lineRule="atLeast"/>
              <w:jc w:val="center"/>
              <w:rPr>
                <w:rFonts w:ascii="宋体" w:hAnsi="宋体" w:cs="宋体"/>
                <w:color w:val="auto"/>
                <w:sz w:val="21"/>
                <w:szCs w:val="21"/>
                <w:highlight w:val="none"/>
              </w:rPr>
            </w:pPr>
          </w:p>
        </w:tc>
        <w:tc>
          <w:tcPr>
            <w:tcW w:w="2268" w:type="dxa"/>
            <w:noWrap w:val="0"/>
            <w:vAlign w:val="center"/>
          </w:tcPr>
          <w:p>
            <w:pPr>
              <w:tabs>
                <w:tab w:val="left" w:pos="4140"/>
              </w:tabs>
              <w:adjustRightInd w:val="0"/>
              <w:snapToGrid w:val="0"/>
              <w:spacing w:line="320" w:lineRule="atLeast"/>
              <w:jc w:val="center"/>
              <w:rPr>
                <w:rFonts w:ascii="宋体" w:hAnsi="宋体" w:cs="宋体"/>
                <w:color w:val="auto"/>
                <w:sz w:val="21"/>
                <w:szCs w:val="21"/>
                <w:highlight w:val="none"/>
              </w:rPr>
            </w:pPr>
          </w:p>
        </w:tc>
        <w:tc>
          <w:tcPr>
            <w:tcW w:w="1207" w:type="dxa"/>
            <w:noWrap w:val="0"/>
            <w:vAlign w:val="center"/>
          </w:tcPr>
          <w:p>
            <w:pPr>
              <w:tabs>
                <w:tab w:val="left" w:pos="4140"/>
              </w:tabs>
              <w:adjustRightInd w:val="0"/>
              <w:snapToGrid w:val="0"/>
              <w:spacing w:line="320" w:lineRule="atLeast"/>
              <w:jc w:val="center"/>
              <w:rPr>
                <w:rFonts w:ascii="宋体" w:hAnsi="宋体" w:cs="宋体"/>
                <w:color w:val="auto"/>
                <w:sz w:val="21"/>
                <w:szCs w:val="21"/>
                <w:highlight w:val="none"/>
              </w:rPr>
            </w:pPr>
          </w:p>
        </w:tc>
        <w:tc>
          <w:tcPr>
            <w:tcW w:w="1207" w:type="dxa"/>
            <w:noWrap w:val="0"/>
            <w:vAlign w:val="center"/>
          </w:tcPr>
          <w:p>
            <w:pPr>
              <w:tabs>
                <w:tab w:val="left" w:pos="4140"/>
              </w:tabs>
              <w:adjustRightInd w:val="0"/>
              <w:snapToGrid w:val="0"/>
              <w:spacing w:line="320" w:lineRule="atLeast"/>
              <w:jc w:val="center"/>
              <w:rPr>
                <w:rFonts w:ascii="宋体" w:hAnsi="宋体" w:cs="宋体"/>
                <w:color w:val="auto"/>
                <w:sz w:val="21"/>
                <w:szCs w:val="21"/>
                <w:highlight w:val="none"/>
              </w:rPr>
            </w:pPr>
          </w:p>
        </w:tc>
        <w:tc>
          <w:tcPr>
            <w:tcW w:w="1686" w:type="dxa"/>
            <w:noWrap w:val="0"/>
            <w:vAlign w:val="center"/>
          </w:tcPr>
          <w:p>
            <w:pPr>
              <w:tabs>
                <w:tab w:val="left" w:pos="4140"/>
              </w:tabs>
              <w:adjustRightInd w:val="0"/>
              <w:snapToGrid w:val="0"/>
              <w:spacing w:line="320" w:lineRule="atLeast"/>
              <w:jc w:val="center"/>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865" w:type="dxa"/>
            <w:noWrap w:val="0"/>
            <w:vAlign w:val="center"/>
          </w:tcPr>
          <w:p>
            <w:pPr>
              <w:tabs>
                <w:tab w:val="left" w:pos="4140"/>
              </w:tabs>
              <w:adjustRightInd w:val="0"/>
              <w:snapToGrid w:val="0"/>
              <w:spacing w:line="320" w:lineRule="atLeast"/>
              <w:jc w:val="center"/>
              <w:rPr>
                <w:rFonts w:ascii="宋体" w:hAnsi="宋体" w:cs="宋体"/>
                <w:color w:val="auto"/>
                <w:sz w:val="21"/>
                <w:szCs w:val="21"/>
                <w:highlight w:val="none"/>
              </w:rPr>
            </w:pPr>
          </w:p>
        </w:tc>
        <w:tc>
          <w:tcPr>
            <w:tcW w:w="2268" w:type="dxa"/>
            <w:noWrap w:val="0"/>
            <w:vAlign w:val="center"/>
          </w:tcPr>
          <w:p>
            <w:pPr>
              <w:tabs>
                <w:tab w:val="left" w:pos="4140"/>
              </w:tabs>
              <w:adjustRightInd w:val="0"/>
              <w:snapToGrid w:val="0"/>
              <w:spacing w:line="320" w:lineRule="atLeast"/>
              <w:jc w:val="center"/>
              <w:rPr>
                <w:rFonts w:ascii="宋体" w:hAnsi="宋体" w:cs="宋体"/>
                <w:color w:val="auto"/>
                <w:sz w:val="21"/>
                <w:szCs w:val="21"/>
                <w:highlight w:val="none"/>
              </w:rPr>
            </w:pPr>
          </w:p>
        </w:tc>
        <w:tc>
          <w:tcPr>
            <w:tcW w:w="2268" w:type="dxa"/>
            <w:noWrap w:val="0"/>
            <w:vAlign w:val="center"/>
          </w:tcPr>
          <w:p>
            <w:pPr>
              <w:tabs>
                <w:tab w:val="left" w:pos="4140"/>
              </w:tabs>
              <w:adjustRightInd w:val="0"/>
              <w:snapToGrid w:val="0"/>
              <w:spacing w:line="320" w:lineRule="atLeast"/>
              <w:jc w:val="center"/>
              <w:rPr>
                <w:rFonts w:ascii="宋体" w:hAnsi="宋体" w:cs="宋体"/>
                <w:color w:val="auto"/>
                <w:sz w:val="21"/>
                <w:szCs w:val="21"/>
                <w:highlight w:val="none"/>
              </w:rPr>
            </w:pPr>
          </w:p>
        </w:tc>
        <w:tc>
          <w:tcPr>
            <w:tcW w:w="1207" w:type="dxa"/>
            <w:noWrap w:val="0"/>
            <w:vAlign w:val="center"/>
          </w:tcPr>
          <w:p>
            <w:pPr>
              <w:tabs>
                <w:tab w:val="left" w:pos="4140"/>
              </w:tabs>
              <w:adjustRightInd w:val="0"/>
              <w:snapToGrid w:val="0"/>
              <w:spacing w:line="320" w:lineRule="atLeast"/>
              <w:jc w:val="center"/>
              <w:rPr>
                <w:rFonts w:ascii="宋体" w:hAnsi="宋体" w:cs="宋体"/>
                <w:color w:val="auto"/>
                <w:sz w:val="21"/>
                <w:szCs w:val="21"/>
                <w:highlight w:val="none"/>
              </w:rPr>
            </w:pPr>
          </w:p>
        </w:tc>
        <w:tc>
          <w:tcPr>
            <w:tcW w:w="1207" w:type="dxa"/>
            <w:noWrap w:val="0"/>
            <w:vAlign w:val="center"/>
          </w:tcPr>
          <w:p>
            <w:pPr>
              <w:tabs>
                <w:tab w:val="left" w:pos="4140"/>
              </w:tabs>
              <w:adjustRightInd w:val="0"/>
              <w:snapToGrid w:val="0"/>
              <w:spacing w:line="320" w:lineRule="atLeast"/>
              <w:jc w:val="center"/>
              <w:rPr>
                <w:rFonts w:ascii="宋体" w:hAnsi="宋体" w:cs="宋体"/>
                <w:color w:val="auto"/>
                <w:sz w:val="21"/>
                <w:szCs w:val="21"/>
                <w:highlight w:val="none"/>
              </w:rPr>
            </w:pPr>
          </w:p>
        </w:tc>
        <w:tc>
          <w:tcPr>
            <w:tcW w:w="1686" w:type="dxa"/>
            <w:noWrap w:val="0"/>
            <w:vAlign w:val="center"/>
          </w:tcPr>
          <w:p>
            <w:pPr>
              <w:tabs>
                <w:tab w:val="left" w:pos="4140"/>
              </w:tabs>
              <w:adjustRightInd w:val="0"/>
              <w:snapToGrid w:val="0"/>
              <w:spacing w:line="320" w:lineRule="atLeast"/>
              <w:jc w:val="center"/>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865" w:type="dxa"/>
            <w:noWrap w:val="0"/>
            <w:vAlign w:val="center"/>
          </w:tcPr>
          <w:p>
            <w:pPr>
              <w:tabs>
                <w:tab w:val="left" w:pos="4140"/>
              </w:tabs>
              <w:adjustRightInd w:val="0"/>
              <w:snapToGrid w:val="0"/>
              <w:spacing w:line="320" w:lineRule="atLeast"/>
              <w:jc w:val="center"/>
              <w:rPr>
                <w:rFonts w:ascii="宋体" w:hAnsi="宋体" w:cs="宋体"/>
                <w:color w:val="auto"/>
                <w:sz w:val="21"/>
                <w:szCs w:val="21"/>
                <w:highlight w:val="none"/>
              </w:rPr>
            </w:pPr>
          </w:p>
        </w:tc>
        <w:tc>
          <w:tcPr>
            <w:tcW w:w="2268" w:type="dxa"/>
            <w:noWrap w:val="0"/>
            <w:vAlign w:val="center"/>
          </w:tcPr>
          <w:p>
            <w:pPr>
              <w:tabs>
                <w:tab w:val="left" w:pos="4140"/>
              </w:tabs>
              <w:adjustRightInd w:val="0"/>
              <w:snapToGrid w:val="0"/>
              <w:spacing w:line="320" w:lineRule="atLeast"/>
              <w:jc w:val="center"/>
              <w:rPr>
                <w:rFonts w:ascii="宋体" w:hAnsi="宋体" w:cs="宋体"/>
                <w:color w:val="auto"/>
                <w:sz w:val="21"/>
                <w:szCs w:val="21"/>
                <w:highlight w:val="none"/>
              </w:rPr>
            </w:pPr>
          </w:p>
        </w:tc>
        <w:tc>
          <w:tcPr>
            <w:tcW w:w="2268" w:type="dxa"/>
            <w:noWrap w:val="0"/>
            <w:vAlign w:val="center"/>
          </w:tcPr>
          <w:p>
            <w:pPr>
              <w:tabs>
                <w:tab w:val="left" w:pos="4140"/>
              </w:tabs>
              <w:adjustRightInd w:val="0"/>
              <w:snapToGrid w:val="0"/>
              <w:spacing w:line="320" w:lineRule="atLeast"/>
              <w:jc w:val="center"/>
              <w:rPr>
                <w:rFonts w:ascii="宋体" w:hAnsi="宋体" w:cs="宋体"/>
                <w:color w:val="auto"/>
                <w:sz w:val="21"/>
                <w:szCs w:val="21"/>
                <w:highlight w:val="none"/>
              </w:rPr>
            </w:pPr>
          </w:p>
        </w:tc>
        <w:tc>
          <w:tcPr>
            <w:tcW w:w="1207" w:type="dxa"/>
            <w:noWrap w:val="0"/>
            <w:vAlign w:val="center"/>
          </w:tcPr>
          <w:p>
            <w:pPr>
              <w:tabs>
                <w:tab w:val="left" w:pos="4140"/>
              </w:tabs>
              <w:adjustRightInd w:val="0"/>
              <w:snapToGrid w:val="0"/>
              <w:spacing w:line="320" w:lineRule="atLeast"/>
              <w:jc w:val="center"/>
              <w:rPr>
                <w:rFonts w:ascii="宋体" w:hAnsi="宋体" w:cs="宋体"/>
                <w:color w:val="auto"/>
                <w:sz w:val="21"/>
                <w:szCs w:val="21"/>
                <w:highlight w:val="none"/>
              </w:rPr>
            </w:pPr>
          </w:p>
        </w:tc>
        <w:tc>
          <w:tcPr>
            <w:tcW w:w="1207" w:type="dxa"/>
            <w:noWrap w:val="0"/>
            <w:vAlign w:val="center"/>
          </w:tcPr>
          <w:p>
            <w:pPr>
              <w:tabs>
                <w:tab w:val="left" w:pos="4140"/>
              </w:tabs>
              <w:adjustRightInd w:val="0"/>
              <w:snapToGrid w:val="0"/>
              <w:spacing w:line="320" w:lineRule="atLeast"/>
              <w:jc w:val="center"/>
              <w:rPr>
                <w:rFonts w:ascii="宋体" w:hAnsi="宋体" w:cs="宋体"/>
                <w:color w:val="auto"/>
                <w:sz w:val="21"/>
                <w:szCs w:val="21"/>
                <w:highlight w:val="none"/>
              </w:rPr>
            </w:pPr>
          </w:p>
        </w:tc>
        <w:tc>
          <w:tcPr>
            <w:tcW w:w="1686" w:type="dxa"/>
            <w:noWrap w:val="0"/>
            <w:vAlign w:val="center"/>
          </w:tcPr>
          <w:p>
            <w:pPr>
              <w:tabs>
                <w:tab w:val="left" w:pos="4140"/>
              </w:tabs>
              <w:adjustRightInd w:val="0"/>
              <w:snapToGrid w:val="0"/>
              <w:spacing w:line="320" w:lineRule="atLeast"/>
              <w:jc w:val="center"/>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865" w:type="dxa"/>
            <w:noWrap w:val="0"/>
            <w:vAlign w:val="center"/>
          </w:tcPr>
          <w:p>
            <w:pPr>
              <w:tabs>
                <w:tab w:val="left" w:pos="4140"/>
              </w:tabs>
              <w:adjustRightInd w:val="0"/>
              <w:snapToGrid w:val="0"/>
              <w:spacing w:line="320" w:lineRule="atLeast"/>
              <w:jc w:val="center"/>
              <w:rPr>
                <w:rFonts w:ascii="宋体" w:hAnsi="宋体" w:cs="宋体"/>
                <w:color w:val="auto"/>
                <w:sz w:val="21"/>
                <w:szCs w:val="21"/>
                <w:highlight w:val="none"/>
              </w:rPr>
            </w:pPr>
          </w:p>
        </w:tc>
        <w:tc>
          <w:tcPr>
            <w:tcW w:w="2268" w:type="dxa"/>
            <w:noWrap w:val="0"/>
            <w:vAlign w:val="center"/>
          </w:tcPr>
          <w:p>
            <w:pPr>
              <w:tabs>
                <w:tab w:val="left" w:pos="4140"/>
              </w:tabs>
              <w:adjustRightInd w:val="0"/>
              <w:snapToGrid w:val="0"/>
              <w:spacing w:line="320" w:lineRule="atLeast"/>
              <w:jc w:val="center"/>
              <w:rPr>
                <w:rFonts w:ascii="宋体" w:hAnsi="宋体" w:cs="宋体"/>
                <w:color w:val="auto"/>
                <w:sz w:val="21"/>
                <w:szCs w:val="21"/>
                <w:highlight w:val="none"/>
              </w:rPr>
            </w:pPr>
          </w:p>
        </w:tc>
        <w:tc>
          <w:tcPr>
            <w:tcW w:w="2268" w:type="dxa"/>
            <w:noWrap w:val="0"/>
            <w:vAlign w:val="center"/>
          </w:tcPr>
          <w:p>
            <w:pPr>
              <w:tabs>
                <w:tab w:val="left" w:pos="4140"/>
              </w:tabs>
              <w:adjustRightInd w:val="0"/>
              <w:snapToGrid w:val="0"/>
              <w:spacing w:line="320" w:lineRule="atLeast"/>
              <w:jc w:val="center"/>
              <w:rPr>
                <w:rFonts w:ascii="宋体" w:hAnsi="宋体" w:cs="宋体"/>
                <w:color w:val="auto"/>
                <w:sz w:val="21"/>
                <w:szCs w:val="21"/>
                <w:highlight w:val="none"/>
              </w:rPr>
            </w:pPr>
          </w:p>
        </w:tc>
        <w:tc>
          <w:tcPr>
            <w:tcW w:w="1207" w:type="dxa"/>
            <w:noWrap w:val="0"/>
            <w:vAlign w:val="center"/>
          </w:tcPr>
          <w:p>
            <w:pPr>
              <w:tabs>
                <w:tab w:val="left" w:pos="4140"/>
              </w:tabs>
              <w:adjustRightInd w:val="0"/>
              <w:snapToGrid w:val="0"/>
              <w:spacing w:line="320" w:lineRule="atLeast"/>
              <w:jc w:val="center"/>
              <w:rPr>
                <w:rFonts w:ascii="宋体" w:hAnsi="宋体" w:cs="宋体"/>
                <w:color w:val="auto"/>
                <w:sz w:val="21"/>
                <w:szCs w:val="21"/>
                <w:highlight w:val="none"/>
              </w:rPr>
            </w:pPr>
          </w:p>
        </w:tc>
        <w:tc>
          <w:tcPr>
            <w:tcW w:w="1207" w:type="dxa"/>
            <w:noWrap w:val="0"/>
            <w:vAlign w:val="center"/>
          </w:tcPr>
          <w:p>
            <w:pPr>
              <w:tabs>
                <w:tab w:val="left" w:pos="4140"/>
              </w:tabs>
              <w:adjustRightInd w:val="0"/>
              <w:snapToGrid w:val="0"/>
              <w:spacing w:line="320" w:lineRule="atLeast"/>
              <w:jc w:val="center"/>
              <w:rPr>
                <w:rFonts w:ascii="宋体" w:hAnsi="宋体" w:cs="宋体"/>
                <w:color w:val="auto"/>
                <w:sz w:val="21"/>
                <w:szCs w:val="21"/>
                <w:highlight w:val="none"/>
              </w:rPr>
            </w:pPr>
          </w:p>
        </w:tc>
        <w:tc>
          <w:tcPr>
            <w:tcW w:w="1686" w:type="dxa"/>
            <w:noWrap w:val="0"/>
            <w:vAlign w:val="center"/>
          </w:tcPr>
          <w:p>
            <w:pPr>
              <w:tabs>
                <w:tab w:val="left" w:pos="4140"/>
              </w:tabs>
              <w:adjustRightInd w:val="0"/>
              <w:snapToGrid w:val="0"/>
              <w:spacing w:line="320" w:lineRule="atLeast"/>
              <w:jc w:val="center"/>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865" w:type="dxa"/>
            <w:noWrap w:val="0"/>
            <w:vAlign w:val="center"/>
          </w:tcPr>
          <w:p>
            <w:pPr>
              <w:tabs>
                <w:tab w:val="left" w:pos="4140"/>
              </w:tabs>
              <w:adjustRightInd w:val="0"/>
              <w:snapToGrid w:val="0"/>
              <w:spacing w:line="320" w:lineRule="atLeast"/>
              <w:jc w:val="center"/>
              <w:rPr>
                <w:rFonts w:ascii="宋体" w:hAnsi="宋体" w:cs="宋体"/>
                <w:color w:val="auto"/>
                <w:sz w:val="21"/>
                <w:szCs w:val="21"/>
                <w:highlight w:val="none"/>
              </w:rPr>
            </w:pPr>
          </w:p>
        </w:tc>
        <w:tc>
          <w:tcPr>
            <w:tcW w:w="2268" w:type="dxa"/>
            <w:noWrap w:val="0"/>
            <w:vAlign w:val="center"/>
          </w:tcPr>
          <w:p>
            <w:pPr>
              <w:tabs>
                <w:tab w:val="left" w:pos="4140"/>
              </w:tabs>
              <w:adjustRightInd w:val="0"/>
              <w:snapToGrid w:val="0"/>
              <w:spacing w:line="320" w:lineRule="atLeast"/>
              <w:jc w:val="center"/>
              <w:rPr>
                <w:rFonts w:ascii="宋体" w:hAnsi="宋体" w:cs="宋体"/>
                <w:color w:val="auto"/>
                <w:sz w:val="21"/>
                <w:szCs w:val="21"/>
                <w:highlight w:val="none"/>
              </w:rPr>
            </w:pPr>
          </w:p>
        </w:tc>
        <w:tc>
          <w:tcPr>
            <w:tcW w:w="2268" w:type="dxa"/>
            <w:noWrap w:val="0"/>
            <w:vAlign w:val="center"/>
          </w:tcPr>
          <w:p>
            <w:pPr>
              <w:tabs>
                <w:tab w:val="left" w:pos="4140"/>
              </w:tabs>
              <w:adjustRightInd w:val="0"/>
              <w:snapToGrid w:val="0"/>
              <w:spacing w:line="320" w:lineRule="atLeast"/>
              <w:jc w:val="center"/>
              <w:rPr>
                <w:rFonts w:ascii="宋体" w:hAnsi="宋体" w:cs="宋体"/>
                <w:color w:val="auto"/>
                <w:sz w:val="21"/>
                <w:szCs w:val="21"/>
                <w:highlight w:val="none"/>
              </w:rPr>
            </w:pPr>
          </w:p>
        </w:tc>
        <w:tc>
          <w:tcPr>
            <w:tcW w:w="1207" w:type="dxa"/>
            <w:noWrap w:val="0"/>
            <w:vAlign w:val="center"/>
          </w:tcPr>
          <w:p>
            <w:pPr>
              <w:tabs>
                <w:tab w:val="left" w:pos="4140"/>
              </w:tabs>
              <w:adjustRightInd w:val="0"/>
              <w:snapToGrid w:val="0"/>
              <w:spacing w:line="320" w:lineRule="atLeast"/>
              <w:jc w:val="center"/>
              <w:rPr>
                <w:rFonts w:ascii="宋体" w:hAnsi="宋体" w:cs="宋体"/>
                <w:color w:val="auto"/>
                <w:sz w:val="21"/>
                <w:szCs w:val="21"/>
                <w:highlight w:val="none"/>
              </w:rPr>
            </w:pPr>
          </w:p>
        </w:tc>
        <w:tc>
          <w:tcPr>
            <w:tcW w:w="1207" w:type="dxa"/>
            <w:noWrap w:val="0"/>
            <w:vAlign w:val="center"/>
          </w:tcPr>
          <w:p>
            <w:pPr>
              <w:tabs>
                <w:tab w:val="left" w:pos="4140"/>
              </w:tabs>
              <w:adjustRightInd w:val="0"/>
              <w:snapToGrid w:val="0"/>
              <w:spacing w:line="320" w:lineRule="atLeast"/>
              <w:jc w:val="center"/>
              <w:rPr>
                <w:rFonts w:ascii="宋体" w:hAnsi="宋体" w:cs="宋体"/>
                <w:color w:val="auto"/>
                <w:sz w:val="21"/>
                <w:szCs w:val="21"/>
                <w:highlight w:val="none"/>
              </w:rPr>
            </w:pPr>
          </w:p>
        </w:tc>
        <w:tc>
          <w:tcPr>
            <w:tcW w:w="1686" w:type="dxa"/>
            <w:noWrap w:val="0"/>
            <w:vAlign w:val="center"/>
          </w:tcPr>
          <w:p>
            <w:pPr>
              <w:tabs>
                <w:tab w:val="left" w:pos="4140"/>
              </w:tabs>
              <w:adjustRightInd w:val="0"/>
              <w:snapToGrid w:val="0"/>
              <w:spacing w:line="320" w:lineRule="atLeast"/>
              <w:jc w:val="center"/>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865" w:type="dxa"/>
            <w:noWrap w:val="0"/>
            <w:vAlign w:val="center"/>
          </w:tcPr>
          <w:p>
            <w:pPr>
              <w:tabs>
                <w:tab w:val="left" w:pos="4140"/>
              </w:tabs>
              <w:adjustRightInd w:val="0"/>
              <w:snapToGrid w:val="0"/>
              <w:spacing w:line="320" w:lineRule="atLeast"/>
              <w:jc w:val="center"/>
              <w:rPr>
                <w:rFonts w:ascii="宋体" w:hAnsi="宋体" w:cs="宋体"/>
                <w:color w:val="auto"/>
                <w:sz w:val="21"/>
                <w:szCs w:val="21"/>
                <w:highlight w:val="none"/>
              </w:rPr>
            </w:pPr>
          </w:p>
        </w:tc>
        <w:tc>
          <w:tcPr>
            <w:tcW w:w="2268" w:type="dxa"/>
            <w:noWrap w:val="0"/>
            <w:vAlign w:val="center"/>
          </w:tcPr>
          <w:p>
            <w:pPr>
              <w:tabs>
                <w:tab w:val="left" w:pos="4140"/>
              </w:tabs>
              <w:adjustRightInd w:val="0"/>
              <w:snapToGrid w:val="0"/>
              <w:spacing w:line="320" w:lineRule="atLeast"/>
              <w:jc w:val="center"/>
              <w:rPr>
                <w:rFonts w:ascii="宋体" w:hAnsi="宋体" w:cs="宋体"/>
                <w:color w:val="auto"/>
                <w:sz w:val="21"/>
                <w:szCs w:val="21"/>
                <w:highlight w:val="none"/>
              </w:rPr>
            </w:pPr>
          </w:p>
        </w:tc>
        <w:tc>
          <w:tcPr>
            <w:tcW w:w="2268" w:type="dxa"/>
            <w:noWrap w:val="0"/>
            <w:vAlign w:val="center"/>
          </w:tcPr>
          <w:p>
            <w:pPr>
              <w:tabs>
                <w:tab w:val="left" w:pos="4140"/>
              </w:tabs>
              <w:adjustRightInd w:val="0"/>
              <w:snapToGrid w:val="0"/>
              <w:spacing w:line="320" w:lineRule="atLeast"/>
              <w:jc w:val="center"/>
              <w:rPr>
                <w:rFonts w:ascii="宋体" w:hAnsi="宋体" w:cs="宋体"/>
                <w:color w:val="auto"/>
                <w:sz w:val="21"/>
                <w:szCs w:val="21"/>
                <w:highlight w:val="none"/>
              </w:rPr>
            </w:pPr>
          </w:p>
        </w:tc>
        <w:tc>
          <w:tcPr>
            <w:tcW w:w="1207" w:type="dxa"/>
            <w:noWrap w:val="0"/>
            <w:vAlign w:val="center"/>
          </w:tcPr>
          <w:p>
            <w:pPr>
              <w:tabs>
                <w:tab w:val="left" w:pos="4140"/>
              </w:tabs>
              <w:adjustRightInd w:val="0"/>
              <w:snapToGrid w:val="0"/>
              <w:spacing w:line="320" w:lineRule="atLeast"/>
              <w:jc w:val="center"/>
              <w:rPr>
                <w:rFonts w:ascii="宋体" w:hAnsi="宋体" w:cs="宋体"/>
                <w:color w:val="auto"/>
                <w:sz w:val="21"/>
                <w:szCs w:val="21"/>
                <w:highlight w:val="none"/>
              </w:rPr>
            </w:pPr>
          </w:p>
        </w:tc>
        <w:tc>
          <w:tcPr>
            <w:tcW w:w="1207" w:type="dxa"/>
            <w:noWrap w:val="0"/>
            <w:vAlign w:val="center"/>
          </w:tcPr>
          <w:p>
            <w:pPr>
              <w:tabs>
                <w:tab w:val="left" w:pos="4140"/>
              </w:tabs>
              <w:adjustRightInd w:val="0"/>
              <w:snapToGrid w:val="0"/>
              <w:spacing w:line="320" w:lineRule="atLeast"/>
              <w:jc w:val="center"/>
              <w:rPr>
                <w:rFonts w:ascii="宋体" w:hAnsi="宋体" w:cs="宋体"/>
                <w:color w:val="auto"/>
                <w:sz w:val="21"/>
                <w:szCs w:val="21"/>
                <w:highlight w:val="none"/>
              </w:rPr>
            </w:pPr>
          </w:p>
        </w:tc>
        <w:tc>
          <w:tcPr>
            <w:tcW w:w="1686" w:type="dxa"/>
            <w:noWrap w:val="0"/>
            <w:vAlign w:val="center"/>
          </w:tcPr>
          <w:p>
            <w:pPr>
              <w:tabs>
                <w:tab w:val="left" w:pos="4140"/>
              </w:tabs>
              <w:adjustRightInd w:val="0"/>
              <w:snapToGrid w:val="0"/>
              <w:spacing w:line="320" w:lineRule="atLeast"/>
              <w:jc w:val="center"/>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865" w:type="dxa"/>
            <w:noWrap w:val="0"/>
            <w:vAlign w:val="center"/>
          </w:tcPr>
          <w:p>
            <w:pPr>
              <w:tabs>
                <w:tab w:val="left" w:pos="4140"/>
              </w:tabs>
              <w:adjustRightInd w:val="0"/>
              <w:snapToGrid w:val="0"/>
              <w:spacing w:line="320" w:lineRule="atLeast"/>
              <w:jc w:val="center"/>
              <w:rPr>
                <w:rFonts w:ascii="宋体" w:hAnsi="宋体" w:cs="宋体"/>
                <w:color w:val="auto"/>
                <w:sz w:val="21"/>
                <w:szCs w:val="21"/>
                <w:highlight w:val="none"/>
              </w:rPr>
            </w:pPr>
          </w:p>
        </w:tc>
        <w:tc>
          <w:tcPr>
            <w:tcW w:w="2268" w:type="dxa"/>
            <w:noWrap w:val="0"/>
            <w:vAlign w:val="center"/>
          </w:tcPr>
          <w:p>
            <w:pPr>
              <w:tabs>
                <w:tab w:val="left" w:pos="4140"/>
              </w:tabs>
              <w:adjustRightInd w:val="0"/>
              <w:snapToGrid w:val="0"/>
              <w:spacing w:line="320" w:lineRule="atLeast"/>
              <w:jc w:val="center"/>
              <w:rPr>
                <w:rFonts w:ascii="宋体" w:hAnsi="宋体" w:cs="宋体"/>
                <w:color w:val="auto"/>
                <w:sz w:val="21"/>
                <w:szCs w:val="21"/>
                <w:highlight w:val="none"/>
              </w:rPr>
            </w:pPr>
          </w:p>
        </w:tc>
        <w:tc>
          <w:tcPr>
            <w:tcW w:w="2268" w:type="dxa"/>
            <w:noWrap w:val="0"/>
            <w:vAlign w:val="center"/>
          </w:tcPr>
          <w:p>
            <w:pPr>
              <w:tabs>
                <w:tab w:val="left" w:pos="4140"/>
              </w:tabs>
              <w:adjustRightInd w:val="0"/>
              <w:snapToGrid w:val="0"/>
              <w:spacing w:line="320" w:lineRule="atLeast"/>
              <w:jc w:val="center"/>
              <w:rPr>
                <w:rFonts w:ascii="宋体" w:hAnsi="宋体" w:cs="宋体"/>
                <w:color w:val="auto"/>
                <w:sz w:val="21"/>
                <w:szCs w:val="21"/>
                <w:highlight w:val="none"/>
              </w:rPr>
            </w:pPr>
          </w:p>
        </w:tc>
        <w:tc>
          <w:tcPr>
            <w:tcW w:w="1207" w:type="dxa"/>
            <w:noWrap w:val="0"/>
            <w:vAlign w:val="center"/>
          </w:tcPr>
          <w:p>
            <w:pPr>
              <w:tabs>
                <w:tab w:val="left" w:pos="4140"/>
              </w:tabs>
              <w:adjustRightInd w:val="0"/>
              <w:snapToGrid w:val="0"/>
              <w:spacing w:line="320" w:lineRule="atLeast"/>
              <w:jc w:val="center"/>
              <w:rPr>
                <w:rFonts w:ascii="宋体" w:hAnsi="宋体" w:cs="宋体"/>
                <w:color w:val="auto"/>
                <w:sz w:val="21"/>
                <w:szCs w:val="21"/>
                <w:highlight w:val="none"/>
              </w:rPr>
            </w:pPr>
          </w:p>
        </w:tc>
        <w:tc>
          <w:tcPr>
            <w:tcW w:w="1207" w:type="dxa"/>
            <w:noWrap w:val="0"/>
            <w:vAlign w:val="center"/>
          </w:tcPr>
          <w:p>
            <w:pPr>
              <w:tabs>
                <w:tab w:val="left" w:pos="4140"/>
              </w:tabs>
              <w:adjustRightInd w:val="0"/>
              <w:snapToGrid w:val="0"/>
              <w:spacing w:line="320" w:lineRule="atLeast"/>
              <w:jc w:val="center"/>
              <w:rPr>
                <w:rFonts w:ascii="宋体" w:hAnsi="宋体" w:cs="宋体"/>
                <w:color w:val="auto"/>
                <w:sz w:val="21"/>
                <w:szCs w:val="21"/>
                <w:highlight w:val="none"/>
              </w:rPr>
            </w:pPr>
          </w:p>
        </w:tc>
        <w:tc>
          <w:tcPr>
            <w:tcW w:w="1686" w:type="dxa"/>
            <w:noWrap w:val="0"/>
            <w:vAlign w:val="center"/>
          </w:tcPr>
          <w:p>
            <w:pPr>
              <w:tabs>
                <w:tab w:val="left" w:pos="4140"/>
              </w:tabs>
              <w:adjustRightInd w:val="0"/>
              <w:snapToGrid w:val="0"/>
              <w:spacing w:line="320" w:lineRule="atLeast"/>
              <w:jc w:val="center"/>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865" w:type="dxa"/>
            <w:noWrap w:val="0"/>
            <w:vAlign w:val="center"/>
          </w:tcPr>
          <w:p>
            <w:pPr>
              <w:tabs>
                <w:tab w:val="left" w:pos="4140"/>
              </w:tabs>
              <w:adjustRightInd w:val="0"/>
              <w:snapToGrid w:val="0"/>
              <w:spacing w:line="320" w:lineRule="atLeast"/>
              <w:jc w:val="center"/>
              <w:rPr>
                <w:rFonts w:ascii="宋体" w:hAnsi="宋体" w:cs="宋体"/>
                <w:color w:val="auto"/>
                <w:sz w:val="21"/>
                <w:szCs w:val="21"/>
                <w:highlight w:val="none"/>
              </w:rPr>
            </w:pPr>
          </w:p>
        </w:tc>
        <w:tc>
          <w:tcPr>
            <w:tcW w:w="2268" w:type="dxa"/>
            <w:noWrap w:val="0"/>
            <w:vAlign w:val="center"/>
          </w:tcPr>
          <w:p>
            <w:pPr>
              <w:tabs>
                <w:tab w:val="left" w:pos="4140"/>
              </w:tabs>
              <w:adjustRightInd w:val="0"/>
              <w:snapToGrid w:val="0"/>
              <w:spacing w:line="320" w:lineRule="atLeast"/>
              <w:jc w:val="center"/>
              <w:rPr>
                <w:rFonts w:ascii="宋体" w:hAnsi="宋体" w:cs="宋体"/>
                <w:color w:val="auto"/>
                <w:sz w:val="21"/>
                <w:szCs w:val="21"/>
                <w:highlight w:val="none"/>
              </w:rPr>
            </w:pPr>
          </w:p>
        </w:tc>
        <w:tc>
          <w:tcPr>
            <w:tcW w:w="2268" w:type="dxa"/>
            <w:noWrap w:val="0"/>
            <w:vAlign w:val="center"/>
          </w:tcPr>
          <w:p>
            <w:pPr>
              <w:tabs>
                <w:tab w:val="left" w:pos="4140"/>
              </w:tabs>
              <w:adjustRightInd w:val="0"/>
              <w:snapToGrid w:val="0"/>
              <w:spacing w:line="320" w:lineRule="atLeast"/>
              <w:jc w:val="center"/>
              <w:rPr>
                <w:rFonts w:ascii="宋体" w:hAnsi="宋体" w:cs="宋体"/>
                <w:color w:val="auto"/>
                <w:sz w:val="21"/>
                <w:szCs w:val="21"/>
                <w:highlight w:val="none"/>
              </w:rPr>
            </w:pPr>
          </w:p>
        </w:tc>
        <w:tc>
          <w:tcPr>
            <w:tcW w:w="1207" w:type="dxa"/>
            <w:noWrap w:val="0"/>
            <w:vAlign w:val="center"/>
          </w:tcPr>
          <w:p>
            <w:pPr>
              <w:tabs>
                <w:tab w:val="left" w:pos="4140"/>
              </w:tabs>
              <w:adjustRightInd w:val="0"/>
              <w:snapToGrid w:val="0"/>
              <w:spacing w:line="320" w:lineRule="atLeast"/>
              <w:jc w:val="center"/>
              <w:rPr>
                <w:rFonts w:ascii="宋体" w:hAnsi="宋体" w:cs="宋体"/>
                <w:color w:val="auto"/>
                <w:sz w:val="21"/>
                <w:szCs w:val="21"/>
                <w:highlight w:val="none"/>
              </w:rPr>
            </w:pPr>
          </w:p>
        </w:tc>
        <w:tc>
          <w:tcPr>
            <w:tcW w:w="1207" w:type="dxa"/>
            <w:noWrap w:val="0"/>
            <w:vAlign w:val="center"/>
          </w:tcPr>
          <w:p>
            <w:pPr>
              <w:tabs>
                <w:tab w:val="left" w:pos="4140"/>
              </w:tabs>
              <w:adjustRightInd w:val="0"/>
              <w:snapToGrid w:val="0"/>
              <w:spacing w:line="320" w:lineRule="atLeast"/>
              <w:jc w:val="center"/>
              <w:rPr>
                <w:rFonts w:ascii="宋体" w:hAnsi="宋体" w:cs="宋体"/>
                <w:color w:val="auto"/>
                <w:sz w:val="21"/>
                <w:szCs w:val="21"/>
                <w:highlight w:val="none"/>
              </w:rPr>
            </w:pPr>
          </w:p>
        </w:tc>
        <w:tc>
          <w:tcPr>
            <w:tcW w:w="1686" w:type="dxa"/>
            <w:noWrap w:val="0"/>
            <w:vAlign w:val="center"/>
          </w:tcPr>
          <w:p>
            <w:pPr>
              <w:tabs>
                <w:tab w:val="left" w:pos="4140"/>
              </w:tabs>
              <w:adjustRightInd w:val="0"/>
              <w:snapToGrid w:val="0"/>
              <w:spacing w:line="320" w:lineRule="atLeast"/>
              <w:jc w:val="center"/>
              <w:rPr>
                <w:rFonts w:ascii="宋体" w:hAnsi="宋体" w:cs="宋体"/>
                <w:color w:val="auto"/>
                <w:sz w:val="21"/>
                <w:szCs w:val="21"/>
                <w:highlight w:val="none"/>
              </w:rPr>
            </w:pPr>
          </w:p>
        </w:tc>
      </w:tr>
    </w:tbl>
    <w:p>
      <w:pPr>
        <w:spacing w:line="360" w:lineRule="exact"/>
        <w:jc w:val="left"/>
        <w:rPr>
          <w:rFonts w:ascii="宋体" w:hAnsi="宋体" w:cs="宋体"/>
          <w:color w:val="auto"/>
          <w:sz w:val="21"/>
          <w:szCs w:val="21"/>
          <w:highlight w:val="none"/>
        </w:rPr>
      </w:pPr>
      <w:r>
        <w:rPr>
          <w:rFonts w:hint="eastAsia" w:ascii="宋体" w:hAnsi="宋体" w:cs="宋体"/>
          <w:color w:val="auto"/>
          <w:sz w:val="21"/>
          <w:szCs w:val="21"/>
          <w:highlight w:val="none"/>
        </w:rPr>
        <w:t>说明：1.投标人须提供上述业绩合同扫描件。</w:t>
      </w:r>
    </w:p>
    <w:p>
      <w:pPr>
        <w:spacing w:line="360" w:lineRule="exact"/>
        <w:ind w:firstLine="630" w:firstLineChars="300"/>
        <w:jc w:val="left"/>
        <w:rPr>
          <w:rFonts w:ascii="宋体" w:hAnsi="宋体" w:cs="宋体"/>
          <w:color w:val="auto"/>
          <w:sz w:val="21"/>
          <w:szCs w:val="21"/>
          <w:highlight w:val="none"/>
        </w:rPr>
      </w:pPr>
      <w:r>
        <w:rPr>
          <w:rFonts w:hint="eastAsia" w:ascii="宋体" w:hAnsi="宋体" w:cs="宋体"/>
          <w:color w:val="auto"/>
          <w:sz w:val="21"/>
          <w:szCs w:val="21"/>
          <w:highlight w:val="none"/>
        </w:rPr>
        <w:t>2.所有合同扫描件应清晰，应能体现合同签订时间、双方签字盖章等内容。</w:t>
      </w:r>
    </w:p>
    <w:p>
      <w:pPr>
        <w:spacing w:line="360" w:lineRule="exact"/>
        <w:ind w:firstLine="630" w:firstLineChars="300"/>
        <w:jc w:val="left"/>
        <w:rPr>
          <w:rFonts w:ascii="宋体" w:hAnsi="宋体" w:cs="宋体"/>
          <w:color w:val="auto"/>
          <w:sz w:val="21"/>
          <w:szCs w:val="21"/>
          <w:highlight w:val="none"/>
        </w:rPr>
      </w:pPr>
      <w:r>
        <w:rPr>
          <w:rFonts w:hint="eastAsia" w:ascii="宋体" w:hAnsi="宋体" w:cs="宋体"/>
          <w:color w:val="auto"/>
          <w:sz w:val="21"/>
          <w:szCs w:val="21"/>
          <w:highlight w:val="none"/>
        </w:rPr>
        <w:t>3.投标人应在不涉及商业秘密的前提下尽可能提供详细的合同扫描件内容。</w:t>
      </w:r>
    </w:p>
    <w:p>
      <w:pPr>
        <w:pStyle w:val="23"/>
        <w:spacing w:before="120" w:after="120" w:line="360" w:lineRule="auto"/>
        <w:ind w:left="560" w:leftChars="200"/>
        <w:rPr>
          <w:rFonts w:hint="eastAsia" w:hAnsi="宋体"/>
          <w:color w:val="auto"/>
          <w:sz w:val="21"/>
          <w:szCs w:val="21"/>
          <w:highlight w:val="none"/>
        </w:rPr>
      </w:pPr>
    </w:p>
    <w:p>
      <w:pPr>
        <w:pStyle w:val="23"/>
        <w:spacing w:before="120" w:after="120" w:line="360" w:lineRule="auto"/>
        <w:ind w:left="560" w:leftChars="200"/>
        <w:rPr>
          <w:rFonts w:hAnsi="宋体"/>
          <w:color w:val="auto"/>
          <w:sz w:val="21"/>
          <w:szCs w:val="21"/>
          <w:highlight w:val="none"/>
        </w:rPr>
      </w:pPr>
      <w:r>
        <w:rPr>
          <w:rFonts w:hint="eastAsia" w:hAnsi="宋体"/>
          <w:color w:val="auto"/>
          <w:sz w:val="21"/>
          <w:szCs w:val="21"/>
          <w:highlight w:val="none"/>
        </w:rPr>
        <w:t xml:space="preserve">投标人（盖公章）：                 </w:t>
      </w:r>
    </w:p>
    <w:p>
      <w:pPr>
        <w:pStyle w:val="23"/>
        <w:spacing w:before="120" w:after="120" w:line="360" w:lineRule="auto"/>
        <w:ind w:left="560" w:leftChars="200"/>
        <w:rPr>
          <w:rFonts w:hAnsi="宋体"/>
          <w:color w:val="auto"/>
          <w:sz w:val="21"/>
          <w:szCs w:val="21"/>
          <w:highlight w:val="none"/>
        </w:rPr>
      </w:pPr>
      <w:r>
        <w:rPr>
          <w:rFonts w:hint="eastAsia" w:hAnsi="宋体"/>
          <w:color w:val="auto"/>
          <w:sz w:val="21"/>
          <w:szCs w:val="21"/>
          <w:highlight w:val="none"/>
        </w:rPr>
        <w:t xml:space="preserve">投标人法定代表人或授权代表（签字或盖章）：        </w:t>
      </w:r>
    </w:p>
    <w:p>
      <w:pPr>
        <w:pStyle w:val="3"/>
        <w:adjustRightInd w:val="0"/>
        <w:snapToGrid w:val="0"/>
        <w:spacing w:line="360" w:lineRule="auto"/>
        <w:ind w:left="560" w:leftChars="200"/>
        <w:rPr>
          <w:rFonts w:hAnsi="宋体"/>
          <w:color w:val="auto"/>
          <w:sz w:val="21"/>
          <w:szCs w:val="21"/>
          <w:highlight w:val="none"/>
        </w:rPr>
      </w:pPr>
      <w:r>
        <w:rPr>
          <w:rFonts w:hint="eastAsia" w:hAnsi="宋体"/>
          <w:color w:val="auto"/>
          <w:sz w:val="21"/>
          <w:szCs w:val="21"/>
          <w:highlight w:val="none"/>
        </w:rPr>
        <w:t>日期：    年  月  日</w:t>
      </w:r>
    </w:p>
    <w:p>
      <w:pPr>
        <w:spacing w:line="480" w:lineRule="auto"/>
        <w:jc w:val="center"/>
        <w:rPr>
          <w:rFonts w:hint="eastAsia"/>
          <w:color w:val="auto"/>
          <w:highlight w:val="none"/>
        </w:rPr>
      </w:pPr>
      <w:r>
        <w:rPr>
          <w:color w:val="auto"/>
          <w:highlight w:val="none"/>
        </w:rPr>
        <w:br w:type="page"/>
      </w:r>
    </w:p>
    <w:p>
      <w:pPr>
        <w:pStyle w:val="2"/>
        <w:ind w:firstLine="0" w:firstLineChars="0"/>
        <w:rPr>
          <w:rFonts w:ascii="宋体" w:hAnsi="宋体"/>
          <w:color w:val="auto"/>
          <w:sz w:val="21"/>
          <w:szCs w:val="21"/>
          <w:highlight w:val="none"/>
        </w:rPr>
      </w:pPr>
    </w:p>
    <w:p>
      <w:pPr>
        <w:snapToGrid w:val="0"/>
        <w:spacing w:before="120" w:beforeLines="50" w:after="50" w:line="360" w:lineRule="auto"/>
        <w:jc w:val="center"/>
        <w:rPr>
          <w:rFonts w:ascii="宋体" w:hAnsi="宋体"/>
          <w:b/>
          <w:color w:val="auto"/>
          <w:sz w:val="30"/>
          <w:szCs w:val="30"/>
          <w:highlight w:val="none"/>
        </w:rPr>
      </w:pPr>
      <w:r>
        <w:rPr>
          <w:rFonts w:hint="eastAsia"/>
          <w:b/>
          <w:color w:val="auto"/>
          <w:sz w:val="30"/>
          <w:szCs w:val="30"/>
          <w:highlight w:val="none"/>
        </w:rPr>
        <w:t>项目负责人及管理团队配置情况表</w:t>
      </w:r>
    </w:p>
    <w:p>
      <w:pPr>
        <w:spacing w:line="360" w:lineRule="auto"/>
        <w:rPr>
          <w:rFonts w:hint="eastAsia" w:ascii="宋体" w:hAnsi="宋体"/>
          <w:color w:val="auto"/>
          <w:sz w:val="21"/>
          <w:szCs w:val="21"/>
          <w:highlight w:val="none"/>
        </w:rPr>
      </w:pPr>
    </w:p>
    <w:p>
      <w:pPr>
        <w:spacing w:line="360" w:lineRule="auto"/>
        <w:rPr>
          <w:rFonts w:hint="eastAsia" w:ascii="宋体" w:hAnsi="宋体" w:eastAsia="宋体"/>
          <w:color w:val="auto"/>
          <w:sz w:val="21"/>
          <w:szCs w:val="21"/>
          <w:highlight w:val="none"/>
          <w:lang w:eastAsia="zh-CN"/>
        </w:rPr>
      </w:pPr>
      <w:r>
        <w:rPr>
          <w:rFonts w:hint="eastAsia" w:ascii="宋体" w:hAnsi="宋体"/>
          <w:color w:val="auto"/>
          <w:sz w:val="21"/>
          <w:szCs w:val="21"/>
          <w:highlight w:val="none"/>
        </w:rPr>
        <w:t>项目名称：龙湾区瑶溪街道环卫保洁一体化项目       项目编号：</w:t>
      </w:r>
      <w:r>
        <w:rPr>
          <w:rFonts w:hint="eastAsia" w:ascii="宋体" w:hAnsi="宋体"/>
          <w:color w:val="auto"/>
          <w:sz w:val="21"/>
          <w:szCs w:val="21"/>
          <w:highlight w:val="none"/>
          <w:lang w:eastAsia="zh-CN"/>
        </w:rPr>
        <w:t>WZHC-20220923</w:t>
      </w:r>
    </w:p>
    <w:tbl>
      <w:tblPr>
        <w:tblStyle w:val="42"/>
        <w:tblW w:w="960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59"/>
        <w:gridCol w:w="1134"/>
        <w:gridCol w:w="2977"/>
        <w:gridCol w:w="1701"/>
        <w:gridCol w:w="1701"/>
        <w:gridCol w:w="113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93" w:hRule="exact"/>
        </w:trPr>
        <w:tc>
          <w:tcPr>
            <w:tcW w:w="959" w:type="dxa"/>
            <w:noWrap w:val="0"/>
            <w:vAlign w:val="center"/>
          </w:tcPr>
          <w:p>
            <w:pPr>
              <w:spacing w:line="360" w:lineRule="auto"/>
              <w:jc w:val="center"/>
              <w:rPr>
                <w:rFonts w:hint="eastAsia" w:ascii="宋体" w:hAnsi="宋体" w:cs="Arial"/>
                <w:color w:val="auto"/>
                <w:sz w:val="21"/>
                <w:szCs w:val="21"/>
                <w:highlight w:val="none"/>
              </w:rPr>
            </w:pPr>
            <w:r>
              <w:rPr>
                <w:rFonts w:hint="eastAsia" w:ascii="宋体" w:hAnsi="宋体" w:cs="Arial"/>
                <w:color w:val="auto"/>
                <w:sz w:val="21"/>
                <w:szCs w:val="21"/>
                <w:highlight w:val="none"/>
              </w:rPr>
              <w:t>姓名</w:t>
            </w:r>
          </w:p>
        </w:tc>
        <w:tc>
          <w:tcPr>
            <w:tcW w:w="1134" w:type="dxa"/>
            <w:noWrap w:val="0"/>
            <w:vAlign w:val="center"/>
          </w:tcPr>
          <w:p>
            <w:pPr>
              <w:spacing w:line="360" w:lineRule="auto"/>
              <w:jc w:val="center"/>
              <w:rPr>
                <w:rFonts w:hint="eastAsia" w:ascii="宋体" w:hAnsi="宋体" w:cs="Arial"/>
                <w:color w:val="auto"/>
                <w:sz w:val="21"/>
                <w:szCs w:val="21"/>
                <w:highlight w:val="none"/>
              </w:rPr>
            </w:pPr>
            <w:r>
              <w:rPr>
                <w:rFonts w:hint="eastAsia" w:ascii="宋体" w:hAnsi="宋体" w:cs="Arial"/>
                <w:color w:val="auto"/>
                <w:sz w:val="21"/>
                <w:szCs w:val="21"/>
                <w:highlight w:val="none"/>
              </w:rPr>
              <w:t>性别</w:t>
            </w:r>
          </w:p>
        </w:tc>
        <w:tc>
          <w:tcPr>
            <w:tcW w:w="2977" w:type="dxa"/>
            <w:tcBorders>
              <w:right w:val="single" w:color="auto" w:sz="4" w:space="0"/>
            </w:tcBorders>
            <w:noWrap w:val="0"/>
            <w:vAlign w:val="center"/>
          </w:tcPr>
          <w:p>
            <w:pPr>
              <w:spacing w:line="360" w:lineRule="auto"/>
              <w:jc w:val="center"/>
              <w:rPr>
                <w:rFonts w:hint="eastAsia" w:ascii="宋体" w:hAnsi="宋体" w:cs="Arial"/>
                <w:color w:val="auto"/>
                <w:sz w:val="21"/>
                <w:szCs w:val="21"/>
                <w:highlight w:val="none"/>
              </w:rPr>
            </w:pPr>
            <w:r>
              <w:rPr>
                <w:rFonts w:hint="eastAsia" w:ascii="宋体" w:hAnsi="宋体" w:cs="Arial"/>
                <w:color w:val="auto"/>
                <w:sz w:val="21"/>
                <w:szCs w:val="21"/>
                <w:highlight w:val="none"/>
              </w:rPr>
              <w:t>身份证号</w:t>
            </w:r>
          </w:p>
        </w:tc>
        <w:tc>
          <w:tcPr>
            <w:tcW w:w="1701" w:type="dxa"/>
            <w:noWrap w:val="0"/>
            <w:vAlign w:val="top"/>
          </w:tcPr>
          <w:p>
            <w:pPr>
              <w:spacing w:line="360" w:lineRule="auto"/>
              <w:jc w:val="center"/>
              <w:rPr>
                <w:rFonts w:hint="eastAsia" w:ascii="宋体" w:hAnsi="宋体" w:cs="Arial"/>
                <w:color w:val="auto"/>
                <w:sz w:val="21"/>
                <w:szCs w:val="21"/>
                <w:highlight w:val="none"/>
              </w:rPr>
            </w:pPr>
          </w:p>
          <w:p>
            <w:pPr>
              <w:spacing w:line="360" w:lineRule="auto"/>
              <w:jc w:val="center"/>
              <w:rPr>
                <w:rFonts w:hint="eastAsia" w:ascii="宋体" w:hAnsi="宋体" w:cs="Arial"/>
                <w:color w:val="auto"/>
                <w:sz w:val="21"/>
                <w:szCs w:val="21"/>
                <w:highlight w:val="none"/>
              </w:rPr>
            </w:pPr>
            <w:r>
              <w:rPr>
                <w:rFonts w:hint="eastAsia" w:ascii="宋体" w:hAnsi="宋体" w:cs="Arial"/>
                <w:color w:val="auto"/>
                <w:sz w:val="21"/>
                <w:szCs w:val="21"/>
                <w:highlight w:val="none"/>
              </w:rPr>
              <w:t>学历</w:t>
            </w:r>
          </w:p>
        </w:tc>
        <w:tc>
          <w:tcPr>
            <w:tcW w:w="1701" w:type="dxa"/>
            <w:tcBorders>
              <w:right w:val="single" w:color="auto" w:sz="4" w:space="0"/>
            </w:tcBorders>
            <w:noWrap w:val="0"/>
            <w:vAlign w:val="top"/>
          </w:tcPr>
          <w:p>
            <w:pPr>
              <w:spacing w:line="360" w:lineRule="auto"/>
              <w:jc w:val="center"/>
              <w:rPr>
                <w:rFonts w:hint="eastAsia" w:ascii="宋体" w:hAnsi="宋体" w:cs="Arial"/>
                <w:color w:val="auto"/>
                <w:sz w:val="21"/>
                <w:szCs w:val="21"/>
                <w:highlight w:val="none"/>
              </w:rPr>
            </w:pPr>
          </w:p>
          <w:p>
            <w:pPr>
              <w:spacing w:line="360" w:lineRule="auto"/>
              <w:jc w:val="center"/>
              <w:rPr>
                <w:rFonts w:hint="eastAsia" w:ascii="宋体" w:hAnsi="宋体" w:cs="Arial"/>
                <w:color w:val="auto"/>
                <w:sz w:val="21"/>
                <w:szCs w:val="21"/>
                <w:highlight w:val="none"/>
              </w:rPr>
            </w:pPr>
            <w:r>
              <w:rPr>
                <w:rFonts w:hint="eastAsia" w:ascii="宋体" w:hAnsi="宋体" w:cs="Arial"/>
                <w:color w:val="auto"/>
                <w:sz w:val="21"/>
                <w:szCs w:val="21"/>
                <w:highlight w:val="none"/>
              </w:rPr>
              <w:t>岗位</w:t>
            </w:r>
          </w:p>
        </w:tc>
        <w:tc>
          <w:tcPr>
            <w:tcW w:w="1134" w:type="dxa"/>
            <w:noWrap w:val="0"/>
            <w:vAlign w:val="center"/>
          </w:tcPr>
          <w:p>
            <w:pPr>
              <w:spacing w:line="360" w:lineRule="auto"/>
              <w:jc w:val="center"/>
              <w:rPr>
                <w:rFonts w:ascii="宋体" w:hAnsi="宋体" w:cs="Arial"/>
                <w:color w:val="auto"/>
                <w:sz w:val="21"/>
                <w:szCs w:val="21"/>
                <w:highlight w:val="none"/>
              </w:rPr>
            </w:pPr>
            <w:r>
              <w:rPr>
                <w:rFonts w:ascii="宋体" w:hAnsi="宋体" w:cs="Arial"/>
                <w:color w:val="auto"/>
                <w:sz w:val="21"/>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8" w:hRule="exact"/>
        </w:trPr>
        <w:tc>
          <w:tcPr>
            <w:tcW w:w="959" w:type="dxa"/>
            <w:noWrap w:val="0"/>
            <w:vAlign w:val="top"/>
          </w:tcPr>
          <w:p>
            <w:pPr>
              <w:spacing w:line="360" w:lineRule="auto"/>
              <w:rPr>
                <w:rFonts w:ascii="宋体" w:hAnsi="宋体" w:cs="Arial"/>
                <w:color w:val="auto"/>
                <w:sz w:val="21"/>
                <w:szCs w:val="21"/>
                <w:highlight w:val="none"/>
              </w:rPr>
            </w:pPr>
          </w:p>
        </w:tc>
        <w:tc>
          <w:tcPr>
            <w:tcW w:w="1134" w:type="dxa"/>
            <w:noWrap w:val="0"/>
            <w:vAlign w:val="top"/>
          </w:tcPr>
          <w:p>
            <w:pPr>
              <w:spacing w:line="360" w:lineRule="auto"/>
              <w:rPr>
                <w:rFonts w:ascii="宋体" w:hAnsi="宋体" w:cs="Arial"/>
                <w:color w:val="auto"/>
                <w:sz w:val="21"/>
                <w:szCs w:val="21"/>
                <w:highlight w:val="none"/>
              </w:rPr>
            </w:pPr>
          </w:p>
        </w:tc>
        <w:tc>
          <w:tcPr>
            <w:tcW w:w="2977" w:type="dxa"/>
            <w:tcBorders>
              <w:right w:val="single" w:color="auto" w:sz="4" w:space="0"/>
            </w:tcBorders>
            <w:noWrap w:val="0"/>
            <w:vAlign w:val="top"/>
          </w:tcPr>
          <w:p>
            <w:pPr>
              <w:spacing w:line="360" w:lineRule="auto"/>
              <w:rPr>
                <w:rFonts w:ascii="宋体" w:hAnsi="宋体" w:cs="Arial"/>
                <w:color w:val="auto"/>
                <w:sz w:val="21"/>
                <w:szCs w:val="21"/>
                <w:highlight w:val="none"/>
              </w:rPr>
            </w:pPr>
          </w:p>
        </w:tc>
        <w:tc>
          <w:tcPr>
            <w:tcW w:w="1701" w:type="dxa"/>
            <w:noWrap w:val="0"/>
            <w:vAlign w:val="top"/>
          </w:tcPr>
          <w:p>
            <w:pPr>
              <w:spacing w:line="360" w:lineRule="auto"/>
              <w:rPr>
                <w:rFonts w:ascii="宋体" w:hAnsi="宋体" w:cs="Arial"/>
                <w:color w:val="auto"/>
                <w:sz w:val="21"/>
                <w:szCs w:val="21"/>
                <w:highlight w:val="none"/>
              </w:rPr>
            </w:pPr>
          </w:p>
        </w:tc>
        <w:tc>
          <w:tcPr>
            <w:tcW w:w="1701" w:type="dxa"/>
            <w:tcBorders>
              <w:right w:val="single" w:color="auto" w:sz="4" w:space="0"/>
            </w:tcBorders>
            <w:noWrap w:val="0"/>
            <w:vAlign w:val="top"/>
          </w:tcPr>
          <w:p>
            <w:pPr>
              <w:spacing w:line="360" w:lineRule="auto"/>
              <w:rPr>
                <w:rFonts w:ascii="宋体" w:hAnsi="宋体" w:cs="Arial"/>
                <w:color w:val="auto"/>
                <w:sz w:val="21"/>
                <w:szCs w:val="21"/>
                <w:highlight w:val="none"/>
              </w:rPr>
            </w:pPr>
          </w:p>
        </w:tc>
        <w:tc>
          <w:tcPr>
            <w:tcW w:w="1134" w:type="dxa"/>
            <w:noWrap w:val="0"/>
            <w:vAlign w:val="top"/>
          </w:tcPr>
          <w:p>
            <w:pPr>
              <w:rPr>
                <w:rFonts w:ascii="宋体"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8" w:hRule="exact"/>
        </w:trPr>
        <w:tc>
          <w:tcPr>
            <w:tcW w:w="959" w:type="dxa"/>
            <w:noWrap w:val="0"/>
            <w:vAlign w:val="top"/>
          </w:tcPr>
          <w:p>
            <w:pPr>
              <w:spacing w:line="360" w:lineRule="auto"/>
              <w:rPr>
                <w:rFonts w:ascii="宋体" w:hAnsi="宋体" w:cs="Arial"/>
                <w:color w:val="auto"/>
                <w:sz w:val="21"/>
                <w:szCs w:val="21"/>
                <w:highlight w:val="none"/>
              </w:rPr>
            </w:pPr>
          </w:p>
        </w:tc>
        <w:tc>
          <w:tcPr>
            <w:tcW w:w="1134" w:type="dxa"/>
            <w:noWrap w:val="0"/>
            <w:vAlign w:val="top"/>
          </w:tcPr>
          <w:p>
            <w:pPr>
              <w:spacing w:line="360" w:lineRule="auto"/>
              <w:rPr>
                <w:rFonts w:ascii="宋体" w:hAnsi="宋体" w:cs="Arial"/>
                <w:color w:val="auto"/>
                <w:sz w:val="21"/>
                <w:szCs w:val="21"/>
                <w:highlight w:val="none"/>
              </w:rPr>
            </w:pPr>
          </w:p>
        </w:tc>
        <w:tc>
          <w:tcPr>
            <w:tcW w:w="2977" w:type="dxa"/>
            <w:tcBorders>
              <w:right w:val="single" w:color="auto" w:sz="4" w:space="0"/>
            </w:tcBorders>
            <w:noWrap w:val="0"/>
            <w:vAlign w:val="top"/>
          </w:tcPr>
          <w:p>
            <w:pPr>
              <w:spacing w:line="360" w:lineRule="auto"/>
              <w:rPr>
                <w:rFonts w:ascii="宋体" w:hAnsi="宋体" w:cs="Arial"/>
                <w:color w:val="auto"/>
                <w:sz w:val="21"/>
                <w:szCs w:val="21"/>
                <w:highlight w:val="none"/>
              </w:rPr>
            </w:pPr>
          </w:p>
        </w:tc>
        <w:tc>
          <w:tcPr>
            <w:tcW w:w="1701" w:type="dxa"/>
            <w:noWrap w:val="0"/>
            <w:vAlign w:val="top"/>
          </w:tcPr>
          <w:p>
            <w:pPr>
              <w:spacing w:line="360" w:lineRule="auto"/>
              <w:rPr>
                <w:rFonts w:ascii="宋体" w:hAnsi="宋体" w:cs="Arial"/>
                <w:color w:val="auto"/>
                <w:sz w:val="21"/>
                <w:szCs w:val="21"/>
                <w:highlight w:val="none"/>
              </w:rPr>
            </w:pPr>
          </w:p>
        </w:tc>
        <w:tc>
          <w:tcPr>
            <w:tcW w:w="1701" w:type="dxa"/>
            <w:tcBorders>
              <w:right w:val="single" w:color="auto" w:sz="4" w:space="0"/>
            </w:tcBorders>
            <w:noWrap w:val="0"/>
            <w:vAlign w:val="top"/>
          </w:tcPr>
          <w:p>
            <w:pPr>
              <w:spacing w:line="360" w:lineRule="auto"/>
              <w:rPr>
                <w:rFonts w:ascii="宋体" w:hAnsi="宋体" w:cs="Arial"/>
                <w:color w:val="auto"/>
                <w:sz w:val="21"/>
                <w:szCs w:val="21"/>
                <w:highlight w:val="none"/>
              </w:rPr>
            </w:pPr>
          </w:p>
        </w:tc>
        <w:tc>
          <w:tcPr>
            <w:tcW w:w="1134" w:type="dxa"/>
            <w:noWrap w:val="0"/>
            <w:vAlign w:val="top"/>
          </w:tcPr>
          <w:p>
            <w:pPr>
              <w:rPr>
                <w:rFonts w:ascii="宋体"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8" w:hRule="exact"/>
        </w:trPr>
        <w:tc>
          <w:tcPr>
            <w:tcW w:w="959" w:type="dxa"/>
            <w:noWrap w:val="0"/>
            <w:vAlign w:val="top"/>
          </w:tcPr>
          <w:p>
            <w:pPr>
              <w:spacing w:line="360" w:lineRule="auto"/>
              <w:rPr>
                <w:rFonts w:ascii="宋体" w:hAnsi="宋体" w:cs="Arial"/>
                <w:color w:val="auto"/>
                <w:sz w:val="21"/>
                <w:szCs w:val="21"/>
                <w:highlight w:val="none"/>
              </w:rPr>
            </w:pPr>
          </w:p>
        </w:tc>
        <w:tc>
          <w:tcPr>
            <w:tcW w:w="1134" w:type="dxa"/>
            <w:noWrap w:val="0"/>
            <w:vAlign w:val="top"/>
          </w:tcPr>
          <w:p>
            <w:pPr>
              <w:spacing w:line="360" w:lineRule="auto"/>
              <w:rPr>
                <w:rFonts w:ascii="宋体" w:hAnsi="宋体" w:cs="Arial"/>
                <w:color w:val="auto"/>
                <w:sz w:val="21"/>
                <w:szCs w:val="21"/>
                <w:highlight w:val="none"/>
              </w:rPr>
            </w:pPr>
          </w:p>
        </w:tc>
        <w:tc>
          <w:tcPr>
            <w:tcW w:w="2977" w:type="dxa"/>
            <w:tcBorders>
              <w:right w:val="single" w:color="auto" w:sz="4" w:space="0"/>
            </w:tcBorders>
            <w:noWrap w:val="0"/>
            <w:vAlign w:val="top"/>
          </w:tcPr>
          <w:p>
            <w:pPr>
              <w:spacing w:line="360" w:lineRule="auto"/>
              <w:rPr>
                <w:rFonts w:ascii="宋体" w:hAnsi="宋体" w:cs="Arial"/>
                <w:color w:val="auto"/>
                <w:sz w:val="21"/>
                <w:szCs w:val="21"/>
                <w:highlight w:val="none"/>
              </w:rPr>
            </w:pPr>
          </w:p>
        </w:tc>
        <w:tc>
          <w:tcPr>
            <w:tcW w:w="1701" w:type="dxa"/>
            <w:noWrap w:val="0"/>
            <w:vAlign w:val="top"/>
          </w:tcPr>
          <w:p>
            <w:pPr>
              <w:spacing w:line="360" w:lineRule="auto"/>
              <w:rPr>
                <w:rFonts w:ascii="宋体" w:hAnsi="宋体" w:cs="Arial"/>
                <w:color w:val="auto"/>
                <w:sz w:val="21"/>
                <w:szCs w:val="21"/>
                <w:highlight w:val="none"/>
              </w:rPr>
            </w:pPr>
          </w:p>
        </w:tc>
        <w:tc>
          <w:tcPr>
            <w:tcW w:w="1701" w:type="dxa"/>
            <w:tcBorders>
              <w:right w:val="single" w:color="auto" w:sz="4" w:space="0"/>
            </w:tcBorders>
            <w:noWrap w:val="0"/>
            <w:vAlign w:val="top"/>
          </w:tcPr>
          <w:p>
            <w:pPr>
              <w:spacing w:line="360" w:lineRule="auto"/>
              <w:rPr>
                <w:rFonts w:ascii="宋体" w:hAnsi="宋体" w:cs="Arial"/>
                <w:color w:val="auto"/>
                <w:sz w:val="21"/>
                <w:szCs w:val="21"/>
                <w:highlight w:val="none"/>
              </w:rPr>
            </w:pPr>
          </w:p>
        </w:tc>
        <w:tc>
          <w:tcPr>
            <w:tcW w:w="1134" w:type="dxa"/>
            <w:noWrap w:val="0"/>
            <w:vAlign w:val="top"/>
          </w:tcPr>
          <w:p>
            <w:pPr>
              <w:rPr>
                <w:rFonts w:ascii="宋体"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8" w:hRule="exact"/>
        </w:trPr>
        <w:tc>
          <w:tcPr>
            <w:tcW w:w="959" w:type="dxa"/>
            <w:noWrap w:val="0"/>
            <w:vAlign w:val="top"/>
          </w:tcPr>
          <w:p>
            <w:pPr>
              <w:spacing w:line="360" w:lineRule="auto"/>
              <w:rPr>
                <w:rFonts w:ascii="宋体" w:hAnsi="宋体" w:cs="Arial"/>
                <w:color w:val="auto"/>
                <w:sz w:val="21"/>
                <w:szCs w:val="21"/>
                <w:highlight w:val="none"/>
              </w:rPr>
            </w:pPr>
          </w:p>
        </w:tc>
        <w:tc>
          <w:tcPr>
            <w:tcW w:w="1134" w:type="dxa"/>
            <w:noWrap w:val="0"/>
            <w:vAlign w:val="top"/>
          </w:tcPr>
          <w:p>
            <w:pPr>
              <w:spacing w:line="360" w:lineRule="auto"/>
              <w:rPr>
                <w:rFonts w:ascii="宋体" w:hAnsi="宋体" w:cs="Arial"/>
                <w:color w:val="auto"/>
                <w:sz w:val="21"/>
                <w:szCs w:val="21"/>
                <w:highlight w:val="none"/>
              </w:rPr>
            </w:pPr>
          </w:p>
        </w:tc>
        <w:tc>
          <w:tcPr>
            <w:tcW w:w="2977" w:type="dxa"/>
            <w:tcBorders>
              <w:right w:val="single" w:color="auto" w:sz="4" w:space="0"/>
            </w:tcBorders>
            <w:noWrap w:val="0"/>
            <w:vAlign w:val="top"/>
          </w:tcPr>
          <w:p>
            <w:pPr>
              <w:spacing w:line="360" w:lineRule="auto"/>
              <w:rPr>
                <w:rFonts w:ascii="宋体" w:hAnsi="宋体" w:cs="Arial"/>
                <w:color w:val="auto"/>
                <w:sz w:val="21"/>
                <w:szCs w:val="21"/>
                <w:highlight w:val="none"/>
              </w:rPr>
            </w:pPr>
          </w:p>
        </w:tc>
        <w:tc>
          <w:tcPr>
            <w:tcW w:w="1701" w:type="dxa"/>
            <w:noWrap w:val="0"/>
            <w:vAlign w:val="top"/>
          </w:tcPr>
          <w:p>
            <w:pPr>
              <w:spacing w:line="360" w:lineRule="auto"/>
              <w:rPr>
                <w:rFonts w:ascii="宋体" w:hAnsi="宋体" w:cs="Arial"/>
                <w:color w:val="auto"/>
                <w:sz w:val="21"/>
                <w:szCs w:val="21"/>
                <w:highlight w:val="none"/>
              </w:rPr>
            </w:pPr>
          </w:p>
        </w:tc>
        <w:tc>
          <w:tcPr>
            <w:tcW w:w="1701" w:type="dxa"/>
            <w:tcBorders>
              <w:right w:val="single" w:color="auto" w:sz="4" w:space="0"/>
            </w:tcBorders>
            <w:noWrap w:val="0"/>
            <w:vAlign w:val="top"/>
          </w:tcPr>
          <w:p>
            <w:pPr>
              <w:spacing w:line="360" w:lineRule="auto"/>
              <w:rPr>
                <w:rFonts w:ascii="宋体" w:hAnsi="宋体" w:cs="Arial"/>
                <w:color w:val="auto"/>
                <w:sz w:val="21"/>
                <w:szCs w:val="21"/>
                <w:highlight w:val="none"/>
              </w:rPr>
            </w:pPr>
          </w:p>
        </w:tc>
        <w:tc>
          <w:tcPr>
            <w:tcW w:w="1134" w:type="dxa"/>
            <w:noWrap w:val="0"/>
            <w:vAlign w:val="top"/>
          </w:tcPr>
          <w:p>
            <w:pPr>
              <w:rPr>
                <w:rFonts w:ascii="宋体"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8" w:hRule="exact"/>
        </w:trPr>
        <w:tc>
          <w:tcPr>
            <w:tcW w:w="959" w:type="dxa"/>
            <w:noWrap w:val="0"/>
            <w:vAlign w:val="top"/>
          </w:tcPr>
          <w:p>
            <w:pPr>
              <w:spacing w:line="360" w:lineRule="auto"/>
              <w:rPr>
                <w:rFonts w:hint="eastAsia" w:ascii="宋体" w:hAnsi="宋体" w:cs="Arial"/>
                <w:color w:val="auto"/>
                <w:sz w:val="21"/>
                <w:szCs w:val="21"/>
                <w:highlight w:val="none"/>
              </w:rPr>
            </w:pPr>
          </w:p>
          <w:p>
            <w:pPr>
              <w:pStyle w:val="2"/>
              <w:ind w:firstLine="280"/>
              <w:rPr>
                <w:color w:val="auto"/>
                <w:highlight w:val="none"/>
              </w:rPr>
            </w:pPr>
          </w:p>
        </w:tc>
        <w:tc>
          <w:tcPr>
            <w:tcW w:w="1134" w:type="dxa"/>
            <w:noWrap w:val="0"/>
            <w:vAlign w:val="top"/>
          </w:tcPr>
          <w:p>
            <w:pPr>
              <w:spacing w:line="360" w:lineRule="auto"/>
              <w:rPr>
                <w:rFonts w:ascii="宋体" w:hAnsi="宋体" w:cs="Arial"/>
                <w:color w:val="auto"/>
                <w:sz w:val="21"/>
                <w:szCs w:val="21"/>
                <w:highlight w:val="none"/>
              </w:rPr>
            </w:pPr>
          </w:p>
        </w:tc>
        <w:tc>
          <w:tcPr>
            <w:tcW w:w="2977" w:type="dxa"/>
            <w:tcBorders>
              <w:right w:val="single" w:color="auto" w:sz="4" w:space="0"/>
            </w:tcBorders>
            <w:noWrap w:val="0"/>
            <w:vAlign w:val="top"/>
          </w:tcPr>
          <w:p>
            <w:pPr>
              <w:spacing w:line="360" w:lineRule="auto"/>
              <w:rPr>
                <w:rFonts w:ascii="宋体" w:hAnsi="宋体" w:cs="Arial"/>
                <w:color w:val="auto"/>
                <w:sz w:val="21"/>
                <w:szCs w:val="21"/>
                <w:highlight w:val="none"/>
              </w:rPr>
            </w:pPr>
          </w:p>
        </w:tc>
        <w:tc>
          <w:tcPr>
            <w:tcW w:w="1701" w:type="dxa"/>
            <w:noWrap w:val="0"/>
            <w:vAlign w:val="top"/>
          </w:tcPr>
          <w:p>
            <w:pPr>
              <w:spacing w:line="360" w:lineRule="auto"/>
              <w:rPr>
                <w:rFonts w:ascii="宋体" w:hAnsi="宋体" w:cs="Arial"/>
                <w:color w:val="auto"/>
                <w:sz w:val="21"/>
                <w:szCs w:val="21"/>
                <w:highlight w:val="none"/>
              </w:rPr>
            </w:pPr>
          </w:p>
        </w:tc>
        <w:tc>
          <w:tcPr>
            <w:tcW w:w="1701" w:type="dxa"/>
            <w:tcBorders>
              <w:right w:val="single" w:color="auto" w:sz="4" w:space="0"/>
            </w:tcBorders>
            <w:noWrap w:val="0"/>
            <w:vAlign w:val="top"/>
          </w:tcPr>
          <w:p>
            <w:pPr>
              <w:spacing w:line="360" w:lineRule="auto"/>
              <w:rPr>
                <w:rFonts w:ascii="宋体" w:hAnsi="宋体" w:cs="Arial"/>
                <w:color w:val="auto"/>
                <w:sz w:val="21"/>
                <w:szCs w:val="21"/>
                <w:highlight w:val="none"/>
              </w:rPr>
            </w:pPr>
          </w:p>
        </w:tc>
        <w:tc>
          <w:tcPr>
            <w:tcW w:w="1134" w:type="dxa"/>
            <w:noWrap w:val="0"/>
            <w:vAlign w:val="top"/>
          </w:tcPr>
          <w:p>
            <w:pPr>
              <w:rPr>
                <w:rFonts w:ascii="宋体"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8" w:hRule="exact"/>
        </w:trPr>
        <w:tc>
          <w:tcPr>
            <w:tcW w:w="959" w:type="dxa"/>
            <w:noWrap w:val="0"/>
            <w:vAlign w:val="top"/>
          </w:tcPr>
          <w:p>
            <w:pPr>
              <w:spacing w:line="360" w:lineRule="auto"/>
              <w:rPr>
                <w:rFonts w:ascii="宋体" w:hAnsi="宋体" w:cs="Arial"/>
                <w:color w:val="auto"/>
                <w:sz w:val="21"/>
                <w:szCs w:val="21"/>
                <w:highlight w:val="none"/>
              </w:rPr>
            </w:pPr>
          </w:p>
        </w:tc>
        <w:tc>
          <w:tcPr>
            <w:tcW w:w="1134" w:type="dxa"/>
            <w:noWrap w:val="0"/>
            <w:vAlign w:val="top"/>
          </w:tcPr>
          <w:p>
            <w:pPr>
              <w:spacing w:line="360" w:lineRule="auto"/>
              <w:rPr>
                <w:rFonts w:ascii="宋体" w:hAnsi="宋体" w:cs="Arial"/>
                <w:color w:val="auto"/>
                <w:sz w:val="21"/>
                <w:szCs w:val="21"/>
                <w:highlight w:val="none"/>
              </w:rPr>
            </w:pPr>
          </w:p>
        </w:tc>
        <w:tc>
          <w:tcPr>
            <w:tcW w:w="2977" w:type="dxa"/>
            <w:tcBorders>
              <w:right w:val="single" w:color="auto" w:sz="4" w:space="0"/>
            </w:tcBorders>
            <w:noWrap w:val="0"/>
            <w:vAlign w:val="top"/>
          </w:tcPr>
          <w:p>
            <w:pPr>
              <w:spacing w:line="360" w:lineRule="auto"/>
              <w:rPr>
                <w:rFonts w:ascii="宋体" w:hAnsi="宋体" w:cs="Arial"/>
                <w:color w:val="auto"/>
                <w:sz w:val="21"/>
                <w:szCs w:val="21"/>
                <w:highlight w:val="none"/>
              </w:rPr>
            </w:pPr>
          </w:p>
        </w:tc>
        <w:tc>
          <w:tcPr>
            <w:tcW w:w="1701" w:type="dxa"/>
            <w:noWrap w:val="0"/>
            <w:vAlign w:val="top"/>
          </w:tcPr>
          <w:p>
            <w:pPr>
              <w:spacing w:line="360" w:lineRule="auto"/>
              <w:rPr>
                <w:rFonts w:ascii="宋体" w:hAnsi="宋体" w:cs="Arial"/>
                <w:color w:val="auto"/>
                <w:sz w:val="21"/>
                <w:szCs w:val="21"/>
                <w:highlight w:val="none"/>
              </w:rPr>
            </w:pPr>
          </w:p>
        </w:tc>
        <w:tc>
          <w:tcPr>
            <w:tcW w:w="1701" w:type="dxa"/>
            <w:tcBorders>
              <w:right w:val="single" w:color="auto" w:sz="4" w:space="0"/>
            </w:tcBorders>
            <w:noWrap w:val="0"/>
            <w:vAlign w:val="top"/>
          </w:tcPr>
          <w:p>
            <w:pPr>
              <w:spacing w:line="360" w:lineRule="auto"/>
              <w:rPr>
                <w:rFonts w:ascii="宋体" w:hAnsi="宋体" w:cs="Arial"/>
                <w:color w:val="auto"/>
                <w:sz w:val="21"/>
                <w:szCs w:val="21"/>
                <w:highlight w:val="none"/>
              </w:rPr>
            </w:pPr>
          </w:p>
        </w:tc>
        <w:tc>
          <w:tcPr>
            <w:tcW w:w="1134" w:type="dxa"/>
            <w:noWrap w:val="0"/>
            <w:vAlign w:val="top"/>
          </w:tcPr>
          <w:p>
            <w:pPr>
              <w:rPr>
                <w:rFonts w:ascii="宋体"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8" w:hRule="exact"/>
        </w:trPr>
        <w:tc>
          <w:tcPr>
            <w:tcW w:w="959" w:type="dxa"/>
            <w:noWrap w:val="0"/>
            <w:vAlign w:val="top"/>
          </w:tcPr>
          <w:p>
            <w:pPr>
              <w:spacing w:line="360" w:lineRule="auto"/>
              <w:rPr>
                <w:rFonts w:ascii="宋体" w:hAnsi="宋体" w:cs="Arial"/>
                <w:color w:val="auto"/>
                <w:sz w:val="21"/>
                <w:szCs w:val="21"/>
                <w:highlight w:val="none"/>
              </w:rPr>
            </w:pPr>
          </w:p>
        </w:tc>
        <w:tc>
          <w:tcPr>
            <w:tcW w:w="1134" w:type="dxa"/>
            <w:noWrap w:val="0"/>
            <w:vAlign w:val="top"/>
          </w:tcPr>
          <w:p>
            <w:pPr>
              <w:spacing w:line="360" w:lineRule="auto"/>
              <w:rPr>
                <w:rFonts w:ascii="宋体" w:hAnsi="宋体" w:cs="Arial"/>
                <w:color w:val="auto"/>
                <w:sz w:val="21"/>
                <w:szCs w:val="21"/>
                <w:highlight w:val="none"/>
              </w:rPr>
            </w:pPr>
          </w:p>
        </w:tc>
        <w:tc>
          <w:tcPr>
            <w:tcW w:w="2977" w:type="dxa"/>
            <w:tcBorders>
              <w:right w:val="single" w:color="auto" w:sz="4" w:space="0"/>
            </w:tcBorders>
            <w:noWrap w:val="0"/>
            <w:vAlign w:val="top"/>
          </w:tcPr>
          <w:p>
            <w:pPr>
              <w:spacing w:line="360" w:lineRule="auto"/>
              <w:rPr>
                <w:rFonts w:ascii="宋体" w:hAnsi="宋体" w:cs="Arial"/>
                <w:color w:val="auto"/>
                <w:sz w:val="21"/>
                <w:szCs w:val="21"/>
                <w:highlight w:val="none"/>
              </w:rPr>
            </w:pPr>
          </w:p>
        </w:tc>
        <w:tc>
          <w:tcPr>
            <w:tcW w:w="1701" w:type="dxa"/>
            <w:noWrap w:val="0"/>
            <w:vAlign w:val="top"/>
          </w:tcPr>
          <w:p>
            <w:pPr>
              <w:spacing w:line="360" w:lineRule="auto"/>
              <w:rPr>
                <w:rFonts w:ascii="宋体" w:hAnsi="宋体" w:cs="Arial"/>
                <w:color w:val="auto"/>
                <w:sz w:val="21"/>
                <w:szCs w:val="21"/>
                <w:highlight w:val="none"/>
              </w:rPr>
            </w:pPr>
          </w:p>
        </w:tc>
        <w:tc>
          <w:tcPr>
            <w:tcW w:w="1701" w:type="dxa"/>
            <w:tcBorders>
              <w:right w:val="single" w:color="auto" w:sz="4" w:space="0"/>
            </w:tcBorders>
            <w:noWrap w:val="0"/>
            <w:vAlign w:val="top"/>
          </w:tcPr>
          <w:p>
            <w:pPr>
              <w:spacing w:line="360" w:lineRule="auto"/>
              <w:rPr>
                <w:rFonts w:ascii="宋体" w:hAnsi="宋体" w:cs="Arial"/>
                <w:color w:val="auto"/>
                <w:sz w:val="21"/>
                <w:szCs w:val="21"/>
                <w:highlight w:val="none"/>
              </w:rPr>
            </w:pPr>
          </w:p>
        </w:tc>
        <w:tc>
          <w:tcPr>
            <w:tcW w:w="1134" w:type="dxa"/>
            <w:noWrap w:val="0"/>
            <w:vAlign w:val="top"/>
          </w:tcPr>
          <w:p>
            <w:pPr>
              <w:spacing w:line="360" w:lineRule="auto"/>
              <w:rPr>
                <w:rFonts w:ascii="宋体" w:hAnsi="宋体" w:cs="Arial"/>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8" w:hRule="exact"/>
        </w:trPr>
        <w:tc>
          <w:tcPr>
            <w:tcW w:w="959" w:type="dxa"/>
            <w:noWrap w:val="0"/>
            <w:vAlign w:val="top"/>
          </w:tcPr>
          <w:p>
            <w:pPr>
              <w:spacing w:line="360" w:lineRule="auto"/>
              <w:rPr>
                <w:rFonts w:ascii="宋体" w:hAnsi="宋体" w:cs="Arial"/>
                <w:color w:val="auto"/>
                <w:sz w:val="21"/>
                <w:szCs w:val="21"/>
                <w:highlight w:val="none"/>
              </w:rPr>
            </w:pPr>
          </w:p>
        </w:tc>
        <w:tc>
          <w:tcPr>
            <w:tcW w:w="1134" w:type="dxa"/>
            <w:noWrap w:val="0"/>
            <w:vAlign w:val="top"/>
          </w:tcPr>
          <w:p>
            <w:pPr>
              <w:spacing w:line="360" w:lineRule="auto"/>
              <w:rPr>
                <w:rFonts w:ascii="宋体" w:hAnsi="宋体" w:cs="Arial"/>
                <w:color w:val="auto"/>
                <w:sz w:val="21"/>
                <w:szCs w:val="21"/>
                <w:highlight w:val="none"/>
              </w:rPr>
            </w:pPr>
          </w:p>
        </w:tc>
        <w:tc>
          <w:tcPr>
            <w:tcW w:w="2977" w:type="dxa"/>
            <w:tcBorders>
              <w:right w:val="single" w:color="auto" w:sz="4" w:space="0"/>
            </w:tcBorders>
            <w:noWrap w:val="0"/>
            <w:vAlign w:val="top"/>
          </w:tcPr>
          <w:p>
            <w:pPr>
              <w:spacing w:line="360" w:lineRule="auto"/>
              <w:rPr>
                <w:rFonts w:ascii="宋体" w:hAnsi="宋体" w:cs="Arial"/>
                <w:color w:val="auto"/>
                <w:sz w:val="21"/>
                <w:szCs w:val="21"/>
                <w:highlight w:val="none"/>
              </w:rPr>
            </w:pPr>
          </w:p>
        </w:tc>
        <w:tc>
          <w:tcPr>
            <w:tcW w:w="1701" w:type="dxa"/>
            <w:noWrap w:val="0"/>
            <w:vAlign w:val="top"/>
          </w:tcPr>
          <w:p>
            <w:pPr>
              <w:spacing w:line="360" w:lineRule="auto"/>
              <w:rPr>
                <w:rFonts w:ascii="宋体" w:hAnsi="宋体" w:cs="Arial"/>
                <w:color w:val="auto"/>
                <w:sz w:val="21"/>
                <w:szCs w:val="21"/>
                <w:highlight w:val="none"/>
              </w:rPr>
            </w:pPr>
          </w:p>
        </w:tc>
        <w:tc>
          <w:tcPr>
            <w:tcW w:w="1701" w:type="dxa"/>
            <w:tcBorders>
              <w:right w:val="single" w:color="auto" w:sz="4" w:space="0"/>
            </w:tcBorders>
            <w:noWrap w:val="0"/>
            <w:vAlign w:val="top"/>
          </w:tcPr>
          <w:p>
            <w:pPr>
              <w:spacing w:line="360" w:lineRule="auto"/>
              <w:rPr>
                <w:rFonts w:ascii="宋体" w:hAnsi="宋体" w:cs="Arial"/>
                <w:color w:val="auto"/>
                <w:sz w:val="21"/>
                <w:szCs w:val="21"/>
                <w:highlight w:val="none"/>
              </w:rPr>
            </w:pPr>
          </w:p>
        </w:tc>
        <w:tc>
          <w:tcPr>
            <w:tcW w:w="1134" w:type="dxa"/>
            <w:noWrap w:val="0"/>
            <w:vAlign w:val="top"/>
          </w:tcPr>
          <w:p>
            <w:pPr>
              <w:spacing w:line="360" w:lineRule="auto"/>
              <w:rPr>
                <w:rFonts w:ascii="宋体" w:hAnsi="宋体" w:cs="Arial"/>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8" w:hRule="exact"/>
        </w:trPr>
        <w:tc>
          <w:tcPr>
            <w:tcW w:w="959" w:type="dxa"/>
            <w:noWrap w:val="0"/>
            <w:vAlign w:val="top"/>
          </w:tcPr>
          <w:p>
            <w:pPr>
              <w:spacing w:line="360" w:lineRule="auto"/>
              <w:rPr>
                <w:rFonts w:ascii="宋体" w:hAnsi="宋体" w:cs="Arial"/>
                <w:color w:val="auto"/>
                <w:sz w:val="21"/>
                <w:szCs w:val="21"/>
                <w:highlight w:val="none"/>
              </w:rPr>
            </w:pPr>
          </w:p>
        </w:tc>
        <w:tc>
          <w:tcPr>
            <w:tcW w:w="1134" w:type="dxa"/>
            <w:noWrap w:val="0"/>
            <w:vAlign w:val="top"/>
          </w:tcPr>
          <w:p>
            <w:pPr>
              <w:spacing w:line="360" w:lineRule="auto"/>
              <w:rPr>
                <w:rFonts w:ascii="宋体" w:hAnsi="宋体" w:cs="Arial"/>
                <w:color w:val="auto"/>
                <w:sz w:val="21"/>
                <w:szCs w:val="21"/>
                <w:highlight w:val="none"/>
              </w:rPr>
            </w:pPr>
          </w:p>
        </w:tc>
        <w:tc>
          <w:tcPr>
            <w:tcW w:w="2977" w:type="dxa"/>
            <w:tcBorders>
              <w:right w:val="single" w:color="auto" w:sz="4" w:space="0"/>
            </w:tcBorders>
            <w:noWrap w:val="0"/>
            <w:vAlign w:val="top"/>
          </w:tcPr>
          <w:p>
            <w:pPr>
              <w:spacing w:line="360" w:lineRule="auto"/>
              <w:rPr>
                <w:rFonts w:ascii="宋体" w:hAnsi="宋体" w:cs="Arial"/>
                <w:color w:val="auto"/>
                <w:sz w:val="21"/>
                <w:szCs w:val="21"/>
                <w:highlight w:val="none"/>
              </w:rPr>
            </w:pPr>
          </w:p>
        </w:tc>
        <w:tc>
          <w:tcPr>
            <w:tcW w:w="1701" w:type="dxa"/>
            <w:noWrap w:val="0"/>
            <w:vAlign w:val="top"/>
          </w:tcPr>
          <w:p>
            <w:pPr>
              <w:spacing w:line="360" w:lineRule="auto"/>
              <w:rPr>
                <w:rFonts w:ascii="宋体" w:hAnsi="宋体" w:cs="Arial"/>
                <w:color w:val="auto"/>
                <w:sz w:val="21"/>
                <w:szCs w:val="21"/>
                <w:highlight w:val="none"/>
              </w:rPr>
            </w:pPr>
          </w:p>
        </w:tc>
        <w:tc>
          <w:tcPr>
            <w:tcW w:w="1701" w:type="dxa"/>
            <w:tcBorders>
              <w:right w:val="single" w:color="auto" w:sz="4" w:space="0"/>
            </w:tcBorders>
            <w:noWrap w:val="0"/>
            <w:vAlign w:val="top"/>
          </w:tcPr>
          <w:p>
            <w:pPr>
              <w:spacing w:line="360" w:lineRule="auto"/>
              <w:rPr>
                <w:rFonts w:ascii="宋体" w:hAnsi="宋体" w:cs="Arial"/>
                <w:color w:val="auto"/>
                <w:sz w:val="21"/>
                <w:szCs w:val="21"/>
                <w:highlight w:val="none"/>
              </w:rPr>
            </w:pPr>
          </w:p>
        </w:tc>
        <w:tc>
          <w:tcPr>
            <w:tcW w:w="1134" w:type="dxa"/>
            <w:noWrap w:val="0"/>
            <w:vAlign w:val="top"/>
          </w:tcPr>
          <w:p>
            <w:pPr>
              <w:spacing w:line="360" w:lineRule="auto"/>
              <w:rPr>
                <w:rFonts w:ascii="宋体" w:hAnsi="宋体" w:cs="Arial"/>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8" w:hRule="exact"/>
        </w:trPr>
        <w:tc>
          <w:tcPr>
            <w:tcW w:w="959" w:type="dxa"/>
            <w:noWrap w:val="0"/>
            <w:vAlign w:val="top"/>
          </w:tcPr>
          <w:p>
            <w:pPr>
              <w:spacing w:line="360" w:lineRule="auto"/>
              <w:rPr>
                <w:rFonts w:ascii="宋体" w:hAnsi="宋体" w:cs="Arial"/>
                <w:color w:val="auto"/>
                <w:sz w:val="21"/>
                <w:szCs w:val="21"/>
                <w:highlight w:val="none"/>
              </w:rPr>
            </w:pPr>
          </w:p>
        </w:tc>
        <w:tc>
          <w:tcPr>
            <w:tcW w:w="1134" w:type="dxa"/>
            <w:noWrap w:val="0"/>
            <w:vAlign w:val="top"/>
          </w:tcPr>
          <w:p>
            <w:pPr>
              <w:spacing w:line="360" w:lineRule="auto"/>
              <w:rPr>
                <w:rFonts w:ascii="宋体" w:hAnsi="宋体" w:cs="Arial"/>
                <w:color w:val="auto"/>
                <w:sz w:val="21"/>
                <w:szCs w:val="21"/>
                <w:highlight w:val="none"/>
              </w:rPr>
            </w:pPr>
          </w:p>
        </w:tc>
        <w:tc>
          <w:tcPr>
            <w:tcW w:w="2977" w:type="dxa"/>
            <w:tcBorders>
              <w:right w:val="single" w:color="auto" w:sz="4" w:space="0"/>
            </w:tcBorders>
            <w:noWrap w:val="0"/>
            <w:vAlign w:val="top"/>
          </w:tcPr>
          <w:p>
            <w:pPr>
              <w:spacing w:line="360" w:lineRule="auto"/>
              <w:rPr>
                <w:rFonts w:ascii="宋体" w:hAnsi="宋体" w:cs="Arial"/>
                <w:color w:val="auto"/>
                <w:sz w:val="21"/>
                <w:szCs w:val="21"/>
                <w:highlight w:val="none"/>
              </w:rPr>
            </w:pPr>
          </w:p>
        </w:tc>
        <w:tc>
          <w:tcPr>
            <w:tcW w:w="1701" w:type="dxa"/>
            <w:noWrap w:val="0"/>
            <w:vAlign w:val="top"/>
          </w:tcPr>
          <w:p>
            <w:pPr>
              <w:spacing w:line="360" w:lineRule="auto"/>
              <w:rPr>
                <w:rFonts w:ascii="宋体" w:hAnsi="宋体" w:cs="Arial"/>
                <w:color w:val="auto"/>
                <w:sz w:val="21"/>
                <w:szCs w:val="21"/>
                <w:highlight w:val="none"/>
              </w:rPr>
            </w:pPr>
          </w:p>
        </w:tc>
        <w:tc>
          <w:tcPr>
            <w:tcW w:w="1701" w:type="dxa"/>
            <w:tcBorders>
              <w:right w:val="single" w:color="auto" w:sz="4" w:space="0"/>
            </w:tcBorders>
            <w:noWrap w:val="0"/>
            <w:vAlign w:val="top"/>
          </w:tcPr>
          <w:p>
            <w:pPr>
              <w:spacing w:line="360" w:lineRule="auto"/>
              <w:rPr>
                <w:rFonts w:ascii="宋体" w:hAnsi="宋体" w:cs="Arial"/>
                <w:color w:val="auto"/>
                <w:sz w:val="21"/>
                <w:szCs w:val="21"/>
                <w:highlight w:val="none"/>
              </w:rPr>
            </w:pPr>
          </w:p>
        </w:tc>
        <w:tc>
          <w:tcPr>
            <w:tcW w:w="1134" w:type="dxa"/>
            <w:noWrap w:val="0"/>
            <w:vAlign w:val="top"/>
          </w:tcPr>
          <w:p>
            <w:pPr>
              <w:spacing w:line="360" w:lineRule="auto"/>
              <w:rPr>
                <w:rFonts w:ascii="宋体" w:hAnsi="宋体" w:cs="Arial"/>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8" w:hRule="exact"/>
        </w:trPr>
        <w:tc>
          <w:tcPr>
            <w:tcW w:w="959" w:type="dxa"/>
            <w:noWrap w:val="0"/>
            <w:vAlign w:val="top"/>
          </w:tcPr>
          <w:p>
            <w:pPr>
              <w:spacing w:line="360" w:lineRule="auto"/>
              <w:rPr>
                <w:rFonts w:ascii="宋体" w:hAnsi="宋体" w:cs="Arial"/>
                <w:color w:val="auto"/>
                <w:sz w:val="21"/>
                <w:szCs w:val="21"/>
                <w:highlight w:val="none"/>
              </w:rPr>
            </w:pPr>
          </w:p>
        </w:tc>
        <w:tc>
          <w:tcPr>
            <w:tcW w:w="1134" w:type="dxa"/>
            <w:noWrap w:val="0"/>
            <w:vAlign w:val="top"/>
          </w:tcPr>
          <w:p>
            <w:pPr>
              <w:spacing w:line="360" w:lineRule="auto"/>
              <w:rPr>
                <w:rFonts w:ascii="宋体" w:hAnsi="宋体" w:cs="Arial"/>
                <w:color w:val="auto"/>
                <w:sz w:val="21"/>
                <w:szCs w:val="21"/>
                <w:highlight w:val="none"/>
              </w:rPr>
            </w:pPr>
          </w:p>
        </w:tc>
        <w:tc>
          <w:tcPr>
            <w:tcW w:w="2977" w:type="dxa"/>
            <w:tcBorders>
              <w:right w:val="single" w:color="auto" w:sz="4" w:space="0"/>
            </w:tcBorders>
            <w:noWrap w:val="0"/>
            <w:vAlign w:val="top"/>
          </w:tcPr>
          <w:p>
            <w:pPr>
              <w:spacing w:line="360" w:lineRule="auto"/>
              <w:rPr>
                <w:rFonts w:ascii="宋体" w:hAnsi="宋体" w:cs="Arial"/>
                <w:color w:val="auto"/>
                <w:sz w:val="21"/>
                <w:szCs w:val="21"/>
                <w:highlight w:val="none"/>
              </w:rPr>
            </w:pPr>
          </w:p>
        </w:tc>
        <w:tc>
          <w:tcPr>
            <w:tcW w:w="1701" w:type="dxa"/>
            <w:noWrap w:val="0"/>
            <w:vAlign w:val="top"/>
          </w:tcPr>
          <w:p>
            <w:pPr>
              <w:spacing w:line="360" w:lineRule="auto"/>
              <w:rPr>
                <w:rFonts w:ascii="宋体" w:hAnsi="宋体" w:cs="Arial"/>
                <w:color w:val="auto"/>
                <w:sz w:val="21"/>
                <w:szCs w:val="21"/>
                <w:highlight w:val="none"/>
              </w:rPr>
            </w:pPr>
          </w:p>
        </w:tc>
        <w:tc>
          <w:tcPr>
            <w:tcW w:w="1701" w:type="dxa"/>
            <w:tcBorders>
              <w:right w:val="single" w:color="auto" w:sz="4" w:space="0"/>
            </w:tcBorders>
            <w:noWrap w:val="0"/>
            <w:vAlign w:val="top"/>
          </w:tcPr>
          <w:p>
            <w:pPr>
              <w:spacing w:line="360" w:lineRule="auto"/>
              <w:rPr>
                <w:rFonts w:ascii="宋体" w:hAnsi="宋体" w:cs="Arial"/>
                <w:color w:val="auto"/>
                <w:sz w:val="21"/>
                <w:szCs w:val="21"/>
                <w:highlight w:val="none"/>
              </w:rPr>
            </w:pPr>
          </w:p>
        </w:tc>
        <w:tc>
          <w:tcPr>
            <w:tcW w:w="1134" w:type="dxa"/>
            <w:noWrap w:val="0"/>
            <w:vAlign w:val="top"/>
          </w:tcPr>
          <w:p>
            <w:pPr>
              <w:spacing w:line="360" w:lineRule="auto"/>
              <w:rPr>
                <w:rFonts w:ascii="宋体" w:hAnsi="宋体" w:cs="Arial"/>
                <w:color w:val="auto"/>
                <w:sz w:val="21"/>
                <w:szCs w:val="21"/>
                <w:highlight w:val="none"/>
              </w:rPr>
            </w:pPr>
          </w:p>
        </w:tc>
      </w:tr>
    </w:tbl>
    <w:p>
      <w:pPr>
        <w:pStyle w:val="23"/>
        <w:tabs>
          <w:tab w:val="left" w:pos="0"/>
          <w:tab w:val="left" w:pos="540"/>
        </w:tabs>
        <w:spacing w:before="120" w:after="120" w:line="360" w:lineRule="auto"/>
        <w:jc w:val="left"/>
        <w:rPr>
          <w:rFonts w:hAnsi="宋体"/>
          <w:color w:val="auto"/>
          <w:sz w:val="21"/>
          <w:szCs w:val="21"/>
          <w:highlight w:val="none"/>
        </w:rPr>
      </w:pPr>
      <w:r>
        <w:rPr>
          <w:rFonts w:hAnsi="宋体" w:cs="Arial"/>
          <w:color w:val="auto"/>
          <w:sz w:val="21"/>
          <w:szCs w:val="21"/>
          <w:highlight w:val="none"/>
        </w:rPr>
        <w:t>注：</w:t>
      </w:r>
      <w:r>
        <w:rPr>
          <w:rFonts w:hint="eastAsia" w:hAnsi="宋体" w:cs="Arial"/>
          <w:color w:val="auto"/>
          <w:sz w:val="21"/>
          <w:szCs w:val="21"/>
          <w:highlight w:val="none"/>
        </w:rPr>
        <w:t>（1）</w:t>
      </w:r>
      <w:r>
        <w:rPr>
          <w:rFonts w:hAnsi="宋体" w:cs="Arial"/>
          <w:color w:val="auto"/>
          <w:sz w:val="21"/>
          <w:szCs w:val="21"/>
          <w:highlight w:val="none"/>
        </w:rPr>
        <w:t>此表仅提供了表格</w:t>
      </w:r>
      <w:r>
        <w:rPr>
          <w:rFonts w:hint="eastAsia" w:hAnsi="宋体" w:cs="Arial"/>
          <w:color w:val="auto"/>
          <w:sz w:val="21"/>
          <w:szCs w:val="21"/>
          <w:highlight w:val="none"/>
        </w:rPr>
        <w:t>格式</w:t>
      </w:r>
      <w:r>
        <w:rPr>
          <w:rFonts w:hAnsi="宋体" w:cs="Arial"/>
          <w:color w:val="auto"/>
          <w:sz w:val="21"/>
          <w:szCs w:val="21"/>
          <w:highlight w:val="none"/>
        </w:rPr>
        <w:t>，供应商可</w:t>
      </w:r>
      <w:r>
        <w:rPr>
          <w:rFonts w:hint="eastAsia" w:hAnsi="宋体" w:cs="Arial"/>
          <w:color w:val="auto"/>
          <w:sz w:val="21"/>
          <w:szCs w:val="21"/>
          <w:highlight w:val="none"/>
        </w:rPr>
        <w:t>根据需要增减行数</w:t>
      </w:r>
      <w:r>
        <w:rPr>
          <w:rFonts w:hAnsi="宋体" w:cs="Arial"/>
          <w:color w:val="auto"/>
          <w:sz w:val="21"/>
          <w:szCs w:val="21"/>
          <w:highlight w:val="none"/>
        </w:rPr>
        <w:t>。</w:t>
      </w:r>
      <w:r>
        <w:rPr>
          <w:rFonts w:hAnsi="宋体"/>
          <w:color w:val="auto"/>
          <w:sz w:val="21"/>
          <w:szCs w:val="21"/>
          <w:highlight w:val="none"/>
        </w:rPr>
        <w:t>列入本表人员如要更换，需经</w:t>
      </w:r>
      <w:r>
        <w:rPr>
          <w:rFonts w:hint="eastAsia" w:hAnsi="宋体"/>
          <w:color w:val="auto"/>
          <w:sz w:val="21"/>
          <w:szCs w:val="21"/>
          <w:highlight w:val="none"/>
          <w:lang w:eastAsia="zh-CN"/>
        </w:rPr>
        <w:t>瑶溪街道</w:t>
      </w:r>
      <w:r>
        <w:rPr>
          <w:rFonts w:hAnsi="宋体"/>
          <w:color w:val="auto"/>
          <w:sz w:val="21"/>
          <w:szCs w:val="21"/>
          <w:highlight w:val="none"/>
        </w:rPr>
        <w:t>同意；擅自更换或不到位属违约行为</w:t>
      </w:r>
      <w:r>
        <w:rPr>
          <w:rFonts w:hint="eastAsia" w:hAnsi="宋体"/>
          <w:color w:val="auto"/>
          <w:sz w:val="21"/>
          <w:szCs w:val="21"/>
          <w:highlight w:val="none"/>
        </w:rPr>
        <w:t>。</w:t>
      </w:r>
    </w:p>
    <w:p>
      <w:pPr>
        <w:pStyle w:val="23"/>
        <w:tabs>
          <w:tab w:val="left" w:pos="0"/>
          <w:tab w:val="left" w:pos="540"/>
        </w:tabs>
        <w:spacing w:before="120" w:after="120" w:line="360" w:lineRule="auto"/>
        <w:ind w:firstLine="420" w:firstLineChars="200"/>
        <w:jc w:val="left"/>
        <w:rPr>
          <w:rFonts w:hint="eastAsia" w:hAnsi="宋体" w:eastAsia="宋体"/>
          <w:color w:val="auto"/>
          <w:sz w:val="21"/>
          <w:szCs w:val="21"/>
          <w:highlight w:val="none"/>
          <w:lang w:eastAsia="zh-CN"/>
        </w:rPr>
      </w:pPr>
      <w:r>
        <w:rPr>
          <w:rFonts w:hint="eastAsia" w:hAnsi="宋体"/>
          <w:color w:val="auto"/>
          <w:sz w:val="21"/>
          <w:szCs w:val="21"/>
          <w:highlight w:val="none"/>
        </w:rPr>
        <w:t>（2）</w:t>
      </w:r>
      <w:r>
        <w:rPr>
          <w:rFonts w:hint="eastAsia" w:ascii="宋体" w:hAnsi="宋体" w:cs="Arial"/>
          <w:color w:val="auto"/>
          <w:sz w:val="21"/>
          <w:szCs w:val="21"/>
          <w:highlight w:val="none"/>
        </w:rPr>
        <w:t>项目负责人需提供在投标单位缴纳社保近</w:t>
      </w:r>
      <w:r>
        <w:rPr>
          <w:rFonts w:ascii="宋体" w:hAnsi="宋体" w:cs="Arial"/>
          <w:color w:val="auto"/>
          <w:sz w:val="21"/>
          <w:szCs w:val="21"/>
          <w:highlight w:val="none"/>
        </w:rPr>
        <w:t>6</w:t>
      </w:r>
      <w:r>
        <w:rPr>
          <w:rFonts w:hint="eastAsia" w:ascii="宋体" w:hAnsi="宋体" w:cs="Arial"/>
          <w:color w:val="auto"/>
          <w:sz w:val="21"/>
          <w:szCs w:val="21"/>
          <w:highlight w:val="none"/>
        </w:rPr>
        <w:t>个月社保缴纳证明或持股证明</w:t>
      </w:r>
      <w:r>
        <w:rPr>
          <w:rFonts w:hint="eastAsia" w:hAnsi="宋体" w:cs="Arial"/>
          <w:color w:val="auto"/>
          <w:sz w:val="21"/>
          <w:szCs w:val="21"/>
          <w:highlight w:val="none"/>
          <w:lang w:eastAsia="zh-CN"/>
        </w:rPr>
        <w:t>。</w:t>
      </w:r>
    </w:p>
    <w:p>
      <w:pPr>
        <w:pStyle w:val="23"/>
        <w:spacing w:before="120" w:after="120"/>
        <w:ind w:left="7105" w:leftChars="2500" w:hanging="105" w:hangingChars="50"/>
        <w:rPr>
          <w:rFonts w:hAnsi="宋体" w:cs="新宋体"/>
          <w:bCs/>
          <w:color w:val="auto"/>
          <w:sz w:val="21"/>
          <w:szCs w:val="21"/>
          <w:highlight w:val="none"/>
        </w:rPr>
      </w:pPr>
    </w:p>
    <w:p>
      <w:pPr>
        <w:pStyle w:val="23"/>
        <w:spacing w:before="120" w:after="120" w:line="360" w:lineRule="auto"/>
        <w:ind w:left="560" w:leftChars="200"/>
        <w:rPr>
          <w:rFonts w:hAnsi="宋体"/>
          <w:color w:val="auto"/>
          <w:sz w:val="21"/>
          <w:szCs w:val="21"/>
          <w:highlight w:val="none"/>
        </w:rPr>
      </w:pPr>
      <w:r>
        <w:rPr>
          <w:rFonts w:hint="eastAsia" w:hAnsi="宋体"/>
          <w:color w:val="auto"/>
          <w:sz w:val="21"/>
          <w:szCs w:val="21"/>
          <w:highlight w:val="none"/>
        </w:rPr>
        <w:t xml:space="preserve">投标人（盖公章）：                 </w:t>
      </w:r>
    </w:p>
    <w:p>
      <w:pPr>
        <w:pStyle w:val="23"/>
        <w:spacing w:before="120" w:after="120" w:line="360" w:lineRule="auto"/>
        <w:ind w:left="560" w:leftChars="200"/>
        <w:rPr>
          <w:rFonts w:hAnsi="宋体"/>
          <w:color w:val="auto"/>
          <w:sz w:val="21"/>
          <w:szCs w:val="21"/>
          <w:highlight w:val="none"/>
        </w:rPr>
      </w:pPr>
      <w:r>
        <w:rPr>
          <w:rFonts w:hint="eastAsia" w:hAnsi="宋体"/>
          <w:color w:val="auto"/>
          <w:sz w:val="21"/>
          <w:szCs w:val="21"/>
          <w:highlight w:val="none"/>
        </w:rPr>
        <w:t xml:space="preserve">投标人法定代表人或授权代表（签字或盖章）：        </w:t>
      </w:r>
    </w:p>
    <w:p>
      <w:pPr>
        <w:spacing w:line="360" w:lineRule="auto"/>
        <w:ind w:left="560" w:leftChars="200"/>
        <w:rPr>
          <w:rFonts w:hAnsi="宋体"/>
          <w:color w:val="auto"/>
          <w:sz w:val="21"/>
          <w:szCs w:val="21"/>
          <w:highlight w:val="none"/>
        </w:rPr>
      </w:pPr>
      <w:r>
        <w:rPr>
          <w:rFonts w:hint="eastAsia" w:hAnsi="宋体"/>
          <w:color w:val="auto"/>
          <w:sz w:val="21"/>
          <w:szCs w:val="21"/>
          <w:highlight w:val="none"/>
        </w:rPr>
        <w:t>日期：    年  月  日</w:t>
      </w:r>
    </w:p>
    <w:p>
      <w:pPr>
        <w:pStyle w:val="2"/>
        <w:ind w:firstLine="280"/>
        <w:rPr>
          <w:rFonts w:hint="eastAsia"/>
          <w:color w:val="auto"/>
          <w:highlight w:val="none"/>
        </w:rPr>
      </w:pPr>
      <w:r>
        <w:rPr>
          <w:color w:val="auto"/>
          <w:highlight w:val="none"/>
        </w:rPr>
        <w:br w:type="page"/>
      </w:r>
    </w:p>
    <w:p>
      <w:pPr>
        <w:pStyle w:val="2"/>
        <w:ind w:firstLine="280"/>
        <w:rPr>
          <w:rFonts w:hint="eastAsia"/>
          <w:color w:val="auto"/>
          <w:highlight w:val="none"/>
        </w:rPr>
      </w:pPr>
    </w:p>
    <w:p>
      <w:pPr>
        <w:pStyle w:val="2"/>
        <w:ind w:firstLine="280"/>
        <w:rPr>
          <w:rFonts w:hint="eastAsia"/>
          <w:color w:val="auto"/>
          <w:highlight w:val="none"/>
        </w:rPr>
      </w:pPr>
    </w:p>
    <w:p>
      <w:pPr>
        <w:pStyle w:val="2"/>
        <w:ind w:firstLine="241"/>
        <w:jc w:val="center"/>
        <w:rPr>
          <w:rFonts w:ascii="宋体" w:hAnsi="宋体" w:cs="宋体"/>
          <w:b/>
          <w:color w:val="auto"/>
          <w:sz w:val="24"/>
          <w:highlight w:val="none"/>
        </w:rPr>
      </w:pPr>
      <w:r>
        <w:rPr>
          <w:rFonts w:hint="eastAsia" w:ascii="宋体" w:hAnsi="宋体" w:cs="宋体"/>
          <w:b/>
          <w:color w:val="auto"/>
          <w:sz w:val="24"/>
          <w:highlight w:val="none"/>
        </w:rPr>
        <w:t>相关证书扫描件加盖公章（如有则提供）</w:t>
      </w:r>
    </w:p>
    <w:p>
      <w:pPr>
        <w:pStyle w:val="2"/>
        <w:ind w:firstLine="280"/>
        <w:rPr>
          <w:color w:val="auto"/>
          <w:highlight w:val="none"/>
        </w:rPr>
      </w:pPr>
    </w:p>
    <w:p>
      <w:pPr>
        <w:pStyle w:val="2"/>
        <w:ind w:firstLine="280"/>
        <w:rPr>
          <w:rFonts w:hint="eastAsia"/>
          <w:color w:val="auto"/>
          <w:highlight w:val="none"/>
        </w:rPr>
      </w:pPr>
      <w:r>
        <w:rPr>
          <w:color w:val="auto"/>
          <w:highlight w:val="none"/>
        </w:rPr>
        <w:br w:type="page"/>
      </w:r>
    </w:p>
    <w:p>
      <w:pPr>
        <w:snapToGrid w:val="0"/>
        <w:spacing w:before="120" w:beforeLines="50" w:after="50" w:line="360" w:lineRule="auto"/>
        <w:jc w:val="center"/>
        <w:rPr>
          <w:rFonts w:hint="eastAsia"/>
          <w:b/>
          <w:color w:val="auto"/>
          <w:sz w:val="30"/>
          <w:szCs w:val="30"/>
          <w:highlight w:val="none"/>
        </w:rPr>
      </w:pPr>
      <w:r>
        <w:rPr>
          <w:rFonts w:hint="eastAsia"/>
          <w:b/>
          <w:color w:val="auto"/>
          <w:sz w:val="30"/>
          <w:szCs w:val="30"/>
          <w:highlight w:val="none"/>
        </w:rPr>
        <w:t>拟投入设备一览表</w:t>
      </w:r>
    </w:p>
    <w:p>
      <w:pPr>
        <w:spacing w:line="360" w:lineRule="auto"/>
        <w:jc w:val="center"/>
        <w:rPr>
          <w:rFonts w:hint="eastAsia" w:ascii="宋体" w:hAnsi="宋体"/>
          <w:color w:val="auto"/>
          <w:sz w:val="21"/>
          <w:szCs w:val="21"/>
          <w:highlight w:val="none"/>
        </w:rPr>
      </w:pPr>
      <w:r>
        <w:rPr>
          <w:rFonts w:ascii="Arial" w:hAnsi="Arial" w:cs="Arial"/>
          <w:b/>
          <w:color w:val="auto"/>
          <w:szCs w:val="28"/>
          <w:highlight w:val="none"/>
        </w:rPr>
        <w:t>（1）进场作业</w:t>
      </w:r>
      <w:r>
        <w:rPr>
          <w:rFonts w:hint="eastAsia" w:ascii="Arial" w:hAnsi="Arial" w:cs="Arial"/>
          <w:b/>
          <w:color w:val="auto"/>
          <w:szCs w:val="28"/>
          <w:highlight w:val="none"/>
        </w:rPr>
        <w:t>车辆/船只</w:t>
      </w:r>
      <w:r>
        <w:rPr>
          <w:rFonts w:ascii="Arial" w:hAnsi="Arial" w:cs="Arial"/>
          <w:b/>
          <w:color w:val="auto"/>
          <w:szCs w:val="28"/>
          <w:highlight w:val="none"/>
        </w:rPr>
        <w:t>明细表</w:t>
      </w:r>
    </w:p>
    <w:p>
      <w:pPr>
        <w:spacing w:line="360" w:lineRule="auto"/>
        <w:rPr>
          <w:rFonts w:hint="eastAsia" w:ascii="宋体" w:hAnsi="宋体" w:eastAsia="宋体"/>
          <w:color w:val="auto"/>
          <w:sz w:val="21"/>
          <w:szCs w:val="21"/>
          <w:highlight w:val="none"/>
          <w:lang w:eastAsia="zh-CN"/>
        </w:rPr>
      </w:pPr>
      <w:r>
        <w:rPr>
          <w:rFonts w:hint="eastAsia" w:ascii="宋体" w:hAnsi="宋体"/>
          <w:color w:val="auto"/>
          <w:sz w:val="21"/>
          <w:szCs w:val="21"/>
          <w:highlight w:val="none"/>
        </w:rPr>
        <w:t>项目名称：龙湾区瑶溪街道环卫保洁一体化项目       项目编号：</w:t>
      </w:r>
      <w:r>
        <w:rPr>
          <w:rFonts w:hint="eastAsia" w:ascii="宋体" w:hAnsi="宋体"/>
          <w:color w:val="auto"/>
          <w:sz w:val="21"/>
          <w:szCs w:val="21"/>
          <w:highlight w:val="none"/>
          <w:lang w:eastAsia="zh-CN"/>
        </w:rPr>
        <w:t>WZHC-20220923</w:t>
      </w:r>
    </w:p>
    <w:tbl>
      <w:tblPr>
        <w:tblStyle w:val="42"/>
        <w:tblW w:w="1007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25"/>
        <w:gridCol w:w="1106"/>
        <w:gridCol w:w="1041"/>
        <w:gridCol w:w="966"/>
        <w:gridCol w:w="1044"/>
        <w:gridCol w:w="696"/>
        <w:gridCol w:w="927"/>
        <w:gridCol w:w="947"/>
        <w:gridCol w:w="1313"/>
        <w:gridCol w:w="131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36" w:hRule="atLeast"/>
          <w:jc w:val="center"/>
        </w:trPr>
        <w:tc>
          <w:tcPr>
            <w:tcW w:w="725" w:type="dxa"/>
            <w:noWrap w:val="0"/>
            <w:vAlign w:val="center"/>
          </w:tcPr>
          <w:p>
            <w:pPr>
              <w:ind w:left="-140" w:leftChars="-50" w:right="-140" w:rightChars="-50"/>
              <w:jc w:val="center"/>
              <w:rPr>
                <w:rFonts w:ascii="宋体" w:hAnsi="宋体" w:cs="Arial"/>
                <w:b/>
                <w:color w:val="auto"/>
                <w:sz w:val="21"/>
                <w:szCs w:val="21"/>
                <w:highlight w:val="none"/>
              </w:rPr>
            </w:pPr>
            <w:r>
              <w:rPr>
                <w:rFonts w:ascii="宋体" w:hAnsi="宋体" w:cs="Arial"/>
                <w:b/>
                <w:color w:val="auto"/>
                <w:sz w:val="21"/>
                <w:szCs w:val="21"/>
                <w:highlight w:val="none"/>
              </w:rPr>
              <w:t>序号</w:t>
            </w:r>
          </w:p>
        </w:tc>
        <w:tc>
          <w:tcPr>
            <w:tcW w:w="1106" w:type="dxa"/>
            <w:noWrap w:val="0"/>
            <w:vAlign w:val="center"/>
          </w:tcPr>
          <w:p>
            <w:pPr>
              <w:ind w:left="-140" w:leftChars="-50" w:right="-140" w:rightChars="-50"/>
              <w:jc w:val="center"/>
              <w:rPr>
                <w:rFonts w:ascii="宋体" w:hAnsi="宋体" w:cs="Arial"/>
                <w:b/>
                <w:color w:val="auto"/>
                <w:sz w:val="21"/>
                <w:szCs w:val="21"/>
                <w:highlight w:val="none"/>
              </w:rPr>
            </w:pPr>
            <w:r>
              <w:rPr>
                <w:rFonts w:ascii="宋体" w:hAnsi="宋体" w:cs="Arial"/>
                <w:b/>
                <w:color w:val="auto"/>
                <w:sz w:val="21"/>
                <w:szCs w:val="21"/>
                <w:highlight w:val="none"/>
              </w:rPr>
              <w:t>设备名称</w:t>
            </w:r>
          </w:p>
        </w:tc>
        <w:tc>
          <w:tcPr>
            <w:tcW w:w="1041" w:type="dxa"/>
            <w:noWrap w:val="0"/>
            <w:vAlign w:val="center"/>
          </w:tcPr>
          <w:p>
            <w:pPr>
              <w:ind w:left="-140" w:leftChars="-50" w:right="-140" w:rightChars="-50"/>
              <w:jc w:val="center"/>
              <w:rPr>
                <w:rFonts w:ascii="宋体" w:hAnsi="宋体" w:cs="Arial"/>
                <w:b/>
                <w:color w:val="auto"/>
                <w:sz w:val="21"/>
                <w:szCs w:val="21"/>
                <w:highlight w:val="none"/>
              </w:rPr>
            </w:pPr>
            <w:r>
              <w:rPr>
                <w:rFonts w:ascii="宋体" w:hAnsi="宋体" w:cs="Arial"/>
                <w:b/>
                <w:color w:val="auto"/>
                <w:sz w:val="21"/>
                <w:szCs w:val="21"/>
                <w:highlight w:val="none"/>
              </w:rPr>
              <w:t>规格型号</w:t>
            </w:r>
          </w:p>
        </w:tc>
        <w:tc>
          <w:tcPr>
            <w:tcW w:w="966" w:type="dxa"/>
            <w:noWrap w:val="0"/>
            <w:vAlign w:val="center"/>
          </w:tcPr>
          <w:p>
            <w:pPr>
              <w:ind w:left="-140" w:leftChars="-50" w:right="-140" w:rightChars="-50"/>
              <w:jc w:val="center"/>
              <w:rPr>
                <w:rFonts w:ascii="宋体" w:hAnsi="宋体" w:cs="Arial"/>
                <w:b/>
                <w:color w:val="auto"/>
                <w:sz w:val="21"/>
                <w:szCs w:val="21"/>
                <w:highlight w:val="none"/>
              </w:rPr>
            </w:pPr>
            <w:r>
              <w:rPr>
                <w:rFonts w:ascii="宋体" w:hAnsi="宋体" w:cs="Arial"/>
                <w:b/>
                <w:color w:val="auto"/>
                <w:sz w:val="21"/>
                <w:szCs w:val="21"/>
                <w:highlight w:val="none"/>
              </w:rPr>
              <w:t>品牌/产地</w:t>
            </w:r>
          </w:p>
        </w:tc>
        <w:tc>
          <w:tcPr>
            <w:tcW w:w="1044" w:type="dxa"/>
            <w:noWrap w:val="0"/>
            <w:vAlign w:val="center"/>
          </w:tcPr>
          <w:p>
            <w:pPr>
              <w:ind w:left="-140" w:leftChars="-50" w:right="-140" w:rightChars="-50"/>
              <w:jc w:val="center"/>
              <w:rPr>
                <w:rFonts w:ascii="宋体" w:hAnsi="宋体" w:cs="Arial"/>
                <w:b/>
                <w:color w:val="auto"/>
                <w:sz w:val="21"/>
                <w:szCs w:val="21"/>
                <w:highlight w:val="none"/>
              </w:rPr>
            </w:pPr>
            <w:r>
              <w:rPr>
                <w:rFonts w:ascii="宋体" w:hAnsi="宋体" w:cs="Arial"/>
                <w:b/>
                <w:color w:val="auto"/>
                <w:sz w:val="21"/>
                <w:szCs w:val="21"/>
                <w:highlight w:val="none"/>
              </w:rPr>
              <w:t>核定载重量（kg）</w:t>
            </w:r>
          </w:p>
        </w:tc>
        <w:tc>
          <w:tcPr>
            <w:tcW w:w="696" w:type="dxa"/>
            <w:noWrap w:val="0"/>
            <w:vAlign w:val="center"/>
          </w:tcPr>
          <w:p>
            <w:pPr>
              <w:ind w:left="-140" w:leftChars="-50" w:right="-140" w:rightChars="-50"/>
              <w:jc w:val="center"/>
              <w:rPr>
                <w:rFonts w:ascii="宋体" w:hAnsi="宋体" w:cs="Arial"/>
                <w:b/>
                <w:color w:val="auto"/>
                <w:sz w:val="21"/>
                <w:szCs w:val="21"/>
                <w:highlight w:val="none"/>
              </w:rPr>
            </w:pPr>
            <w:r>
              <w:rPr>
                <w:rFonts w:ascii="宋体" w:hAnsi="宋体" w:cs="Arial"/>
                <w:b/>
                <w:color w:val="auto"/>
                <w:sz w:val="21"/>
                <w:szCs w:val="21"/>
                <w:highlight w:val="none"/>
              </w:rPr>
              <w:t>数量（台）</w:t>
            </w:r>
          </w:p>
        </w:tc>
        <w:tc>
          <w:tcPr>
            <w:tcW w:w="927" w:type="dxa"/>
            <w:noWrap w:val="0"/>
            <w:vAlign w:val="center"/>
          </w:tcPr>
          <w:p>
            <w:pPr>
              <w:ind w:left="-140" w:leftChars="-50" w:right="-140" w:rightChars="-50"/>
              <w:jc w:val="center"/>
              <w:rPr>
                <w:rFonts w:ascii="宋体" w:hAnsi="宋体" w:cs="Arial"/>
                <w:b/>
                <w:color w:val="auto"/>
                <w:sz w:val="21"/>
                <w:szCs w:val="21"/>
                <w:highlight w:val="none"/>
              </w:rPr>
            </w:pPr>
            <w:r>
              <w:rPr>
                <w:rFonts w:ascii="宋体" w:hAnsi="宋体" w:cs="Arial"/>
                <w:b/>
                <w:color w:val="auto"/>
                <w:sz w:val="21"/>
                <w:szCs w:val="21"/>
                <w:highlight w:val="none"/>
              </w:rPr>
              <w:t>价格(元)</w:t>
            </w:r>
          </w:p>
        </w:tc>
        <w:tc>
          <w:tcPr>
            <w:tcW w:w="947" w:type="dxa"/>
            <w:noWrap w:val="0"/>
            <w:vAlign w:val="center"/>
          </w:tcPr>
          <w:p>
            <w:pPr>
              <w:ind w:left="-140" w:leftChars="-50" w:right="-140" w:rightChars="-50"/>
              <w:jc w:val="center"/>
              <w:rPr>
                <w:rFonts w:ascii="宋体" w:hAnsi="宋体" w:cs="Arial"/>
                <w:b/>
                <w:color w:val="auto"/>
                <w:sz w:val="21"/>
                <w:szCs w:val="21"/>
                <w:highlight w:val="none"/>
              </w:rPr>
            </w:pPr>
            <w:r>
              <w:rPr>
                <w:rFonts w:ascii="宋体" w:hAnsi="宋体" w:cs="Arial"/>
                <w:b/>
                <w:color w:val="auto"/>
                <w:sz w:val="21"/>
                <w:szCs w:val="21"/>
                <w:highlight w:val="none"/>
              </w:rPr>
              <w:t>车辆持有形式</w:t>
            </w:r>
          </w:p>
        </w:tc>
        <w:tc>
          <w:tcPr>
            <w:tcW w:w="1313" w:type="dxa"/>
            <w:noWrap w:val="0"/>
            <w:vAlign w:val="center"/>
          </w:tcPr>
          <w:p>
            <w:pPr>
              <w:ind w:left="-140" w:leftChars="-50" w:right="-140" w:rightChars="-50"/>
              <w:jc w:val="center"/>
              <w:rPr>
                <w:rFonts w:ascii="宋体" w:hAnsi="宋体" w:cs="Arial"/>
                <w:b/>
                <w:color w:val="auto"/>
                <w:sz w:val="21"/>
                <w:szCs w:val="21"/>
                <w:highlight w:val="none"/>
              </w:rPr>
            </w:pPr>
            <w:r>
              <w:rPr>
                <w:rFonts w:hint="eastAsia" w:ascii="宋体" w:hAnsi="宋体" w:cs="Arial"/>
                <w:b/>
                <w:color w:val="auto"/>
                <w:sz w:val="21"/>
                <w:szCs w:val="21"/>
                <w:highlight w:val="none"/>
              </w:rPr>
              <w:t>排放标准</w:t>
            </w:r>
          </w:p>
        </w:tc>
        <w:tc>
          <w:tcPr>
            <w:tcW w:w="1313" w:type="dxa"/>
            <w:noWrap w:val="0"/>
            <w:vAlign w:val="center"/>
          </w:tcPr>
          <w:p>
            <w:pPr>
              <w:ind w:left="-140" w:leftChars="-50" w:right="-140" w:rightChars="-50"/>
              <w:jc w:val="center"/>
              <w:rPr>
                <w:rFonts w:hint="eastAsia" w:ascii="宋体" w:hAnsi="宋体" w:cs="Arial"/>
                <w:b/>
                <w:color w:val="auto"/>
                <w:sz w:val="21"/>
                <w:szCs w:val="21"/>
                <w:highlight w:val="none"/>
              </w:rPr>
            </w:pPr>
            <w:r>
              <w:rPr>
                <w:rFonts w:hint="eastAsia" w:ascii="宋体" w:hAnsi="宋体" w:cs="Arial"/>
                <w:b/>
                <w:color w:val="auto"/>
                <w:sz w:val="21"/>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725" w:type="dxa"/>
            <w:noWrap w:val="0"/>
            <w:vAlign w:val="center"/>
          </w:tcPr>
          <w:p>
            <w:pPr>
              <w:rPr>
                <w:rFonts w:ascii="宋体" w:hAnsi="宋体" w:cs="Arial"/>
                <w:color w:val="auto"/>
                <w:sz w:val="21"/>
                <w:szCs w:val="21"/>
                <w:highlight w:val="none"/>
              </w:rPr>
            </w:pPr>
          </w:p>
        </w:tc>
        <w:tc>
          <w:tcPr>
            <w:tcW w:w="1106" w:type="dxa"/>
            <w:noWrap w:val="0"/>
            <w:vAlign w:val="center"/>
          </w:tcPr>
          <w:p>
            <w:pPr>
              <w:rPr>
                <w:rFonts w:ascii="宋体" w:hAnsi="宋体" w:cs="Arial"/>
                <w:b/>
                <w:color w:val="auto"/>
                <w:sz w:val="21"/>
                <w:szCs w:val="21"/>
                <w:highlight w:val="none"/>
              </w:rPr>
            </w:pPr>
          </w:p>
        </w:tc>
        <w:tc>
          <w:tcPr>
            <w:tcW w:w="1041" w:type="dxa"/>
            <w:noWrap w:val="0"/>
            <w:vAlign w:val="center"/>
          </w:tcPr>
          <w:p>
            <w:pPr>
              <w:rPr>
                <w:rFonts w:ascii="宋体" w:hAnsi="宋体" w:cs="Arial"/>
                <w:b/>
                <w:color w:val="auto"/>
                <w:sz w:val="21"/>
                <w:szCs w:val="21"/>
                <w:highlight w:val="none"/>
              </w:rPr>
            </w:pPr>
          </w:p>
        </w:tc>
        <w:tc>
          <w:tcPr>
            <w:tcW w:w="966" w:type="dxa"/>
            <w:noWrap w:val="0"/>
            <w:vAlign w:val="center"/>
          </w:tcPr>
          <w:p>
            <w:pPr>
              <w:rPr>
                <w:rFonts w:ascii="宋体" w:hAnsi="宋体" w:cs="Arial"/>
                <w:b/>
                <w:color w:val="auto"/>
                <w:sz w:val="21"/>
                <w:szCs w:val="21"/>
                <w:highlight w:val="none"/>
              </w:rPr>
            </w:pPr>
          </w:p>
        </w:tc>
        <w:tc>
          <w:tcPr>
            <w:tcW w:w="1044" w:type="dxa"/>
            <w:noWrap w:val="0"/>
            <w:vAlign w:val="center"/>
          </w:tcPr>
          <w:p>
            <w:pPr>
              <w:rPr>
                <w:rFonts w:ascii="宋体" w:hAnsi="宋体" w:cs="Arial"/>
                <w:b/>
                <w:color w:val="auto"/>
                <w:sz w:val="21"/>
                <w:szCs w:val="21"/>
                <w:highlight w:val="none"/>
              </w:rPr>
            </w:pPr>
          </w:p>
        </w:tc>
        <w:tc>
          <w:tcPr>
            <w:tcW w:w="696" w:type="dxa"/>
            <w:noWrap w:val="0"/>
            <w:vAlign w:val="center"/>
          </w:tcPr>
          <w:p>
            <w:pPr>
              <w:rPr>
                <w:rFonts w:ascii="宋体" w:hAnsi="宋体" w:cs="Arial"/>
                <w:b/>
                <w:color w:val="auto"/>
                <w:sz w:val="21"/>
                <w:szCs w:val="21"/>
                <w:highlight w:val="none"/>
              </w:rPr>
            </w:pPr>
          </w:p>
        </w:tc>
        <w:tc>
          <w:tcPr>
            <w:tcW w:w="927" w:type="dxa"/>
            <w:noWrap w:val="0"/>
            <w:vAlign w:val="center"/>
          </w:tcPr>
          <w:p>
            <w:pPr>
              <w:rPr>
                <w:rFonts w:ascii="宋体" w:hAnsi="宋体" w:cs="Arial"/>
                <w:b/>
                <w:color w:val="auto"/>
                <w:sz w:val="21"/>
                <w:szCs w:val="21"/>
                <w:highlight w:val="none"/>
              </w:rPr>
            </w:pPr>
          </w:p>
        </w:tc>
        <w:tc>
          <w:tcPr>
            <w:tcW w:w="947" w:type="dxa"/>
            <w:noWrap w:val="0"/>
            <w:vAlign w:val="top"/>
          </w:tcPr>
          <w:p>
            <w:pPr>
              <w:rPr>
                <w:rFonts w:ascii="宋体" w:hAnsi="宋体" w:cs="Arial"/>
                <w:b/>
                <w:color w:val="auto"/>
                <w:sz w:val="21"/>
                <w:szCs w:val="21"/>
                <w:highlight w:val="none"/>
              </w:rPr>
            </w:pPr>
          </w:p>
        </w:tc>
        <w:tc>
          <w:tcPr>
            <w:tcW w:w="1313" w:type="dxa"/>
            <w:noWrap w:val="0"/>
            <w:vAlign w:val="center"/>
          </w:tcPr>
          <w:p>
            <w:pPr>
              <w:rPr>
                <w:rFonts w:ascii="宋体" w:hAnsi="宋体" w:cs="Arial"/>
                <w:b/>
                <w:color w:val="auto"/>
                <w:sz w:val="21"/>
                <w:szCs w:val="21"/>
                <w:highlight w:val="none"/>
              </w:rPr>
            </w:pPr>
          </w:p>
        </w:tc>
        <w:tc>
          <w:tcPr>
            <w:tcW w:w="1313" w:type="dxa"/>
            <w:noWrap w:val="0"/>
            <w:vAlign w:val="top"/>
          </w:tcPr>
          <w:p>
            <w:pPr>
              <w:rPr>
                <w:rFonts w:ascii="宋体" w:hAnsi="宋体" w:cs="Arial"/>
                <w:b/>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725" w:type="dxa"/>
            <w:noWrap w:val="0"/>
            <w:vAlign w:val="center"/>
          </w:tcPr>
          <w:p>
            <w:pPr>
              <w:rPr>
                <w:rFonts w:ascii="宋体" w:hAnsi="宋体" w:cs="Arial"/>
                <w:color w:val="auto"/>
                <w:sz w:val="21"/>
                <w:szCs w:val="21"/>
                <w:highlight w:val="none"/>
              </w:rPr>
            </w:pPr>
          </w:p>
        </w:tc>
        <w:tc>
          <w:tcPr>
            <w:tcW w:w="1106" w:type="dxa"/>
            <w:noWrap w:val="0"/>
            <w:vAlign w:val="center"/>
          </w:tcPr>
          <w:p>
            <w:pPr>
              <w:rPr>
                <w:rFonts w:ascii="宋体" w:hAnsi="宋体" w:cs="Arial"/>
                <w:b/>
                <w:color w:val="auto"/>
                <w:sz w:val="21"/>
                <w:szCs w:val="21"/>
                <w:highlight w:val="none"/>
              </w:rPr>
            </w:pPr>
          </w:p>
        </w:tc>
        <w:tc>
          <w:tcPr>
            <w:tcW w:w="1041" w:type="dxa"/>
            <w:noWrap w:val="0"/>
            <w:vAlign w:val="center"/>
          </w:tcPr>
          <w:p>
            <w:pPr>
              <w:rPr>
                <w:rFonts w:ascii="宋体" w:hAnsi="宋体" w:cs="Arial"/>
                <w:b/>
                <w:color w:val="auto"/>
                <w:sz w:val="21"/>
                <w:szCs w:val="21"/>
                <w:highlight w:val="none"/>
              </w:rPr>
            </w:pPr>
          </w:p>
        </w:tc>
        <w:tc>
          <w:tcPr>
            <w:tcW w:w="966" w:type="dxa"/>
            <w:noWrap w:val="0"/>
            <w:vAlign w:val="center"/>
          </w:tcPr>
          <w:p>
            <w:pPr>
              <w:rPr>
                <w:rFonts w:ascii="宋体" w:hAnsi="宋体" w:cs="Arial"/>
                <w:b/>
                <w:color w:val="auto"/>
                <w:sz w:val="21"/>
                <w:szCs w:val="21"/>
                <w:highlight w:val="none"/>
              </w:rPr>
            </w:pPr>
          </w:p>
        </w:tc>
        <w:tc>
          <w:tcPr>
            <w:tcW w:w="1044" w:type="dxa"/>
            <w:noWrap w:val="0"/>
            <w:vAlign w:val="center"/>
          </w:tcPr>
          <w:p>
            <w:pPr>
              <w:rPr>
                <w:rFonts w:ascii="宋体" w:hAnsi="宋体" w:cs="Arial"/>
                <w:b/>
                <w:color w:val="auto"/>
                <w:sz w:val="21"/>
                <w:szCs w:val="21"/>
                <w:highlight w:val="none"/>
              </w:rPr>
            </w:pPr>
          </w:p>
        </w:tc>
        <w:tc>
          <w:tcPr>
            <w:tcW w:w="696" w:type="dxa"/>
            <w:noWrap w:val="0"/>
            <w:vAlign w:val="center"/>
          </w:tcPr>
          <w:p>
            <w:pPr>
              <w:rPr>
                <w:rFonts w:ascii="宋体" w:hAnsi="宋体" w:cs="Arial"/>
                <w:b/>
                <w:color w:val="auto"/>
                <w:sz w:val="21"/>
                <w:szCs w:val="21"/>
                <w:highlight w:val="none"/>
              </w:rPr>
            </w:pPr>
          </w:p>
        </w:tc>
        <w:tc>
          <w:tcPr>
            <w:tcW w:w="927" w:type="dxa"/>
            <w:noWrap w:val="0"/>
            <w:vAlign w:val="center"/>
          </w:tcPr>
          <w:p>
            <w:pPr>
              <w:rPr>
                <w:rFonts w:ascii="宋体" w:hAnsi="宋体" w:cs="Arial"/>
                <w:b/>
                <w:color w:val="auto"/>
                <w:sz w:val="21"/>
                <w:szCs w:val="21"/>
                <w:highlight w:val="none"/>
              </w:rPr>
            </w:pPr>
          </w:p>
        </w:tc>
        <w:tc>
          <w:tcPr>
            <w:tcW w:w="947" w:type="dxa"/>
            <w:noWrap w:val="0"/>
            <w:vAlign w:val="top"/>
          </w:tcPr>
          <w:p>
            <w:pPr>
              <w:rPr>
                <w:rFonts w:ascii="宋体" w:hAnsi="宋体" w:cs="Arial"/>
                <w:b/>
                <w:color w:val="auto"/>
                <w:sz w:val="21"/>
                <w:szCs w:val="21"/>
                <w:highlight w:val="none"/>
              </w:rPr>
            </w:pPr>
          </w:p>
        </w:tc>
        <w:tc>
          <w:tcPr>
            <w:tcW w:w="1313" w:type="dxa"/>
            <w:noWrap w:val="0"/>
            <w:vAlign w:val="center"/>
          </w:tcPr>
          <w:p>
            <w:pPr>
              <w:rPr>
                <w:rFonts w:ascii="宋体" w:hAnsi="宋体" w:cs="Arial"/>
                <w:b/>
                <w:color w:val="auto"/>
                <w:sz w:val="21"/>
                <w:szCs w:val="21"/>
                <w:highlight w:val="none"/>
              </w:rPr>
            </w:pPr>
          </w:p>
        </w:tc>
        <w:tc>
          <w:tcPr>
            <w:tcW w:w="1313" w:type="dxa"/>
            <w:noWrap w:val="0"/>
            <w:vAlign w:val="top"/>
          </w:tcPr>
          <w:p>
            <w:pPr>
              <w:rPr>
                <w:rFonts w:ascii="宋体" w:hAnsi="宋体" w:cs="Arial"/>
                <w:b/>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725" w:type="dxa"/>
            <w:noWrap w:val="0"/>
            <w:vAlign w:val="center"/>
          </w:tcPr>
          <w:p>
            <w:pPr>
              <w:rPr>
                <w:rFonts w:ascii="宋体" w:hAnsi="宋体" w:cs="Arial"/>
                <w:color w:val="auto"/>
                <w:sz w:val="21"/>
                <w:szCs w:val="21"/>
                <w:highlight w:val="none"/>
              </w:rPr>
            </w:pPr>
          </w:p>
        </w:tc>
        <w:tc>
          <w:tcPr>
            <w:tcW w:w="1106" w:type="dxa"/>
            <w:noWrap w:val="0"/>
            <w:vAlign w:val="center"/>
          </w:tcPr>
          <w:p>
            <w:pPr>
              <w:rPr>
                <w:rFonts w:ascii="宋体" w:hAnsi="宋体" w:cs="Arial"/>
                <w:b/>
                <w:color w:val="auto"/>
                <w:sz w:val="21"/>
                <w:szCs w:val="21"/>
                <w:highlight w:val="none"/>
              </w:rPr>
            </w:pPr>
          </w:p>
        </w:tc>
        <w:tc>
          <w:tcPr>
            <w:tcW w:w="1041" w:type="dxa"/>
            <w:noWrap w:val="0"/>
            <w:vAlign w:val="center"/>
          </w:tcPr>
          <w:p>
            <w:pPr>
              <w:rPr>
                <w:rFonts w:ascii="宋体" w:hAnsi="宋体" w:cs="Arial"/>
                <w:b/>
                <w:color w:val="auto"/>
                <w:sz w:val="21"/>
                <w:szCs w:val="21"/>
                <w:highlight w:val="none"/>
              </w:rPr>
            </w:pPr>
          </w:p>
        </w:tc>
        <w:tc>
          <w:tcPr>
            <w:tcW w:w="966" w:type="dxa"/>
            <w:noWrap w:val="0"/>
            <w:vAlign w:val="center"/>
          </w:tcPr>
          <w:p>
            <w:pPr>
              <w:rPr>
                <w:rFonts w:ascii="宋体" w:hAnsi="宋体" w:cs="Arial"/>
                <w:b/>
                <w:color w:val="auto"/>
                <w:sz w:val="21"/>
                <w:szCs w:val="21"/>
                <w:highlight w:val="none"/>
              </w:rPr>
            </w:pPr>
          </w:p>
        </w:tc>
        <w:tc>
          <w:tcPr>
            <w:tcW w:w="1044" w:type="dxa"/>
            <w:noWrap w:val="0"/>
            <w:vAlign w:val="center"/>
          </w:tcPr>
          <w:p>
            <w:pPr>
              <w:rPr>
                <w:rFonts w:ascii="宋体" w:hAnsi="宋体" w:cs="Arial"/>
                <w:b/>
                <w:color w:val="auto"/>
                <w:sz w:val="21"/>
                <w:szCs w:val="21"/>
                <w:highlight w:val="none"/>
              </w:rPr>
            </w:pPr>
          </w:p>
        </w:tc>
        <w:tc>
          <w:tcPr>
            <w:tcW w:w="696" w:type="dxa"/>
            <w:noWrap w:val="0"/>
            <w:vAlign w:val="center"/>
          </w:tcPr>
          <w:p>
            <w:pPr>
              <w:rPr>
                <w:rFonts w:ascii="宋体" w:hAnsi="宋体" w:cs="Arial"/>
                <w:b/>
                <w:color w:val="auto"/>
                <w:sz w:val="21"/>
                <w:szCs w:val="21"/>
                <w:highlight w:val="none"/>
              </w:rPr>
            </w:pPr>
          </w:p>
        </w:tc>
        <w:tc>
          <w:tcPr>
            <w:tcW w:w="927" w:type="dxa"/>
            <w:noWrap w:val="0"/>
            <w:vAlign w:val="center"/>
          </w:tcPr>
          <w:p>
            <w:pPr>
              <w:rPr>
                <w:rFonts w:ascii="宋体" w:hAnsi="宋体" w:cs="Arial"/>
                <w:b/>
                <w:color w:val="auto"/>
                <w:sz w:val="21"/>
                <w:szCs w:val="21"/>
                <w:highlight w:val="none"/>
              </w:rPr>
            </w:pPr>
          </w:p>
        </w:tc>
        <w:tc>
          <w:tcPr>
            <w:tcW w:w="947" w:type="dxa"/>
            <w:noWrap w:val="0"/>
            <w:vAlign w:val="top"/>
          </w:tcPr>
          <w:p>
            <w:pPr>
              <w:rPr>
                <w:rFonts w:ascii="宋体" w:hAnsi="宋体" w:cs="Arial"/>
                <w:b/>
                <w:color w:val="auto"/>
                <w:sz w:val="21"/>
                <w:szCs w:val="21"/>
                <w:highlight w:val="none"/>
              </w:rPr>
            </w:pPr>
          </w:p>
        </w:tc>
        <w:tc>
          <w:tcPr>
            <w:tcW w:w="1313" w:type="dxa"/>
            <w:noWrap w:val="0"/>
            <w:vAlign w:val="center"/>
          </w:tcPr>
          <w:p>
            <w:pPr>
              <w:rPr>
                <w:rFonts w:ascii="宋体" w:hAnsi="宋体" w:cs="Arial"/>
                <w:b/>
                <w:color w:val="auto"/>
                <w:sz w:val="21"/>
                <w:szCs w:val="21"/>
                <w:highlight w:val="none"/>
              </w:rPr>
            </w:pPr>
          </w:p>
        </w:tc>
        <w:tc>
          <w:tcPr>
            <w:tcW w:w="1313" w:type="dxa"/>
            <w:noWrap w:val="0"/>
            <w:vAlign w:val="top"/>
          </w:tcPr>
          <w:p>
            <w:pPr>
              <w:rPr>
                <w:rFonts w:ascii="宋体" w:hAnsi="宋体" w:cs="Arial"/>
                <w:b/>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725" w:type="dxa"/>
            <w:noWrap w:val="0"/>
            <w:vAlign w:val="center"/>
          </w:tcPr>
          <w:p>
            <w:pPr>
              <w:rPr>
                <w:rFonts w:ascii="宋体" w:hAnsi="宋体" w:cs="Arial"/>
                <w:color w:val="auto"/>
                <w:sz w:val="21"/>
                <w:szCs w:val="21"/>
                <w:highlight w:val="none"/>
              </w:rPr>
            </w:pPr>
          </w:p>
        </w:tc>
        <w:tc>
          <w:tcPr>
            <w:tcW w:w="1106" w:type="dxa"/>
            <w:noWrap w:val="0"/>
            <w:vAlign w:val="center"/>
          </w:tcPr>
          <w:p>
            <w:pPr>
              <w:rPr>
                <w:rFonts w:ascii="宋体" w:hAnsi="宋体" w:cs="Arial"/>
                <w:b/>
                <w:color w:val="auto"/>
                <w:sz w:val="21"/>
                <w:szCs w:val="21"/>
                <w:highlight w:val="none"/>
              </w:rPr>
            </w:pPr>
          </w:p>
        </w:tc>
        <w:tc>
          <w:tcPr>
            <w:tcW w:w="1041" w:type="dxa"/>
            <w:noWrap w:val="0"/>
            <w:vAlign w:val="center"/>
          </w:tcPr>
          <w:p>
            <w:pPr>
              <w:rPr>
                <w:rFonts w:ascii="宋体" w:hAnsi="宋体" w:cs="Arial"/>
                <w:b/>
                <w:color w:val="auto"/>
                <w:sz w:val="21"/>
                <w:szCs w:val="21"/>
                <w:highlight w:val="none"/>
              </w:rPr>
            </w:pPr>
          </w:p>
        </w:tc>
        <w:tc>
          <w:tcPr>
            <w:tcW w:w="966" w:type="dxa"/>
            <w:noWrap w:val="0"/>
            <w:vAlign w:val="center"/>
          </w:tcPr>
          <w:p>
            <w:pPr>
              <w:rPr>
                <w:rFonts w:ascii="宋体" w:hAnsi="宋体" w:cs="Arial"/>
                <w:b/>
                <w:color w:val="auto"/>
                <w:sz w:val="21"/>
                <w:szCs w:val="21"/>
                <w:highlight w:val="none"/>
              </w:rPr>
            </w:pPr>
          </w:p>
        </w:tc>
        <w:tc>
          <w:tcPr>
            <w:tcW w:w="1044" w:type="dxa"/>
            <w:noWrap w:val="0"/>
            <w:vAlign w:val="center"/>
          </w:tcPr>
          <w:p>
            <w:pPr>
              <w:rPr>
                <w:rFonts w:ascii="宋体" w:hAnsi="宋体" w:cs="Arial"/>
                <w:b/>
                <w:color w:val="auto"/>
                <w:sz w:val="21"/>
                <w:szCs w:val="21"/>
                <w:highlight w:val="none"/>
              </w:rPr>
            </w:pPr>
          </w:p>
        </w:tc>
        <w:tc>
          <w:tcPr>
            <w:tcW w:w="696" w:type="dxa"/>
            <w:noWrap w:val="0"/>
            <w:vAlign w:val="center"/>
          </w:tcPr>
          <w:p>
            <w:pPr>
              <w:rPr>
                <w:rFonts w:ascii="宋体" w:hAnsi="宋体" w:cs="Arial"/>
                <w:b/>
                <w:color w:val="auto"/>
                <w:sz w:val="21"/>
                <w:szCs w:val="21"/>
                <w:highlight w:val="none"/>
              </w:rPr>
            </w:pPr>
          </w:p>
        </w:tc>
        <w:tc>
          <w:tcPr>
            <w:tcW w:w="927" w:type="dxa"/>
            <w:noWrap w:val="0"/>
            <w:vAlign w:val="center"/>
          </w:tcPr>
          <w:p>
            <w:pPr>
              <w:rPr>
                <w:rFonts w:ascii="宋体" w:hAnsi="宋体" w:cs="Arial"/>
                <w:b/>
                <w:color w:val="auto"/>
                <w:sz w:val="21"/>
                <w:szCs w:val="21"/>
                <w:highlight w:val="none"/>
              </w:rPr>
            </w:pPr>
          </w:p>
        </w:tc>
        <w:tc>
          <w:tcPr>
            <w:tcW w:w="947" w:type="dxa"/>
            <w:noWrap w:val="0"/>
            <w:vAlign w:val="top"/>
          </w:tcPr>
          <w:p>
            <w:pPr>
              <w:rPr>
                <w:rFonts w:ascii="宋体" w:hAnsi="宋体" w:cs="Arial"/>
                <w:b/>
                <w:color w:val="auto"/>
                <w:sz w:val="21"/>
                <w:szCs w:val="21"/>
                <w:highlight w:val="none"/>
              </w:rPr>
            </w:pPr>
          </w:p>
        </w:tc>
        <w:tc>
          <w:tcPr>
            <w:tcW w:w="1313" w:type="dxa"/>
            <w:noWrap w:val="0"/>
            <w:vAlign w:val="center"/>
          </w:tcPr>
          <w:p>
            <w:pPr>
              <w:rPr>
                <w:rFonts w:ascii="宋体" w:hAnsi="宋体" w:cs="Arial"/>
                <w:b/>
                <w:color w:val="auto"/>
                <w:sz w:val="21"/>
                <w:szCs w:val="21"/>
                <w:highlight w:val="none"/>
              </w:rPr>
            </w:pPr>
          </w:p>
        </w:tc>
        <w:tc>
          <w:tcPr>
            <w:tcW w:w="1313" w:type="dxa"/>
            <w:noWrap w:val="0"/>
            <w:vAlign w:val="top"/>
          </w:tcPr>
          <w:p>
            <w:pPr>
              <w:rPr>
                <w:rFonts w:ascii="宋体" w:hAnsi="宋体" w:cs="Arial"/>
                <w:b/>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6" w:hRule="exact"/>
          <w:jc w:val="center"/>
        </w:trPr>
        <w:tc>
          <w:tcPr>
            <w:tcW w:w="725" w:type="dxa"/>
            <w:noWrap w:val="0"/>
            <w:vAlign w:val="center"/>
          </w:tcPr>
          <w:p>
            <w:pPr>
              <w:rPr>
                <w:rFonts w:ascii="宋体" w:hAnsi="宋体" w:cs="Arial"/>
                <w:color w:val="auto"/>
                <w:sz w:val="21"/>
                <w:szCs w:val="21"/>
                <w:highlight w:val="none"/>
              </w:rPr>
            </w:pPr>
          </w:p>
        </w:tc>
        <w:tc>
          <w:tcPr>
            <w:tcW w:w="1106" w:type="dxa"/>
            <w:noWrap w:val="0"/>
            <w:vAlign w:val="center"/>
          </w:tcPr>
          <w:p>
            <w:pPr>
              <w:rPr>
                <w:rFonts w:ascii="宋体" w:hAnsi="宋体" w:cs="Arial"/>
                <w:b/>
                <w:color w:val="auto"/>
                <w:sz w:val="21"/>
                <w:szCs w:val="21"/>
                <w:highlight w:val="none"/>
              </w:rPr>
            </w:pPr>
          </w:p>
        </w:tc>
        <w:tc>
          <w:tcPr>
            <w:tcW w:w="1041" w:type="dxa"/>
            <w:noWrap w:val="0"/>
            <w:vAlign w:val="center"/>
          </w:tcPr>
          <w:p>
            <w:pPr>
              <w:rPr>
                <w:rFonts w:ascii="宋体" w:hAnsi="宋体" w:cs="Arial"/>
                <w:b/>
                <w:color w:val="auto"/>
                <w:sz w:val="21"/>
                <w:szCs w:val="21"/>
                <w:highlight w:val="none"/>
              </w:rPr>
            </w:pPr>
          </w:p>
        </w:tc>
        <w:tc>
          <w:tcPr>
            <w:tcW w:w="966" w:type="dxa"/>
            <w:noWrap w:val="0"/>
            <w:vAlign w:val="center"/>
          </w:tcPr>
          <w:p>
            <w:pPr>
              <w:rPr>
                <w:rFonts w:ascii="宋体" w:hAnsi="宋体" w:cs="Arial"/>
                <w:b/>
                <w:color w:val="auto"/>
                <w:sz w:val="21"/>
                <w:szCs w:val="21"/>
                <w:highlight w:val="none"/>
              </w:rPr>
            </w:pPr>
          </w:p>
        </w:tc>
        <w:tc>
          <w:tcPr>
            <w:tcW w:w="1044" w:type="dxa"/>
            <w:noWrap w:val="0"/>
            <w:vAlign w:val="center"/>
          </w:tcPr>
          <w:p>
            <w:pPr>
              <w:rPr>
                <w:rFonts w:ascii="宋体" w:hAnsi="宋体" w:cs="Arial"/>
                <w:b/>
                <w:color w:val="auto"/>
                <w:sz w:val="21"/>
                <w:szCs w:val="21"/>
                <w:highlight w:val="none"/>
              </w:rPr>
            </w:pPr>
          </w:p>
        </w:tc>
        <w:tc>
          <w:tcPr>
            <w:tcW w:w="696" w:type="dxa"/>
            <w:noWrap w:val="0"/>
            <w:vAlign w:val="center"/>
          </w:tcPr>
          <w:p>
            <w:pPr>
              <w:rPr>
                <w:rFonts w:ascii="宋体" w:hAnsi="宋体" w:cs="Arial"/>
                <w:b/>
                <w:color w:val="auto"/>
                <w:sz w:val="21"/>
                <w:szCs w:val="21"/>
                <w:highlight w:val="none"/>
              </w:rPr>
            </w:pPr>
          </w:p>
        </w:tc>
        <w:tc>
          <w:tcPr>
            <w:tcW w:w="927" w:type="dxa"/>
            <w:noWrap w:val="0"/>
            <w:vAlign w:val="center"/>
          </w:tcPr>
          <w:p>
            <w:pPr>
              <w:rPr>
                <w:rFonts w:ascii="宋体" w:hAnsi="宋体" w:cs="Arial"/>
                <w:b/>
                <w:color w:val="auto"/>
                <w:sz w:val="21"/>
                <w:szCs w:val="21"/>
                <w:highlight w:val="none"/>
              </w:rPr>
            </w:pPr>
          </w:p>
        </w:tc>
        <w:tc>
          <w:tcPr>
            <w:tcW w:w="947" w:type="dxa"/>
            <w:noWrap w:val="0"/>
            <w:vAlign w:val="top"/>
          </w:tcPr>
          <w:p>
            <w:pPr>
              <w:rPr>
                <w:rFonts w:ascii="宋体" w:hAnsi="宋体" w:cs="Arial"/>
                <w:b/>
                <w:color w:val="auto"/>
                <w:sz w:val="21"/>
                <w:szCs w:val="21"/>
                <w:highlight w:val="none"/>
              </w:rPr>
            </w:pPr>
          </w:p>
        </w:tc>
        <w:tc>
          <w:tcPr>
            <w:tcW w:w="1313" w:type="dxa"/>
            <w:noWrap w:val="0"/>
            <w:vAlign w:val="center"/>
          </w:tcPr>
          <w:p>
            <w:pPr>
              <w:rPr>
                <w:rFonts w:ascii="宋体" w:hAnsi="宋体" w:cs="Arial"/>
                <w:b/>
                <w:color w:val="auto"/>
                <w:sz w:val="21"/>
                <w:szCs w:val="21"/>
                <w:highlight w:val="none"/>
              </w:rPr>
            </w:pPr>
          </w:p>
        </w:tc>
        <w:tc>
          <w:tcPr>
            <w:tcW w:w="1313" w:type="dxa"/>
            <w:noWrap w:val="0"/>
            <w:vAlign w:val="top"/>
          </w:tcPr>
          <w:p>
            <w:pPr>
              <w:rPr>
                <w:rFonts w:ascii="宋体" w:hAnsi="宋体" w:cs="Arial"/>
                <w:b/>
                <w:color w:val="auto"/>
                <w:sz w:val="21"/>
                <w:szCs w:val="21"/>
                <w:highlight w:val="none"/>
              </w:rPr>
            </w:pPr>
          </w:p>
        </w:tc>
      </w:tr>
    </w:tbl>
    <w:p>
      <w:pPr>
        <w:pStyle w:val="23"/>
        <w:spacing w:beforeLines="0" w:afterLines="0" w:line="276" w:lineRule="auto"/>
        <w:ind w:left="735" w:hanging="735" w:hangingChars="350"/>
        <w:rPr>
          <w:rFonts w:hAnsi="宋体" w:cs="Arial"/>
          <w:color w:val="auto"/>
          <w:sz w:val="21"/>
          <w:szCs w:val="21"/>
          <w:highlight w:val="none"/>
        </w:rPr>
      </w:pPr>
      <w:r>
        <w:rPr>
          <w:rFonts w:hAnsi="宋体" w:cs="Arial"/>
          <w:color w:val="auto"/>
          <w:sz w:val="21"/>
          <w:szCs w:val="21"/>
          <w:highlight w:val="none"/>
        </w:rPr>
        <w:t>注：1、本表所列为投标人拟投入本项目专用的作业车辆清单。</w:t>
      </w:r>
    </w:p>
    <w:p>
      <w:pPr>
        <w:pStyle w:val="23"/>
        <w:spacing w:beforeLines="0" w:afterLines="0" w:line="276" w:lineRule="auto"/>
        <w:ind w:left="375" w:leftChars="134"/>
        <w:rPr>
          <w:rFonts w:hAnsi="宋体" w:cs="Arial"/>
          <w:color w:val="auto"/>
          <w:sz w:val="21"/>
          <w:szCs w:val="21"/>
          <w:highlight w:val="none"/>
        </w:rPr>
      </w:pPr>
      <w:r>
        <w:rPr>
          <w:rFonts w:hAnsi="宋体" w:cs="Arial"/>
          <w:color w:val="auto"/>
          <w:sz w:val="21"/>
          <w:szCs w:val="21"/>
          <w:highlight w:val="none"/>
        </w:rPr>
        <w:t>2、本表所列设备价格不计入投标总价，但应在投标价格中考虑车辆的损耗、折旧及有关使用、维修费用。</w:t>
      </w:r>
    </w:p>
    <w:p>
      <w:pPr>
        <w:pStyle w:val="23"/>
        <w:spacing w:beforeLines="0" w:afterLines="0" w:line="276" w:lineRule="auto"/>
        <w:ind w:firstLine="424" w:firstLineChars="202"/>
        <w:rPr>
          <w:rFonts w:hAnsi="宋体" w:cs="Arial"/>
          <w:color w:val="auto"/>
          <w:sz w:val="21"/>
          <w:szCs w:val="21"/>
          <w:highlight w:val="none"/>
        </w:rPr>
      </w:pPr>
      <w:r>
        <w:rPr>
          <w:rFonts w:hAnsi="宋体" w:cs="Arial"/>
          <w:color w:val="auto"/>
          <w:sz w:val="21"/>
          <w:szCs w:val="21"/>
          <w:highlight w:val="none"/>
        </w:rPr>
        <w:t>3、表格中必须注明车辆的持有形式（自有已上牌或承诺中标后购买），并提供以下证明资料：</w:t>
      </w:r>
    </w:p>
    <w:p>
      <w:pPr>
        <w:pStyle w:val="23"/>
        <w:widowControl/>
        <w:numPr>
          <w:ilvl w:val="0"/>
          <w:numId w:val="15"/>
        </w:numPr>
        <w:tabs>
          <w:tab w:val="left" w:pos="426"/>
          <w:tab w:val="clear" w:pos="1080"/>
        </w:tabs>
        <w:overflowPunct w:val="0"/>
        <w:autoSpaceDE w:val="0"/>
        <w:autoSpaceDN w:val="0"/>
        <w:adjustRightInd w:val="0"/>
        <w:spacing w:beforeLines="0" w:afterLines="0" w:line="276" w:lineRule="auto"/>
        <w:ind w:left="560"/>
        <w:jc w:val="left"/>
        <w:textAlignment w:val="baseline"/>
        <w:rPr>
          <w:rFonts w:hAnsi="宋体" w:cs="Arial"/>
          <w:bCs/>
          <w:color w:val="auto"/>
          <w:sz w:val="21"/>
          <w:szCs w:val="21"/>
          <w:highlight w:val="none"/>
        </w:rPr>
      </w:pPr>
      <w:r>
        <w:rPr>
          <w:rFonts w:hint="eastAsia" w:hAnsi="宋体" w:cs="Arial"/>
          <w:color w:val="auto"/>
          <w:sz w:val="21"/>
          <w:szCs w:val="21"/>
          <w:highlight w:val="none"/>
        </w:rPr>
        <w:t>投标人自有已上牌(指投标人自行购置，包括分公司购置)车辆：1、以上</w:t>
      </w:r>
      <w:r>
        <w:rPr>
          <w:rFonts w:hint="eastAsia" w:hAnsi="宋体" w:cs="Arial"/>
          <w:b/>
          <w:color w:val="auto"/>
          <w:sz w:val="21"/>
          <w:szCs w:val="21"/>
          <w:highlight w:val="none"/>
        </w:rPr>
        <w:t>重型洗扫一体车、重型洒水车、重型高压冲洗车、多功能抑尘车、多功能路面养护车（清洗车）、</w:t>
      </w:r>
      <w:r>
        <w:rPr>
          <w:rFonts w:hAnsi="宋体" w:cs="Arial"/>
          <w:b/>
          <w:color w:val="auto"/>
          <w:sz w:val="21"/>
          <w:szCs w:val="21"/>
          <w:highlight w:val="none"/>
        </w:rPr>
        <w:t>油污清洗车</w:t>
      </w:r>
      <w:r>
        <w:rPr>
          <w:rFonts w:hint="eastAsia" w:hAnsi="宋体" w:cs="Arial"/>
          <w:b/>
          <w:color w:val="auto"/>
          <w:sz w:val="21"/>
          <w:szCs w:val="21"/>
          <w:highlight w:val="none"/>
        </w:rPr>
        <w:t>、</w:t>
      </w:r>
      <w:r>
        <w:rPr>
          <w:rFonts w:hAnsi="宋体" w:cs="Arial"/>
          <w:b/>
          <w:color w:val="auto"/>
          <w:sz w:val="21"/>
          <w:szCs w:val="21"/>
          <w:highlight w:val="none"/>
        </w:rPr>
        <w:t>建筑垃圾清运车</w:t>
      </w:r>
      <w:r>
        <w:rPr>
          <w:rFonts w:hint="eastAsia" w:hAnsi="宋体" w:cs="Arial"/>
          <w:b/>
          <w:color w:val="auto"/>
          <w:sz w:val="21"/>
          <w:szCs w:val="21"/>
          <w:highlight w:val="none"/>
        </w:rPr>
        <w:t>、</w:t>
      </w:r>
      <w:r>
        <w:rPr>
          <w:rFonts w:hAnsi="宋体" w:cs="Arial"/>
          <w:bCs/>
          <w:color w:val="auto"/>
          <w:sz w:val="21"/>
          <w:szCs w:val="21"/>
          <w:highlight w:val="none"/>
        </w:rPr>
        <w:t>护栏清洗车</w:t>
      </w:r>
      <w:r>
        <w:rPr>
          <w:rFonts w:hint="eastAsia" w:hAnsi="宋体" w:cs="Arial"/>
          <w:b/>
          <w:color w:val="auto"/>
          <w:sz w:val="21"/>
          <w:szCs w:val="21"/>
          <w:highlight w:val="none"/>
        </w:rPr>
        <w:t>需提供公安部门颁发的行驶证（行驶证带车辆照片）扫描件和车辆彩色照片（注明车辆种类）；2、以上其余车辆及船只需提供车辆彩色照片（注明车辆种类）</w:t>
      </w:r>
      <w:r>
        <w:rPr>
          <w:rFonts w:hAnsi="宋体" w:cs="Arial"/>
          <w:b/>
          <w:color w:val="auto"/>
          <w:sz w:val="21"/>
          <w:szCs w:val="21"/>
          <w:highlight w:val="none"/>
        </w:rPr>
        <w:t>；</w:t>
      </w:r>
    </w:p>
    <w:p>
      <w:pPr>
        <w:pStyle w:val="23"/>
        <w:widowControl/>
        <w:numPr>
          <w:ilvl w:val="0"/>
          <w:numId w:val="15"/>
        </w:numPr>
        <w:tabs>
          <w:tab w:val="clear" w:pos="1080"/>
        </w:tabs>
        <w:overflowPunct w:val="0"/>
        <w:autoSpaceDE w:val="0"/>
        <w:autoSpaceDN w:val="0"/>
        <w:adjustRightInd w:val="0"/>
        <w:spacing w:beforeLines="0" w:afterLines="0" w:line="276" w:lineRule="auto"/>
        <w:ind w:left="560"/>
        <w:jc w:val="left"/>
        <w:textAlignment w:val="baseline"/>
        <w:rPr>
          <w:rFonts w:hAnsi="宋体" w:cs="Arial"/>
          <w:color w:val="auto"/>
          <w:sz w:val="21"/>
          <w:szCs w:val="21"/>
          <w:highlight w:val="none"/>
        </w:rPr>
      </w:pPr>
      <w:r>
        <w:rPr>
          <w:rFonts w:hAnsi="宋体" w:cs="Arial"/>
          <w:color w:val="auto"/>
          <w:sz w:val="21"/>
          <w:szCs w:val="21"/>
          <w:highlight w:val="none"/>
        </w:rPr>
        <w:t>承诺中标后购买的车辆：提供购买承诺书（承诺中标后购买车辆必须为</w:t>
      </w:r>
      <w:r>
        <w:rPr>
          <w:rFonts w:hAnsi="宋体" w:cs="Arial"/>
          <w:b/>
          <w:color w:val="auto"/>
          <w:sz w:val="21"/>
          <w:szCs w:val="21"/>
          <w:highlight w:val="none"/>
        </w:rPr>
        <w:t>全新车辆）及车辆全身彩色照片（注明车辆种类）；</w:t>
      </w:r>
    </w:p>
    <w:p>
      <w:pPr>
        <w:pStyle w:val="23"/>
        <w:spacing w:beforeLines="0" w:afterLines="0" w:line="276" w:lineRule="auto"/>
        <w:ind w:left="560" w:leftChars="200"/>
        <w:rPr>
          <w:rFonts w:hint="eastAsia" w:hAnsi="宋体" w:cs="Arial"/>
          <w:color w:val="auto"/>
          <w:sz w:val="21"/>
          <w:szCs w:val="21"/>
          <w:highlight w:val="none"/>
        </w:rPr>
      </w:pPr>
      <w:r>
        <w:rPr>
          <w:rFonts w:hAnsi="宋体" w:cs="Arial"/>
          <w:color w:val="auto"/>
          <w:sz w:val="21"/>
          <w:szCs w:val="21"/>
          <w:highlight w:val="none"/>
        </w:rPr>
        <w:t>4、此表仅提供了表格</w:t>
      </w:r>
      <w:r>
        <w:rPr>
          <w:rFonts w:hint="eastAsia" w:hAnsi="宋体" w:cs="Arial"/>
          <w:color w:val="auto"/>
          <w:sz w:val="21"/>
          <w:szCs w:val="21"/>
          <w:highlight w:val="none"/>
        </w:rPr>
        <w:t>格式</w:t>
      </w:r>
      <w:r>
        <w:rPr>
          <w:rFonts w:hAnsi="宋体" w:cs="Arial"/>
          <w:color w:val="auto"/>
          <w:sz w:val="21"/>
          <w:szCs w:val="21"/>
          <w:highlight w:val="none"/>
        </w:rPr>
        <w:t>，投标人可</w:t>
      </w:r>
      <w:r>
        <w:rPr>
          <w:rFonts w:hint="eastAsia" w:hAnsi="宋体" w:cs="Arial"/>
          <w:color w:val="auto"/>
          <w:sz w:val="21"/>
          <w:szCs w:val="21"/>
          <w:highlight w:val="none"/>
        </w:rPr>
        <w:t>根据需要增减行数</w:t>
      </w:r>
      <w:r>
        <w:rPr>
          <w:rFonts w:hAnsi="宋体" w:cs="Arial"/>
          <w:color w:val="auto"/>
          <w:sz w:val="21"/>
          <w:szCs w:val="21"/>
          <w:highlight w:val="none"/>
        </w:rPr>
        <w:t>。</w:t>
      </w:r>
    </w:p>
    <w:p>
      <w:pPr>
        <w:pStyle w:val="23"/>
        <w:spacing w:before="120" w:after="120" w:line="360" w:lineRule="auto"/>
        <w:ind w:left="560" w:leftChars="200"/>
        <w:rPr>
          <w:rFonts w:hint="eastAsia" w:hAnsi="宋体"/>
          <w:color w:val="auto"/>
          <w:sz w:val="21"/>
          <w:szCs w:val="21"/>
          <w:highlight w:val="none"/>
        </w:rPr>
      </w:pPr>
    </w:p>
    <w:p>
      <w:pPr>
        <w:pStyle w:val="23"/>
        <w:spacing w:before="120" w:after="120" w:line="360" w:lineRule="auto"/>
        <w:ind w:left="560" w:leftChars="200"/>
        <w:rPr>
          <w:rFonts w:hAnsi="宋体"/>
          <w:color w:val="auto"/>
          <w:sz w:val="21"/>
          <w:szCs w:val="21"/>
          <w:highlight w:val="none"/>
        </w:rPr>
      </w:pPr>
      <w:r>
        <w:rPr>
          <w:rFonts w:hint="eastAsia" w:hAnsi="宋体"/>
          <w:color w:val="auto"/>
          <w:sz w:val="21"/>
          <w:szCs w:val="21"/>
          <w:highlight w:val="none"/>
        </w:rPr>
        <w:t xml:space="preserve">投标人（盖公章）：                 </w:t>
      </w:r>
    </w:p>
    <w:p>
      <w:pPr>
        <w:pStyle w:val="23"/>
        <w:spacing w:before="120" w:after="120" w:line="360" w:lineRule="auto"/>
        <w:ind w:left="560" w:leftChars="200"/>
        <w:rPr>
          <w:rFonts w:hAnsi="宋体"/>
          <w:color w:val="auto"/>
          <w:sz w:val="21"/>
          <w:szCs w:val="21"/>
          <w:highlight w:val="none"/>
        </w:rPr>
      </w:pPr>
      <w:r>
        <w:rPr>
          <w:rFonts w:hint="eastAsia" w:hAnsi="宋体"/>
          <w:color w:val="auto"/>
          <w:sz w:val="21"/>
          <w:szCs w:val="21"/>
          <w:highlight w:val="none"/>
        </w:rPr>
        <w:t xml:space="preserve">投标人法定代表人或授权代表（签字或盖章）：        </w:t>
      </w:r>
    </w:p>
    <w:p>
      <w:pPr>
        <w:spacing w:line="360" w:lineRule="auto"/>
        <w:ind w:left="560" w:leftChars="200"/>
        <w:rPr>
          <w:rFonts w:hAnsi="宋体"/>
          <w:color w:val="auto"/>
          <w:sz w:val="21"/>
          <w:szCs w:val="21"/>
          <w:highlight w:val="none"/>
        </w:rPr>
      </w:pPr>
      <w:r>
        <w:rPr>
          <w:rFonts w:hint="eastAsia" w:hAnsi="宋体"/>
          <w:color w:val="auto"/>
          <w:sz w:val="21"/>
          <w:szCs w:val="21"/>
          <w:highlight w:val="none"/>
        </w:rPr>
        <w:t>日期：    年  月  日</w:t>
      </w:r>
    </w:p>
    <w:p>
      <w:pPr>
        <w:spacing w:line="360" w:lineRule="auto"/>
        <w:jc w:val="center"/>
        <w:rPr>
          <w:rFonts w:hint="eastAsia" w:hAnsi="宋体" w:cs="Arial"/>
          <w:color w:val="auto"/>
          <w:sz w:val="21"/>
          <w:szCs w:val="21"/>
          <w:highlight w:val="none"/>
        </w:rPr>
      </w:pPr>
      <w:r>
        <w:rPr>
          <w:rFonts w:hAnsi="宋体" w:cs="Arial"/>
          <w:color w:val="auto"/>
          <w:sz w:val="21"/>
          <w:szCs w:val="21"/>
          <w:highlight w:val="none"/>
        </w:rPr>
        <w:br w:type="page"/>
      </w:r>
    </w:p>
    <w:p>
      <w:pPr>
        <w:spacing w:line="360" w:lineRule="auto"/>
        <w:jc w:val="center"/>
        <w:rPr>
          <w:rFonts w:ascii="宋体" w:hAnsi="宋体" w:cs="Arial"/>
          <w:color w:val="auto"/>
          <w:sz w:val="30"/>
          <w:szCs w:val="30"/>
          <w:highlight w:val="none"/>
        </w:rPr>
      </w:pPr>
      <w:r>
        <w:rPr>
          <w:rFonts w:ascii="宋体" w:hAnsi="宋体" w:cs="Arial"/>
          <w:b/>
          <w:color w:val="auto"/>
          <w:sz w:val="30"/>
          <w:szCs w:val="30"/>
          <w:highlight w:val="none"/>
        </w:rPr>
        <w:t>（</w:t>
      </w:r>
      <w:r>
        <w:rPr>
          <w:rFonts w:hint="eastAsia" w:ascii="宋体" w:hAnsi="宋体" w:cs="Arial"/>
          <w:b/>
          <w:color w:val="auto"/>
          <w:sz w:val="30"/>
          <w:szCs w:val="30"/>
          <w:highlight w:val="none"/>
        </w:rPr>
        <w:t>2</w:t>
      </w:r>
      <w:r>
        <w:rPr>
          <w:rFonts w:ascii="宋体" w:hAnsi="宋体" w:cs="Arial"/>
          <w:b/>
          <w:color w:val="auto"/>
          <w:sz w:val="30"/>
          <w:szCs w:val="30"/>
          <w:highlight w:val="none"/>
        </w:rPr>
        <w:t>）保洁耗材配备明细表</w:t>
      </w:r>
    </w:p>
    <w:p>
      <w:pPr>
        <w:spacing w:line="360" w:lineRule="auto"/>
        <w:rPr>
          <w:rFonts w:hint="eastAsia" w:ascii="宋体" w:hAnsi="宋体"/>
          <w:color w:val="auto"/>
          <w:sz w:val="21"/>
          <w:szCs w:val="21"/>
          <w:highlight w:val="none"/>
        </w:rPr>
      </w:pPr>
    </w:p>
    <w:p>
      <w:pPr>
        <w:spacing w:line="360" w:lineRule="auto"/>
        <w:rPr>
          <w:rFonts w:hint="eastAsia" w:ascii="宋体" w:hAnsi="宋体" w:eastAsia="宋体"/>
          <w:color w:val="auto"/>
          <w:sz w:val="21"/>
          <w:szCs w:val="21"/>
          <w:highlight w:val="none"/>
          <w:lang w:eastAsia="zh-CN"/>
        </w:rPr>
      </w:pPr>
      <w:r>
        <w:rPr>
          <w:rFonts w:hint="eastAsia" w:ascii="宋体" w:hAnsi="宋体"/>
          <w:color w:val="auto"/>
          <w:sz w:val="21"/>
          <w:szCs w:val="21"/>
          <w:highlight w:val="none"/>
        </w:rPr>
        <w:t>项目名称：龙湾区瑶溪街道环卫保洁一体化项目       项目编号：</w:t>
      </w:r>
      <w:r>
        <w:rPr>
          <w:rFonts w:hint="eastAsia" w:ascii="宋体" w:hAnsi="宋体"/>
          <w:color w:val="auto"/>
          <w:sz w:val="21"/>
          <w:szCs w:val="21"/>
          <w:highlight w:val="none"/>
          <w:lang w:eastAsia="zh-CN"/>
        </w:rPr>
        <w:t>WZHC-20220923</w:t>
      </w:r>
    </w:p>
    <w:tbl>
      <w:tblPr>
        <w:tblStyle w:val="42"/>
        <w:tblW w:w="9404" w:type="dxa"/>
        <w:jc w:val="right"/>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25"/>
        <w:gridCol w:w="1817"/>
        <w:gridCol w:w="1614"/>
        <w:gridCol w:w="1816"/>
        <w:gridCol w:w="751"/>
        <w:gridCol w:w="952"/>
        <w:gridCol w:w="1088"/>
        <w:gridCol w:w="84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6" w:hRule="atLeast"/>
          <w:jc w:val="right"/>
        </w:trPr>
        <w:tc>
          <w:tcPr>
            <w:tcW w:w="525" w:type="dxa"/>
            <w:noWrap w:val="0"/>
            <w:vAlign w:val="center"/>
          </w:tcPr>
          <w:p>
            <w:pPr>
              <w:spacing w:line="360" w:lineRule="auto"/>
              <w:rPr>
                <w:rFonts w:ascii="宋体" w:hAnsi="宋体" w:cs="Arial"/>
                <w:b/>
                <w:color w:val="auto"/>
                <w:sz w:val="21"/>
                <w:szCs w:val="21"/>
                <w:highlight w:val="none"/>
              </w:rPr>
            </w:pPr>
            <w:r>
              <w:rPr>
                <w:rFonts w:ascii="宋体" w:hAnsi="宋体" w:cs="Arial"/>
                <w:b/>
                <w:color w:val="auto"/>
                <w:sz w:val="21"/>
                <w:szCs w:val="21"/>
                <w:highlight w:val="none"/>
              </w:rPr>
              <w:t>序号</w:t>
            </w:r>
          </w:p>
        </w:tc>
        <w:tc>
          <w:tcPr>
            <w:tcW w:w="1817" w:type="dxa"/>
            <w:noWrap w:val="0"/>
            <w:vAlign w:val="center"/>
          </w:tcPr>
          <w:p>
            <w:pPr>
              <w:spacing w:line="360" w:lineRule="auto"/>
              <w:rPr>
                <w:rFonts w:ascii="宋体" w:hAnsi="宋体" w:cs="Arial"/>
                <w:b/>
                <w:color w:val="auto"/>
                <w:sz w:val="21"/>
                <w:szCs w:val="21"/>
                <w:highlight w:val="none"/>
              </w:rPr>
            </w:pPr>
            <w:r>
              <w:rPr>
                <w:rFonts w:ascii="宋体" w:hAnsi="宋体" w:cs="Arial"/>
                <w:b/>
                <w:color w:val="auto"/>
                <w:sz w:val="21"/>
                <w:szCs w:val="21"/>
                <w:highlight w:val="none"/>
              </w:rPr>
              <w:t>耗材名称</w:t>
            </w:r>
          </w:p>
        </w:tc>
        <w:tc>
          <w:tcPr>
            <w:tcW w:w="1614" w:type="dxa"/>
            <w:noWrap w:val="0"/>
            <w:vAlign w:val="center"/>
          </w:tcPr>
          <w:p>
            <w:pPr>
              <w:spacing w:line="360" w:lineRule="auto"/>
              <w:rPr>
                <w:rFonts w:ascii="宋体" w:hAnsi="宋体" w:cs="Arial"/>
                <w:b/>
                <w:color w:val="auto"/>
                <w:sz w:val="21"/>
                <w:szCs w:val="21"/>
                <w:highlight w:val="none"/>
              </w:rPr>
            </w:pPr>
            <w:r>
              <w:rPr>
                <w:rFonts w:ascii="宋体" w:hAnsi="宋体" w:cs="Arial"/>
                <w:b/>
                <w:color w:val="auto"/>
                <w:sz w:val="21"/>
                <w:szCs w:val="21"/>
                <w:highlight w:val="none"/>
              </w:rPr>
              <w:t>规格型号</w:t>
            </w:r>
          </w:p>
        </w:tc>
        <w:tc>
          <w:tcPr>
            <w:tcW w:w="1816" w:type="dxa"/>
            <w:noWrap w:val="0"/>
            <w:vAlign w:val="center"/>
          </w:tcPr>
          <w:p>
            <w:pPr>
              <w:spacing w:line="360" w:lineRule="auto"/>
              <w:rPr>
                <w:rFonts w:ascii="宋体" w:hAnsi="宋体" w:cs="Arial"/>
                <w:b/>
                <w:color w:val="auto"/>
                <w:sz w:val="21"/>
                <w:szCs w:val="21"/>
                <w:highlight w:val="none"/>
              </w:rPr>
            </w:pPr>
            <w:r>
              <w:rPr>
                <w:rFonts w:ascii="宋体" w:hAnsi="宋体" w:cs="Arial"/>
                <w:b/>
                <w:color w:val="auto"/>
                <w:sz w:val="21"/>
                <w:szCs w:val="21"/>
                <w:highlight w:val="none"/>
              </w:rPr>
              <w:t>品牌/产地</w:t>
            </w:r>
          </w:p>
        </w:tc>
        <w:tc>
          <w:tcPr>
            <w:tcW w:w="751" w:type="dxa"/>
            <w:noWrap w:val="0"/>
            <w:vAlign w:val="center"/>
          </w:tcPr>
          <w:p>
            <w:pPr>
              <w:spacing w:line="360" w:lineRule="auto"/>
              <w:rPr>
                <w:rFonts w:ascii="宋体" w:hAnsi="宋体" w:cs="Arial"/>
                <w:b/>
                <w:color w:val="auto"/>
                <w:sz w:val="21"/>
                <w:szCs w:val="21"/>
                <w:highlight w:val="none"/>
              </w:rPr>
            </w:pPr>
            <w:r>
              <w:rPr>
                <w:rFonts w:ascii="宋体" w:hAnsi="宋体" w:cs="Arial"/>
                <w:b/>
                <w:color w:val="auto"/>
                <w:sz w:val="21"/>
                <w:szCs w:val="21"/>
                <w:highlight w:val="none"/>
              </w:rPr>
              <w:t>数量</w:t>
            </w:r>
          </w:p>
        </w:tc>
        <w:tc>
          <w:tcPr>
            <w:tcW w:w="952" w:type="dxa"/>
            <w:noWrap w:val="0"/>
            <w:vAlign w:val="top"/>
          </w:tcPr>
          <w:p>
            <w:pPr>
              <w:spacing w:line="360" w:lineRule="auto"/>
              <w:rPr>
                <w:rFonts w:ascii="宋体" w:hAnsi="宋体" w:cs="Arial"/>
                <w:b/>
                <w:color w:val="auto"/>
                <w:sz w:val="21"/>
                <w:szCs w:val="21"/>
                <w:highlight w:val="none"/>
              </w:rPr>
            </w:pPr>
            <w:r>
              <w:rPr>
                <w:rFonts w:ascii="宋体" w:hAnsi="宋体" w:cs="Arial"/>
                <w:b/>
                <w:color w:val="auto"/>
                <w:sz w:val="21"/>
                <w:szCs w:val="21"/>
                <w:highlight w:val="none"/>
              </w:rPr>
              <w:t>单价 (元)</w:t>
            </w:r>
          </w:p>
        </w:tc>
        <w:tc>
          <w:tcPr>
            <w:tcW w:w="1088" w:type="dxa"/>
            <w:noWrap w:val="0"/>
            <w:vAlign w:val="top"/>
          </w:tcPr>
          <w:p>
            <w:pPr>
              <w:spacing w:line="360" w:lineRule="auto"/>
              <w:rPr>
                <w:rFonts w:ascii="宋体" w:hAnsi="宋体" w:cs="Arial"/>
                <w:b/>
                <w:color w:val="auto"/>
                <w:sz w:val="21"/>
                <w:szCs w:val="21"/>
                <w:highlight w:val="none"/>
              </w:rPr>
            </w:pPr>
            <w:r>
              <w:rPr>
                <w:rFonts w:ascii="宋体" w:hAnsi="宋体" w:cs="Arial"/>
                <w:b/>
                <w:color w:val="auto"/>
                <w:sz w:val="21"/>
                <w:szCs w:val="21"/>
                <w:highlight w:val="none"/>
              </w:rPr>
              <w:t>合价 (元)</w:t>
            </w:r>
          </w:p>
        </w:tc>
        <w:tc>
          <w:tcPr>
            <w:tcW w:w="841" w:type="dxa"/>
            <w:noWrap w:val="0"/>
            <w:vAlign w:val="center"/>
          </w:tcPr>
          <w:p>
            <w:pPr>
              <w:spacing w:line="360" w:lineRule="auto"/>
              <w:rPr>
                <w:rFonts w:ascii="宋体" w:hAnsi="宋体" w:cs="Arial"/>
                <w:b/>
                <w:color w:val="auto"/>
                <w:sz w:val="21"/>
                <w:szCs w:val="21"/>
                <w:highlight w:val="none"/>
              </w:rPr>
            </w:pPr>
            <w:r>
              <w:rPr>
                <w:rFonts w:ascii="宋体" w:hAnsi="宋体" w:cs="Arial"/>
                <w:b/>
                <w:color w:val="auto"/>
                <w:sz w:val="21"/>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right"/>
        </w:trPr>
        <w:tc>
          <w:tcPr>
            <w:tcW w:w="525" w:type="dxa"/>
            <w:noWrap w:val="0"/>
            <w:vAlign w:val="center"/>
          </w:tcPr>
          <w:p>
            <w:pPr>
              <w:spacing w:line="360" w:lineRule="auto"/>
              <w:rPr>
                <w:rFonts w:ascii="宋体" w:hAnsi="宋体" w:cs="Arial"/>
                <w:color w:val="auto"/>
                <w:sz w:val="21"/>
                <w:szCs w:val="21"/>
                <w:highlight w:val="none"/>
              </w:rPr>
            </w:pPr>
          </w:p>
        </w:tc>
        <w:tc>
          <w:tcPr>
            <w:tcW w:w="1817" w:type="dxa"/>
            <w:noWrap w:val="0"/>
            <w:vAlign w:val="center"/>
          </w:tcPr>
          <w:p>
            <w:pPr>
              <w:spacing w:line="360" w:lineRule="auto"/>
              <w:rPr>
                <w:rFonts w:ascii="宋体" w:hAnsi="宋体" w:cs="Arial"/>
                <w:b/>
                <w:color w:val="auto"/>
                <w:sz w:val="21"/>
                <w:szCs w:val="21"/>
                <w:highlight w:val="none"/>
              </w:rPr>
            </w:pPr>
          </w:p>
        </w:tc>
        <w:tc>
          <w:tcPr>
            <w:tcW w:w="1614" w:type="dxa"/>
            <w:noWrap w:val="0"/>
            <w:vAlign w:val="top"/>
          </w:tcPr>
          <w:p>
            <w:pPr>
              <w:spacing w:line="360" w:lineRule="auto"/>
              <w:rPr>
                <w:rFonts w:ascii="宋体" w:hAnsi="宋体" w:cs="Arial"/>
                <w:b/>
                <w:color w:val="auto"/>
                <w:sz w:val="21"/>
                <w:szCs w:val="21"/>
                <w:highlight w:val="none"/>
              </w:rPr>
            </w:pPr>
          </w:p>
        </w:tc>
        <w:tc>
          <w:tcPr>
            <w:tcW w:w="1816" w:type="dxa"/>
            <w:noWrap w:val="0"/>
            <w:vAlign w:val="center"/>
          </w:tcPr>
          <w:p>
            <w:pPr>
              <w:spacing w:line="360" w:lineRule="auto"/>
              <w:rPr>
                <w:rFonts w:ascii="宋体" w:hAnsi="宋体" w:cs="Arial"/>
                <w:b/>
                <w:color w:val="auto"/>
                <w:sz w:val="21"/>
                <w:szCs w:val="21"/>
                <w:highlight w:val="none"/>
              </w:rPr>
            </w:pPr>
          </w:p>
        </w:tc>
        <w:tc>
          <w:tcPr>
            <w:tcW w:w="751" w:type="dxa"/>
            <w:noWrap w:val="0"/>
            <w:vAlign w:val="top"/>
          </w:tcPr>
          <w:p>
            <w:pPr>
              <w:spacing w:line="360" w:lineRule="auto"/>
              <w:rPr>
                <w:rFonts w:ascii="宋体" w:hAnsi="宋体" w:cs="Arial"/>
                <w:b/>
                <w:color w:val="auto"/>
                <w:sz w:val="21"/>
                <w:szCs w:val="21"/>
                <w:highlight w:val="none"/>
              </w:rPr>
            </w:pPr>
          </w:p>
        </w:tc>
        <w:tc>
          <w:tcPr>
            <w:tcW w:w="952" w:type="dxa"/>
            <w:noWrap w:val="0"/>
            <w:vAlign w:val="center"/>
          </w:tcPr>
          <w:p>
            <w:pPr>
              <w:spacing w:line="360" w:lineRule="auto"/>
              <w:rPr>
                <w:rFonts w:ascii="宋体" w:hAnsi="宋体" w:cs="Arial"/>
                <w:b/>
                <w:color w:val="auto"/>
                <w:sz w:val="21"/>
                <w:szCs w:val="21"/>
                <w:highlight w:val="none"/>
              </w:rPr>
            </w:pPr>
          </w:p>
        </w:tc>
        <w:tc>
          <w:tcPr>
            <w:tcW w:w="1088" w:type="dxa"/>
            <w:noWrap w:val="0"/>
            <w:vAlign w:val="center"/>
          </w:tcPr>
          <w:p>
            <w:pPr>
              <w:spacing w:line="360" w:lineRule="auto"/>
              <w:rPr>
                <w:rFonts w:ascii="宋体" w:hAnsi="宋体" w:cs="Arial"/>
                <w:b/>
                <w:color w:val="auto"/>
                <w:sz w:val="21"/>
                <w:szCs w:val="21"/>
                <w:highlight w:val="none"/>
              </w:rPr>
            </w:pPr>
          </w:p>
        </w:tc>
        <w:tc>
          <w:tcPr>
            <w:tcW w:w="841" w:type="dxa"/>
            <w:noWrap w:val="0"/>
            <w:vAlign w:val="top"/>
          </w:tcPr>
          <w:p>
            <w:pPr>
              <w:spacing w:line="360" w:lineRule="auto"/>
              <w:rPr>
                <w:rFonts w:ascii="宋体" w:hAnsi="宋体" w:cs="Arial"/>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right"/>
        </w:trPr>
        <w:tc>
          <w:tcPr>
            <w:tcW w:w="525" w:type="dxa"/>
            <w:noWrap w:val="0"/>
            <w:vAlign w:val="center"/>
          </w:tcPr>
          <w:p>
            <w:pPr>
              <w:spacing w:line="360" w:lineRule="auto"/>
              <w:rPr>
                <w:rFonts w:ascii="宋体" w:hAnsi="宋体" w:cs="Arial"/>
                <w:color w:val="auto"/>
                <w:sz w:val="21"/>
                <w:szCs w:val="21"/>
                <w:highlight w:val="none"/>
              </w:rPr>
            </w:pPr>
          </w:p>
        </w:tc>
        <w:tc>
          <w:tcPr>
            <w:tcW w:w="1817" w:type="dxa"/>
            <w:noWrap w:val="0"/>
            <w:vAlign w:val="center"/>
          </w:tcPr>
          <w:p>
            <w:pPr>
              <w:spacing w:line="360" w:lineRule="auto"/>
              <w:rPr>
                <w:rFonts w:ascii="宋体" w:hAnsi="宋体" w:cs="Arial"/>
                <w:b/>
                <w:color w:val="auto"/>
                <w:sz w:val="21"/>
                <w:szCs w:val="21"/>
                <w:highlight w:val="none"/>
              </w:rPr>
            </w:pPr>
          </w:p>
        </w:tc>
        <w:tc>
          <w:tcPr>
            <w:tcW w:w="1614" w:type="dxa"/>
            <w:noWrap w:val="0"/>
            <w:vAlign w:val="top"/>
          </w:tcPr>
          <w:p>
            <w:pPr>
              <w:spacing w:line="360" w:lineRule="auto"/>
              <w:rPr>
                <w:rFonts w:ascii="宋体" w:hAnsi="宋体" w:cs="Arial"/>
                <w:b/>
                <w:color w:val="auto"/>
                <w:sz w:val="21"/>
                <w:szCs w:val="21"/>
                <w:highlight w:val="none"/>
              </w:rPr>
            </w:pPr>
          </w:p>
        </w:tc>
        <w:tc>
          <w:tcPr>
            <w:tcW w:w="1816" w:type="dxa"/>
            <w:noWrap w:val="0"/>
            <w:vAlign w:val="center"/>
          </w:tcPr>
          <w:p>
            <w:pPr>
              <w:spacing w:line="360" w:lineRule="auto"/>
              <w:rPr>
                <w:rFonts w:ascii="宋体" w:hAnsi="宋体" w:cs="Arial"/>
                <w:b/>
                <w:color w:val="auto"/>
                <w:sz w:val="21"/>
                <w:szCs w:val="21"/>
                <w:highlight w:val="none"/>
              </w:rPr>
            </w:pPr>
          </w:p>
        </w:tc>
        <w:tc>
          <w:tcPr>
            <w:tcW w:w="751" w:type="dxa"/>
            <w:noWrap w:val="0"/>
            <w:vAlign w:val="top"/>
          </w:tcPr>
          <w:p>
            <w:pPr>
              <w:spacing w:line="360" w:lineRule="auto"/>
              <w:rPr>
                <w:rFonts w:ascii="宋体" w:hAnsi="宋体" w:cs="Arial"/>
                <w:b/>
                <w:color w:val="auto"/>
                <w:sz w:val="21"/>
                <w:szCs w:val="21"/>
                <w:highlight w:val="none"/>
              </w:rPr>
            </w:pPr>
          </w:p>
        </w:tc>
        <w:tc>
          <w:tcPr>
            <w:tcW w:w="952" w:type="dxa"/>
            <w:noWrap w:val="0"/>
            <w:vAlign w:val="center"/>
          </w:tcPr>
          <w:p>
            <w:pPr>
              <w:spacing w:line="360" w:lineRule="auto"/>
              <w:rPr>
                <w:rFonts w:ascii="宋体" w:hAnsi="宋体" w:cs="Arial"/>
                <w:b/>
                <w:color w:val="auto"/>
                <w:sz w:val="21"/>
                <w:szCs w:val="21"/>
                <w:highlight w:val="none"/>
              </w:rPr>
            </w:pPr>
          </w:p>
        </w:tc>
        <w:tc>
          <w:tcPr>
            <w:tcW w:w="1088" w:type="dxa"/>
            <w:noWrap w:val="0"/>
            <w:vAlign w:val="center"/>
          </w:tcPr>
          <w:p>
            <w:pPr>
              <w:spacing w:line="360" w:lineRule="auto"/>
              <w:rPr>
                <w:rFonts w:ascii="宋体" w:hAnsi="宋体" w:cs="Arial"/>
                <w:b/>
                <w:color w:val="auto"/>
                <w:sz w:val="21"/>
                <w:szCs w:val="21"/>
                <w:highlight w:val="none"/>
              </w:rPr>
            </w:pPr>
          </w:p>
        </w:tc>
        <w:tc>
          <w:tcPr>
            <w:tcW w:w="841" w:type="dxa"/>
            <w:noWrap w:val="0"/>
            <w:vAlign w:val="top"/>
          </w:tcPr>
          <w:p>
            <w:pPr>
              <w:spacing w:line="360" w:lineRule="auto"/>
              <w:rPr>
                <w:rFonts w:ascii="宋体" w:hAnsi="宋体" w:cs="Arial"/>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right"/>
        </w:trPr>
        <w:tc>
          <w:tcPr>
            <w:tcW w:w="525" w:type="dxa"/>
            <w:noWrap w:val="0"/>
            <w:vAlign w:val="center"/>
          </w:tcPr>
          <w:p>
            <w:pPr>
              <w:spacing w:line="360" w:lineRule="auto"/>
              <w:rPr>
                <w:rFonts w:ascii="宋体" w:hAnsi="宋体" w:cs="Arial"/>
                <w:color w:val="auto"/>
                <w:sz w:val="21"/>
                <w:szCs w:val="21"/>
                <w:highlight w:val="none"/>
              </w:rPr>
            </w:pPr>
          </w:p>
        </w:tc>
        <w:tc>
          <w:tcPr>
            <w:tcW w:w="1817" w:type="dxa"/>
            <w:noWrap w:val="0"/>
            <w:vAlign w:val="center"/>
          </w:tcPr>
          <w:p>
            <w:pPr>
              <w:spacing w:line="360" w:lineRule="auto"/>
              <w:rPr>
                <w:rFonts w:ascii="宋体" w:hAnsi="宋体" w:cs="Arial"/>
                <w:b/>
                <w:color w:val="auto"/>
                <w:sz w:val="21"/>
                <w:szCs w:val="21"/>
                <w:highlight w:val="none"/>
              </w:rPr>
            </w:pPr>
          </w:p>
        </w:tc>
        <w:tc>
          <w:tcPr>
            <w:tcW w:w="1614" w:type="dxa"/>
            <w:noWrap w:val="0"/>
            <w:vAlign w:val="top"/>
          </w:tcPr>
          <w:p>
            <w:pPr>
              <w:spacing w:line="360" w:lineRule="auto"/>
              <w:rPr>
                <w:rFonts w:ascii="宋体" w:hAnsi="宋体" w:cs="Arial"/>
                <w:b/>
                <w:color w:val="auto"/>
                <w:sz w:val="21"/>
                <w:szCs w:val="21"/>
                <w:highlight w:val="none"/>
              </w:rPr>
            </w:pPr>
          </w:p>
        </w:tc>
        <w:tc>
          <w:tcPr>
            <w:tcW w:w="1816" w:type="dxa"/>
            <w:noWrap w:val="0"/>
            <w:vAlign w:val="center"/>
          </w:tcPr>
          <w:p>
            <w:pPr>
              <w:spacing w:line="360" w:lineRule="auto"/>
              <w:rPr>
                <w:rFonts w:ascii="宋体" w:hAnsi="宋体" w:cs="Arial"/>
                <w:b/>
                <w:color w:val="auto"/>
                <w:sz w:val="21"/>
                <w:szCs w:val="21"/>
                <w:highlight w:val="none"/>
              </w:rPr>
            </w:pPr>
          </w:p>
        </w:tc>
        <w:tc>
          <w:tcPr>
            <w:tcW w:w="751" w:type="dxa"/>
            <w:noWrap w:val="0"/>
            <w:vAlign w:val="top"/>
          </w:tcPr>
          <w:p>
            <w:pPr>
              <w:spacing w:line="360" w:lineRule="auto"/>
              <w:rPr>
                <w:rFonts w:ascii="宋体" w:hAnsi="宋体" w:cs="Arial"/>
                <w:b/>
                <w:color w:val="auto"/>
                <w:sz w:val="21"/>
                <w:szCs w:val="21"/>
                <w:highlight w:val="none"/>
              </w:rPr>
            </w:pPr>
          </w:p>
        </w:tc>
        <w:tc>
          <w:tcPr>
            <w:tcW w:w="952" w:type="dxa"/>
            <w:noWrap w:val="0"/>
            <w:vAlign w:val="center"/>
          </w:tcPr>
          <w:p>
            <w:pPr>
              <w:spacing w:line="360" w:lineRule="auto"/>
              <w:rPr>
                <w:rFonts w:ascii="宋体" w:hAnsi="宋体" w:cs="Arial"/>
                <w:b/>
                <w:color w:val="auto"/>
                <w:sz w:val="21"/>
                <w:szCs w:val="21"/>
                <w:highlight w:val="none"/>
              </w:rPr>
            </w:pPr>
          </w:p>
        </w:tc>
        <w:tc>
          <w:tcPr>
            <w:tcW w:w="1088" w:type="dxa"/>
            <w:noWrap w:val="0"/>
            <w:vAlign w:val="center"/>
          </w:tcPr>
          <w:p>
            <w:pPr>
              <w:spacing w:line="360" w:lineRule="auto"/>
              <w:rPr>
                <w:rFonts w:ascii="宋体" w:hAnsi="宋体" w:cs="Arial"/>
                <w:b/>
                <w:color w:val="auto"/>
                <w:sz w:val="21"/>
                <w:szCs w:val="21"/>
                <w:highlight w:val="none"/>
              </w:rPr>
            </w:pPr>
          </w:p>
        </w:tc>
        <w:tc>
          <w:tcPr>
            <w:tcW w:w="841" w:type="dxa"/>
            <w:noWrap w:val="0"/>
            <w:vAlign w:val="top"/>
          </w:tcPr>
          <w:p>
            <w:pPr>
              <w:spacing w:line="360" w:lineRule="auto"/>
              <w:rPr>
                <w:rFonts w:ascii="宋体" w:hAnsi="宋体" w:cs="Arial"/>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right"/>
        </w:trPr>
        <w:tc>
          <w:tcPr>
            <w:tcW w:w="525" w:type="dxa"/>
            <w:noWrap w:val="0"/>
            <w:vAlign w:val="center"/>
          </w:tcPr>
          <w:p>
            <w:pPr>
              <w:spacing w:line="360" w:lineRule="auto"/>
              <w:rPr>
                <w:rFonts w:ascii="宋体" w:hAnsi="宋体" w:cs="Arial"/>
                <w:color w:val="auto"/>
                <w:sz w:val="21"/>
                <w:szCs w:val="21"/>
                <w:highlight w:val="none"/>
              </w:rPr>
            </w:pPr>
          </w:p>
        </w:tc>
        <w:tc>
          <w:tcPr>
            <w:tcW w:w="1817" w:type="dxa"/>
            <w:noWrap w:val="0"/>
            <w:vAlign w:val="center"/>
          </w:tcPr>
          <w:p>
            <w:pPr>
              <w:spacing w:line="360" w:lineRule="auto"/>
              <w:rPr>
                <w:rFonts w:ascii="宋体" w:hAnsi="宋体" w:cs="Arial"/>
                <w:b/>
                <w:color w:val="auto"/>
                <w:sz w:val="21"/>
                <w:szCs w:val="21"/>
                <w:highlight w:val="none"/>
              </w:rPr>
            </w:pPr>
          </w:p>
        </w:tc>
        <w:tc>
          <w:tcPr>
            <w:tcW w:w="1614" w:type="dxa"/>
            <w:noWrap w:val="0"/>
            <w:vAlign w:val="top"/>
          </w:tcPr>
          <w:p>
            <w:pPr>
              <w:spacing w:line="360" w:lineRule="auto"/>
              <w:rPr>
                <w:rFonts w:ascii="宋体" w:hAnsi="宋体" w:cs="Arial"/>
                <w:b/>
                <w:color w:val="auto"/>
                <w:sz w:val="21"/>
                <w:szCs w:val="21"/>
                <w:highlight w:val="none"/>
              </w:rPr>
            </w:pPr>
          </w:p>
        </w:tc>
        <w:tc>
          <w:tcPr>
            <w:tcW w:w="1816" w:type="dxa"/>
            <w:noWrap w:val="0"/>
            <w:vAlign w:val="center"/>
          </w:tcPr>
          <w:p>
            <w:pPr>
              <w:spacing w:line="360" w:lineRule="auto"/>
              <w:rPr>
                <w:rFonts w:ascii="宋体" w:hAnsi="宋体" w:cs="Arial"/>
                <w:b/>
                <w:color w:val="auto"/>
                <w:sz w:val="21"/>
                <w:szCs w:val="21"/>
                <w:highlight w:val="none"/>
              </w:rPr>
            </w:pPr>
          </w:p>
        </w:tc>
        <w:tc>
          <w:tcPr>
            <w:tcW w:w="751" w:type="dxa"/>
            <w:noWrap w:val="0"/>
            <w:vAlign w:val="top"/>
          </w:tcPr>
          <w:p>
            <w:pPr>
              <w:spacing w:line="360" w:lineRule="auto"/>
              <w:rPr>
                <w:rFonts w:ascii="宋体" w:hAnsi="宋体" w:cs="Arial"/>
                <w:b/>
                <w:color w:val="auto"/>
                <w:sz w:val="21"/>
                <w:szCs w:val="21"/>
                <w:highlight w:val="none"/>
              </w:rPr>
            </w:pPr>
          </w:p>
        </w:tc>
        <w:tc>
          <w:tcPr>
            <w:tcW w:w="952" w:type="dxa"/>
            <w:noWrap w:val="0"/>
            <w:vAlign w:val="center"/>
          </w:tcPr>
          <w:p>
            <w:pPr>
              <w:spacing w:line="360" w:lineRule="auto"/>
              <w:rPr>
                <w:rFonts w:ascii="宋体" w:hAnsi="宋体" w:cs="Arial"/>
                <w:b/>
                <w:color w:val="auto"/>
                <w:sz w:val="21"/>
                <w:szCs w:val="21"/>
                <w:highlight w:val="none"/>
              </w:rPr>
            </w:pPr>
          </w:p>
        </w:tc>
        <w:tc>
          <w:tcPr>
            <w:tcW w:w="1088" w:type="dxa"/>
            <w:noWrap w:val="0"/>
            <w:vAlign w:val="center"/>
          </w:tcPr>
          <w:p>
            <w:pPr>
              <w:spacing w:line="360" w:lineRule="auto"/>
              <w:rPr>
                <w:rFonts w:ascii="宋体" w:hAnsi="宋体" w:cs="Arial"/>
                <w:b/>
                <w:color w:val="auto"/>
                <w:sz w:val="21"/>
                <w:szCs w:val="21"/>
                <w:highlight w:val="none"/>
              </w:rPr>
            </w:pPr>
          </w:p>
        </w:tc>
        <w:tc>
          <w:tcPr>
            <w:tcW w:w="841" w:type="dxa"/>
            <w:noWrap w:val="0"/>
            <w:vAlign w:val="top"/>
          </w:tcPr>
          <w:p>
            <w:pPr>
              <w:spacing w:line="360" w:lineRule="auto"/>
              <w:rPr>
                <w:rFonts w:ascii="宋体" w:hAnsi="宋体" w:cs="Arial"/>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right"/>
        </w:trPr>
        <w:tc>
          <w:tcPr>
            <w:tcW w:w="525" w:type="dxa"/>
            <w:noWrap w:val="0"/>
            <w:vAlign w:val="center"/>
          </w:tcPr>
          <w:p>
            <w:pPr>
              <w:spacing w:line="360" w:lineRule="auto"/>
              <w:rPr>
                <w:rFonts w:ascii="宋体" w:hAnsi="宋体" w:cs="Arial"/>
                <w:color w:val="auto"/>
                <w:sz w:val="21"/>
                <w:szCs w:val="21"/>
                <w:highlight w:val="none"/>
              </w:rPr>
            </w:pPr>
          </w:p>
        </w:tc>
        <w:tc>
          <w:tcPr>
            <w:tcW w:w="1817" w:type="dxa"/>
            <w:noWrap w:val="0"/>
            <w:vAlign w:val="center"/>
          </w:tcPr>
          <w:p>
            <w:pPr>
              <w:spacing w:line="360" w:lineRule="auto"/>
              <w:rPr>
                <w:rFonts w:ascii="宋体" w:hAnsi="宋体" w:cs="Arial"/>
                <w:b/>
                <w:color w:val="auto"/>
                <w:sz w:val="21"/>
                <w:szCs w:val="21"/>
                <w:highlight w:val="none"/>
              </w:rPr>
            </w:pPr>
          </w:p>
        </w:tc>
        <w:tc>
          <w:tcPr>
            <w:tcW w:w="1614" w:type="dxa"/>
            <w:noWrap w:val="0"/>
            <w:vAlign w:val="top"/>
          </w:tcPr>
          <w:p>
            <w:pPr>
              <w:spacing w:line="360" w:lineRule="auto"/>
              <w:rPr>
                <w:rFonts w:ascii="宋体" w:hAnsi="宋体" w:cs="Arial"/>
                <w:b/>
                <w:color w:val="auto"/>
                <w:sz w:val="21"/>
                <w:szCs w:val="21"/>
                <w:highlight w:val="none"/>
              </w:rPr>
            </w:pPr>
          </w:p>
        </w:tc>
        <w:tc>
          <w:tcPr>
            <w:tcW w:w="1816" w:type="dxa"/>
            <w:noWrap w:val="0"/>
            <w:vAlign w:val="center"/>
          </w:tcPr>
          <w:p>
            <w:pPr>
              <w:spacing w:line="360" w:lineRule="auto"/>
              <w:rPr>
                <w:rFonts w:ascii="宋体" w:hAnsi="宋体" w:cs="Arial"/>
                <w:b/>
                <w:color w:val="auto"/>
                <w:sz w:val="21"/>
                <w:szCs w:val="21"/>
                <w:highlight w:val="none"/>
              </w:rPr>
            </w:pPr>
          </w:p>
        </w:tc>
        <w:tc>
          <w:tcPr>
            <w:tcW w:w="751" w:type="dxa"/>
            <w:noWrap w:val="0"/>
            <w:vAlign w:val="top"/>
          </w:tcPr>
          <w:p>
            <w:pPr>
              <w:spacing w:line="360" w:lineRule="auto"/>
              <w:rPr>
                <w:rFonts w:ascii="宋体" w:hAnsi="宋体" w:cs="Arial"/>
                <w:b/>
                <w:color w:val="auto"/>
                <w:sz w:val="21"/>
                <w:szCs w:val="21"/>
                <w:highlight w:val="none"/>
              </w:rPr>
            </w:pPr>
          </w:p>
        </w:tc>
        <w:tc>
          <w:tcPr>
            <w:tcW w:w="952" w:type="dxa"/>
            <w:noWrap w:val="0"/>
            <w:vAlign w:val="center"/>
          </w:tcPr>
          <w:p>
            <w:pPr>
              <w:spacing w:line="360" w:lineRule="auto"/>
              <w:rPr>
                <w:rFonts w:ascii="宋体" w:hAnsi="宋体" w:cs="Arial"/>
                <w:b/>
                <w:color w:val="auto"/>
                <w:sz w:val="21"/>
                <w:szCs w:val="21"/>
                <w:highlight w:val="none"/>
              </w:rPr>
            </w:pPr>
          </w:p>
        </w:tc>
        <w:tc>
          <w:tcPr>
            <w:tcW w:w="1088" w:type="dxa"/>
            <w:noWrap w:val="0"/>
            <w:vAlign w:val="center"/>
          </w:tcPr>
          <w:p>
            <w:pPr>
              <w:spacing w:line="360" w:lineRule="auto"/>
              <w:rPr>
                <w:rFonts w:ascii="宋体" w:hAnsi="宋体" w:cs="Arial"/>
                <w:b/>
                <w:color w:val="auto"/>
                <w:sz w:val="21"/>
                <w:szCs w:val="21"/>
                <w:highlight w:val="none"/>
              </w:rPr>
            </w:pPr>
          </w:p>
        </w:tc>
        <w:tc>
          <w:tcPr>
            <w:tcW w:w="841" w:type="dxa"/>
            <w:noWrap w:val="0"/>
            <w:vAlign w:val="top"/>
          </w:tcPr>
          <w:p>
            <w:pPr>
              <w:spacing w:line="360" w:lineRule="auto"/>
              <w:rPr>
                <w:rFonts w:ascii="宋体" w:hAnsi="宋体" w:cs="Arial"/>
                <w:color w:val="auto"/>
                <w:sz w:val="21"/>
                <w:szCs w:val="21"/>
                <w:highlight w:val="none"/>
              </w:rPr>
            </w:pPr>
          </w:p>
        </w:tc>
      </w:tr>
    </w:tbl>
    <w:p>
      <w:pPr>
        <w:pStyle w:val="23"/>
        <w:spacing w:before="120" w:after="120" w:line="360" w:lineRule="auto"/>
        <w:ind w:left="560"/>
        <w:rPr>
          <w:rFonts w:hAnsi="宋体" w:cs="Arial"/>
          <w:color w:val="auto"/>
          <w:sz w:val="21"/>
          <w:szCs w:val="21"/>
          <w:highlight w:val="none"/>
        </w:rPr>
      </w:pPr>
      <w:r>
        <w:rPr>
          <w:rFonts w:hAnsi="宋体" w:cs="Arial"/>
          <w:color w:val="auto"/>
          <w:sz w:val="21"/>
          <w:szCs w:val="21"/>
          <w:highlight w:val="none"/>
        </w:rPr>
        <w:t>注：1、本表所列为投标人拟投入的消耗材料清单。</w:t>
      </w:r>
    </w:p>
    <w:p>
      <w:pPr>
        <w:pStyle w:val="23"/>
        <w:spacing w:before="120" w:after="120" w:line="360" w:lineRule="auto"/>
        <w:ind w:left="1191" w:leftChars="313" w:hanging="315" w:hangingChars="150"/>
        <w:rPr>
          <w:rFonts w:hAnsi="宋体" w:cs="Arial"/>
          <w:color w:val="auto"/>
          <w:sz w:val="21"/>
          <w:szCs w:val="21"/>
          <w:highlight w:val="none"/>
        </w:rPr>
      </w:pPr>
      <w:r>
        <w:rPr>
          <w:rFonts w:hAnsi="宋体" w:cs="Arial"/>
          <w:color w:val="auto"/>
          <w:sz w:val="21"/>
          <w:szCs w:val="21"/>
          <w:highlight w:val="none"/>
        </w:rPr>
        <w:t>2、本表所列耗材价格应计入投标总价。</w:t>
      </w:r>
    </w:p>
    <w:p>
      <w:pPr>
        <w:pStyle w:val="23"/>
        <w:spacing w:before="120" w:after="120" w:line="360" w:lineRule="auto"/>
        <w:ind w:left="876" w:leftChars="313"/>
        <w:rPr>
          <w:rFonts w:hAnsi="宋体" w:cs="Arial"/>
          <w:color w:val="auto"/>
          <w:sz w:val="21"/>
          <w:szCs w:val="21"/>
          <w:highlight w:val="none"/>
        </w:rPr>
      </w:pPr>
      <w:r>
        <w:rPr>
          <w:rFonts w:hAnsi="宋体" w:cs="Arial"/>
          <w:color w:val="auto"/>
          <w:sz w:val="21"/>
          <w:szCs w:val="21"/>
          <w:highlight w:val="none"/>
        </w:rPr>
        <w:t>3、此表仅提供了表格</w:t>
      </w:r>
      <w:r>
        <w:rPr>
          <w:rFonts w:hint="eastAsia" w:hAnsi="宋体" w:cs="Arial"/>
          <w:color w:val="auto"/>
          <w:sz w:val="21"/>
          <w:szCs w:val="21"/>
          <w:highlight w:val="none"/>
        </w:rPr>
        <w:t>格式</w:t>
      </w:r>
      <w:r>
        <w:rPr>
          <w:rFonts w:hAnsi="宋体" w:cs="Arial"/>
          <w:color w:val="auto"/>
          <w:sz w:val="21"/>
          <w:szCs w:val="21"/>
          <w:highlight w:val="none"/>
        </w:rPr>
        <w:t>，供应商可</w:t>
      </w:r>
      <w:r>
        <w:rPr>
          <w:rFonts w:hint="eastAsia" w:hAnsi="宋体" w:cs="Arial"/>
          <w:color w:val="auto"/>
          <w:sz w:val="21"/>
          <w:szCs w:val="21"/>
          <w:highlight w:val="none"/>
        </w:rPr>
        <w:t>根据需要增减行数</w:t>
      </w:r>
      <w:r>
        <w:rPr>
          <w:rFonts w:hAnsi="宋体" w:cs="Arial"/>
          <w:color w:val="auto"/>
          <w:sz w:val="21"/>
          <w:szCs w:val="21"/>
          <w:highlight w:val="none"/>
        </w:rPr>
        <w:t>。</w:t>
      </w:r>
    </w:p>
    <w:p>
      <w:pPr>
        <w:pStyle w:val="23"/>
        <w:spacing w:before="120" w:after="120" w:line="360" w:lineRule="auto"/>
        <w:ind w:left="560" w:leftChars="200"/>
        <w:rPr>
          <w:rFonts w:hint="eastAsia" w:hAnsi="宋体"/>
          <w:color w:val="auto"/>
          <w:sz w:val="21"/>
          <w:szCs w:val="21"/>
          <w:highlight w:val="none"/>
        </w:rPr>
      </w:pPr>
    </w:p>
    <w:p>
      <w:pPr>
        <w:pStyle w:val="23"/>
        <w:spacing w:before="120" w:after="120" w:line="360" w:lineRule="auto"/>
        <w:ind w:left="560" w:leftChars="200"/>
        <w:rPr>
          <w:rFonts w:hAnsi="宋体"/>
          <w:color w:val="auto"/>
          <w:sz w:val="21"/>
          <w:szCs w:val="21"/>
          <w:highlight w:val="none"/>
        </w:rPr>
      </w:pPr>
      <w:r>
        <w:rPr>
          <w:rFonts w:hint="eastAsia" w:hAnsi="宋体"/>
          <w:color w:val="auto"/>
          <w:sz w:val="21"/>
          <w:szCs w:val="21"/>
          <w:highlight w:val="none"/>
        </w:rPr>
        <w:t xml:space="preserve">投标人（盖公章）：                 </w:t>
      </w:r>
    </w:p>
    <w:p>
      <w:pPr>
        <w:pStyle w:val="23"/>
        <w:spacing w:before="120" w:after="120" w:line="360" w:lineRule="auto"/>
        <w:ind w:left="560" w:leftChars="200"/>
        <w:rPr>
          <w:rFonts w:hAnsi="宋体"/>
          <w:color w:val="auto"/>
          <w:sz w:val="21"/>
          <w:szCs w:val="21"/>
          <w:highlight w:val="none"/>
        </w:rPr>
      </w:pPr>
      <w:r>
        <w:rPr>
          <w:rFonts w:hint="eastAsia" w:hAnsi="宋体"/>
          <w:color w:val="auto"/>
          <w:sz w:val="21"/>
          <w:szCs w:val="21"/>
          <w:highlight w:val="none"/>
        </w:rPr>
        <w:t xml:space="preserve">投标人法定代表人或授权代表（签字或盖章）：        </w:t>
      </w:r>
    </w:p>
    <w:p>
      <w:pPr>
        <w:spacing w:line="360" w:lineRule="auto"/>
        <w:ind w:left="560" w:leftChars="200"/>
        <w:rPr>
          <w:rFonts w:hAnsi="宋体"/>
          <w:color w:val="auto"/>
          <w:sz w:val="21"/>
          <w:szCs w:val="21"/>
          <w:highlight w:val="none"/>
        </w:rPr>
      </w:pPr>
      <w:r>
        <w:rPr>
          <w:rFonts w:hint="eastAsia" w:hAnsi="宋体"/>
          <w:color w:val="auto"/>
          <w:sz w:val="21"/>
          <w:szCs w:val="21"/>
          <w:highlight w:val="none"/>
        </w:rPr>
        <w:t>日期：    年  月  日</w:t>
      </w:r>
    </w:p>
    <w:p>
      <w:pPr>
        <w:pStyle w:val="23"/>
        <w:spacing w:before="120" w:after="120" w:line="360" w:lineRule="auto"/>
        <w:ind w:left="560" w:firstLine="525" w:firstLineChars="250"/>
        <w:rPr>
          <w:rFonts w:hAnsi="宋体" w:cs="Arial"/>
          <w:color w:val="auto"/>
          <w:sz w:val="21"/>
          <w:szCs w:val="21"/>
          <w:highlight w:val="none"/>
        </w:rPr>
      </w:pPr>
    </w:p>
    <w:p>
      <w:pPr>
        <w:spacing w:line="360" w:lineRule="auto"/>
        <w:jc w:val="center"/>
        <w:rPr>
          <w:rFonts w:hint="eastAsia"/>
          <w:color w:val="auto"/>
          <w:highlight w:val="none"/>
        </w:rPr>
      </w:pPr>
      <w:r>
        <w:rPr>
          <w:color w:val="auto"/>
          <w:highlight w:val="none"/>
        </w:rPr>
        <w:br w:type="page"/>
      </w:r>
    </w:p>
    <w:p>
      <w:pPr>
        <w:spacing w:line="360" w:lineRule="auto"/>
        <w:jc w:val="center"/>
        <w:rPr>
          <w:rFonts w:hint="eastAsia" w:ascii="宋体" w:hAnsi="宋体" w:cs="宋体"/>
          <w:b/>
          <w:color w:val="auto"/>
          <w:sz w:val="32"/>
          <w:szCs w:val="32"/>
          <w:highlight w:val="none"/>
        </w:rPr>
      </w:pPr>
      <w:r>
        <w:rPr>
          <w:rFonts w:hint="eastAsia" w:ascii="宋体" w:hAnsi="宋体" w:cs="宋体"/>
          <w:b/>
          <w:color w:val="auto"/>
          <w:sz w:val="32"/>
          <w:szCs w:val="32"/>
          <w:highlight w:val="none"/>
        </w:rPr>
        <w:t>一线现场作业人员配置计划表</w:t>
      </w:r>
    </w:p>
    <w:p>
      <w:pPr>
        <w:pStyle w:val="2"/>
        <w:ind w:firstLine="280"/>
        <w:rPr>
          <w:rFonts w:hint="eastAsia"/>
          <w:color w:val="auto"/>
          <w:highlight w:val="none"/>
        </w:rPr>
      </w:pPr>
    </w:p>
    <w:p>
      <w:pPr>
        <w:spacing w:line="360" w:lineRule="auto"/>
        <w:rPr>
          <w:rFonts w:hint="eastAsia" w:ascii="宋体" w:hAnsi="宋体" w:eastAsia="宋体"/>
          <w:color w:val="auto"/>
          <w:sz w:val="21"/>
          <w:szCs w:val="21"/>
          <w:highlight w:val="none"/>
          <w:lang w:eastAsia="zh-CN"/>
        </w:rPr>
      </w:pPr>
      <w:r>
        <w:rPr>
          <w:rFonts w:hint="eastAsia" w:ascii="宋体" w:hAnsi="宋体"/>
          <w:color w:val="auto"/>
          <w:sz w:val="21"/>
          <w:szCs w:val="21"/>
          <w:highlight w:val="none"/>
        </w:rPr>
        <w:t>项目名称：龙湾区瑶溪街道环卫保洁一体化项目       项目编号：</w:t>
      </w:r>
      <w:r>
        <w:rPr>
          <w:rFonts w:hint="eastAsia" w:ascii="宋体" w:hAnsi="宋体"/>
          <w:color w:val="auto"/>
          <w:sz w:val="21"/>
          <w:szCs w:val="21"/>
          <w:highlight w:val="none"/>
          <w:lang w:eastAsia="zh-CN"/>
        </w:rPr>
        <w:t>WZHC-20220923</w:t>
      </w:r>
    </w:p>
    <w:tbl>
      <w:tblPr>
        <w:tblStyle w:val="42"/>
        <w:tblW w:w="928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05"/>
        <w:gridCol w:w="935"/>
        <w:gridCol w:w="935"/>
        <w:gridCol w:w="936"/>
        <w:gridCol w:w="935"/>
        <w:gridCol w:w="935"/>
        <w:gridCol w:w="936"/>
        <w:gridCol w:w="1120"/>
        <w:gridCol w:w="104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9" w:hRule="atLeast"/>
          <w:jc w:val="center"/>
        </w:trPr>
        <w:tc>
          <w:tcPr>
            <w:tcW w:w="1505" w:type="dxa"/>
            <w:noWrap/>
            <w:vAlign w:val="center"/>
          </w:tcPr>
          <w:p>
            <w:pPr>
              <w:jc w:val="center"/>
              <w:rPr>
                <w:rFonts w:ascii="宋体" w:hAnsi="宋体" w:cs="Arial"/>
                <w:color w:val="auto"/>
                <w:sz w:val="21"/>
                <w:szCs w:val="21"/>
                <w:highlight w:val="none"/>
              </w:rPr>
            </w:pPr>
            <w:r>
              <w:rPr>
                <w:rFonts w:ascii="宋体" w:hAnsi="宋体" w:cs="Arial"/>
                <w:color w:val="auto"/>
                <w:sz w:val="21"/>
                <w:szCs w:val="21"/>
                <w:highlight w:val="none"/>
              </w:rPr>
              <w:t>网格名称</w:t>
            </w:r>
          </w:p>
        </w:tc>
        <w:tc>
          <w:tcPr>
            <w:tcW w:w="935" w:type="dxa"/>
            <w:noWrap/>
            <w:vAlign w:val="center"/>
          </w:tcPr>
          <w:p>
            <w:pPr>
              <w:jc w:val="center"/>
              <w:rPr>
                <w:rFonts w:ascii="宋体" w:hAnsi="宋体" w:cs="Arial"/>
                <w:color w:val="auto"/>
                <w:sz w:val="21"/>
                <w:szCs w:val="21"/>
                <w:highlight w:val="none"/>
              </w:rPr>
            </w:pPr>
            <w:r>
              <w:rPr>
                <w:rFonts w:ascii="宋体" w:hAnsi="宋体" w:cs="Arial"/>
                <w:color w:val="auto"/>
                <w:sz w:val="21"/>
                <w:szCs w:val="21"/>
                <w:highlight w:val="none"/>
              </w:rPr>
              <w:t>网格范围</w:t>
            </w:r>
          </w:p>
        </w:tc>
        <w:tc>
          <w:tcPr>
            <w:tcW w:w="935" w:type="dxa"/>
            <w:noWrap/>
            <w:vAlign w:val="center"/>
          </w:tcPr>
          <w:p>
            <w:pPr>
              <w:jc w:val="center"/>
              <w:rPr>
                <w:rFonts w:ascii="宋体" w:hAnsi="宋体" w:cs="Arial"/>
                <w:color w:val="auto"/>
                <w:sz w:val="21"/>
                <w:szCs w:val="21"/>
                <w:highlight w:val="none"/>
              </w:rPr>
            </w:pPr>
            <w:r>
              <w:rPr>
                <w:rFonts w:ascii="宋体" w:hAnsi="宋体" w:cs="Arial"/>
                <w:color w:val="auto"/>
                <w:sz w:val="21"/>
                <w:szCs w:val="21"/>
                <w:highlight w:val="none"/>
              </w:rPr>
              <w:t>清扫人数</w:t>
            </w:r>
          </w:p>
        </w:tc>
        <w:tc>
          <w:tcPr>
            <w:tcW w:w="936" w:type="dxa"/>
            <w:noWrap/>
            <w:vAlign w:val="center"/>
          </w:tcPr>
          <w:p>
            <w:pPr>
              <w:jc w:val="center"/>
              <w:rPr>
                <w:rFonts w:ascii="宋体" w:hAnsi="宋体" w:cs="Arial"/>
                <w:color w:val="auto"/>
                <w:sz w:val="21"/>
                <w:szCs w:val="21"/>
                <w:highlight w:val="none"/>
              </w:rPr>
            </w:pPr>
            <w:r>
              <w:rPr>
                <w:rFonts w:ascii="宋体" w:hAnsi="宋体" w:cs="Arial"/>
                <w:color w:val="auto"/>
                <w:sz w:val="21"/>
                <w:szCs w:val="21"/>
                <w:highlight w:val="none"/>
              </w:rPr>
              <w:t>清洗人数</w:t>
            </w:r>
          </w:p>
        </w:tc>
        <w:tc>
          <w:tcPr>
            <w:tcW w:w="935" w:type="dxa"/>
            <w:noWrap/>
            <w:vAlign w:val="center"/>
          </w:tcPr>
          <w:p>
            <w:pPr>
              <w:jc w:val="center"/>
              <w:rPr>
                <w:rFonts w:ascii="宋体" w:hAnsi="宋体" w:cs="Arial"/>
                <w:color w:val="auto"/>
                <w:sz w:val="21"/>
                <w:szCs w:val="21"/>
                <w:highlight w:val="none"/>
              </w:rPr>
            </w:pPr>
            <w:r>
              <w:rPr>
                <w:rFonts w:ascii="宋体" w:hAnsi="宋体" w:cs="Arial"/>
                <w:color w:val="auto"/>
                <w:sz w:val="21"/>
                <w:szCs w:val="21"/>
                <w:highlight w:val="none"/>
              </w:rPr>
              <w:t>快保人数</w:t>
            </w:r>
          </w:p>
        </w:tc>
        <w:tc>
          <w:tcPr>
            <w:tcW w:w="935" w:type="dxa"/>
            <w:noWrap/>
            <w:vAlign w:val="center"/>
          </w:tcPr>
          <w:p>
            <w:pPr>
              <w:jc w:val="center"/>
              <w:rPr>
                <w:rFonts w:ascii="宋体" w:hAnsi="宋体" w:cs="Arial"/>
                <w:color w:val="auto"/>
                <w:sz w:val="21"/>
                <w:szCs w:val="21"/>
                <w:highlight w:val="none"/>
              </w:rPr>
            </w:pPr>
            <w:r>
              <w:rPr>
                <w:rFonts w:ascii="宋体" w:hAnsi="宋体" w:cs="Arial"/>
                <w:color w:val="auto"/>
                <w:sz w:val="21"/>
                <w:szCs w:val="21"/>
                <w:highlight w:val="none"/>
              </w:rPr>
              <w:t>垃圾清运人数</w:t>
            </w:r>
          </w:p>
        </w:tc>
        <w:tc>
          <w:tcPr>
            <w:tcW w:w="936" w:type="dxa"/>
            <w:noWrap/>
            <w:vAlign w:val="center"/>
          </w:tcPr>
          <w:p>
            <w:pPr>
              <w:jc w:val="center"/>
              <w:rPr>
                <w:rFonts w:ascii="宋体" w:hAnsi="宋体" w:cs="Arial"/>
                <w:color w:val="auto"/>
                <w:sz w:val="21"/>
                <w:szCs w:val="21"/>
                <w:highlight w:val="none"/>
              </w:rPr>
            </w:pPr>
            <w:r>
              <w:rPr>
                <w:rFonts w:ascii="宋体" w:hAnsi="宋体" w:cs="Arial"/>
                <w:color w:val="auto"/>
                <w:sz w:val="21"/>
                <w:szCs w:val="21"/>
                <w:highlight w:val="none"/>
              </w:rPr>
              <w:t>小广告清理人数</w:t>
            </w:r>
          </w:p>
        </w:tc>
        <w:tc>
          <w:tcPr>
            <w:tcW w:w="1120" w:type="dxa"/>
            <w:noWrap/>
            <w:vAlign w:val="center"/>
          </w:tcPr>
          <w:p>
            <w:pPr>
              <w:jc w:val="center"/>
              <w:rPr>
                <w:rFonts w:ascii="宋体" w:hAnsi="宋体" w:cs="Arial"/>
                <w:color w:val="auto"/>
                <w:sz w:val="21"/>
                <w:szCs w:val="21"/>
                <w:highlight w:val="none"/>
              </w:rPr>
            </w:pPr>
            <w:r>
              <w:rPr>
                <w:rFonts w:ascii="宋体" w:hAnsi="宋体" w:cs="Arial"/>
                <w:color w:val="auto"/>
                <w:sz w:val="21"/>
                <w:szCs w:val="21"/>
                <w:highlight w:val="none"/>
              </w:rPr>
              <w:t>其他人数</w:t>
            </w:r>
          </w:p>
        </w:tc>
        <w:tc>
          <w:tcPr>
            <w:tcW w:w="1049" w:type="dxa"/>
            <w:noWrap/>
            <w:vAlign w:val="center"/>
          </w:tcPr>
          <w:p>
            <w:pPr>
              <w:jc w:val="center"/>
              <w:rPr>
                <w:rFonts w:ascii="宋体" w:hAnsi="宋体" w:cs="Arial"/>
                <w:color w:val="auto"/>
                <w:sz w:val="21"/>
                <w:szCs w:val="21"/>
                <w:highlight w:val="none"/>
              </w:rPr>
            </w:pPr>
            <w:r>
              <w:rPr>
                <w:rFonts w:ascii="宋体" w:hAnsi="宋体" w:cs="Arial"/>
                <w:color w:val="auto"/>
                <w:sz w:val="21"/>
                <w:szCs w:val="21"/>
                <w:highlight w:val="none"/>
              </w:rPr>
              <w:t>总计人数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9" w:hRule="atLeast"/>
          <w:jc w:val="center"/>
        </w:trPr>
        <w:tc>
          <w:tcPr>
            <w:tcW w:w="1505" w:type="dxa"/>
            <w:noWrap/>
            <w:vAlign w:val="center"/>
          </w:tcPr>
          <w:p>
            <w:pPr>
              <w:jc w:val="center"/>
              <w:rPr>
                <w:rFonts w:ascii="宋体" w:hAnsi="宋体" w:cs="Arial"/>
                <w:color w:val="auto"/>
                <w:sz w:val="21"/>
                <w:szCs w:val="21"/>
                <w:highlight w:val="none"/>
              </w:rPr>
            </w:pPr>
            <w:r>
              <w:rPr>
                <w:rFonts w:ascii="宋体" w:hAnsi="宋体" w:cs="Arial"/>
                <w:color w:val="auto"/>
                <w:sz w:val="21"/>
                <w:szCs w:val="21"/>
                <w:highlight w:val="none"/>
              </w:rPr>
              <w:t>网格1</w:t>
            </w:r>
          </w:p>
        </w:tc>
        <w:tc>
          <w:tcPr>
            <w:tcW w:w="935" w:type="dxa"/>
            <w:noWrap/>
            <w:vAlign w:val="center"/>
          </w:tcPr>
          <w:p>
            <w:pPr>
              <w:rPr>
                <w:rFonts w:ascii="宋体" w:hAnsi="宋体" w:cs="Arial"/>
                <w:color w:val="auto"/>
                <w:sz w:val="21"/>
                <w:szCs w:val="21"/>
                <w:highlight w:val="none"/>
              </w:rPr>
            </w:pPr>
            <w:r>
              <w:rPr>
                <w:rFonts w:ascii="宋体" w:hAnsi="宋体" w:cs="Arial"/>
                <w:color w:val="auto"/>
                <w:sz w:val="21"/>
                <w:szCs w:val="21"/>
                <w:highlight w:val="none"/>
              </w:rPr>
              <w:t>　</w:t>
            </w:r>
          </w:p>
        </w:tc>
        <w:tc>
          <w:tcPr>
            <w:tcW w:w="935" w:type="dxa"/>
            <w:noWrap/>
            <w:vAlign w:val="center"/>
          </w:tcPr>
          <w:p>
            <w:pPr>
              <w:rPr>
                <w:rFonts w:ascii="宋体" w:hAnsi="宋体" w:cs="Arial"/>
                <w:color w:val="auto"/>
                <w:sz w:val="21"/>
                <w:szCs w:val="21"/>
                <w:highlight w:val="none"/>
              </w:rPr>
            </w:pPr>
            <w:r>
              <w:rPr>
                <w:rFonts w:ascii="宋体" w:hAnsi="宋体" w:cs="Arial"/>
                <w:color w:val="auto"/>
                <w:sz w:val="21"/>
                <w:szCs w:val="21"/>
                <w:highlight w:val="none"/>
              </w:rPr>
              <w:t>　</w:t>
            </w:r>
          </w:p>
        </w:tc>
        <w:tc>
          <w:tcPr>
            <w:tcW w:w="936" w:type="dxa"/>
            <w:noWrap/>
            <w:vAlign w:val="center"/>
          </w:tcPr>
          <w:p>
            <w:pPr>
              <w:rPr>
                <w:rFonts w:ascii="宋体" w:hAnsi="宋体" w:cs="Arial"/>
                <w:color w:val="auto"/>
                <w:sz w:val="21"/>
                <w:szCs w:val="21"/>
                <w:highlight w:val="none"/>
              </w:rPr>
            </w:pPr>
            <w:r>
              <w:rPr>
                <w:rFonts w:ascii="宋体" w:hAnsi="宋体" w:cs="Arial"/>
                <w:color w:val="auto"/>
                <w:sz w:val="21"/>
                <w:szCs w:val="21"/>
                <w:highlight w:val="none"/>
              </w:rPr>
              <w:t>　</w:t>
            </w:r>
          </w:p>
        </w:tc>
        <w:tc>
          <w:tcPr>
            <w:tcW w:w="935" w:type="dxa"/>
            <w:noWrap/>
            <w:vAlign w:val="center"/>
          </w:tcPr>
          <w:p>
            <w:pPr>
              <w:rPr>
                <w:rFonts w:ascii="宋体" w:hAnsi="宋体" w:cs="Arial"/>
                <w:color w:val="auto"/>
                <w:sz w:val="21"/>
                <w:szCs w:val="21"/>
                <w:highlight w:val="none"/>
              </w:rPr>
            </w:pPr>
            <w:r>
              <w:rPr>
                <w:rFonts w:ascii="宋体" w:hAnsi="宋体" w:cs="Arial"/>
                <w:color w:val="auto"/>
                <w:sz w:val="21"/>
                <w:szCs w:val="21"/>
                <w:highlight w:val="none"/>
              </w:rPr>
              <w:t>　</w:t>
            </w:r>
          </w:p>
        </w:tc>
        <w:tc>
          <w:tcPr>
            <w:tcW w:w="935" w:type="dxa"/>
            <w:noWrap/>
            <w:vAlign w:val="center"/>
          </w:tcPr>
          <w:p>
            <w:pPr>
              <w:rPr>
                <w:rFonts w:ascii="宋体" w:hAnsi="宋体" w:cs="Arial"/>
                <w:color w:val="auto"/>
                <w:sz w:val="21"/>
                <w:szCs w:val="21"/>
                <w:highlight w:val="none"/>
              </w:rPr>
            </w:pPr>
            <w:r>
              <w:rPr>
                <w:rFonts w:ascii="宋体" w:hAnsi="宋体" w:cs="Arial"/>
                <w:color w:val="auto"/>
                <w:sz w:val="21"/>
                <w:szCs w:val="21"/>
                <w:highlight w:val="none"/>
              </w:rPr>
              <w:t>　</w:t>
            </w:r>
          </w:p>
        </w:tc>
        <w:tc>
          <w:tcPr>
            <w:tcW w:w="936" w:type="dxa"/>
            <w:noWrap/>
            <w:vAlign w:val="center"/>
          </w:tcPr>
          <w:p>
            <w:pPr>
              <w:rPr>
                <w:rFonts w:ascii="宋体" w:hAnsi="宋体" w:cs="Arial"/>
                <w:color w:val="auto"/>
                <w:sz w:val="21"/>
                <w:szCs w:val="21"/>
                <w:highlight w:val="none"/>
              </w:rPr>
            </w:pPr>
            <w:r>
              <w:rPr>
                <w:rFonts w:ascii="宋体" w:hAnsi="宋体" w:cs="Arial"/>
                <w:color w:val="auto"/>
                <w:sz w:val="21"/>
                <w:szCs w:val="21"/>
                <w:highlight w:val="none"/>
              </w:rPr>
              <w:t>　</w:t>
            </w:r>
          </w:p>
        </w:tc>
        <w:tc>
          <w:tcPr>
            <w:tcW w:w="1120" w:type="dxa"/>
            <w:noWrap/>
            <w:vAlign w:val="center"/>
          </w:tcPr>
          <w:p>
            <w:pPr>
              <w:rPr>
                <w:rFonts w:ascii="宋体" w:hAnsi="宋体" w:cs="Arial"/>
                <w:color w:val="auto"/>
                <w:sz w:val="21"/>
                <w:szCs w:val="21"/>
                <w:highlight w:val="none"/>
              </w:rPr>
            </w:pPr>
            <w:r>
              <w:rPr>
                <w:rFonts w:ascii="宋体" w:hAnsi="宋体" w:cs="Arial"/>
                <w:color w:val="auto"/>
                <w:sz w:val="21"/>
                <w:szCs w:val="21"/>
                <w:highlight w:val="none"/>
              </w:rPr>
              <w:t>　</w:t>
            </w:r>
          </w:p>
        </w:tc>
        <w:tc>
          <w:tcPr>
            <w:tcW w:w="1049" w:type="dxa"/>
            <w:noWrap/>
            <w:vAlign w:val="center"/>
          </w:tcPr>
          <w:p>
            <w:pPr>
              <w:rPr>
                <w:rFonts w:ascii="宋体" w:hAnsi="宋体" w:cs="Arial"/>
                <w:color w:val="auto"/>
                <w:sz w:val="21"/>
                <w:szCs w:val="21"/>
                <w:highlight w:val="none"/>
              </w:rPr>
            </w:pPr>
            <w:r>
              <w:rPr>
                <w:rFonts w:ascii="宋体" w:hAnsi="宋体" w:cs="Arial"/>
                <w:color w:val="auto"/>
                <w:sz w:val="21"/>
                <w:szCs w:val="21"/>
                <w:highlight w:val="none"/>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9" w:hRule="atLeast"/>
          <w:jc w:val="center"/>
        </w:trPr>
        <w:tc>
          <w:tcPr>
            <w:tcW w:w="1505" w:type="dxa"/>
            <w:noWrap/>
            <w:vAlign w:val="center"/>
          </w:tcPr>
          <w:p>
            <w:pPr>
              <w:jc w:val="center"/>
              <w:rPr>
                <w:rFonts w:ascii="宋体" w:hAnsi="宋体" w:cs="Arial"/>
                <w:color w:val="auto"/>
                <w:sz w:val="21"/>
                <w:szCs w:val="21"/>
                <w:highlight w:val="none"/>
              </w:rPr>
            </w:pPr>
            <w:r>
              <w:rPr>
                <w:rFonts w:ascii="宋体" w:hAnsi="宋体" w:cs="Arial"/>
                <w:color w:val="auto"/>
                <w:sz w:val="21"/>
                <w:szCs w:val="21"/>
                <w:highlight w:val="none"/>
              </w:rPr>
              <w:t>网格2</w:t>
            </w:r>
          </w:p>
        </w:tc>
        <w:tc>
          <w:tcPr>
            <w:tcW w:w="935" w:type="dxa"/>
            <w:noWrap/>
            <w:vAlign w:val="center"/>
          </w:tcPr>
          <w:p>
            <w:pPr>
              <w:rPr>
                <w:rFonts w:ascii="宋体" w:hAnsi="宋体" w:cs="Arial"/>
                <w:color w:val="auto"/>
                <w:sz w:val="21"/>
                <w:szCs w:val="21"/>
                <w:highlight w:val="none"/>
              </w:rPr>
            </w:pPr>
            <w:r>
              <w:rPr>
                <w:rFonts w:ascii="宋体" w:hAnsi="宋体" w:cs="Arial"/>
                <w:color w:val="auto"/>
                <w:sz w:val="21"/>
                <w:szCs w:val="21"/>
                <w:highlight w:val="none"/>
              </w:rPr>
              <w:t>　</w:t>
            </w:r>
          </w:p>
        </w:tc>
        <w:tc>
          <w:tcPr>
            <w:tcW w:w="935" w:type="dxa"/>
            <w:noWrap/>
            <w:vAlign w:val="center"/>
          </w:tcPr>
          <w:p>
            <w:pPr>
              <w:rPr>
                <w:rFonts w:ascii="宋体" w:hAnsi="宋体" w:cs="Arial"/>
                <w:color w:val="auto"/>
                <w:sz w:val="21"/>
                <w:szCs w:val="21"/>
                <w:highlight w:val="none"/>
              </w:rPr>
            </w:pPr>
            <w:r>
              <w:rPr>
                <w:rFonts w:ascii="宋体" w:hAnsi="宋体" w:cs="Arial"/>
                <w:color w:val="auto"/>
                <w:sz w:val="21"/>
                <w:szCs w:val="21"/>
                <w:highlight w:val="none"/>
              </w:rPr>
              <w:t>　</w:t>
            </w:r>
          </w:p>
        </w:tc>
        <w:tc>
          <w:tcPr>
            <w:tcW w:w="936" w:type="dxa"/>
            <w:noWrap/>
            <w:vAlign w:val="center"/>
          </w:tcPr>
          <w:p>
            <w:pPr>
              <w:rPr>
                <w:rFonts w:ascii="宋体" w:hAnsi="宋体" w:cs="Arial"/>
                <w:color w:val="auto"/>
                <w:sz w:val="21"/>
                <w:szCs w:val="21"/>
                <w:highlight w:val="none"/>
              </w:rPr>
            </w:pPr>
            <w:r>
              <w:rPr>
                <w:rFonts w:ascii="宋体" w:hAnsi="宋体" w:cs="Arial"/>
                <w:color w:val="auto"/>
                <w:sz w:val="21"/>
                <w:szCs w:val="21"/>
                <w:highlight w:val="none"/>
              </w:rPr>
              <w:t>　</w:t>
            </w:r>
          </w:p>
        </w:tc>
        <w:tc>
          <w:tcPr>
            <w:tcW w:w="935" w:type="dxa"/>
            <w:noWrap/>
            <w:vAlign w:val="center"/>
          </w:tcPr>
          <w:p>
            <w:pPr>
              <w:rPr>
                <w:rFonts w:ascii="宋体" w:hAnsi="宋体" w:cs="Arial"/>
                <w:color w:val="auto"/>
                <w:sz w:val="21"/>
                <w:szCs w:val="21"/>
                <w:highlight w:val="none"/>
              </w:rPr>
            </w:pPr>
            <w:r>
              <w:rPr>
                <w:rFonts w:ascii="宋体" w:hAnsi="宋体" w:cs="Arial"/>
                <w:color w:val="auto"/>
                <w:sz w:val="21"/>
                <w:szCs w:val="21"/>
                <w:highlight w:val="none"/>
              </w:rPr>
              <w:t>　</w:t>
            </w:r>
          </w:p>
        </w:tc>
        <w:tc>
          <w:tcPr>
            <w:tcW w:w="935" w:type="dxa"/>
            <w:noWrap/>
            <w:vAlign w:val="center"/>
          </w:tcPr>
          <w:p>
            <w:pPr>
              <w:rPr>
                <w:rFonts w:ascii="宋体" w:hAnsi="宋体" w:cs="Arial"/>
                <w:color w:val="auto"/>
                <w:sz w:val="21"/>
                <w:szCs w:val="21"/>
                <w:highlight w:val="none"/>
              </w:rPr>
            </w:pPr>
            <w:r>
              <w:rPr>
                <w:rFonts w:ascii="宋体" w:hAnsi="宋体" w:cs="Arial"/>
                <w:color w:val="auto"/>
                <w:sz w:val="21"/>
                <w:szCs w:val="21"/>
                <w:highlight w:val="none"/>
              </w:rPr>
              <w:t>　</w:t>
            </w:r>
          </w:p>
        </w:tc>
        <w:tc>
          <w:tcPr>
            <w:tcW w:w="936" w:type="dxa"/>
            <w:noWrap/>
            <w:vAlign w:val="center"/>
          </w:tcPr>
          <w:p>
            <w:pPr>
              <w:rPr>
                <w:rFonts w:ascii="宋体" w:hAnsi="宋体" w:cs="Arial"/>
                <w:color w:val="auto"/>
                <w:sz w:val="21"/>
                <w:szCs w:val="21"/>
                <w:highlight w:val="none"/>
              </w:rPr>
            </w:pPr>
            <w:r>
              <w:rPr>
                <w:rFonts w:ascii="宋体" w:hAnsi="宋体" w:cs="Arial"/>
                <w:color w:val="auto"/>
                <w:sz w:val="21"/>
                <w:szCs w:val="21"/>
                <w:highlight w:val="none"/>
              </w:rPr>
              <w:t>　</w:t>
            </w:r>
          </w:p>
        </w:tc>
        <w:tc>
          <w:tcPr>
            <w:tcW w:w="1120" w:type="dxa"/>
            <w:noWrap/>
            <w:vAlign w:val="center"/>
          </w:tcPr>
          <w:p>
            <w:pPr>
              <w:rPr>
                <w:rFonts w:ascii="宋体" w:hAnsi="宋体" w:cs="Arial"/>
                <w:color w:val="auto"/>
                <w:sz w:val="21"/>
                <w:szCs w:val="21"/>
                <w:highlight w:val="none"/>
              </w:rPr>
            </w:pPr>
            <w:r>
              <w:rPr>
                <w:rFonts w:ascii="宋体" w:hAnsi="宋体" w:cs="Arial"/>
                <w:color w:val="auto"/>
                <w:sz w:val="21"/>
                <w:szCs w:val="21"/>
                <w:highlight w:val="none"/>
              </w:rPr>
              <w:t>　</w:t>
            </w:r>
          </w:p>
        </w:tc>
        <w:tc>
          <w:tcPr>
            <w:tcW w:w="1049" w:type="dxa"/>
            <w:noWrap/>
            <w:vAlign w:val="center"/>
          </w:tcPr>
          <w:p>
            <w:pPr>
              <w:rPr>
                <w:rFonts w:ascii="宋体" w:hAnsi="宋体" w:cs="Arial"/>
                <w:color w:val="auto"/>
                <w:sz w:val="21"/>
                <w:szCs w:val="21"/>
                <w:highlight w:val="none"/>
              </w:rPr>
            </w:pPr>
            <w:r>
              <w:rPr>
                <w:rFonts w:ascii="宋体" w:hAnsi="宋体" w:cs="Arial"/>
                <w:color w:val="auto"/>
                <w:sz w:val="21"/>
                <w:szCs w:val="21"/>
                <w:highlight w:val="none"/>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9" w:hRule="atLeast"/>
          <w:jc w:val="center"/>
        </w:trPr>
        <w:tc>
          <w:tcPr>
            <w:tcW w:w="1505" w:type="dxa"/>
            <w:noWrap/>
            <w:vAlign w:val="center"/>
          </w:tcPr>
          <w:p>
            <w:pPr>
              <w:jc w:val="center"/>
              <w:rPr>
                <w:rFonts w:ascii="宋体" w:hAnsi="宋体" w:cs="Arial"/>
                <w:color w:val="auto"/>
                <w:sz w:val="21"/>
                <w:szCs w:val="21"/>
                <w:highlight w:val="none"/>
              </w:rPr>
            </w:pPr>
            <w:r>
              <w:rPr>
                <w:rFonts w:ascii="宋体" w:hAnsi="宋体" w:cs="Arial"/>
                <w:color w:val="auto"/>
                <w:sz w:val="21"/>
                <w:szCs w:val="21"/>
                <w:highlight w:val="none"/>
              </w:rPr>
              <w:t>网格3</w:t>
            </w:r>
          </w:p>
        </w:tc>
        <w:tc>
          <w:tcPr>
            <w:tcW w:w="935" w:type="dxa"/>
            <w:noWrap/>
            <w:vAlign w:val="center"/>
          </w:tcPr>
          <w:p>
            <w:pPr>
              <w:rPr>
                <w:rFonts w:ascii="宋体" w:hAnsi="宋体" w:cs="Arial"/>
                <w:color w:val="auto"/>
                <w:sz w:val="21"/>
                <w:szCs w:val="21"/>
                <w:highlight w:val="none"/>
              </w:rPr>
            </w:pPr>
            <w:r>
              <w:rPr>
                <w:rFonts w:ascii="宋体" w:hAnsi="宋体" w:cs="Arial"/>
                <w:color w:val="auto"/>
                <w:sz w:val="21"/>
                <w:szCs w:val="21"/>
                <w:highlight w:val="none"/>
              </w:rPr>
              <w:t>　</w:t>
            </w:r>
          </w:p>
        </w:tc>
        <w:tc>
          <w:tcPr>
            <w:tcW w:w="935" w:type="dxa"/>
            <w:noWrap/>
            <w:vAlign w:val="center"/>
          </w:tcPr>
          <w:p>
            <w:pPr>
              <w:rPr>
                <w:rFonts w:ascii="宋体" w:hAnsi="宋体" w:cs="Arial"/>
                <w:color w:val="auto"/>
                <w:sz w:val="21"/>
                <w:szCs w:val="21"/>
                <w:highlight w:val="none"/>
              </w:rPr>
            </w:pPr>
            <w:r>
              <w:rPr>
                <w:rFonts w:ascii="宋体" w:hAnsi="宋体" w:cs="Arial"/>
                <w:color w:val="auto"/>
                <w:sz w:val="21"/>
                <w:szCs w:val="21"/>
                <w:highlight w:val="none"/>
              </w:rPr>
              <w:t>　</w:t>
            </w:r>
          </w:p>
        </w:tc>
        <w:tc>
          <w:tcPr>
            <w:tcW w:w="936" w:type="dxa"/>
            <w:noWrap/>
            <w:vAlign w:val="center"/>
          </w:tcPr>
          <w:p>
            <w:pPr>
              <w:rPr>
                <w:rFonts w:ascii="宋体" w:hAnsi="宋体" w:cs="Arial"/>
                <w:color w:val="auto"/>
                <w:sz w:val="21"/>
                <w:szCs w:val="21"/>
                <w:highlight w:val="none"/>
              </w:rPr>
            </w:pPr>
            <w:r>
              <w:rPr>
                <w:rFonts w:ascii="宋体" w:hAnsi="宋体" w:cs="Arial"/>
                <w:color w:val="auto"/>
                <w:sz w:val="21"/>
                <w:szCs w:val="21"/>
                <w:highlight w:val="none"/>
              </w:rPr>
              <w:t>　</w:t>
            </w:r>
          </w:p>
        </w:tc>
        <w:tc>
          <w:tcPr>
            <w:tcW w:w="935" w:type="dxa"/>
            <w:noWrap/>
            <w:vAlign w:val="center"/>
          </w:tcPr>
          <w:p>
            <w:pPr>
              <w:rPr>
                <w:rFonts w:ascii="宋体" w:hAnsi="宋体" w:cs="Arial"/>
                <w:color w:val="auto"/>
                <w:sz w:val="21"/>
                <w:szCs w:val="21"/>
                <w:highlight w:val="none"/>
              </w:rPr>
            </w:pPr>
            <w:r>
              <w:rPr>
                <w:rFonts w:ascii="宋体" w:hAnsi="宋体" w:cs="Arial"/>
                <w:color w:val="auto"/>
                <w:sz w:val="21"/>
                <w:szCs w:val="21"/>
                <w:highlight w:val="none"/>
              </w:rPr>
              <w:t>　</w:t>
            </w:r>
          </w:p>
        </w:tc>
        <w:tc>
          <w:tcPr>
            <w:tcW w:w="935" w:type="dxa"/>
            <w:noWrap/>
            <w:vAlign w:val="center"/>
          </w:tcPr>
          <w:p>
            <w:pPr>
              <w:rPr>
                <w:rFonts w:ascii="宋体" w:hAnsi="宋体" w:cs="Arial"/>
                <w:color w:val="auto"/>
                <w:sz w:val="21"/>
                <w:szCs w:val="21"/>
                <w:highlight w:val="none"/>
              </w:rPr>
            </w:pPr>
            <w:r>
              <w:rPr>
                <w:rFonts w:ascii="宋体" w:hAnsi="宋体" w:cs="Arial"/>
                <w:color w:val="auto"/>
                <w:sz w:val="21"/>
                <w:szCs w:val="21"/>
                <w:highlight w:val="none"/>
              </w:rPr>
              <w:t>　</w:t>
            </w:r>
          </w:p>
        </w:tc>
        <w:tc>
          <w:tcPr>
            <w:tcW w:w="936" w:type="dxa"/>
            <w:noWrap/>
            <w:vAlign w:val="center"/>
          </w:tcPr>
          <w:p>
            <w:pPr>
              <w:rPr>
                <w:rFonts w:ascii="宋体" w:hAnsi="宋体" w:cs="Arial"/>
                <w:color w:val="auto"/>
                <w:sz w:val="21"/>
                <w:szCs w:val="21"/>
                <w:highlight w:val="none"/>
              </w:rPr>
            </w:pPr>
            <w:r>
              <w:rPr>
                <w:rFonts w:ascii="宋体" w:hAnsi="宋体" w:cs="Arial"/>
                <w:color w:val="auto"/>
                <w:sz w:val="21"/>
                <w:szCs w:val="21"/>
                <w:highlight w:val="none"/>
              </w:rPr>
              <w:t>　</w:t>
            </w:r>
          </w:p>
        </w:tc>
        <w:tc>
          <w:tcPr>
            <w:tcW w:w="1120" w:type="dxa"/>
            <w:noWrap/>
            <w:vAlign w:val="center"/>
          </w:tcPr>
          <w:p>
            <w:pPr>
              <w:rPr>
                <w:rFonts w:ascii="宋体" w:hAnsi="宋体" w:cs="Arial"/>
                <w:color w:val="auto"/>
                <w:sz w:val="21"/>
                <w:szCs w:val="21"/>
                <w:highlight w:val="none"/>
              </w:rPr>
            </w:pPr>
            <w:r>
              <w:rPr>
                <w:rFonts w:ascii="宋体" w:hAnsi="宋体" w:cs="Arial"/>
                <w:color w:val="auto"/>
                <w:sz w:val="21"/>
                <w:szCs w:val="21"/>
                <w:highlight w:val="none"/>
              </w:rPr>
              <w:t>　</w:t>
            </w:r>
          </w:p>
        </w:tc>
        <w:tc>
          <w:tcPr>
            <w:tcW w:w="1049" w:type="dxa"/>
            <w:noWrap/>
            <w:vAlign w:val="center"/>
          </w:tcPr>
          <w:p>
            <w:pPr>
              <w:rPr>
                <w:rFonts w:ascii="宋体" w:hAnsi="宋体" w:cs="Arial"/>
                <w:color w:val="auto"/>
                <w:sz w:val="21"/>
                <w:szCs w:val="21"/>
                <w:highlight w:val="none"/>
              </w:rPr>
            </w:pPr>
            <w:r>
              <w:rPr>
                <w:rFonts w:ascii="宋体" w:hAnsi="宋体" w:cs="Arial"/>
                <w:color w:val="auto"/>
                <w:sz w:val="21"/>
                <w:szCs w:val="21"/>
                <w:highlight w:val="none"/>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9" w:hRule="atLeast"/>
          <w:jc w:val="center"/>
        </w:trPr>
        <w:tc>
          <w:tcPr>
            <w:tcW w:w="1505" w:type="dxa"/>
            <w:noWrap/>
            <w:vAlign w:val="center"/>
          </w:tcPr>
          <w:p>
            <w:pPr>
              <w:jc w:val="center"/>
              <w:rPr>
                <w:rFonts w:ascii="宋体" w:hAnsi="宋体" w:cs="Arial"/>
                <w:color w:val="auto"/>
                <w:sz w:val="21"/>
                <w:szCs w:val="21"/>
                <w:highlight w:val="none"/>
              </w:rPr>
            </w:pPr>
            <w:r>
              <w:rPr>
                <w:rFonts w:ascii="宋体" w:hAnsi="宋体" w:cs="Arial"/>
                <w:color w:val="auto"/>
                <w:sz w:val="21"/>
                <w:szCs w:val="21"/>
                <w:highlight w:val="none"/>
              </w:rPr>
              <w:t>网格4</w:t>
            </w:r>
          </w:p>
        </w:tc>
        <w:tc>
          <w:tcPr>
            <w:tcW w:w="935" w:type="dxa"/>
            <w:noWrap/>
            <w:vAlign w:val="center"/>
          </w:tcPr>
          <w:p>
            <w:pPr>
              <w:rPr>
                <w:rFonts w:ascii="宋体" w:hAnsi="宋体" w:cs="Arial"/>
                <w:color w:val="auto"/>
                <w:sz w:val="21"/>
                <w:szCs w:val="21"/>
                <w:highlight w:val="none"/>
              </w:rPr>
            </w:pPr>
            <w:r>
              <w:rPr>
                <w:rFonts w:ascii="宋体" w:hAnsi="宋体" w:cs="Arial"/>
                <w:color w:val="auto"/>
                <w:sz w:val="21"/>
                <w:szCs w:val="21"/>
                <w:highlight w:val="none"/>
              </w:rPr>
              <w:t>　</w:t>
            </w:r>
          </w:p>
        </w:tc>
        <w:tc>
          <w:tcPr>
            <w:tcW w:w="935" w:type="dxa"/>
            <w:noWrap/>
            <w:vAlign w:val="center"/>
          </w:tcPr>
          <w:p>
            <w:pPr>
              <w:rPr>
                <w:rFonts w:ascii="宋体" w:hAnsi="宋体" w:cs="Arial"/>
                <w:color w:val="auto"/>
                <w:sz w:val="21"/>
                <w:szCs w:val="21"/>
                <w:highlight w:val="none"/>
              </w:rPr>
            </w:pPr>
            <w:r>
              <w:rPr>
                <w:rFonts w:ascii="宋体" w:hAnsi="宋体" w:cs="Arial"/>
                <w:color w:val="auto"/>
                <w:sz w:val="21"/>
                <w:szCs w:val="21"/>
                <w:highlight w:val="none"/>
              </w:rPr>
              <w:t>　</w:t>
            </w:r>
          </w:p>
        </w:tc>
        <w:tc>
          <w:tcPr>
            <w:tcW w:w="936" w:type="dxa"/>
            <w:noWrap/>
            <w:vAlign w:val="center"/>
          </w:tcPr>
          <w:p>
            <w:pPr>
              <w:rPr>
                <w:rFonts w:ascii="宋体" w:hAnsi="宋体" w:cs="Arial"/>
                <w:color w:val="auto"/>
                <w:sz w:val="21"/>
                <w:szCs w:val="21"/>
                <w:highlight w:val="none"/>
              </w:rPr>
            </w:pPr>
            <w:r>
              <w:rPr>
                <w:rFonts w:ascii="宋体" w:hAnsi="宋体" w:cs="Arial"/>
                <w:color w:val="auto"/>
                <w:sz w:val="21"/>
                <w:szCs w:val="21"/>
                <w:highlight w:val="none"/>
              </w:rPr>
              <w:t>　</w:t>
            </w:r>
          </w:p>
        </w:tc>
        <w:tc>
          <w:tcPr>
            <w:tcW w:w="935" w:type="dxa"/>
            <w:noWrap/>
            <w:vAlign w:val="center"/>
          </w:tcPr>
          <w:p>
            <w:pPr>
              <w:rPr>
                <w:rFonts w:ascii="宋体" w:hAnsi="宋体" w:cs="Arial"/>
                <w:color w:val="auto"/>
                <w:sz w:val="21"/>
                <w:szCs w:val="21"/>
                <w:highlight w:val="none"/>
              </w:rPr>
            </w:pPr>
            <w:r>
              <w:rPr>
                <w:rFonts w:ascii="宋体" w:hAnsi="宋体" w:cs="Arial"/>
                <w:color w:val="auto"/>
                <w:sz w:val="21"/>
                <w:szCs w:val="21"/>
                <w:highlight w:val="none"/>
              </w:rPr>
              <w:t>　</w:t>
            </w:r>
          </w:p>
        </w:tc>
        <w:tc>
          <w:tcPr>
            <w:tcW w:w="935" w:type="dxa"/>
            <w:noWrap/>
            <w:vAlign w:val="center"/>
          </w:tcPr>
          <w:p>
            <w:pPr>
              <w:rPr>
                <w:rFonts w:ascii="宋体" w:hAnsi="宋体" w:cs="Arial"/>
                <w:color w:val="auto"/>
                <w:sz w:val="21"/>
                <w:szCs w:val="21"/>
                <w:highlight w:val="none"/>
              </w:rPr>
            </w:pPr>
            <w:r>
              <w:rPr>
                <w:rFonts w:ascii="宋体" w:hAnsi="宋体" w:cs="Arial"/>
                <w:color w:val="auto"/>
                <w:sz w:val="21"/>
                <w:szCs w:val="21"/>
                <w:highlight w:val="none"/>
              </w:rPr>
              <w:t>　</w:t>
            </w:r>
          </w:p>
        </w:tc>
        <w:tc>
          <w:tcPr>
            <w:tcW w:w="936" w:type="dxa"/>
            <w:noWrap/>
            <w:vAlign w:val="center"/>
          </w:tcPr>
          <w:p>
            <w:pPr>
              <w:rPr>
                <w:rFonts w:ascii="宋体" w:hAnsi="宋体" w:cs="Arial"/>
                <w:color w:val="auto"/>
                <w:sz w:val="21"/>
                <w:szCs w:val="21"/>
                <w:highlight w:val="none"/>
              </w:rPr>
            </w:pPr>
            <w:r>
              <w:rPr>
                <w:rFonts w:ascii="宋体" w:hAnsi="宋体" w:cs="Arial"/>
                <w:color w:val="auto"/>
                <w:sz w:val="21"/>
                <w:szCs w:val="21"/>
                <w:highlight w:val="none"/>
              </w:rPr>
              <w:t>　</w:t>
            </w:r>
          </w:p>
        </w:tc>
        <w:tc>
          <w:tcPr>
            <w:tcW w:w="1120" w:type="dxa"/>
            <w:noWrap/>
            <w:vAlign w:val="center"/>
          </w:tcPr>
          <w:p>
            <w:pPr>
              <w:rPr>
                <w:rFonts w:ascii="宋体" w:hAnsi="宋体" w:cs="Arial"/>
                <w:color w:val="auto"/>
                <w:sz w:val="21"/>
                <w:szCs w:val="21"/>
                <w:highlight w:val="none"/>
              </w:rPr>
            </w:pPr>
            <w:r>
              <w:rPr>
                <w:rFonts w:ascii="宋体" w:hAnsi="宋体" w:cs="Arial"/>
                <w:color w:val="auto"/>
                <w:sz w:val="21"/>
                <w:szCs w:val="21"/>
                <w:highlight w:val="none"/>
              </w:rPr>
              <w:t>　</w:t>
            </w:r>
          </w:p>
        </w:tc>
        <w:tc>
          <w:tcPr>
            <w:tcW w:w="1049" w:type="dxa"/>
            <w:noWrap/>
            <w:vAlign w:val="center"/>
          </w:tcPr>
          <w:p>
            <w:pPr>
              <w:rPr>
                <w:rFonts w:ascii="宋体" w:hAnsi="宋体" w:cs="Arial"/>
                <w:color w:val="auto"/>
                <w:sz w:val="21"/>
                <w:szCs w:val="21"/>
                <w:highlight w:val="none"/>
              </w:rPr>
            </w:pPr>
            <w:r>
              <w:rPr>
                <w:rFonts w:ascii="宋体" w:hAnsi="宋体" w:cs="Arial"/>
                <w:color w:val="auto"/>
                <w:sz w:val="21"/>
                <w:szCs w:val="21"/>
                <w:highlight w:val="none"/>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9" w:hRule="atLeast"/>
          <w:jc w:val="center"/>
        </w:trPr>
        <w:tc>
          <w:tcPr>
            <w:tcW w:w="1505" w:type="dxa"/>
            <w:noWrap/>
            <w:vAlign w:val="center"/>
          </w:tcPr>
          <w:p>
            <w:pPr>
              <w:jc w:val="center"/>
              <w:rPr>
                <w:rFonts w:ascii="宋体" w:hAnsi="宋体" w:cs="Arial"/>
                <w:color w:val="auto"/>
                <w:sz w:val="21"/>
                <w:szCs w:val="21"/>
                <w:highlight w:val="none"/>
              </w:rPr>
            </w:pPr>
            <w:r>
              <w:rPr>
                <w:rFonts w:ascii="宋体" w:hAnsi="宋体" w:cs="Arial"/>
                <w:color w:val="auto"/>
                <w:sz w:val="21"/>
                <w:szCs w:val="21"/>
                <w:highlight w:val="none"/>
              </w:rPr>
              <w:t>……</w:t>
            </w:r>
          </w:p>
        </w:tc>
        <w:tc>
          <w:tcPr>
            <w:tcW w:w="935" w:type="dxa"/>
            <w:noWrap/>
            <w:vAlign w:val="center"/>
          </w:tcPr>
          <w:p>
            <w:pPr>
              <w:rPr>
                <w:rFonts w:ascii="宋体" w:hAnsi="宋体" w:cs="Arial"/>
                <w:color w:val="auto"/>
                <w:sz w:val="21"/>
                <w:szCs w:val="21"/>
                <w:highlight w:val="none"/>
              </w:rPr>
            </w:pPr>
            <w:r>
              <w:rPr>
                <w:rFonts w:ascii="宋体" w:hAnsi="宋体" w:cs="Arial"/>
                <w:color w:val="auto"/>
                <w:sz w:val="21"/>
                <w:szCs w:val="21"/>
                <w:highlight w:val="none"/>
              </w:rPr>
              <w:t>　</w:t>
            </w:r>
          </w:p>
        </w:tc>
        <w:tc>
          <w:tcPr>
            <w:tcW w:w="935" w:type="dxa"/>
            <w:noWrap/>
            <w:vAlign w:val="center"/>
          </w:tcPr>
          <w:p>
            <w:pPr>
              <w:rPr>
                <w:rFonts w:ascii="宋体" w:hAnsi="宋体" w:cs="Arial"/>
                <w:color w:val="auto"/>
                <w:sz w:val="21"/>
                <w:szCs w:val="21"/>
                <w:highlight w:val="none"/>
              </w:rPr>
            </w:pPr>
            <w:r>
              <w:rPr>
                <w:rFonts w:ascii="宋体" w:hAnsi="宋体" w:cs="Arial"/>
                <w:color w:val="auto"/>
                <w:sz w:val="21"/>
                <w:szCs w:val="21"/>
                <w:highlight w:val="none"/>
              </w:rPr>
              <w:t>　</w:t>
            </w:r>
          </w:p>
        </w:tc>
        <w:tc>
          <w:tcPr>
            <w:tcW w:w="936" w:type="dxa"/>
            <w:noWrap/>
            <w:vAlign w:val="center"/>
          </w:tcPr>
          <w:p>
            <w:pPr>
              <w:rPr>
                <w:rFonts w:ascii="宋体" w:hAnsi="宋体" w:cs="Arial"/>
                <w:color w:val="auto"/>
                <w:sz w:val="21"/>
                <w:szCs w:val="21"/>
                <w:highlight w:val="none"/>
              </w:rPr>
            </w:pPr>
            <w:r>
              <w:rPr>
                <w:rFonts w:ascii="宋体" w:hAnsi="宋体" w:cs="Arial"/>
                <w:color w:val="auto"/>
                <w:sz w:val="21"/>
                <w:szCs w:val="21"/>
                <w:highlight w:val="none"/>
              </w:rPr>
              <w:t>　</w:t>
            </w:r>
          </w:p>
        </w:tc>
        <w:tc>
          <w:tcPr>
            <w:tcW w:w="935" w:type="dxa"/>
            <w:noWrap/>
            <w:vAlign w:val="center"/>
          </w:tcPr>
          <w:p>
            <w:pPr>
              <w:rPr>
                <w:rFonts w:ascii="宋体" w:hAnsi="宋体" w:cs="Arial"/>
                <w:color w:val="auto"/>
                <w:sz w:val="21"/>
                <w:szCs w:val="21"/>
                <w:highlight w:val="none"/>
              </w:rPr>
            </w:pPr>
            <w:r>
              <w:rPr>
                <w:rFonts w:ascii="宋体" w:hAnsi="宋体" w:cs="Arial"/>
                <w:color w:val="auto"/>
                <w:sz w:val="21"/>
                <w:szCs w:val="21"/>
                <w:highlight w:val="none"/>
              </w:rPr>
              <w:t>　</w:t>
            </w:r>
          </w:p>
        </w:tc>
        <w:tc>
          <w:tcPr>
            <w:tcW w:w="935" w:type="dxa"/>
            <w:noWrap/>
            <w:vAlign w:val="center"/>
          </w:tcPr>
          <w:p>
            <w:pPr>
              <w:rPr>
                <w:rFonts w:ascii="宋体" w:hAnsi="宋体" w:cs="Arial"/>
                <w:color w:val="auto"/>
                <w:sz w:val="21"/>
                <w:szCs w:val="21"/>
                <w:highlight w:val="none"/>
              </w:rPr>
            </w:pPr>
            <w:r>
              <w:rPr>
                <w:rFonts w:ascii="宋体" w:hAnsi="宋体" w:cs="Arial"/>
                <w:color w:val="auto"/>
                <w:sz w:val="21"/>
                <w:szCs w:val="21"/>
                <w:highlight w:val="none"/>
              </w:rPr>
              <w:t>　</w:t>
            </w:r>
          </w:p>
        </w:tc>
        <w:tc>
          <w:tcPr>
            <w:tcW w:w="936" w:type="dxa"/>
            <w:noWrap/>
            <w:vAlign w:val="center"/>
          </w:tcPr>
          <w:p>
            <w:pPr>
              <w:rPr>
                <w:rFonts w:ascii="宋体" w:hAnsi="宋体" w:cs="Arial"/>
                <w:color w:val="auto"/>
                <w:sz w:val="21"/>
                <w:szCs w:val="21"/>
                <w:highlight w:val="none"/>
              </w:rPr>
            </w:pPr>
            <w:r>
              <w:rPr>
                <w:rFonts w:ascii="宋体" w:hAnsi="宋体" w:cs="Arial"/>
                <w:color w:val="auto"/>
                <w:sz w:val="21"/>
                <w:szCs w:val="21"/>
                <w:highlight w:val="none"/>
              </w:rPr>
              <w:t>　</w:t>
            </w:r>
          </w:p>
        </w:tc>
        <w:tc>
          <w:tcPr>
            <w:tcW w:w="1120" w:type="dxa"/>
            <w:noWrap/>
            <w:vAlign w:val="center"/>
          </w:tcPr>
          <w:p>
            <w:pPr>
              <w:rPr>
                <w:rFonts w:ascii="宋体" w:hAnsi="宋体" w:cs="Arial"/>
                <w:color w:val="auto"/>
                <w:sz w:val="21"/>
                <w:szCs w:val="21"/>
                <w:highlight w:val="none"/>
              </w:rPr>
            </w:pPr>
            <w:r>
              <w:rPr>
                <w:rFonts w:ascii="宋体" w:hAnsi="宋体" w:cs="Arial"/>
                <w:color w:val="auto"/>
                <w:sz w:val="21"/>
                <w:szCs w:val="21"/>
                <w:highlight w:val="none"/>
              </w:rPr>
              <w:t>　</w:t>
            </w:r>
          </w:p>
        </w:tc>
        <w:tc>
          <w:tcPr>
            <w:tcW w:w="1049" w:type="dxa"/>
            <w:noWrap/>
            <w:vAlign w:val="center"/>
          </w:tcPr>
          <w:p>
            <w:pPr>
              <w:rPr>
                <w:rFonts w:ascii="宋体" w:hAnsi="宋体" w:cs="Arial"/>
                <w:color w:val="auto"/>
                <w:sz w:val="21"/>
                <w:szCs w:val="21"/>
                <w:highlight w:val="none"/>
              </w:rPr>
            </w:pPr>
            <w:r>
              <w:rPr>
                <w:rFonts w:ascii="宋体" w:hAnsi="宋体" w:cs="Arial"/>
                <w:color w:val="auto"/>
                <w:sz w:val="21"/>
                <w:szCs w:val="21"/>
                <w:highlight w:val="none"/>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9" w:hRule="atLeast"/>
          <w:jc w:val="center"/>
        </w:trPr>
        <w:tc>
          <w:tcPr>
            <w:tcW w:w="1505" w:type="dxa"/>
            <w:noWrap/>
            <w:vAlign w:val="center"/>
          </w:tcPr>
          <w:p>
            <w:pPr>
              <w:jc w:val="center"/>
              <w:rPr>
                <w:rFonts w:ascii="宋体" w:hAnsi="宋体" w:cs="Arial"/>
                <w:color w:val="auto"/>
                <w:sz w:val="21"/>
                <w:szCs w:val="21"/>
                <w:highlight w:val="none"/>
              </w:rPr>
            </w:pPr>
            <w:r>
              <w:rPr>
                <w:rFonts w:ascii="宋体" w:hAnsi="宋体" w:cs="Arial"/>
                <w:color w:val="auto"/>
                <w:sz w:val="21"/>
                <w:szCs w:val="21"/>
                <w:highlight w:val="none"/>
              </w:rPr>
              <w:t>合计</w:t>
            </w:r>
          </w:p>
        </w:tc>
        <w:tc>
          <w:tcPr>
            <w:tcW w:w="935" w:type="dxa"/>
            <w:noWrap/>
            <w:vAlign w:val="center"/>
          </w:tcPr>
          <w:p>
            <w:pPr>
              <w:rPr>
                <w:rFonts w:ascii="宋体" w:hAnsi="宋体" w:cs="Arial"/>
                <w:color w:val="auto"/>
                <w:sz w:val="21"/>
                <w:szCs w:val="21"/>
                <w:highlight w:val="none"/>
              </w:rPr>
            </w:pPr>
          </w:p>
        </w:tc>
        <w:tc>
          <w:tcPr>
            <w:tcW w:w="935" w:type="dxa"/>
            <w:noWrap/>
            <w:vAlign w:val="center"/>
          </w:tcPr>
          <w:p>
            <w:pPr>
              <w:rPr>
                <w:rFonts w:ascii="宋体" w:hAnsi="宋体" w:cs="Arial"/>
                <w:color w:val="auto"/>
                <w:sz w:val="21"/>
                <w:szCs w:val="21"/>
                <w:highlight w:val="none"/>
              </w:rPr>
            </w:pPr>
          </w:p>
        </w:tc>
        <w:tc>
          <w:tcPr>
            <w:tcW w:w="936" w:type="dxa"/>
            <w:noWrap/>
            <w:vAlign w:val="center"/>
          </w:tcPr>
          <w:p>
            <w:pPr>
              <w:rPr>
                <w:rFonts w:ascii="宋体" w:hAnsi="宋体" w:cs="Arial"/>
                <w:color w:val="auto"/>
                <w:sz w:val="21"/>
                <w:szCs w:val="21"/>
                <w:highlight w:val="none"/>
              </w:rPr>
            </w:pPr>
          </w:p>
        </w:tc>
        <w:tc>
          <w:tcPr>
            <w:tcW w:w="935" w:type="dxa"/>
            <w:noWrap/>
            <w:vAlign w:val="center"/>
          </w:tcPr>
          <w:p>
            <w:pPr>
              <w:rPr>
                <w:rFonts w:ascii="宋体" w:hAnsi="宋体" w:cs="Arial"/>
                <w:color w:val="auto"/>
                <w:sz w:val="21"/>
                <w:szCs w:val="21"/>
                <w:highlight w:val="none"/>
              </w:rPr>
            </w:pPr>
          </w:p>
        </w:tc>
        <w:tc>
          <w:tcPr>
            <w:tcW w:w="935" w:type="dxa"/>
            <w:noWrap/>
            <w:vAlign w:val="center"/>
          </w:tcPr>
          <w:p>
            <w:pPr>
              <w:rPr>
                <w:rFonts w:ascii="宋体" w:hAnsi="宋体" w:cs="Arial"/>
                <w:color w:val="auto"/>
                <w:sz w:val="21"/>
                <w:szCs w:val="21"/>
                <w:highlight w:val="none"/>
              </w:rPr>
            </w:pPr>
          </w:p>
        </w:tc>
        <w:tc>
          <w:tcPr>
            <w:tcW w:w="936" w:type="dxa"/>
            <w:noWrap/>
            <w:vAlign w:val="center"/>
          </w:tcPr>
          <w:p>
            <w:pPr>
              <w:rPr>
                <w:rFonts w:ascii="宋体" w:hAnsi="宋体" w:cs="Arial"/>
                <w:color w:val="auto"/>
                <w:sz w:val="21"/>
                <w:szCs w:val="21"/>
                <w:highlight w:val="none"/>
              </w:rPr>
            </w:pPr>
          </w:p>
        </w:tc>
        <w:tc>
          <w:tcPr>
            <w:tcW w:w="1120" w:type="dxa"/>
            <w:noWrap/>
            <w:vAlign w:val="center"/>
          </w:tcPr>
          <w:p>
            <w:pPr>
              <w:rPr>
                <w:rFonts w:ascii="宋体" w:hAnsi="宋体" w:cs="Arial"/>
                <w:color w:val="auto"/>
                <w:sz w:val="21"/>
                <w:szCs w:val="21"/>
                <w:highlight w:val="none"/>
              </w:rPr>
            </w:pPr>
          </w:p>
        </w:tc>
        <w:tc>
          <w:tcPr>
            <w:tcW w:w="1049" w:type="dxa"/>
            <w:noWrap/>
            <w:vAlign w:val="center"/>
          </w:tcPr>
          <w:p>
            <w:pPr>
              <w:rPr>
                <w:rFonts w:ascii="宋体" w:hAnsi="宋体" w:cs="Arial"/>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9" w:hRule="atLeast"/>
          <w:jc w:val="center"/>
        </w:trPr>
        <w:tc>
          <w:tcPr>
            <w:tcW w:w="9286" w:type="dxa"/>
            <w:gridSpan w:val="9"/>
            <w:noWrap/>
            <w:vAlign w:val="center"/>
          </w:tcPr>
          <w:p>
            <w:pPr>
              <w:rPr>
                <w:rFonts w:ascii="宋体" w:hAnsi="宋体"/>
                <w:color w:val="auto"/>
                <w:sz w:val="21"/>
                <w:szCs w:val="21"/>
                <w:highlight w:val="none"/>
              </w:rPr>
            </w:pPr>
            <w:r>
              <w:rPr>
                <w:rFonts w:hint="eastAsia" w:ascii="宋体" w:hAnsi="宋体"/>
                <w:color w:val="auto"/>
                <w:sz w:val="21"/>
                <w:szCs w:val="21"/>
                <w:highlight w:val="none"/>
              </w:rPr>
              <w:t>说明：1、各网格内的各类一线现场作业人员可以重复，网格之间的人员不能重复。</w:t>
            </w:r>
          </w:p>
        </w:tc>
      </w:tr>
    </w:tbl>
    <w:p>
      <w:pPr>
        <w:pStyle w:val="23"/>
        <w:tabs>
          <w:tab w:val="left" w:pos="0"/>
          <w:tab w:val="left" w:pos="540"/>
        </w:tabs>
        <w:spacing w:before="120" w:after="120" w:line="360" w:lineRule="auto"/>
        <w:ind w:left="560"/>
        <w:rPr>
          <w:rFonts w:hAnsi="宋体" w:cs="Arial"/>
          <w:color w:val="auto"/>
          <w:sz w:val="21"/>
          <w:szCs w:val="21"/>
          <w:highlight w:val="none"/>
        </w:rPr>
      </w:pPr>
      <w:r>
        <w:rPr>
          <w:rFonts w:hAnsi="宋体" w:cs="Arial"/>
          <w:color w:val="auto"/>
          <w:sz w:val="21"/>
          <w:szCs w:val="21"/>
          <w:highlight w:val="none"/>
        </w:rPr>
        <w:t>注：此表仅提供了表格</w:t>
      </w:r>
      <w:r>
        <w:rPr>
          <w:rFonts w:hint="eastAsia" w:hAnsi="宋体" w:cs="Arial"/>
          <w:color w:val="auto"/>
          <w:sz w:val="21"/>
          <w:szCs w:val="21"/>
          <w:highlight w:val="none"/>
        </w:rPr>
        <w:t>格式</w:t>
      </w:r>
      <w:r>
        <w:rPr>
          <w:rFonts w:hAnsi="宋体" w:cs="Arial"/>
          <w:color w:val="auto"/>
          <w:sz w:val="21"/>
          <w:szCs w:val="21"/>
          <w:highlight w:val="none"/>
        </w:rPr>
        <w:t>，供应商可</w:t>
      </w:r>
      <w:r>
        <w:rPr>
          <w:rFonts w:hint="eastAsia" w:hAnsi="宋体" w:cs="Arial"/>
          <w:color w:val="auto"/>
          <w:sz w:val="21"/>
          <w:szCs w:val="21"/>
          <w:highlight w:val="none"/>
        </w:rPr>
        <w:t>根据需要增减行数</w:t>
      </w:r>
      <w:r>
        <w:rPr>
          <w:rFonts w:hAnsi="宋体" w:cs="Arial"/>
          <w:color w:val="auto"/>
          <w:sz w:val="21"/>
          <w:szCs w:val="21"/>
          <w:highlight w:val="none"/>
        </w:rPr>
        <w:t>。</w:t>
      </w:r>
    </w:p>
    <w:p>
      <w:pPr>
        <w:pStyle w:val="23"/>
        <w:spacing w:before="120" w:after="120" w:line="360" w:lineRule="auto"/>
        <w:ind w:left="560" w:leftChars="200"/>
        <w:rPr>
          <w:rFonts w:hint="eastAsia" w:hAnsi="宋体"/>
          <w:color w:val="auto"/>
          <w:sz w:val="21"/>
          <w:szCs w:val="21"/>
          <w:highlight w:val="none"/>
        </w:rPr>
      </w:pPr>
    </w:p>
    <w:p>
      <w:pPr>
        <w:pStyle w:val="23"/>
        <w:spacing w:before="120" w:after="120" w:line="360" w:lineRule="auto"/>
        <w:ind w:left="560" w:leftChars="200"/>
        <w:rPr>
          <w:rFonts w:hAnsi="宋体"/>
          <w:color w:val="auto"/>
          <w:sz w:val="21"/>
          <w:szCs w:val="21"/>
          <w:highlight w:val="none"/>
        </w:rPr>
      </w:pPr>
      <w:r>
        <w:rPr>
          <w:rFonts w:hint="eastAsia" w:hAnsi="宋体"/>
          <w:color w:val="auto"/>
          <w:sz w:val="21"/>
          <w:szCs w:val="21"/>
          <w:highlight w:val="none"/>
        </w:rPr>
        <w:t xml:space="preserve">投标人（盖公章）：                 </w:t>
      </w:r>
    </w:p>
    <w:p>
      <w:pPr>
        <w:pStyle w:val="23"/>
        <w:spacing w:before="120" w:after="120" w:line="360" w:lineRule="auto"/>
        <w:ind w:left="560" w:leftChars="200"/>
        <w:rPr>
          <w:rFonts w:hAnsi="宋体"/>
          <w:color w:val="auto"/>
          <w:sz w:val="21"/>
          <w:szCs w:val="21"/>
          <w:highlight w:val="none"/>
        </w:rPr>
      </w:pPr>
      <w:r>
        <w:rPr>
          <w:rFonts w:hint="eastAsia" w:hAnsi="宋体"/>
          <w:color w:val="auto"/>
          <w:sz w:val="21"/>
          <w:szCs w:val="21"/>
          <w:highlight w:val="none"/>
        </w:rPr>
        <w:t xml:space="preserve">投标人法定代表人或授权代表（签字或盖章）：        </w:t>
      </w:r>
    </w:p>
    <w:p>
      <w:pPr>
        <w:spacing w:line="360" w:lineRule="auto"/>
        <w:ind w:left="560" w:leftChars="200"/>
        <w:rPr>
          <w:rFonts w:hAnsi="宋体"/>
          <w:color w:val="auto"/>
          <w:sz w:val="21"/>
          <w:szCs w:val="21"/>
          <w:highlight w:val="none"/>
        </w:rPr>
      </w:pPr>
      <w:r>
        <w:rPr>
          <w:rFonts w:hint="eastAsia" w:hAnsi="宋体"/>
          <w:color w:val="auto"/>
          <w:sz w:val="21"/>
          <w:szCs w:val="21"/>
          <w:highlight w:val="none"/>
        </w:rPr>
        <w:t>日期：    年  月  日</w:t>
      </w:r>
    </w:p>
    <w:p>
      <w:pPr>
        <w:pStyle w:val="2"/>
        <w:ind w:firstLine="280"/>
        <w:rPr>
          <w:rFonts w:hint="eastAsia"/>
          <w:color w:val="auto"/>
          <w:highlight w:val="none"/>
        </w:rPr>
      </w:pPr>
      <w:r>
        <w:rPr>
          <w:rFonts w:ascii="Arial" w:hAnsi="Arial" w:cs="Arial"/>
          <w:color w:val="auto"/>
          <w:highlight w:val="none"/>
        </w:rPr>
        <w:br w:type="page"/>
      </w:r>
    </w:p>
    <w:p>
      <w:pPr>
        <w:pStyle w:val="2"/>
        <w:ind w:firstLine="241"/>
        <w:jc w:val="center"/>
        <w:rPr>
          <w:rFonts w:hint="eastAsia"/>
          <w:b/>
          <w:color w:val="auto"/>
          <w:sz w:val="24"/>
          <w:highlight w:val="none"/>
        </w:rPr>
      </w:pPr>
    </w:p>
    <w:p>
      <w:pPr>
        <w:pStyle w:val="2"/>
        <w:ind w:firstLine="280"/>
        <w:rPr>
          <w:rFonts w:hint="eastAsia"/>
          <w:color w:val="auto"/>
          <w:highlight w:val="none"/>
        </w:rPr>
      </w:pPr>
    </w:p>
    <w:p>
      <w:pPr>
        <w:spacing w:line="360" w:lineRule="auto"/>
        <w:jc w:val="center"/>
        <w:rPr>
          <w:rFonts w:hint="eastAsia" w:ascii="黑体" w:hAnsi="黑体" w:eastAsia="黑体"/>
          <w:b/>
          <w:color w:val="auto"/>
          <w:sz w:val="30"/>
          <w:szCs w:val="30"/>
          <w:highlight w:val="none"/>
        </w:rPr>
      </w:pPr>
      <w:r>
        <w:rPr>
          <w:rFonts w:hint="eastAsia" w:ascii="宋体" w:hAnsi="宋体"/>
          <w:b/>
          <w:color w:val="auto"/>
          <w:spacing w:val="-6"/>
          <w:sz w:val="30"/>
          <w:szCs w:val="30"/>
          <w:highlight w:val="none"/>
        </w:rPr>
        <w:t>以下内容根据评分格式自拟</w:t>
      </w:r>
    </w:p>
    <w:p>
      <w:pPr>
        <w:pStyle w:val="2"/>
        <w:ind w:firstLine="241"/>
        <w:jc w:val="center"/>
        <w:rPr>
          <w:rFonts w:hint="eastAsia"/>
          <w:b/>
          <w:color w:val="auto"/>
          <w:sz w:val="24"/>
          <w:highlight w:val="none"/>
        </w:rPr>
      </w:pPr>
    </w:p>
    <w:p>
      <w:pPr>
        <w:pStyle w:val="2"/>
        <w:ind w:firstLine="241"/>
        <w:jc w:val="center"/>
        <w:rPr>
          <w:rFonts w:ascii="宋体" w:hAnsi="宋体" w:cs="宋体"/>
          <w:b/>
          <w:color w:val="auto"/>
          <w:sz w:val="24"/>
          <w:highlight w:val="none"/>
        </w:rPr>
      </w:pPr>
    </w:p>
    <w:p>
      <w:pPr>
        <w:pStyle w:val="2"/>
        <w:spacing w:line="480" w:lineRule="auto"/>
        <w:ind w:firstLine="630" w:firstLineChars="300"/>
        <w:jc w:val="left"/>
        <w:rPr>
          <w:rFonts w:hint="eastAsia"/>
          <w:color w:val="auto"/>
          <w:sz w:val="21"/>
          <w:szCs w:val="21"/>
          <w:highlight w:val="none"/>
        </w:rPr>
      </w:pPr>
      <w:r>
        <w:rPr>
          <w:rFonts w:hint="eastAsia"/>
          <w:color w:val="auto"/>
          <w:sz w:val="21"/>
          <w:szCs w:val="21"/>
          <w:highlight w:val="none"/>
          <w:lang w:val="zh-CN"/>
        </w:rPr>
        <w:t>针对瑶溪街道环卫一体化现状调查、重点难点分析及解决措施；针对瑶溪街道环卫一体化清扫保洁具体实施方案，人员、机具、耗材投入计划，作业计划、排班计划，安全管理及交接方案等；企业各项管理措施及制度；针对瑶溪街道环卫一体化项目突发事件的响应、处理方案及处理能力；后勤服务保障</w:t>
      </w:r>
      <w:r>
        <w:rPr>
          <w:rFonts w:hint="eastAsia"/>
          <w:color w:val="auto"/>
          <w:sz w:val="21"/>
          <w:szCs w:val="21"/>
          <w:highlight w:val="none"/>
          <w:lang w:val="en-US" w:eastAsia="zh-CN"/>
        </w:rPr>
        <w:t>;进场交接方案；优惠条件方案。</w:t>
      </w:r>
      <w:r>
        <w:rPr>
          <w:color w:val="auto"/>
          <w:sz w:val="21"/>
          <w:szCs w:val="21"/>
          <w:highlight w:val="none"/>
        </w:rPr>
        <w:br w:type="page"/>
      </w:r>
    </w:p>
    <w:p>
      <w:pPr>
        <w:pStyle w:val="2"/>
        <w:ind w:firstLine="280"/>
        <w:rPr>
          <w:rFonts w:hint="eastAsia"/>
          <w:color w:val="auto"/>
          <w:highlight w:val="none"/>
        </w:rPr>
      </w:pPr>
    </w:p>
    <w:p>
      <w:pPr>
        <w:pStyle w:val="2"/>
        <w:ind w:firstLine="280"/>
        <w:rPr>
          <w:color w:val="auto"/>
          <w:highlight w:val="none"/>
        </w:rPr>
      </w:pPr>
    </w:p>
    <w:p>
      <w:pPr>
        <w:spacing w:line="360" w:lineRule="auto"/>
        <w:rPr>
          <w:rFonts w:ascii="宋体" w:hAnsi="宋体"/>
          <w:color w:val="auto"/>
          <w:sz w:val="24"/>
          <w:highlight w:val="none"/>
        </w:rPr>
      </w:pPr>
      <w:r>
        <w:rPr>
          <w:rFonts w:hint="eastAsia" w:ascii="宋体" w:hAnsi="宋体"/>
          <w:color w:val="auto"/>
          <w:sz w:val="24"/>
          <w:highlight w:val="none"/>
        </w:rPr>
        <w:t>报价文件封面（供参考）</w:t>
      </w:r>
    </w:p>
    <w:p>
      <w:pPr>
        <w:spacing w:line="360" w:lineRule="auto"/>
        <w:jc w:val="right"/>
        <w:rPr>
          <w:rFonts w:ascii="宋体" w:hAnsi="宋体"/>
          <w:color w:val="auto"/>
          <w:sz w:val="24"/>
          <w:highlight w:val="none"/>
        </w:rPr>
      </w:pPr>
    </w:p>
    <w:p>
      <w:pPr>
        <w:spacing w:line="360" w:lineRule="auto"/>
        <w:rPr>
          <w:rFonts w:ascii="宋体" w:hAnsi="宋体"/>
          <w:color w:val="auto"/>
          <w:sz w:val="24"/>
          <w:highlight w:val="none"/>
        </w:rPr>
      </w:pPr>
    </w:p>
    <w:p>
      <w:pPr>
        <w:spacing w:line="360" w:lineRule="auto"/>
        <w:jc w:val="center"/>
        <w:rPr>
          <w:rFonts w:ascii="宋体" w:hAnsi="宋体"/>
          <w:bCs/>
          <w:i/>
          <w:color w:val="auto"/>
          <w:sz w:val="24"/>
          <w:highlight w:val="none"/>
          <w:u w:val="single"/>
        </w:rPr>
      </w:pPr>
      <w:r>
        <w:rPr>
          <w:rFonts w:hint="eastAsia" w:ascii="宋体" w:hAnsi="宋体"/>
          <w:bCs/>
          <w:color w:val="auto"/>
          <w:sz w:val="24"/>
          <w:highlight w:val="none"/>
          <w:u w:val="single"/>
        </w:rPr>
        <w:t xml:space="preserve">                 </w:t>
      </w:r>
      <w:r>
        <w:rPr>
          <w:rFonts w:hint="eastAsia" w:ascii="宋体" w:hAnsi="宋体"/>
          <w:bCs/>
          <w:i/>
          <w:color w:val="auto"/>
          <w:sz w:val="24"/>
          <w:highlight w:val="none"/>
          <w:u w:val="single"/>
        </w:rPr>
        <w:t xml:space="preserve">   （投标人名称）</w:t>
      </w:r>
    </w:p>
    <w:p>
      <w:pPr>
        <w:spacing w:line="360" w:lineRule="auto"/>
        <w:jc w:val="center"/>
        <w:rPr>
          <w:rFonts w:ascii="宋体" w:hAnsi="宋体"/>
          <w:b/>
          <w:bCs/>
          <w:color w:val="auto"/>
          <w:sz w:val="24"/>
          <w:highlight w:val="none"/>
        </w:rPr>
      </w:pPr>
    </w:p>
    <w:p>
      <w:pPr>
        <w:spacing w:line="360" w:lineRule="auto"/>
        <w:jc w:val="center"/>
        <w:rPr>
          <w:rFonts w:ascii="宋体" w:hAnsi="宋体"/>
          <w:b/>
          <w:bCs/>
          <w:color w:val="auto"/>
          <w:sz w:val="48"/>
          <w:szCs w:val="48"/>
          <w:highlight w:val="none"/>
        </w:rPr>
      </w:pPr>
    </w:p>
    <w:p>
      <w:pPr>
        <w:spacing w:line="360" w:lineRule="auto"/>
        <w:jc w:val="center"/>
        <w:rPr>
          <w:rFonts w:ascii="宋体" w:hAnsi="宋体"/>
          <w:b/>
          <w:bCs/>
          <w:color w:val="auto"/>
          <w:sz w:val="48"/>
          <w:szCs w:val="48"/>
          <w:highlight w:val="none"/>
        </w:rPr>
      </w:pPr>
      <w:r>
        <w:rPr>
          <w:rFonts w:hint="eastAsia" w:ascii="宋体" w:hAnsi="宋体"/>
          <w:b/>
          <w:bCs/>
          <w:color w:val="auto"/>
          <w:sz w:val="48"/>
          <w:szCs w:val="48"/>
          <w:highlight w:val="none"/>
        </w:rPr>
        <w:t>报 价 文 件</w:t>
      </w:r>
    </w:p>
    <w:p>
      <w:pPr>
        <w:pStyle w:val="19"/>
        <w:rPr>
          <w:color w:val="auto"/>
          <w:highlight w:val="none"/>
        </w:rPr>
      </w:pPr>
    </w:p>
    <w:p>
      <w:pPr>
        <w:pStyle w:val="19"/>
        <w:rPr>
          <w:color w:val="auto"/>
          <w:highlight w:val="none"/>
        </w:rPr>
      </w:pPr>
    </w:p>
    <w:p>
      <w:pPr>
        <w:spacing w:line="360" w:lineRule="auto"/>
        <w:rPr>
          <w:rFonts w:ascii="宋体" w:hAnsi="宋体"/>
          <w:bCs/>
          <w:color w:val="auto"/>
          <w:sz w:val="24"/>
          <w:highlight w:val="none"/>
        </w:rPr>
      </w:pPr>
    </w:p>
    <w:p>
      <w:pPr>
        <w:spacing w:line="600" w:lineRule="auto"/>
        <w:ind w:left="848" w:leftChars="303"/>
        <w:rPr>
          <w:rFonts w:ascii="宋体" w:hAnsi="宋体"/>
          <w:bCs/>
          <w:color w:val="auto"/>
          <w:sz w:val="24"/>
          <w:highlight w:val="none"/>
        </w:rPr>
      </w:pPr>
      <w:r>
        <w:rPr>
          <w:rFonts w:hint="eastAsia" w:ascii="宋体" w:hAnsi="宋体"/>
          <w:bCs/>
          <w:color w:val="auto"/>
          <w:sz w:val="24"/>
          <w:highlight w:val="none"/>
        </w:rPr>
        <w:t>采购人：</w:t>
      </w:r>
      <w:r>
        <w:rPr>
          <w:rFonts w:hint="eastAsia" w:ascii="宋体" w:hAnsi="宋体"/>
          <w:bCs/>
          <w:color w:val="auto"/>
          <w:sz w:val="24"/>
          <w:highlight w:val="none"/>
          <w:lang w:eastAsia="zh-CN"/>
        </w:rPr>
        <w:t>温州市龙湾区城市管理服务有限公司</w:t>
      </w:r>
      <w:r>
        <w:rPr>
          <w:rFonts w:hint="eastAsia" w:ascii="宋体" w:hAnsi="宋体"/>
          <w:bCs/>
          <w:color w:val="auto"/>
          <w:sz w:val="24"/>
          <w:highlight w:val="none"/>
        </w:rPr>
        <w:t xml:space="preserve"> </w:t>
      </w:r>
    </w:p>
    <w:p>
      <w:pPr>
        <w:spacing w:line="600" w:lineRule="auto"/>
        <w:ind w:left="848" w:leftChars="303"/>
        <w:rPr>
          <w:rFonts w:ascii="宋体" w:hAnsi="宋体"/>
          <w:bCs/>
          <w:color w:val="auto"/>
          <w:sz w:val="24"/>
          <w:highlight w:val="none"/>
        </w:rPr>
      </w:pPr>
      <w:r>
        <w:rPr>
          <w:rFonts w:hint="eastAsia" w:ascii="宋体" w:hAnsi="宋体"/>
          <w:bCs/>
          <w:color w:val="auto"/>
          <w:sz w:val="24"/>
          <w:highlight w:val="none"/>
        </w:rPr>
        <w:t xml:space="preserve">项目名称：龙湾区瑶溪街道环卫保洁一体化项目 </w:t>
      </w:r>
    </w:p>
    <w:p>
      <w:pPr>
        <w:spacing w:line="600" w:lineRule="auto"/>
        <w:ind w:left="848" w:leftChars="303"/>
        <w:rPr>
          <w:rFonts w:ascii="宋体" w:hAnsi="宋体"/>
          <w:bCs/>
          <w:color w:val="auto"/>
          <w:sz w:val="24"/>
          <w:highlight w:val="none"/>
        </w:rPr>
      </w:pPr>
      <w:r>
        <w:rPr>
          <w:rFonts w:hint="eastAsia" w:ascii="宋体" w:hAnsi="宋体"/>
          <w:bCs/>
          <w:color w:val="auto"/>
          <w:sz w:val="24"/>
          <w:highlight w:val="none"/>
        </w:rPr>
        <w:t>项目编号：</w:t>
      </w:r>
      <w:r>
        <w:rPr>
          <w:rFonts w:hint="eastAsia" w:ascii="宋体" w:hAnsi="宋体"/>
          <w:bCs/>
          <w:color w:val="auto"/>
          <w:sz w:val="24"/>
          <w:highlight w:val="none"/>
          <w:lang w:eastAsia="zh-CN"/>
        </w:rPr>
        <w:t>WZHC-20220923</w:t>
      </w:r>
      <w:r>
        <w:rPr>
          <w:rFonts w:hint="eastAsia" w:ascii="宋体" w:hAnsi="宋体"/>
          <w:bCs/>
          <w:color w:val="auto"/>
          <w:sz w:val="24"/>
          <w:highlight w:val="none"/>
        </w:rPr>
        <w:t xml:space="preserve"> </w:t>
      </w:r>
    </w:p>
    <w:p>
      <w:pPr>
        <w:spacing w:line="600" w:lineRule="auto"/>
        <w:ind w:left="848" w:leftChars="303"/>
        <w:rPr>
          <w:rFonts w:ascii="宋体" w:hAnsi="宋体"/>
          <w:bCs/>
          <w:color w:val="auto"/>
          <w:sz w:val="24"/>
          <w:highlight w:val="none"/>
        </w:rPr>
      </w:pPr>
      <w:r>
        <w:rPr>
          <w:rFonts w:hint="eastAsia" w:ascii="宋体" w:hAnsi="宋体"/>
          <w:bCs/>
          <w:color w:val="auto"/>
          <w:sz w:val="24"/>
          <w:highlight w:val="none"/>
        </w:rPr>
        <w:t>投标人（盖公章）：</w:t>
      </w:r>
    </w:p>
    <w:p>
      <w:pPr>
        <w:spacing w:line="600" w:lineRule="auto"/>
        <w:ind w:left="848" w:leftChars="303"/>
        <w:rPr>
          <w:rFonts w:ascii="宋体" w:hAnsi="宋体"/>
          <w:bCs/>
          <w:color w:val="auto"/>
          <w:sz w:val="24"/>
          <w:highlight w:val="none"/>
        </w:rPr>
      </w:pPr>
      <w:r>
        <w:rPr>
          <w:rFonts w:hint="eastAsia" w:ascii="宋体" w:hAnsi="宋体"/>
          <w:bCs/>
          <w:color w:val="auto"/>
          <w:sz w:val="24"/>
          <w:highlight w:val="none"/>
        </w:rPr>
        <w:t>投标人地址：</w:t>
      </w:r>
    </w:p>
    <w:p>
      <w:pPr>
        <w:spacing w:line="600" w:lineRule="auto"/>
        <w:ind w:left="848" w:leftChars="303"/>
        <w:rPr>
          <w:rFonts w:ascii="宋体" w:hAnsi="宋体"/>
          <w:bCs/>
          <w:color w:val="auto"/>
          <w:sz w:val="24"/>
          <w:highlight w:val="none"/>
        </w:rPr>
      </w:pPr>
    </w:p>
    <w:p>
      <w:pPr>
        <w:spacing w:line="600" w:lineRule="auto"/>
        <w:ind w:left="848" w:leftChars="303"/>
        <w:rPr>
          <w:rFonts w:ascii="宋体" w:hAnsi="宋体"/>
          <w:bCs/>
          <w:color w:val="auto"/>
          <w:sz w:val="24"/>
          <w:highlight w:val="none"/>
        </w:rPr>
      </w:pPr>
      <w:r>
        <w:rPr>
          <w:rFonts w:hint="eastAsia" w:ascii="宋体" w:hAnsi="宋体"/>
          <w:bCs/>
          <w:color w:val="auto"/>
          <w:sz w:val="24"/>
          <w:highlight w:val="none"/>
        </w:rPr>
        <w:t>投标人法定代表人或授权代表（签字或盖章）：</w:t>
      </w:r>
    </w:p>
    <w:p>
      <w:pPr>
        <w:spacing w:line="600" w:lineRule="auto"/>
        <w:ind w:left="848" w:leftChars="303"/>
        <w:rPr>
          <w:rFonts w:ascii="宋体" w:hAnsi="宋体"/>
          <w:bCs/>
          <w:color w:val="auto"/>
          <w:sz w:val="24"/>
          <w:highlight w:val="none"/>
        </w:rPr>
      </w:pPr>
      <w:r>
        <w:rPr>
          <w:rFonts w:hint="eastAsia" w:ascii="宋体" w:hAnsi="宋体"/>
          <w:bCs/>
          <w:color w:val="auto"/>
          <w:sz w:val="24"/>
          <w:highlight w:val="none"/>
        </w:rPr>
        <w:t xml:space="preserve">日期： </w:t>
      </w:r>
      <w:r>
        <w:rPr>
          <w:rFonts w:ascii="宋体" w:hAnsi="宋体"/>
          <w:bCs/>
          <w:color w:val="auto"/>
          <w:sz w:val="24"/>
          <w:highlight w:val="none"/>
        </w:rPr>
        <w:t xml:space="preserve">  </w:t>
      </w:r>
      <w:r>
        <w:rPr>
          <w:rFonts w:hint="eastAsia" w:ascii="宋体" w:hAnsi="宋体"/>
          <w:bCs/>
          <w:color w:val="auto"/>
          <w:sz w:val="24"/>
          <w:highlight w:val="none"/>
        </w:rPr>
        <w:t xml:space="preserve"> 年  月  日</w:t>
      </w:r>
    </w:p>
    <w:p>
      <w:pPr>
        <w:spacing w:line="360" w:lineRule="auto"/>
        <w:jc w:val="center"/>
        <w:rPr>
          <w:rFonts w:hint="eastAsia" w:ascii="宋体" w:hAnsi="宋体"/>
          <w:bCs/>
          <w:color w:val="auto"/>
          <w:sz w:val="24"/>
          <w:highlight w:val="none"/>
        </w:rPr>
      </w:pPr>
      <w:r>
        <w:rPr>
          <w:rFonts w:ascii="宋体" w:hAnsi="宋体"/>
          <w:bCs/>
          <w:color w:val="auto"/>
          <w:sz w:val="24"/>
          <w:highlight w:val="none"/>
        </w:rPr>
        <w:br w:type="page"/>
      </w:r>
    </w:p>
    <w:p>
      <w:pPr>
        <w:spacing w:line="360" w:lineRule="auto"/>
        <w:jc w:val="left"/>
        <w:rPr>
          <w:rFonts w:ascii="宋体" w:hAnsi="宋体"/>
          <w:color w:val="auto"/>
          <w:sz w:val="21"/>
          <w:szCs w:val="21"/>
          <w:highlight w:val="none"/>
        </w:rPr>
      </w:pPr>
    </w:p>
    <w:p>
      <w:pPr>
        <w:spacing w:line="480" w:lineRule="auto"/>
        <w:jc w:val="center"/>
        <w:rPr>
          <w:rFonts w:hint="eastAsia"/>
          <w:b/>
          <w:color w:val="auto"/>
          <w:sz w:val="30"/>
          <w:szCs w:val="30"/>
          <w:highlight w:val="none"/>
        </w:rPr>
      </w:pPr>
      <w:r>
        <w:rPr>
          <w:rFonts w:hint="eastAsia"/>
          <w:b/>
          <w:color w:val="auto"/>
          <w:sz w:val="30"/>
          <w:szCs w:val="30"/>
          <w:highlight w:val="none"/>
        </w:rPr>
        <w:t>开标一览表</w:t>
      </w:r>
    </w:p>
    <w:p>
      <w:pPr>
        <w:spacing w:line="360" w:lineRule="auto"/>
        <w:rPr>
          <w:rFonts w:hint="eastAsia" w:ascii="宋体" w:hAnsi="宋体" w:eastAsia="宋体"/>
          <w:color w:val="auto"/>
          <w:sz w:val="21"/>
          <w:szCs w:val="21"/>
          <w:highlight w:val="none"/>
          <w:lang w:eastAsia="zh-CN"/>
        </w:rPr>
      </w:pPr>
      <w:r>
        <w:rPr>
          <w:rFonts w:hint="eastAsia" w:ascii="宋体" w:hAnsi="宋体"/>
          <w:color w:val="auto"/>
          <w:sz w:val="21"/>
          <w:szCs w:val="21"/>
          <w:highlight w:val="none"/>
        </w:rPr>
        <w:t>采购人：</w:t>
      </w:r>
      <w:r>
        <w:rPr>
          <w:rFonts w:hint="eastAsia" w:ascii="宋体" w:hAnsi="宋体"/>
          <w:color w:val="auto"/>
          <w:sz w:val="21"/>
          <w:szCs w:val="21"/>
          <w:highlight w:val="none"/>
          <w:lang w:eastAsia="zh-CN"/>
        </w:rPr>
        <w:t>温州市龙湾区城市管理服务有限公司</w:t>
      </w:r>
    </w:p>
    <w:p>
      <w:pPr>
        <w:spacing w:line="360" w:lineRule="auto"/>
        <w:rPr>
          <w:rFonts w:hint="eastAsia" w:ascii="宋体" w:hAnsi="宋体"/>
          <w:color w:val="auto"/>
          <w:sz w:val="21"/>
          <w:szCs w:val="21"/>
          <w:highlight w:val="none"/>
        </w:rPr>
      </w:pPr>
      <w:r>
        <w:rPr>
          <w:rFonts w:hint="eastAsia" w:ascii="宋体" w:hAnsi="宋体"/>
          <w:color w:val="auto"/>
          <w:sz w:val="21"/>
          <w:szCs w:val="21"/>
          <w:highlight w:val="none"/>
        </w:rPr>
        <w:t>项目名称：龙湾区瑶溪街道环卫保洁一体化项目</w:t>
      </w:r>
    </w:p>
    <w:p>
      <w:pPr>
        <w:spacing w:line="360" w:lineRule="auto"/>
        <w:rPr>
          <w:rFonts w:hint="eastAsia" w:ascii="宋体" w:hAnsi="宋体"/>
          <w:color w:val="auto"/>
          <w:sz w:val="21"/>
          <w:szCs w:val="21"/>
          <w:highlight w:val="none"/>
        </w:rPr>
      </w:pPr>
      <w:r>
        <w:rPr>
          <w:rFonts w:hint="eastAsia" w:ascii="宋体" w:hAnsi="宋体"/>
          <w:color w:val="auto"/>
          <w:sz w:val="21"/>
          <w:szCs w:val="21"/>
          <w:highlight w:val="none"/>
        </w:rPr>
        <w:t>项目编号：</w:t>
      </w:r>
      <w:r>
        <w:rPr>
          <w:rFonts w:hint="eastAsia" w:ascii="宋体" w:hAnsi="宋体"/>
          <w:color w:val="auto"/>
          <w:sz w:val="21"/>
          <w:szCs w:val="21"/>
          <w:highlight w:val="none"/>
          <w:lang w:eastAsia="zh-CN"/>
        </w:rPr>
        <w:t>WZHC-20220923</w:t>
      </w:r>
      <w:r>
        <w:rPr>
          <w:rFonts w:hint="eastAsia" w:ascii="宋体" w:hAnsi="宋体"/>
          <w:color w:val="auto"/>
          <w:sz w:val="21"/>
          <w:szCs w:val="21"/>
          <w:highlight w:val="none"/>
        </w:rPr>
        <w:t xml:space="preserve">  </w:t>
      </w:r>
    </w:p>
    <w:p>
      <w:pPr>
        <w:spacing w:line="360" w:lineRule="auto"/>
        <w:rPr>
          <w:rFonts w:ascii="宋体" w:hAnsi="宋体"/>
          <w:color w:val="auto"/>
          <w:sz w:val="21"/>
          <w:szCs w:val="21"/>
          <w:highlight w:val="none"/>
        </w:rPr>
      </w:pPr>
      <w:r>
        <w:rPr>
          <w:rFonts w:hint="eastAsia" w:ascii="宋体" w:hAnsi="宋体"/>
          <w:color w:val="auto"/>
          <w:sz w:val="21"/>
          <w:szCs w:val="21"/>
          <w:highlight w:val="none"/>
        </w:rPr>
        <w:t>投标人名称：</w:t>
      </w:r>
    </w:p>
    <w:tbl>
      <w:tblPr>
        <w:tblStyle w:val="4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214"/>
        <w:gridCol w:w="128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821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pacing w:val="-6"/>
                <w:sz w:val="21"/>
                <w:szCs w:val="21"/>
                <w:highlight w:val="none"/>
                <w:u w:val="single"/>
              </w:rPr>
            </w:pPr>
            <w:r>
              <w:rPr>
                <w:rFonts w:hint="eastAsia" w:ascii="宋体" w:hAnsi="宋体"/>
                <w:b/>
                <w:color w:val="auto"/>
                <w:spacing w:val="-6"/>
                <w:sz w:val="21"/>
                <w:szCs w:val="21"/>
                <w:highlight w:val="none"/>
              </w:rPr>
              <w:t>投标报价</w:t>
            </w:r>
          </w:p>
        </w:tc>
        <w:tc>
          <w:tcPr>
            <w:tcW w:w="128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
                <w:color w:val="auto"/>
                <w:spacing w:val="-6"/>
                <w:sz w:val="21"/>
                <w:szCs w:val="21"/>
                <w:highlight w:val="none"/>
              </w:rPr>
            </w:pPr>
            <w:r>
              <w:rPr>
                <w:rFonts w:hint="eastAsia" w:ascii="宋体" w:hAnsi="宋体"/>
                <w:b/>
                <w:color w:val="auto"/>
                <w:spacing w:val="-6"/>
                <w:sz w:val="21"/>
                <w:szCs w:val="21"/>
                <w:highlight w:val="none"/>
              </w:rPr>
              <w:t>服务期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821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b/>
                <w:color w:val="auto"/>
                <w:spacing w:val="-6"/>
                <w:sz w:val="21"/>
                <w:szCs w:val="21"/>
                <w:highlight w:val="none"/>
              </w:rPr>
            </w:pPr>
          </w:p>
          <w:p>
            <w:pPr>
              <w:spacing w:line="360" w:lineRule="auto"/>
              <w:rPr>
                <w:rFonts w:ascii="宋体" w:hAnsi="宋体"/>
                <w:color w:val="auto"/>
                <w:spacing w:val="-6"/>
                <w:sz w:val="21"/>
                <w:szCs w:val="21"/>
                <w:highlight w:val="none"/>
                <w:u w:val="single"/>
              </w:rPr>
            </w:pPr>
            <w:r>
              <w:rPr>
                <w:rFonts w:hint="eastAsia" w:ascii="宋体" w:hAnsi="宋体"/>
                <w:color w:val="auto"/>
                <w:spacing w:val="-6"/>
                <w:sz w:val="21"/>
                <w:szCs w:val="21"/>
                <w:highlight w:val="none"/>
              </w:rPr>
              <w:t>金额大写：</w:t>
            </w:r>
            <w:r>
              <w:rPr>
                <w:rFonts w:hint="eastAsia" w:ascii="宋体" w:hAnsi="宋体"/>
                <w:color w:val="auto"/>
                <w:spacing w:val="-6"/>
                <w:sz w:val="21"/>
                <w:szCs w:val="21"/>
                <w:highlight w:val="none"/>
                <w:u w:val="single"/>
              </w:rPr>
              <w:t xml:space="preserve">                                          </w:t>
            </w:r>
            <w:r>
              <w:rPr>
                <w:rFonts w:hint="eastAsia" w:ascii="宋体" w:hAnsi="宋体"/>
                <w:color w:val="auto"/>
                <w:spacing w:val="-6"/>
                <w:sz w:val="21"/>
                <w:szCs w:val="21"/>
                <w:highlight w:val="none"/>
              </w:rPr>
              <w:t>，小写：</w:t>
            </w:r>
            <w:r>
              <w:rPr>
                <w:rFonts w:hint="eastAsia" w:ascii="宋体" w:hAnsi="宋体"/>
                <w:color w:val="auto"/>
                <w:spacing w:val="-6"/>
                <w:sz w:val="21"/>
                <w:szCs w:val="21"/>
                <w:highlight w:val="none"/>
                <w:u w:val="single"/>
              </w:rPr>
              <w:t xml:space="preserve">            </w:t>
            </w:r>
          </w:p>
          <w:p>
            <w:pPr>
              <w:spacing w:line="360" w:lineRule="auto"/>
              <w:rPr>
                <w:rFonts w:ascii="宋体" w:hAnsi="宋体"/>
                <w:color w:val="auto"/>
                <w:spacing w:val="-6"/>
                <w:sz w:val="21"/>
                <w:szCs w:val="21"/>
                <w:highlight w:val="none"/>
                <w:u w:val="single"/>
              </w:rPr>
            </w:pPr>
          </w:p>
          <w:p>
            <w:pPr>
              <w:spacing w:line="360" w:lineRule="auto"/>
              <w:rPr>
                <w:rFonts w:ascii="宋体" w:hAnsi="宋体"/>
                <w:b/>
                <w:color w:val="auto"/>
                <w:spacing w:val="-6"/>
                <w:sz w:val="21"/>
                <w:szCs w:val="21"/>
                <w:highlight w:val="none"/>
              </w:rPr>
            </w:pPr>
            <w:r>
              <w:rPr>
                <w:rFonts w:hint="eastAsia" w:ascii="宋体" w:hAnsi="宋体"/>
                <w:color w:val="auto"/>
                <w:spacing w:val="-6"/>
                <w:sz w:val="21"/>
                <w:szCs w:val="21"/>
                <w:highlight w:val="none"/>
              </w:rPr>
              <w:t>单位：人民币元</w:t>
            </w:r>
          </w:p>
        </w:tc>
        <w:tc>
          <w:tcPr>
            <w:tcW w:w="12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auto"/>
                <w:spacing w:val="-6"/>
                <w:sz w:val="21"/>
                <w:szCs w:val="21"/>
                <w:highlight w:val="none"/>
              </w:rPr>
            </w:pPr>
            <w:r>
              <w:rPr>
                <w:rFonts w:hint="eastAsia" w:ascii="宋体" w:hAnsi="宋体"/>
                <w:color w:val="auto"/>
                <w:spacing w:val="-6"/>
                <w:sz w:val="21"/>
                <w:szCs w:val="21"/>
                <w:highlight w:val="none"/>
              </w:rPr>
              <w:t>两年</w:t>
            </w:r>
          </w:p>
        </w:tc>
      </w:tr>
    </w:tbl>
    <w:p>
      <w:pPr>
        <w:pStyle w:val="19"/>
        <w:rPr>
          <w:color w:val="auto"/>
          <w:sz w:val="21"/>
          <w:szCs w:val="21"/>
          <w:highlight w:val="none"/>
        </w:rPr>
      </w:pPr>
    </w:p>
    <w:p>
      <w:pPr>
        <w:spacing w:line="360" w:lineRule="auto"/>
        <w:jc w:val="left"/>
        <w:rPr>
          <w:rFonts w:ascii="宋体" w:hAnsi="宋体"/>
          <w:color w:val="auto"/>
          <w:sz w:val="21"/>
          <w:szCs w:val="21"/>
          <w:highlight w:val="none"/>
        </w:rPr>
      </w:pPr>
      <w:r>
        <w:rPr>
          <w:rFonts w:hint="eastAsia" w:ascii="宋体" w:hAnsi="宋体"/>
          <w:color w:val="auto"/>
          <w:sz w:val="21"/>
          <w:szCs w:val="21"/>
          <w:highlight w:val="none"/>
        </w:rPr>
        <w:t>说明:1.不提供开标一览表将视为没有实质性响应招标文件</w:t>
      </w:r>
    </w:p>
    <w:p>
      <w:pPr>
        <w:spacing w:line="360" w:lineRule="auto"/>
        <w:ind w:left="560" w:leftChars="200"/>
        <w:jc w:val="left"/>
        <w:rPr>
          <w:rFonts w:ascii="宋体" w:hAnsi="宋体"/>
          <w:color w:val="auto"/>
          <w:sz w:val="21"/>
          <w:szCs w:val="21"/>
          <w:highlight w:val="none"/>
        </w:rPr>
      </w:pPr>
      <w:r>
        <w:rPr>
          <w:rFonts w:hint="eastAsia" w:ascii="宋体" w:hAnsi="宋体"/>
          <w:color w:val="auto"/>
          <w:sz w:val="21"/>
          <w:szCs w:val="21"/>
          <w:highlight w:val="none"/>
        </w:rPr>
        <w:t>2</w:t>
      </w:r>
      <w:r>
        <w:rPr>
          <w:rFonts w:ascii="宋体" w:hAnsi="宋体"/>
          <w:color w:val="auto"/>
          <w:sz w:val="21"/>
          <w:szCs w:val="21"/>
          <w:highlight w:val="none"/>
        </w:rPr>
        <w:t>.</w:t>
      </w:r>
      <w:r>
        <w:rPr>
          <w:rFonts w:hint="eastAsia" w:ascii="宋体" w:hAnsi="宋体"/>
          <w:color w:val="auto"/>
          <w:sz w:val="21"/>
          <w:szCs w:val="21"/>
          <w:highlight w:val="none"/>
        </w:rPr>
        <w:t>本表按两年服务期报价，以上投标报价已包含人工费、机械台班费、水电费、工具材料费、保洁低值易耗品、公厕设施维修、环卫驿站、垃圾清运费（含无主生活垃圾、无主建筑垃圾、无主大件垃圾、无主农田废弃物处置）、安全文明生产装备费（包括工人冬、夏装工作服等）、企业应缴税金和应得利润、应急等完成合同所需的一切本身和不可或缺的所有工作开支、政策性文件规定计合同包含的所有风险、责任等各项全部费用并承担一切风险责任。供应商认为完成本招标文件规定的项目承包内容所发生的直接成本、间接成本、利润、税金、政策性文件规定的费用、设备进出场费等一切费用。</w:t>
      </w:r>
    </w:p>
    <w:p>
      <w:pPr>
        <w:spacing w:line="360" w:lineRule="auto"/>
        <w:ind w:left="560" w:leftChars="200"/>
        <w:jc w:val="left"/>
        <w:rPr>
          <w:rFonts w:ascii="宋体" w:hAnsi="宋体"/>
          <w:color w:val="auto"/>
          <w:sz w:val="21"/>
          <w:szCs w:val="21"/>
          <w:highlight w:val="none"/>
        </w:rPr>
      </w:pPr>
      <w:r>
        <w:rPr>
          <w:rFonts w:hint="eastAsia" w:ascii="宋体" w:hAnsi="宋体"/>
          <w:color w:val="auto"/>
          <w:sz w:val="21"/>
          <w:szCs w:val="21"/>
          <w:highlight w:val="none"/>
        </w:rPr>
        <w:t>3</w:t>
      </w:r>
      <w:r>
        <w:rPr>
          <w:rFonts w:ascii="宋体" w:hAnsi="宋体"/>
          <w:color w:val="auto"/>
          <w:sz w:val="21"/>
          <w:szCs w:val="21"/>
          <w:highlight w:val="none"/>
        </w:rPr>
        <w:t>.</w:t>
      </w:r>
      <w:r>
        <w:rPr>
          <w:rFonts w:hint="eastAsia" w:ascii="宋体" w:hAnsi="宋体"/>
          <w:color w:val="auto"/>
          <w:sz w:val="21"/>
          <w:szCs w:val="21"/>
          <w:highlight w:val="none"/>
        </w:rPr>
        <w:t>以上报价应与“投标报价明细表”中的“投标总价”相一致。</w:t>
      </w:r>
    </w:p>
    <w:p>
      <w:pPr>
        <w:pStyle w:val="23"/>
        <w:spacing w:before="120" w:after="120" w:line="360" w:lineRule="auto"/>
        <w:ind w:left="560" w:leftChars="200"/>
        <w:rPr>
          <w:rFonts w:hAnsi="宋体"/>
          <w:color w:val="auto"/>
          <w:sz w:val="21"/>
          <w:szCs w:val="21"/>
          <w:highlight w:val="none"/>
        </w:rPr>
      </w:pPr>
    </w:p>
    <w:p>
      <w:pPr>
        <w:pStyle w:val="23"/>
        <w:spacing w:before="120" w:after="120" w:line="360" w:lineRule="auto"/>
        <w:ind w:left="560" w:leftChars="200"/>
        <w:rPr>
          <w:rFonts w:hAnsi="宋体"/>
          <w:color w:val="auto"/>
          <w:sz w:val="21"/>
          <w:szCs w:val="21"/>
          <w:highlight w:val="none"/>
        </w:rPr>
      </w:pPr>
      <w:r>
        <w:rPr>
          <w:rFonts w:hint="eastAsia" w:hAnsi="宋体"/>
          <w:color w:val="auto"/>
          <w:sz w:val="21"/>
          <w:szCs w:val="21"/>
          <w:highlight w:val="none"/>
        </w:rPr>
        <w:t xml:space="preserve">投标人（盖公章）：                 </w:t>
      </w:r>
    </w:p>
    <w:p>
      <w:pPr>
        <w:pStyle w:val="23"/>
        <w:spacing w:before="120" w:after="120" w:line="360" w:lineRule="auto"/>
        <w:ind w:left="560" w:leftChars="200"/>
        <w:rPr>
          <w:rFonts w:hint="eastAsia" w:hAnsi="宋体"/>
          <w:color w:val="auto"/>
          <w:sz w:val="21"/>
          <w:szCs w:val="21"/>
          <w:highlight w:val="none"/>
        </w:rPr>
      </w:pPr>
      <w:r>
        <w:rPr>
          <w:rFonts w:hint="eastAsia" w:hAnsi="宋体"/>
          <w:color w:val="auto"/>
          <w:sz w:val="21"/>
          <w:szCs w:val="21"/>
          <w:highlight w:val="none"/>
        </w:rPr>
        <w:t xml:space="preserve">投标人法定代表人或授权代表（签字或盖章）：        </w:t>
      </w:r>
    </w:p>
    <w:p>
      <w:pPr>
        <w:pStyle w:val="23"/>
        <w:spacing w:before="120" w:after="120" w:line="360" w:lineRule="auto"/>
        <w:ind w:left="560" w:leftChars="200"/>
        <w:rPr>
          <w:rFonts w:hAnsi="宋体"/>
          <w:color w:val="auto"/>
          <w:sz w:val="21"/>
          <w:szCs w:val="21"/>
          <w:highlight w:val="none"/>
        </w:rPr>
      </w:pPr>
      <w:r>
        <w:rPr>
          <w:rFonts w:hint="eastAsia" w:hAnsi="宋体"/>
          <w:color w:val="auto"/>
          <w:sz w:val="21"/>
          <w:szCs w:val="21"/>
          <w:highlight w:val="none"/>
        </w:rPr>
        <w:t>日期：    年  月  日</w:t>
      </w:r>
    </w:p>
    <w:p>
      <w:pPr>
        <w:pStyle w:val="2"/>
        <w:ind w:firstLine="280"/>
        <w:rPr>
          <w:rFonts w:hint="eastAsia"/>
          <w:color w:val="auto"/>
          <w:highlight w:val="none"/>
        </w:rPr>
      </w:pPr>
      <w:r>
        <w:rPr>
          <w:color w:val="auto"/>
          <w:highlight w:val="none"/>
        </w:rPr>
        <w:br w:type="page"/>
      </w:r>
    </w:p>
    <w:p>
      <w:pPr>
        <w:pStyle w:val="23"/>
        <w:spacing w:beforeLines="0" w:afterLines="0" w:line="360" w:lineRule="auto"/>
        <w:jc w:val="center"/>
        <w:rPr>
          <w:b/>
          <w:color w:val="auto"/>
          <w:sz w:val="30"/>
          <w:szCs w:val="30"/>
          <w:highlight w:val="none"/>
        </w:rPr>
      </w:pPr>
      <w:r>
        <w:rPr>
          <w:rFonts w:hint="eastAsia"/>
          <w:b/>
          <w:color w:val="auto"/>
          <w:sz w:val="30"/>
          <w:szCs w:val="30"/>
          <w:highlight w:val="none"/>
        </w:rPr>
        <w:t>投标报价明细表</w:t>
      </w:r>
    </w:p>
    <w:p>
      <w:pPr>
        <w:spacing w:line="360" w:lineRule="auto"/>
        <w:rPr>
          <w:rFonts w:hint="eastAsia" w:ascii="宋体" w:hAnsi="宋体" w:eastAsia="宋体"/>
          <w:color w:val="auto"/>
          <w:sz w:val="21"/>
          <w:szCs w:val="21"/>
          <w:highlight w:val="none"/>
          <w:lang w:eastAsia="zh-CN"/>
        </w:rPr>
      </w:pPr>
      <w:r>
        <w:rPr>
          <w:rFonts w:hint="eastAsia" w:ascii="宋体" w:hAnsi="宋体"/>
          <w:color w:val="auto"/>
          <w:sz w:val="21"/>
          <w:szCs w:val="21"/>
          <w:highlight w:val="none"/>
        </w:rPr>
        <w:t>项目名称：龙湾区瑶溪街道环卫保洁一体化项目       项目编号：</w:t>
      </w:r>
      <w:r>
        <w:rPr>
          <w:rFonts w:hint="eastAsia" w:ascii="宋体" w:hAnsi="宋体"/>
          <w:color w:val="auto"/>
          <w:sz w:val="21"/>
          <w:szCs w:val="21"/>
          <w:highlight w:val="none"/>
          <w:lang w:eastAsia="zh-CN"/>
        </w:rPr>
        <w:t>WZHC-20220923</w:t>
      </w:r>
    </w:p>
    <w:tbl>
      <w:tblPr>
        <w:tblStyle w:val="42"/>
        <w:tblW w:w="9129" w:type="dxa"/>
        <w:tblInd w:w="93" w:type="dxa"/>
        <w:tblLayout w:type="fixed"/>
        <w:tblCellMar>
          <w:top w:w="0" w:type="dxa"/>
          <w:left w:w="108" w:type="dxa"/>
          <w:bottom w:w="0" w:type="dxa"/>
          <w:right w:w="108" w:type="dxa"/>
        </w:tblCellMar>
      </w:tblPr>
      <w:tblGrid>
        <w:gridCol w:w="431"/>
        <w:gridCol w:w="1002"/>
        <w:gridCol w:w="850"/>
        <w:gridCol w:w="591"/>
        <w:gridCol w:w="1296"/>
        <w:gridCol w:w="1064"/>
        <w:gridCol w:w="987"/>
        <w:gridCol w:w="1491"/>
        <w:gridCol w:w="1417"/>
      </w:tblGrid>
      <w:tr>
        <w:tblPrEx>
          <w:tblCellMar>
            <w:top w:w="0" w:type="dxa"/>
            <w:left w:w="108" w:type="dxa"/>
            <w:bottom w:w="0" w:type="dxa"/>
            <w:right w:w="108" w:type="dxa"/>
          </w:tblCellMar>
        </w:tblPrEx>
        <w:trPr>
          <w:trHeight w:val="710" w:hRule="atLeast"/>
        </w:trPr>
        <w:tc>
          <w:tcPr>
            <w:tcW w:w="431" w:type="dxa"/>
            <w:tcBorders>
              <w:top w:val="single" w:color="auto" w:sz="8" w:space="0"/>
              <w:left w:val="single" w:color="auto" w:sz="8" w:space="0"/>
              <w:bottom w:val="single" w:color="auto" w:sz="4" w:space="0"/>
              <w:right w:val="single" w:color="auto" w:sz="4" w:space="0"/>
            </w:tcBorders>
            <w:noWrap w:val="0"/>
            <w:vAlign w:val="center"/>
          </w:tcPr>
          <w:p>
            <w:pPr>
              <w:spacing w:line="300" w:lineRule="exact"/>
              <w:jc w:val="center"/>
              <w:rPr>
                <w:rFonts w:hint="eastAsia" w:ascii="宋体" w:hAnsi="宋体"/>
                <w:color w:val="auto"/>
                <w:sz w:val="21"/>
                <w:szCs w:val="21"/>
                <w:highlight w:val="none"/>
              </w:rPr>
            </w:pPr>
            <w:r>
              <w:rPr>
                <w:rFonts w:hint="eastAsia" w:ascii="宋体" w:hAnsi="宋体"/>
                <w:color w:val="auto"/>
                <w:sz w:val="21"/>
                <w:szCs w:val="21"/>
                <w:highlight w:val="none"/>
              </w:rPr>
              <w:t>序号</w:t>
            </w:r>
          </w:p>
        </w:tc>
        <w:tc>
          <w:tcPr>
            <w:tcW w:w="1852" w:type="dxa"/>
            <w:gridSpan w:val="2"/>
            <w:tcBorders>
              <w:top w:val="single" w:color="auto" w:sz="8" w:space="0"/>
              <w:left w:val="single" w:color="auto" w:sz="8" w:space="0"/>
              <w:bottom w:val="single" w:color="auto" w:sz="4" w:space="0"/>
              <w:right w:val="single" w:color="auto" w:sz="4" w:space="0"/>
            </w:tcBorders>
            <w:noWrap/>
            <w:vAlign w:val="center"/>
          </w:tcPr>
          <w:p>
            <w:pPr>
              <w:spacing w:line="300" w:lineRule="exact"/>
              <w:jc w:val="center"/>
              <w:rPr>
                <w:rFonts w:ascii="宋体" w:hAnsi="宋体" w:cs="宋体"/>
                <w:color w:val="auto"/>
                <w:sz w:val="21"/>
                <w:szCs w:val="21"/>
                <w:highlight w:val="none"/>
              </w:rPr>
            </w:pPr>
            <w:r>
              <w:rPr>
                <w:rFonts w:hint="eastAsia" w:ascii="宋体" w:hAnsi="宋体" w:cs="宋体"/>
                <w:color w:val="auto"/>
                <w:sz w:val="21"/>
                <w:szCs w:val="21"/>
                <w:highlight w:val="none"/>
              </w:rPr>
              <w:t>费用名称</w:t>
            </w:r>
          </w:p>
        </w:tc>
        <w:tc>
          <w:tcPr>
            <w:tcW w:w="591" w:type="dxa"/>
            <w:tcBorders>
              <w:top w:val="single" w:color="auto" w:sz="8" w:space="0"/>
              <w:left w:val="nil"/>
              <w:bottom w:val="single" w:color="auto" w:sz="4" w:space="0"/>
              <w:right w:val="single" w:color="auto" w:sz="4" w:space="0"/>
            </w:tcBorders>
            <w:noWrap/>
            <w:vAlign w:val="center"/>
          </w:tcPr>
          <w:p>
            <w:pPr>
              <w:spacing w:line="300" w:lineRule="exact"/>
              <w:jc w:val="center"/>
              <w:rPr>
                <w:rFonts w:ascii="宋体" w:hAnsi="宋体" w:cs="宋体"/>
                <w:color w:val="auto"/>
                <w:sz w:val="21"/>
                <w:szCs w:val="21"/>
                <w:highlight w:val="none"/>
              </w:rPr>
            </w:pPr>
            <w:r>
              <w:rPr>
                <w:rFonts w:hint="eastAsia" w:ascii="宋体" w:hAnsi="宋体" w:cs="宋体"/>
                <w:color w:val="auto"/>
                <w:sz w:val="21"/>
                <w:szCs w:val="21"/>
                <w:highlight w:val="none"/>
              </w:rPr>
              <w:t>单位</w:t>
            </w:r>
          </w:p>
        </w:tc>
        <w:tc>
          <w:tcPr>
            <w:tcW w:w="1296" w:type="dxa"/>
            <w:tcBorders>
              <w:top w:val="single" w:color="auto" w:sz="8" w:space="0"/>
              <w:left w:val="nil"/>
              <w:bottom w:val="single" w:color="auto" w:sz="4" w:space="0"/>
              <w:right w:val="single" w:color="auto" w:sz="4" w:space="0"/>
            </w:tcBorders>
            <w:noWrap/>
            <w:vAlign w:val="center"/>
          </w:tcPr>
          <w:p>
            <w:pPr>
              <w:spacing w:line="300" w:lineRule="exact"/>
              <w:jc w:val="center"/>
              <w:rPr>
                <w:rFonts w:ascii="宋体" w:hAnsi="宋体" w:cs="宋体"/>
                <w:color w:val="auto"/>
                <w:sz w:val="21"/>
                <w:szCs w:val="21"/>
                <w:highlight w:val="none"/>
              </w:rPr>
            </w:pPr>
            <w:r>
              <w:rPr>
                <w:rFonts w:hint="eastAsia" w:ascii="宋体" w:hAnsi="宋体" w:cs="宋体"/>
                <w:color w:val="auto"/>
                <w:sz w:val="21"/>
                <w:szCs w:val="21"/>
                <w:highlight w:val="none"/>
              </w:rPr>
              <w:t>数量</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olor w:val="auto"/>
                <w:sz w:val="21"/>
                <w:szCs w:val="21"/>
                <w:highlight w:val="none"/>
              </w:rPr>
            </w:pPr>
            <w:r>
              <w:rPr>
                <w:rFonts w:hint="eastAsia" w:ascii="宋体" w:hAnsi="宋体"/>
                <w:color w:val="auto"/>
                <w:sz w:val="21"/>
                <w:szCs w:val="21"/>
                <w:highlight w:val="none"/>
              </w:rPr>
              <w:t>投标单价（元/年•单位）</w:t>
            </w:r>
          </w:p>
        </w:tc>
        <w:tc>
          <w:tcPr>
            <w:tcW w:w="987" w:type="dxa"/>
            <w:tcBorders>
              <w:top w:val="single" w:color="auto" w:sz="8"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olor w:val="auto"/>
                <w:sz w:val="21"/>
                <w:szCs w:val="21"/>
                <w:highlight w:val="none"/>
              </w:rPr>
            </w:pPr>
            <w:r>
              <w:rPr>
                <w:rFonts w:hint="eastAsia" w:ascii="宋体" w:hAnsi="宋体"/>
                <w:color w:val="auto"/>
                <w:sz w:val="21"/>
                <w:szCs w:val="21"/>
                <w:highlight w:val="none"/>
              </w:rPr>
              <w:t>一年合计（元）</w:t>
            </w:r>
          </w:p>
        </w:tc>
        <w:tc>
          <w:tcPr>
            <w:tcW w:w="1491" w:type="dxa"/>
            <w:tcBorders>
              <w:top w:val="single" w:color="auto" w:sz="8"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olor w:val="auto"/>
                <w:sz w:val="21"/>
                <w:szCs w:val="21"/>
                <w:highlight w:val="none"/>
              </w:rPr>
            </w:pPr>
            <w:r>
              <w:rPr>
                <w:rFonts w:hint="eastAsia" w:ascii="宋体" w:hAnsi="宋体"/>
                <w:color w:val="auto"/>
                <w:sz w:val="21"/>
                <w:szCs w:val="21"/>
                <w:highlight w:val="none"/>
              </w:rPr>
              <w:t>二年合计（元）</w:t>
            </w:r>
          </w:p>
        </w:tc>
        <w:tc>
          <w:tcPr>
            <w:tcW w:w="1417" w:type="dxa"/>
            <w:tcBorders>
              <w:top w:val="single" w:color="auto" w:sz="8" w:space="0"/>
              <w:left w:val="single" w:color="auto" w:sz="4" w:space="0"/>
              <w:bottom w:val="single" w:color="auto" w:sz="4" w:space="0"/>
              <w:right w:val="single" w:color="auto" w:sz="8" w:space="0"/>
            </w:tcBorders>
            <w:noWrap/>
            <w:vAlign w:val="center"/>
          </w:tcPr>
          <w:p>
            <w:pPr>
              <w:spacing w:line="300" w:lineRule="exact"/>
              <w:jc w:val="center"/>
              <w:rPr>
                <w:rFonts w:ascii="宋体" w:hAnsi="宋体" w:cs="宋体"/>
                <w:color w:val="auto"/>
                <w:sz w:val="21"/>
                <w:szCs w:val="21"/>
                <w:highlight w:val="none"/>
              </w:rPr>
            </w:pPr>
            <w:r>
              <w:rPr>
                <w:rFonts w:hint="eastAsia" w:ascii="宋体" w:hAnsi="宋体"/>
                <w:color w:val="auto"/>
                <w:sz w:val="21"/>
                <w:szCs w:val="21"/>
                <w:highlight w:val="none"/>
              </w:rPr>
              <w:t>备注</w:t>
            </w:r>
          </w:p>
        </w:tc>
      </w:tr>
      <w:tr>
        <w:tblPrEx>
          <w:tblCellMar>
            <w:top w:w="0" w:type="dxa"/>
            <w:left w:w="108" w:type="dxa"/>
            <w:bottom w:w="0" w:type="dxa"/>
            <w:right w:w="108" w:type="dxa"/>
          </w:tblCellMar>
        </w:tblPrEx>
        <w:trPr>
          <w:trHeight w:val="701" w:hRule="atLeast"/>
        </w:trPr>
        <w:tc>
          <w:tcPr>
            <w:tcW w:w="431" w:type="dxa"/>
            <w:tcBorders>
              <w:top w:val="nil"/>
              <w:left w:val="single" w:color="auto" w:sz="8" w:space="0"/>
              <w:bottom w:val="single" w:color="auto" w:sz="4" w:space="0"/>
              <w:right w:val="single" w:color="auto" w:sz="4" w:space="0"/>
            </w:tcBorders>
            <w:noWrap w:val="0"/>
            <w:vAlign w:val="center"/>
          </w:tcPr>
          <w:p>
            <w:pPr>
              <w:spacing w:line="300" w:lineRule="exact"/>
              <w:jc w:val="center"/>
              <w:rPr>
                <w:rFonts w:hint="eastAsia" w:ascii="宋体" w:hAnsi="宋体"/>
                <w:color w:val="auto"/>
                <w:sz w:val="21"/>
                <w:szCs w:val="21"/>
                <w:highlight w:val="none"/>
              </w:rPr>
            </w:pPr>
            <w:r>
              <w:rPr>
                <w:rFonts w:hint="eastAsia" w:ascii="宋体" w:hAnsi="宋体"/>
                <w:color w:val="auto"/>
                <w:sz w:val="21"/>
                <w:szCs w:val="21"/>
                <w:highlight w:val="none"/>
              </w:rPr>
              <w:t>1</w:t>
            </w:r>
          </w:p>
        </w:tc>
        <w:tc>
          <w:tcPr>
            <w:tcW w:w="1002" w:type="dxa"/>
            <w:vMerge w:val="restart"/>
            <w:tcBorders>
              <w:top w:val="nil"/>
              <w:left w:val="single" w:color="auto" w:sz="8" w:space="0"/>
              <w:right w:val="single" w:color="auto" w:sz="4" w:space="0"/>
            </w:tcBorders>
            <w:noWrap/>
            <w:vAlign w:val="center"/>
          </w:tcPr>
          <w:p>
            <w:pPr>
              <w:spacing w:line="300" w:lineRule="exact"/>
              <w:jc w:val="center"/>
              <w:rPr>
                <w:rFonts w:hint="eastAsia" w:ascii="宋体" w:hAnsi="宋体"/>
                <w:color w:val="auto"/>
                <w:sz w:val="21"/>
                <w:szCs w:val="21"/>
                <w:highlight w:val="none"/>
              </w:rPr>
            </w:pPr>
            <w:r>
              <w:rPr>
                <w:rFonts w:ascii="宋体" w:hAnsi="宋体" w:cs="Arial"/>
                <w:bCs/>
                <w:color w:val="auto"/>
                <w:sz w:val="21"/>
                <w:szCs w:val="21"/>
                <w:highlight w:val="none"/>
              </w:rPr>
              <w:t>道路（含车行道、人行道、广场、市政设施及城市家具）保洁</w:t>
            </w:r>
          </w:p>
        </w:tc>
        <w:tc>
          <w:tcPr>
            <w:tcW w:w="850" w:type="dxa"/>
            <w:tcBorders>
              <w:top w:val="nil"/>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olor w:val="auto"/>
                <w:sz w:val="21"/>
                <w:szCs w:val="21"/>
                <w:highlight w:val="none"/>
              </w:rPr>
            </w:pPr>
            <w:r>
              <w:rPr>
                <w:rFonts w:hint="eastAsia" w:ascii="宋体" w:hAnsi="宋体"/>
                <w:color w:val="auto"/>
                <w:sz w:val="21"/>
                <w:szCs w:val="21"/>
                <w:highlight w:val="none"/>
              </w:rPr>
              <w:t>一级道路</w:t>
            </w:r>
          </w:p>
        </w:tc>
        <w:tc>
          <w:tcPr>
            <w:tcW w:w="591" w:type="dxa"/>
            <w:tcBorders>
              <w:top w:val="nil"/>
              <w:left w:val="nil"/>
              <w:bottom w:val="single" w:color="auto" w:sz="4" w:space="0"/>
              <w:right w:val="single" w:color="auto" w:sz="4" w:space="0"/>
            </w:tcBorders>
            <w:noWrap/>
            <w:vAlign w:val="center"/>
          </w:tcPr>
          <w:p>
            <w:pPr>
              <w:spacing w:line="300" w:lineRule="exact"/>
              <w:jc w:val="center"/>
              <w:rPr>
                <w:rFonts w:ascii="宋体" w:hAnsi="宋体" w:cs="宋体"/>
                <w:color w:val="auto"/>
                <w:sz w:val="21"/>
                <w:szCs w:val="21"/>
                <w:highlight w:val="none"/>
              </w:rPr>
            </w:pPr>
            <w:r>
              <w:rPr>
                <w:rFonts w:hint="eastAsia" w:ascii="宋体" w:hAnsi="宋体" w:cs="Arial"/>
                <w:bCs/>
                <w:color w:val="auto"/>
                <w:sz w:val="21"/>
                <w:szCs w:val="21"/>
                <w:highlight w:val="none"/>
              </w:rPr>
              <w:t>㎡</w:t>
            </w:r>
          </w:p>
        </w:tc>
        <w:tc>
          <w:tcPr>
            <w:tcW w:w="1296"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684987</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olor w:val="auto"/>
                <w:sz w:val="21"/>
                <w:szCs w:val="21"/>
                <w:highlight w:val="none"/>
              </w:rPr>
            </w:pPr>
          </w:p>
        </w:tc>
        <w:tc>
          <w:tcPr>
            <w:tcW w:w="987" w:type="dxa"/>
            <w:tcBorders>
              <w:top w:val="nil"/>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olor w:val="auto"/>
                <w:sz w:val="21"/>
                <w:szCs w:val="21"/>
                <w:highlight w:val="none"/>
              </w:rPr>
            </w:pPr>
          </w:p>
        </w:tc>
        <w:tc>
          <w:tcPr>
            <w:tcW w:w="1491" w:type="dxa"/>
            <w:tcBorders>
              <w:top w:val="nil"/>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olor w:val="auto"/>
                <w:sz w:val="21"/>
                <w:szCs w:val="21"/>
                <w:highlight w:val="none"/>
              </w:rPr>
            </w:pPr>
          </w:p>
        </w:tc>
        <w:tc>
          <w:tcPr>
            <w:tcW w:w="1417" w:type="dxa"/>
            <w:tcBorders>
              <w:top w:val="nil"/>
              <w:left w:val="single" w:color="auto" w:sz="4" w:space="0"/>
              <w:bottom w:val="single" w:color="auto" w:sz="4" w:space="0"/>
              <w:right w:val="single" w:color="auto" w:sz="8" w:space="0"/>
            </w:tcBorders>
            <w:noWrap/>
            <w:vAlign w:val="center"/>
          </w:tcPr>
          <w:p>
            <w:pPr>
              <w:spacing w:line="300" w:lineRule="exact"/>
              <w:rPr>
                <w:rFonts w:ascii="宋体" w:hAnsi="宋体" w:cs="宋体"/>
                <w:color w:val="auto"/>
                <w:sz w:val="21"/>
                <w:szCs w:val="21"/>
                <w:highlight w:val="none"/>
              </w:rPr>
            </w:pPr>
            <w:r>
              <w:rPr>
                <w:rFonts w:hint="eastAsia" w:ascii="宋体" w:hAnsi="宋体"/>
                <w:color w:val="auto"/>
                <w:sz w:val="21"/>
                <w:szCs w:val="21"/>
                <w:highlight w:val="none"/>
              </w:rPr>
              <w:t>　</w:t>
            </w:r>
          </w:p>
        </w:tc>
      </w:tr>
      <w:tr>
        <w:tblPrEx>
          <w:tblCellMar>
            <w:top w:w="0" w:type="dxa"/>
            <w:left w:w="108" w:type="dxa"/>
            <w:bottom w:w="0" w:type="dxa"/>
            <w:right w:w="108" w:type="dxa"/>
          </w:tblCellMar>
        </w:tblPrEx>
        <w:trPr>
          <w:trHeight w:val="701" w:hRule="atLeast"/>
        </w:trPr>
        <w:tc>
          <w:tcPr>
            <w:tcW w:w="431" w:type="dxa"/>
            <w:tcBorders>
              <w:top w:val="nil"/>
              <w:left w:val="single" w:color="auto" w:sz="8" w:space="0"/>
              <w:bottom w:val="single" w:color="auto" w:sz="4" w:space="0"/>
              <w:right w:val="single" w:color="auto" w:sz="4" w:space="0"/>
            </w:tcBorders>
            <w:noWrap w:val="0"/>
            <w:vAlign w:val="center"/>
          </w:tcPr>
          <w:p>
            <w:pPr>
              <w:spacing w:line="300" w:lineRule="exact"/>
              <w:jc w:val="center"/>
              <w:rPr>
                <w:rFonts w:hint="eastAsia" w:ascii="宋体" w:hAnsi="宋体"/>
                <w:color w:val="auto"/>
                <w:sz w:val="21"/>
                <w:szCs w:val="21"/>
                <w:highlight w:val="none"/>
              </w:rPr>
            </w:pPr>
            <w:r>
              <w:rPr>
                <w:rFonts w:hint="eastAsia" w:ascii="宋体" w:hAnsi="宋体"/>
                <w:color w:val="auto"/>
                <w:sz w:val="21"/>
                <w:szCs w:val="21"/>
                <w:highlight w:val="none"/>
              </w:rPr>
              <w:t>2</w:t>
            </w:r>
          </w:p>
        </w:tc>
        <w:tc>
          <w:tcPr>
            <w:tcW w:w="1002" w:type="dxa"/>
            <w:vMerge w:val="continue"/>
            <w:tcBorders>
              <w:left w:val="single" w:color="auto" w:sz="8" w:space="0"/>
              <w:right w:val="single" w:color="auto" w:sz="4" w:space="0"/>
            </w:tcBorders>
            <w:noWrap/>
            <w:vAlign w:val="center"/>
          </w:tcPr>
          <w:p>
            <w:pPr>
              <w:spacing w:line="300" w:lineRule="exact"/>
              <w:jc w:val="center"/>
              <w:rPr>
                <w:rFonts w:ascii="宋体" w:hAnsi="宋体" w:cs="宋体"/>
                <w:color w:val="auto"/>
                <w:sz w:val="21"/>
                <w:szCs w:val="21"/>
                <w:highlight w:val="none"/>
              </w:rPr>
            </w:pPr>
          </w:p>
        </w:tc>
        <w:tc>
          <w:tcPr>
            <w:tcW w:w="850" w:type="dxa"/>
            <w:tcBorders>
              <w:top w:val="nil"/>
              <w:left w:val="single" w:color="auto" w:sz="4" w:space="0"/>
              <w:bottom w:val="single" w:color="auto" w:sz="4" w:space="0"/>
              <w:right w:val="single" w:color="auto" w:sz="4" w:space="0"/>
            </w:tcBorders>
            <w:noWrap w:val="0"/>
            <w:vAlign w:val="center"/>
          </w:tcPr>
          <w:p>
            <w:pPr>
              <w:spacing w:line="300" w:lineRule="exact"/>
              <w:jc w:val="center"/>
              <w:rPr>
                <w:rFonts w:ascii="宋体" w:hAnsi="宋体" w:cs="宋体"/>
                <w:color w:val="auto"/>
                <w:sz w:val="21"/>
                <w:szCs w:val="21"/>
                <w:highlight w:val="none"/>
              </w:rPr>
            </w:pPr>
            <w:r>
              <w:rPr>
                <w:rFonts w:hint="eastAsia" w:ascii="宋体" w:hAnsi="宋体"/>
                <w:color w:val="auto"/>
                <w:sz w:val="21"/>
                <w:szCs w:val="21"/>
                <w:highlight w:val="none"/>
              </w:rPr>
              <w:t>二级道路</w:t>
            </w:r>
          </w:p>
        </w:tc>
        <w:tc>
          <w:tcPr>
            <w:tcW w:w="591" w:type="dxa"/>
            <w:tcBorders>
              <w:top w:val="nil"/>
              <w:left w:val="nil"/>
              <w:bottom w:val="single" w:color="auto" w:sz="4" w:space="0"/>
              <w:right w:val="single" w:color="auto" w:sz="4" w:space="0"/>
            </w:tcBorders>
            <w:noWrap/>
            <w:vAlign w:val="center"/>
          </w:tcPr>
          <w:p>
            <w:pPr>
              <w:spacing w:line="300" w:lineRule="exact"/>
              <w:jc w:val="center"/>
              <w:rPr>
                <w:rFonts w:ascii="宋体" w:hAnsi="宋体" w:cs="宋体"/>
                <w:color w:val="auto"/>
                <w:sz w:val="21"/>
                <w:szCs w:val="21"/>
                <w:highlight w:val="none"/>
              </w:rPr>
            </w:pPr>
            <w:r>
              <w:rPr>
                <w:rFonts w:hint="eastAsia" w:ascii="宋体" w:hAnsi="宋体" w:cs="Arial"/>
                <w:bCs/>
                <w:color w:val="auto"/>
                <w:sz w:val="21"/>
                <w:szCs w:val="21"/>
                <w:highlight w:val="none"/>
              </w:rPr>
              <w:t>㎡</w:t>
            </w:r>
          </w:p>
        </w:tc>
        <w:tc>
          <w:tcPr>
            <w:tcW w:w="1296"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391410</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olor w:val="auto"/>
                <w:sz w:val="21"/>
                <w:szCs w:val="21"/>
                <w:highlight w:val="none"/>
              </w:rPr>
            </w:pPr>
          </w:p>
        </w:tc>
        <w:tc>
          <w:tcPr>
            <w:tcW w:w="987" w:type="dxa"/>
            <w:tcBorders>
              <w:top w:val="nil"/>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olor w:val="auto"/>
                <w:sz w:val="21"/>
                <w:szCs w:val="21"/>
                <w:highlight w:val="none"/>
              </w:rPr>
            </w:pPr>
          </w:p>
        </w:tc>
        <w:tc>
          <w:tcPr>
            <w:tcW w:w="1491" w:type="dxa"/>
            <w:tcBorders>
              <w:top w:val="nil"/>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olor w:val="auto"/>
                <w:sz w:val="21"/>
                <w:szCs w:val="21"/>
                <w:highlight w:val="none"/>
              </w:rPr>
            </w:pPr>
          </w:p>
        </w:tc>
        <w:tc>
          <w:tcPr>
            <w:tcW w:w="1417" w:type="dxa"/>
            <w:tcBorders>
              <w:top w:val="nil"/>
              <w:left w:val="single" w:color="auto" w:sz="4" w:space="0"/>
              <w:bottom w:val="single" w:color="auto" w:sz="4" w:space="0"/>
              <w:right w:val="single" w:color="auto" w:sz="8" w:space="0"/>
            </w:tcBorders>
            <w:noWrap/>
            <w:vAlign w:val="center"/>
          </w:tcPr>
          <w:p>
            <w:pPr>
              <w:spacing w:line="300" w:lineRule="exact"/>
              <w:rPr>
                <w:rFonts w:ascii="宋体" w:hAnsi="宋体" w:cs="宋体"/>
                <w:color w:val="auto"/>
                <w:sz w:val="21"/>
                <w:szCs w:val="21"/>
                <w:highlight w:val="none"/>
              </w:rPr>
            </w:pPr>
            <w:r>
              <w:rPr>
                <w:rFonts w:hint="eastAsia" w:ascii="宋体" w:hAnsi="宋体"/>
                <w:color w:val="auto"/>
                <w:sz w:val="21"/>
                <w:szCs w:val="21"/>
                <w:highlight w:val="none"/>
              </w:rPr>
              <w:t>　</w:t>
            </w:r>
          </w:p>
        </w:tc>
      </w:tr>
      <w:tr>
        <w:tblPrEx>
          <w:tblCellMar>
            <w:top w:w="0" w:type="dxa"/>
            <w:left w:w="108" w:type="dxa"/>
            <w:bottom w:w="0" w:type="dxa"/>
            <w:right w:w="108" w:type="dxa"/>
          </w:tblCellMar>
        </w:tblPrEx>
        <w:trPr>
          <w:trHeight w:val="701" w:hRule="atLeast"/>
        </w:trPr>
        <w:tc>
          <w:tcPr>
            <w:tcW w:w="431" w:type="dxa"/>
            <w:tcBorders>
              <w:top w:val="nil"/>
              <w:left w:val="single" w:color="auto" w:sz="8" w:space="0"/>
              <w:bottom w:val="single" w:color="auto" w:sz="4" w:space="0"/>
              <w:right w:val="single" w:color="auto" w:sz="4" w:space="0"/>
            </w:tcBorders>
            <w:noWrap w:val="0"/>
            <w:vAlign w:val="center"/>
          </w:tcPr>
          <w:p>
            <w:pPr>
              <w:spacing w:line="300" w:lineRule="exact"/>
              <w:jc w:val="center"/>
              <w:rPr>
                <w:rFonts w:hint="eastAsia" w:ascii="宋体" w:hAnsi="宋体"/>
                <w:color w:val="auto"/>
                <w:sz w:val="21"/>
                <w:szCs w:val="21"/>
                <w:highlight w:val="none"/>
              </w:rPr>
            </w:pPr>
            <w:r>
              <w:rPr>
                <w:rFonts w:hint="eastAsia" w:ascii="宋体" w:hAnsi="宋体"/>
                <w:color w:val="auto"/>
                <w:sz w:val="21"/>
                <w:szCs w:val="21"/>
                <w:highlight w:val="none"/>
              </w:rPr>
              <w:t>3</w:t>
            </w:r>
          </w:p>
        </w:tc>
        <w:tc>
          <w:tcPr>
            <w:tcW w:w="1002" w:type="dxa"/>
            <w:vMerge w:val="continue"/>
            <w:tcBorders>
              <w:left w:val="single" w:color="auto" w:sz="8" w:space="0"/>
              <w:right w:val="single" w:color="auto" w:sz="4" w:space="0"/>
            </w:tcBorders>
            <w:noWrap/>
            <w:vAlign w:val="center"/>
          </w:tcPr>
          <w:p>
            <w:pPr>
              <w:spacing w:line="300" w:lineRule="exact"/>
              <w:jc w:val="center"/>
              <w:rPr>
                <w:rFonts w:ascii="宋体" w:hAnsi="宋体" w:cs="宋体"/>
                <w:color w:val="auto"/>
                <w:sz w:val="21"/>
                <w:szCs w:val="21"/>
                <w:highlight w:val="none"/>
              </w:rPr>
            </w:pPr>
          </w:p>
        </w:tc>
        <w:tc>
          <w:tcPr>
            <w:tcW w:w="850" w:type="dxa"/>
            <w:tcBorders>
              <w:top w:val="nil"/>
              <w:left w:val="single" w:color="auto" w:sz="4" w:space="0"/>
              <w:bottom w:val="single" w:color="auto" w:sz="4" w:space="0"/>
              <w:right w:val="single" w:color="auto" w:sz="4" w:space="0"/>
            </w:tcBorders>
            <w:noWrap w:val="0"/>
            <w:vAlign w:val="center"/>
          </w:tcPr>
          <w:p>
            <w:pPr>
              <w:spacing w:line="300" w:lineRule="exact"/>
              <w:jc w:val="center"/>
              <w:rPr>
                <w:rFonts w:ascii="宋体" w:hAnsi="宋体" w:cs="宋体"/>
                <w:color w:val="auto"/>
                <w:sz w:val="21"/>
                <w:szCs w:val="21"/>
                <w:highlight w:val="none"/>
              </w:rPr>
            </w:pPr>
            <w:r>
              <w:rPr>
                <w:rFonts w:hint="eastAsia" w:ascii="宋体" w:hAnsi="宋体"/>
                <w:color w:val="auto"/>
                <w:sz w:val="21"/>
                <w:szCs w:val="21"/>
                <w:highlight w:val="none"/>
              </w:rPr>
              <w:t>三级道路</w:t>
            </w:r>
          </w:p>
        </w:tc>
        <w:tc>
          <w:tcPr>
            <w:tcW w:w="591" w:type="dxa"/>
            <w:tcBorders>
              <w:top w:val="nil"/>
              <w:left w:val="nil"/>
              <w:bottom w:val="single" w:color="auto" w:sz="4" w:space="0"/>
              <w:right w:val="single" w:color="auto" w:sz="4" w:space="0"/>
            </w:tcBorders>
            <w:noWrap/>
            <w:vAlign w:val="center"/>
          </w:tcPr>
          <w:p>
            <w:pPr>
              <w:spacing w:line="300" w:lineRule="exact"/>
              <w:jc w:val="center"/>
              <w:rPr>
                <w:rFonts w:ascii="宋体" w:hAnsi="宋体" w:cs="宋体"/>
                <w:color w:val="auto"/>
                <w:sz w:val="21"/>
                <w:szCs w:val="21"/>
                <w:highlight w:val="none"/>
              </w:rPr>
            </w:pPr>
            <w:r>
              <w:rPr>
                <w:rFonts w:hint="eastAsia" w:ascii="宋体" w:hAnsi="宋体" w:cs="Arial"/>
                <w:bCs/>
                <w:color w:val="auto"/>
                <w:sz w:val="21"/>
                <w:szCs w:val="21"/>
                <w:highlight w:val="none"/>
              </w:rPr>
              <w:t>㎡</w:t>
            </w:r>
          </w:p>
        </w:tc>
        <w:tc>
          <w:tcPr>
            <w:tcW w:w="1296"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320686</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olor w:val="auto"/>
                <w:sz w:val="21"/>
                <w:szCs w:val="21"/>
                <w:highlight w:val="none"/>
              </w:rPr>
            </w:pPr>
          </w:p>
        </w:tc>
        <w:tc>
          <w:tcPr>
            <w:tcW w:w="987" w:type="dxa"/>
            <w:tcBorders>
              <w:top w:val="nil"/>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olor w:val="auto"/>
                <w:sz w:val="21"/>
                <w:szCs w:val="21"/>
                <w:highlight w:val="none"/>
              </w:rPr>
            </w:pPr>
          </w:p>
        </w:tc>
        <w:tc>
          <w:tcPr>
            <w:tcW w:w="1491" w:type="dxa"/>
            <w:tcBorders>
              <w:top w:val="nil"/>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olor w:val="auto"/>
                <w:sz w:val="21"/>
                <w:szCs w:val="21"/>
                <w:highlight w:val="none"/>
              </w:rPr>
            </w:pPr>
          </w:p>
        </w:tc>
        <w:tc>
          <w:tcPr>
            <w:tcW w:w="1417" w:type="dxa"/>
            <w:tcBorders>
              <w:top w:val="nil"/>
              <w:left w:val="single" w:color="auto" w:sz="4" w:space="0"/>
              <w:bottom w:val="single" w:color="auto" w:sz="4" w:space="0"/>
              <w:right w:val="single" w:color="auto" w:sz="8" w:space="0"/>
            </w:tcBorders>
            <w:noWrap/>
            <w:vAlign w:val="center"/>
          </w:tcPr>
          <w:p>
            <w:pPr>
              <w:spacing w:line="300" w:lineRule="exact"/>
              <w:rPr>
                <w:rFonts w:ascii="宋体" w:hAnsi="宋体" w:cs="宋体"/>
                <w:color w:val="auto"/>
                <w:sz w:val="21"/>
                <w:szCs w:val="21"/>
                <w:highlight w:val="none"/>
              </w:rPr>
            </w:pPr>
            <w:r>
              <w:rPr>
                <w:rFonts w:hint="eastAsia" w:ascii="宋体" w:hAnsi="宋体"/>
                <w:color w:val="auto"/>
                <w:sz w:val="21"/>
                <w:szCs w:val="21"/>
                <w:highlight w:val="none"/>
              </w:rPr>
              <w:t>　</w:t>
            </w:r>
          </w:p>
        </w:tc>
      </w:tr>
      <w:tr>
        <w:tblPrEx>
          <w:tblCellMar>
            <w:top w:w="0" w:type="dxa"/>
            <w:left w:w="108" w:type="dxa"/>
            <w:bottom w:w="0" w:type="dxa"/>
            <w:right w:w="108" w:type="dxa"/>
          </w:tblCellMar>
        </w:tblPrEx>
        <w:trPr>
          <w:trHeight w:val="701" w:hRule="atLeast"/>
        </w:trPr>
        <w:tc>
          <w:tcPr>
            <w:tcW w:w="431" w:type="dxa"/>
            <w:tcBorders>
              <w:top w:val="nil"/>
              <w:left w:val="single" w:color="auto" w:sz="8" w:space="0"/>
              <w:bottom w:val="single" w:color="auto" w:sz="4" w:space="0"/>
              <w:right w:val="single" w:color="auto" w:sz="4" w:space="0"/>
            </w:tcBorders>
            <w:noWrap w:val="0"/>
            <w:vAlign w:val="center"/>
          </w:tcPr>
          <w:p>
            <w:pPr>
              <w:spacing w:line="300" w:lineRule="exact"/>
              <w:jc w:val="center"/>
              <w:rPr>
                <w:rFonts w:hint="eastAsia" w:ascii="宋体" w:hAnsi="宋体"/>
                <w:color w:val="auto"/>
                <w:sz w:val="21"/>
                <w:szCs w:val="21"/>
                <w:highlight w:val="none"/>
              </w:rPr>
            </w:pPr>
            <w:r>
              <w:rPr>
                <w:rFonts w:hint="eastAsia" w:ascii="宋体" w:hAnsi="宋体"/>
                <w:color w:val="auto"/>
                <w:sz w:val="21"/>
                <w:szCs w:val="21"/>
                <w:highlight w:val="none"/>
              </w:rPr>
              <w:t>4</w:t>
            </w:r>
          </w:p>
        </w:tc>
        <w:tc>
          <w:tcPr>
            <w:tcW w:w="1002" w:type="dxa"/>
            <w:vMerge w:val="continue"/>
            <w:tcBorders>
              <w:left w:val="single" w:color="auto" w:sz="8" w:space="0"/>
              <w:bottom w:val="single" w:color="auto" w:sz="4" w:space="0"/>
              <w:right w:val="single" w:color="auto" w:sz="4" w:space="0"/>
            </w:tcBorders>
            <w:noWrap/>
            <w:vAlign w:val="center"/>
          </w:tcPr>
          <w:p>
            <w:pPr>
              <w:spacing w:line="300" w:lineRule="exact"/>
              <w:jc w:val="center"/>
              <w:rPr>
                <w:rFonts w:ascii="宋体" w:hAnsi="宋体" w:cs="宋体"/>
                <w:color w:val="auto"/>
                <w:sz w:val="21"/>
                <w:szCs w:val="21"/>
                <w:highlight w:val="none"/>
              </w:rPr>
            </w:pPr>
          </w:p>
        </w:tc>
        <w:tc>
          <w:tcPr>
            <w:tcW w:w="850" w:type="dxa"/>
            <w:tcBorders>
              <w:top w:val="nil"/>
              <w:left w:val="single" w:color="auto" w:sz="4" w:space="0"/>
              <w:bottom w:val="single" w:color="auto" w:sz="4" w:space="0"/>
              <w:right w:val="single" w:color="auto" w:sz="4" w:space="0"/>
            </w:tcBorders>
            <w:noWrap w:val="0"/>
            <w:vAlign w:val="center"/>
          </w:tcPr>
          <w:p>
            <w:pPr>
              <w:spacing w:line="300" w:lineRule="exact"/>
              <w:jc w:val="center"/>
              <w:rPr>
                <w:rFonts w:ascii="宋体" w:hAnsi="宋体" w:cs="宋体"/>
                <w:color w:val="auto"/>
                <w:sz w:val="21"/>
                <w:szCs w:val="21"/>
                <w:highlight w:val="none"/>
              </w:rPr>
            </w:pPr>
            <w:r>
              <w:rPr>
                <w:rFonts w:hint="eastAsia" w:ascii="宋体" w:hAnsi="宋体"/>
                <w:color w:val="auto"/>
                <w:sz w:val="21"/>
                <w:szCs w:val="21"/>
                <w:highlight w:val="none"/>
              </w:rPr>
              <w:t>四级道路</w:t>
            </w:r>
          </w:p>
        </w:tc>
        <w:tc>
          <w:tcPr>
            <w:tcW w:w="591" w:type="dxa"/>
            <w:tcBorders>
              <w:top w:val="nil"/>
              <w:left w:val="nil"/>
              <w:bottom w:val="single" w:color="auto" w:sz="4" w:space="0"/>
              <w:right w:val="single" w:color="auto" w:sz="4" w:space="0"/>
            </w:tcBorders>
            <w:noWrap/>
            <w:vAlign w:val="center"/>
          </w:tcPr>
          <w:p>
            <w:pPr>
              <w:spacing w:line="300" w:lineRule="exact"/>
              <w:jc w:val="center"/>
              <w:rPr>
                <w:rFonts w:ascii="宋体" w:hAnsi="宋体" w:cs="宋体"/>
                <w:color w:val="auto"/>
                <w:sz w:val="21"/>
                <w:szCs w:val="21"/>
                <w:highlight w:val="none"/>
              </w:rPr>
            </w:pPr>
            <w:r>
              <w:rPr>
                <w:rFonts w:hint="eastAsia" w:ascii="宋体" w:hAnsi="宋体" w:cs="Arial"/>
                <w:bCs/>
                <w:color w:val="auto"/>
                <w:sz w:val="21"/>
                <w:szCs w:val="21"/>
                <w:highlight w:val="none"/>
              </w:rPr>
              <w:t>㎡</w:t>
            </w:r>
          </w:p>
        </w:tc>
        <w:tc>
          <w:tcPr>
            <w:tcW w:w="1296"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104564</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olor w:val="auto"/>
                <w:sz w:val="21"/>
                <w:szCs w:val="21"/>
                <w:highlight w:val="none"/>
              </w:rPr>
            </w:pPr>
          </w:p>
        </w:tc>
        <w:tc>
          <w:tcPr>
            <w:tcW w:w="987" w:type="dxa"/>
            <w:tcBorders>
              <w:top w:val="nil"/>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olor w:val="auto"/>
                <w:sz w:val="21"/>
                <w:szCs w:val="21"/>
                <w:highlight w:val="none"/>
              </w:rPr>
            </w:pPr>
          </w:p>
        </w:tc>
        <w:tc>
          <w:tcPr>
            <w:tcW w:w="1491" w:type="dxa"/>
            <w:tcBorders>
              <w:top w:val="nil"/>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olor w:val="auto"/>
                <w:sz w:val="21"/>
                <w:szCs w:val="21"/>
                <w:highlight w:val="none"/>
              </w:rPr>
            </w:pPr>
          </w:p>
        </w:tc>
        <w:tc>
          <w:tcPr>
            <w:tcW w:w="1417" w:type="dxa"/>
            <w:tcBorders>
              <w:top w:val="nil"/>
              <w:left w:val="single" w:color="auto" w:sz="4" w:space="0"/>
              <w:bottom w:val="single" w:color="auto" w:sz="4" w:space="0"/>
              <w:right w:val="single" w:color="auto" w:sz="8" w:space="0"/>
            </w:tcBorders>
            <w:noWrap/>
            <w:vAlign w:val="center"/>
          </w:tcPr>
          <w:p>
            <w:pPr>
              <w:spacing w:line="300" w:lineRule="exact"/>
              <w:rPr>
                <w:rFonts w:ascii="宋体" w:hAnsi="宋体" w:cs="宋体"/>
                <w:color w:val="auto"/>
                <w:sz w:val="21"/>
                <w:szCs w:val="21"/>
                <w:highlight w:val="none"/>
              </w:rPr>
            </w:pPr>
            <w:r>
              <w:rPr>
                <w:rFonts w:hint="eastAsia" w:ascii="宋体" w:hAnsi="宋体"/>
                <w:color w:val="auto"/>
                <w:sz w:val="21"/>
                <w:szCs w:val="21"/>
                <w:highlight w:val="none"/>
              </w:rPr>
              <w:t>　</w:t>
            </w:r>
          </w:p>
        </w:tc>
      </w:tr>
      <w:tr>
        <w:tblPrEx>
          <w:tblCellMar>
            <w:top w:w="0" w:type="dxa"/>
            <w:left w:w="108" w:type="dxa"/>
            <w:bottom w:w="0" w:type="dxa"/>
            <w:right w:w="108" w:type="dxa"/>
          </w:tblCellMar>
        </w:tblPrEx>
        <w:trPr>
          <w:trHeight w:val="701" w:hRule="atLeast"/>
        </w:trPr>
        <w:tc>
          <w:tcPr>
            <w:tcW w:w="431" w:type="dxa"/>
            <w:tcBorders>
              <w:top w:val="nil"/>
              <w:left w:val="single" w:color="auto" w:sz="8" w:space="0"/>
              <w:bottom w:val="single" w:color="auto" w:sz="4" w:space="0"/>
              <w:right w:val="single" w:color="auto" w:sz="4" w:space="0"/>
            </w:tcBorders>
            <w:noWrap w:val="0"/>
            <w:vAlign w:val="center"/>
          </w:tcPr>
          <w:p>
            <w:pPr>
              <w:spacing w:line="300" w:lineRule="exact"/>
              <w:jc w:val="center"/>
              <w:rPr>
                <w:rFonts w:hint="eastAsia" w:ascii="宋体" w:hAnsi="宋体"/>
                <w:color w:val="auto"/>
                <w:sz w:val="21"/>
                <w:szCs w:val="21"/>
                <w:highlight w:val="none"/>
              </w:rPr>
            </w:pPr>
            <w:r>
              <w:rPr>
                <w:rFonts w:hint="eastAsia" w:ascii="宋体" w:hAnsi="宋体"/>
                <w:color w:val="auto"/>
                <w:sz w:val="21"/>
                <w:szCs w:val="21"/>
                <w:highlight w:val="none"/>
              </w:rPr>
              <w:t>5</w:t>
            </w:r>
          </w:p>
        </w:tc>
        <w:tc>
          <w:tcPr>
            <w:tcW w:w="1852" w:type="dxa"/>
            <w:gridSpan w:val="2"/>
            <w:tcBorders>
              <w:left w:val="single" w:color="auto" w:sz="8" w:space="0"/>
              <w:bottom w:val="single" w:color="auto" w:sz="4" w:space="0"/>
              <w:right w:val="single" w:color="auto" w:sz="4" w:space="0"/>
            </w:tcBorders>
            <w:noWrap/>
            <w:vAlign w:val="center"/>
          </w:tcPr>
          <w:p>
            <w:pPr>
              <w:spacing w:line="300" w:lineRule="exact"/>
              <w:jc w:val="center"/>
              <w:rPr>
                <w:rFonts w:ascii="宋体" w:hAnsi="宋体" w:cs="宋体"/>
                <w:color w:val="auto"/>
                <w:sz w:val="21"/>
                <w:szCs w:val="21"/>
                <w:highlight w:val="none"/>
              </w:rPr>
            </w:pPr>
            <w:r>
              <w:rPr>
                <w:rFonts w:hint="eastAsia" w:ascii="宋体" w:hAnsi="宋体"/>
                <w:color w:val="auto"/>
                <w:sz w:val="21"/>
                <w:szCs w:val="21"/>
                <w:highlight w:val="none"/>
              </w:rPr>
              <w:t>绿化带及绿地</w:t>
            </w:r>
          </w:p>
        </w:tc>
        <w:tc>
          <w:tcPr>
            <w:tcW w:w="591" w:type="dxa"/>
            <w:tcBorders>
              <w:top w:val="nil"/>
              <w:left w:val="nil"/>
              <w:bottom w:val="single" w:color="auto" w:sz="4" w:space="0"/>
              <w:right w:val="single" w:color="auto" w:sz="4" w:space="0"/>
            </w:tcBorders>
            <w:noWrap/>
            <w:vAlign w:val="center"/>
          </w:tcPr>
          <w:p>
            <w:pPr>
              <w:spacing w:line="300" w:lineRule="exact"/>
              <w:jc w:val="center"/>
              <w:rPr>
                <w:rFonts w:ascii="宋体" w:hAnsi="宋体" w:cs="宋体"/>
                <w:color w:val="auto"/>
                <w:sz w:val="21"/>
                <w:szCs w:val="21"/>
                <w:highlight w:val="none"/>
              </w:rPr>
            </w:pPr>
            <w:r>
              <w:rPr>
                <w:rFonts w:hint="eastAsia" w:ascii="宋体" w:hAnsi="宋体" w:cs="Arial"/>
                <w:bCs/>
                <w:color w:val="auto"/>
                <w:sz w:val="21"/>
                <w:szCs w:val="21"/>
                <w:highlight w:val="none"/>
              </w:rPr>
              <w:t>㎡</w:t>
            </w:r>
          </w:p>
        </w:tc>
        <w:tc>
          <w:tcPr>
            <w:tcW w:w="1296" w:type="dxa"/>
            <w:tcBorders>
              <w:top w:val="nil"/>
              <w:left w:val="nil"/>
              <w:bottom w:val="single" w:color="auto" w:sz="4" w:space="0"/>
              <w:right w:val="single" w:color="auto" w:sz="4" w:space="0"/>
            </w:tcBorders>
            <w:noWrap/>
            <w:vAlign w:val="center"/>
          </w:tcPr>
          <w:p>
            <w:pPr>
              <w:spacing w:line="300" w:lineRule="exact"/>
              <w:jc w:val="center"/>
              <w:rPr>
                <w:rFonts w:ascii="宋体" w:hAnsi="宋体" w:cs="宋体"/>
                <w:color w:val="auto"/>
                <w:sz w:val="21"/>
                <w:szCs w:val="21"/>
                <w:highlight w:val="none"/>
              </w:rPr>
            </w:pPr>
            <w:r>
              <w:rPr>
                <w:rFonts w:hint="eastAsia" w:ascii="宋体" w:hAnsi="宋体" w:cs="宋体"/>
                <w:color w:val="auto"/>
                <w:sz w:val="21"/>
                <w:szCs w:val="21"/>
                <w:highlight w:val="none"/>
              </w:rPr>
              <w:t>366055</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olor w:val="auto"/>
                <w:sz w:val="21"/>
                <w:szCs w:val="21"/>
                <w:highlight w:val="none"/>
              </w:rPr>
            </w:pPr>
          </w:p>
        </w:tc>
        <w:tc>
          <w:tcPr>
            <w:tcW w:w="987" w:type="dxa"/>
            <w:tcBorders>
              <w:top w:val="nil"/>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olor w:val="auto"/>
                <w:sz w:val="21"/>
                <w:szCs w:val="21"/>
                <w:highlight w:val="none"/>
              </w:rPr>
            </w:pPr>
          </w:p>
        </w:tc>
        <w:tc>
          <w:tcPr>
            <w:tcW w:w="1491" w:type="dxa"/>
            <w:tcBorders>
              <w:top w:val="nil"/>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olor w:val="auto"/>
                <w:sz w:val="21"/>
                <w:szCs w:val="21"/>
                <w:highlight w:val="none"/>
              </w:rPr>
            </w:pPr>
          </w:p>
        </w:tc>
        <w:tc>
          <w:tcPr>
            <w:tcW w:w="1417" w:type="dxa"/>
            <w:tcBorders>
              <w:top w:val="nil"/>
              <w:left w:val="single" w:color="auto" w:sz="4" w:space="0"/>
              <w:bottom w:val="single" w:color="auto" w:sz="4" w:space="0"/>
              <w:right w:val="single" w:color="auto" w:sz="8" w:space="0"/>
            </w:tcBorders>
            <w:noWrap/>
            <w:vAlign w:val="center"/>
          </w:tcPr>
          <w:p>
            <w:pPr>
              <w:spacing w:line="300" w:lineRule="exact"/>
              <w:rPr>
                <w:rFonts w:hint="eastAsia" w:ascii="宋体" w:hAnsi="宋体"/>
                <w:color w:val="auto"/>
                <w:sz w:val="21"/>
                <w:szCs w:val="21"/>
                <w:highlight w:val="none"/>
              </w:rPr>
            </w:pPr>
          </w:p>
        </w:tc>
      </w:tr>
      <w:tr>
        <w:tblPrEx>
          <w:tblCellMar>
            <w:top w:w="0" w:type="dxa"/>
            <w:left w:w="108" w:type="dxa"/>
            <w:bottom w:w="0" w:type="dxa"/>
            <w:right w:w="108" w:type="dxa"/>
          </w:tblCellMar>
        </w:tblPrEx>
        <w:trPr>
          <w:trHeight w:val="701" w:hRule="atLeast"/>
        </w:trPr>
        <w:tc>
          <w:tcPr>
            <w:tcW w:w="431" w:type="dxa"/>
            <w:tcBorders>
              <w:top w:val="nil"/>
              <w:left w:val="single" w:color="auto" w:sz="8" w:space="0"/>
              <w:bottom w:val="single" w:color="auto" w:sz="4" w:space="0"/>
              <w:right w:val="single" w:color="auto" w:sz="4" w:space="0"/>
            </w:tcBorders>
            <w:noWrap w:val="0"/>
            <w:vAlign w:val="center"/>
          </w:tcPr>
          <w:p>
            <w:pPr>
              <w:spacing w:line="300" w:lineRule="exact"/>
              <w:jc w:val="center"/>
              <w:rPr>
                <w:rFonts w:hint="eastAsia" w:ascii="宋体" w:hAnsi="宋体"/>
                <w:color w:val="auto"/>
                <w:sz w:val="21"/>
                <w:szCs w:val="21"/>
                <w:highlight w:val="none"/>
              </w:rPr>
            </w:pPr>
            <w:r>
              <w:rPr>
                <w:rFonts w:hint="eastAsia" w:ascii="宋体" w:hAnsi="宋体"/>
                <w:color w:val="auto"/>
                <w:sz w:val="21"/>
                <w:szCs w:val="21"/>
                <w:highlight w:val="none"/>
              </w:rPr>
              <w:t>6</w:t>
            </w:r>
          </w:p>
        </w:tc>
        <w:tc>
          <w:tcPr>
            <w:tcW w:w="1002" w:type="dxa"/>
            <w:tcBorders>
              <w:top w:val="nil"/>
              <w:left w:val="single" w:color="auto" w:sz="8" w:space="0"/>
              <w:bottom w:val="single" w:color="auto" w:sz="4" w:space="0"/>
              <w:right w:val="single" w:color="auto" w:sz="4" w:space="0"/>
            </w:tcBorders>
            <w:noWrap/>
            <w:vAlign w:val="center"/>
          </w:tcPr>
          <w:p>
            <w:pPr>
              <w:spacing w:line="300" w:lineRule="exact"/>
              <w:jc w:val="center"/>
              <w:rPr>
                <w:rFonts w:hint="eastAsia" w:ascii="宋体" w:hAnsi="宋体"/>
                <w:color w:val="auto"/>
                <w:sz w:val="21"/>
                <w:szCs w:val="21"/>
                <w:highlight w:val="none"/>
              </w:rPr>
            </w:pPr>
            <w:r>
              <w:rPr>
                <w:rFonts w:hint="eastAsia" w:ascii="宋体" w:hAnsi="宋体"/>
                <w:color w:val="auto"/>
                <w:sz w:val="21"/>
                <w:szCs w:val="21"/>
                <w:highlight w:val="none"/>
              </w:rPr>
              <w:t>村居背街小巷</w:t>
            </w:r>
          </w:p>
        </w:tc>
        <w:tc>
          <w:tcPr>
            <w:tcW w:w="850" w:type="dxa"/>
            <w:tcBorders>
              <w:top w:val="nil"/>
              <w:left w:val="single" w:color="auto" w:sz="4" w:space="0"/>
              <w:bottom w:val="single" w:color="auto" w:sz="4" w:space="0"/>
              <w:right w:val="single" w:color="auto" w:sz="4" w:space="0"/>
            </w:tcBorders>
            <w:noWrap w:val="0"/>
            <w:vAlign w:val="center"/>
          </w:tcPr>
          <w:p>
            <w:pPr>
              <w:spacing w:line="300" w:lineRule="exact"/>
              <w:jc w:val="center"/>
              <w:rPr>
                <w:rFonts w:ascii="宋体" w:hAnsi="宋体" w:cs="Arial"/>
                <w:bCs/>
                <w:color w:val="auto"/>
                <w:sz w:val="21"/>
                <w:szCs w:val="21"/>
                <w:highlight w:val="none"/>
              </w:rPr>
            </w:pPr>
            <w:r>
              <w:rPr>
                <w:rFonts w:ascii="宋体" w:hAnsi="宋体" w:cs="Arial"/>
                <w:bCs/>
                <w:color w:val="auto"/>
                <w:sz w:val="21"/>
                <w:szCs w:val="21"/>
                <w:highlight w:val="none"/>
              </w:rPr>
              <w:t>村级道路</w:t>
            </w:r>
          </w:p>
        </w:tc>
        <w:tc>
          <w:tcPr>
            <w:tcW w:w="591" w:type="dxa"/>
            <w:tcBorders>
              <w:top w:val="nil"/>
              <w:left w:val="nil"/>
              <w:bottom w:val="single" w:color="auto" w:sz="4" w:space="0"/>
              <w:right w:val="single" w:color="auto" w:sz="4" w:space="0"/>
            </w:tcBorders>
            <w:noWrap/>
            <w:vAlign w:val="center"/>
          </w:tcPr>
          <w:p>
            <w:pPr>
              <w:spacing w:line="300" w:lineRule="exact"/>
              <w:jc w:val="center"/>
              <w:rPr>
                <w:rFonts w:ascii="宋体" w:hAnsi="宋体"/>
                <w:color w:val="auto"/>
                <w:sz w:val="21"/>
                <w:szCs w:val="21"/>
                <w:highlight w:val="none"/>
              </w:rPr>
            </w:pPr>
            <w:r>
              <w:rPr>
                <w:rFonts w:hint="eastAsia" w:ascii="宋体" w:hAnsi="宋体" w:cs="Arial"/>
                <w:bCs/>
                <w:color w:val="auto"/>
                <w:sz w:val="21"/>
                <w:szCs w:val="21"/>
                <w:highlight w:val="none"/>
              </w:rPr>
              <w:t>㎡</w:t>
            </w:r>
          </w:p>
        </w:tc>
        <w:tc>
          <w:tcPr>
            <w:tcW w:w="1296" w:type="dxa"/>
            <w:tcBorders>
              <w:top w:val="nil"/>
              <w:left w:val="nil"/>
              <w:bottom w:val="single" w:color="auto" w:sz="4" w:space="0"/>
              <w:right w:val="single" w:color="auto" w:sz="4" w:space="0"/>
            </w:tcBorders>
            <w:noWrap/>
            <w:vAlign w:val="center"/>
          </w:tcPr>
          <w:p>
            <w:pPr>
              <w:spacing w:line="300" w:lineRule="exact"/>
              <w:jc w:val="center"/>
              <w:rPr>
                <w:rFonts w:ascii="宋体" w:hAnsi="宋体"/>
                <w:color w:val="auto"/>
                <w:sz w:val="21"/>
                <w:szCs w:val="21"/>
                <w:highlight w:val="none"/>
              </w:rPr>
            </w:pPr>
            <w:r>
              <w:rPr>
                <w:rFonts w:hint="eastAsia" w:ascii="宋体" w:hAnsi="宋体"/>
                <w:color w:val="auto"/>
                <w:sz w:val="21"/>
                <w:szCs w:val="21"/>
                <w:highlight w:val="none"/>
              </w:rPr>
              <w:t>191490.9</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olor w:val="auto"/>
                <w:sz w:val="21"/>
                <w:szCs w:val="21"/>
                <w:highlight w:val="none"/>
              </w:rPr>
            </w:pPr>
          </w:p>
        </w:tc>
        <w:tc>
          <w:tcPr>
            <w:tcW w:w="987" w:type="dxa"/>
            <w:tcBorders>
              <w:top w:val="nil"/>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olor w:val="auto"/>
                <w:sz w:val="21"/>
                <w:szCs w:val="21"/>
                <w:highlight w:val="none"/>
              </w:rPr>
            </w:pPr>
          </w:p>
        </w:tc>
        <w:tc>
          <w:tcPr>
            <w:tcW w:w="1491" w:type="dxa"/>
            <w:tcBorders>
              <w:top w:val="nil"/>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olor w:val="auto"/>
                <w:sz w:val="21"/>
                <w:szCs w:val="21"/>
                <w:highlight w:val="none"/>
              </w:rPr>
            </w:pPr>
          </w:p>
        </w:tc>
        <w:tc>
          <w:tcPr>
            <w:tcW w:w="1417" w:type="dxa"/>
            <w:tcBorders>
              <w:top w:val="nil"/>
              <w:left w:val="single" w:color="auto" w:sz="4" w:space="0"/>
              <w:bottom w:val="single" w:color="auto" w:sz="4" w:space="0"/>
              <w:right w:val="single" w:color="auto" w:sz="8" w:space="0"/>
            </w:tcBorders>
            <w:noWrap/>
            <w:vAlign w:val="center"/>
          </w:tcPr>
          <w:p>
            <w:pPr>
              <w:spacing w:line="300" w:lineRule="exact"/>
              <w:rPr>
                <w:rFonts w:hint="eastAsia" w:ascii="宋体" w:hAnsi="宋体"/>
                <w:color w:val="auto"/>
                <w:sz w:val="21"/>
                <w:szCs w:val="21"/>
                <w:highlight w:val="none"/>
              </w:rPr>
            </w:pPr>
          </w:p>
        </w:tc>
      </w:tr>
      <w:tr>
        <w:tblPrEx>
          <w:tblCellMar>
            <w:top w:w="0" w:type="dxa"/>
            <w:left w:w="108" w:type="dxa"/>
            <w:bottom w:w="0" w:type="dxa"/>
            <w:right w:w="108" w:type="dxa"/>
          </w:tblCellMar>
        </w:tblPrEx>
        <w:trPr>
          <w:trHeight w:val="701" w:hRule="atLeast"/>
        </w:trPr>
        <w:tc>
          <w:tcPr>
            <w:tcW w:w="431" w:type="dxa"/>
            <w:tcBorders>
              <w:top w:val="nil"/>
              <w:left w:val="single" w:color="auto" w:sz="8" w:space="0"/>
              <w:bottom w:val="single" w:color="auto" w:sz="4" w:space="0"/>
              <w:right w:val="single" w:color="auto" w:sz="4" w:space="0"/>
            </w:tcBorders>
            <w:noWrap w:val="0"/>
            <w:vAlign w:val="center"/>
          </w:tcPr>
          <w:p>
            <w:pPr>
              <w:spacing w:line="300" w:lineRule="exact"/>
              <w:jc w:val="center"/>
              <w:rPr>
                <w:rFonts w:hint="eastAsia" w:ascii="宋体" w:hAnsi="宋体"/>
                <w:color w:val="auto"/>
                <w:sz w:val="21"/>
                <w:szCs w:val="21"/>
                <w:highlight w:val="none"/>
              </w:rPr>
            </w:pPr>
            <w:r>
              <w:rPr>
                <w:rFonts w:hint="eastAsia" w:ascii="宋体" w:hAnsi="宋体"/>
                <w:color w:val="auto"/>
                <w:sz w:val="21"/>
                <w:szCs w:val="21"/>
                <w:highlight w:val="none"/>
              </w:rPr>
              <w:t>7</w:t>
            </w:r>
          </w:p>
        </w:tc>
        <w:tc>
          <w:tcPr>
            <w:tcW w:w="1852" w:type="dxa"/>
            <w:gridSpan w:val="2"/>
            <w:tcBorders>
              <w:top w:val="nil"/>
              <w:left w:val="single" w:color="auto" w:sz="8" w:space="0"/>
              <w:bottom w:val="single" w:color="auto" w:sz="4" w:space="0"/>
              <w:right w:val="single" w:color="auto" w:sz="4" w:space="0"/>
            </w:tcBorders>
            <w:noWrap/>
            <w:vAlign w:val="center"/>
          </w:tcPr>
          <w:p>
            <w:pPr>
              <w:spacing w:line="300" w:lineRule="exact"/>
              <w:jc w:val="center"/>
              <w:rPr>
                <w:rFonts w:ascii="宋体" w:hAnsi="宋体" w:cs="宋体"/>
                <w:color w:val="auto"/>
                <w:sz w:val="21"/>
                <w:szCs w:val="21"/>
                <w:highlight w:val="none"/>
              </w:rPr>
            </w:pPr>
            <w:r>
              <w:rPr>
                <w:rFonts w:hint="eastAsia" w:ascii="宋体" w:hAnsi="宋体"/>
                <w:color w:val="auto"/>
                <w:sz w:val="21"/>
                <w:szCs w:val="21"/>
                <w:highlight w:val="none"/>
              </w:rPr>
              <w:t>河道</w:t>
            </w:r>
          </w:p>
        </w:tc>
        <w:tc>
          <w:tcPr>
            <w:tcW w:w="591" w:type="dxa"/>
            <w:tcBorders>
              <w:top w:val="nil"/>
              <w:left w:val="nil"/>
              <w:bottom w:val="single" w:color="auto" w:sz="4" w:space="0"/>
              <w:right w:val="single" w:color="auto" w:sz="4" w:space="0"/>
            </w:tcBorders>
            <w:noWrap/>
            <w:vAlign w:val="center"/>
          </w:tcPr>
          <w:p>
            <w:pPr>
              <w:spacing w:line="300" w:lineRule="exact"/>
              <w:jc w:val="center"/>
              <w:rPr>
                <w:rFonts w:ascii="宋体" w:hAnsi="宋体" w:cs="宋体"/>
                <w:color w:val="auto"/>
                <w:sz w:val="21"/>
                <w:szCs w:val="21"/>
                <w:highlight w:val="none"/>
              </w:rPr>
            </w:pPr>
            <w:r>
              <w:rPr>
                <w:rFonts w:hint="eastAsia" w:ascii="宋体" w:hAnsi="宋体" w:cs="Arial"/>
                <w:bCs/>
                <w:color w:val="auto"/>
                <w:sz w:val="21"/>
                <w:szCs w:val="21"/>
                <w:highlight w:val="none"/>
              </w:rPr>
              <w:t>㎡</w:t>
            </w:r>
          </w:p>
        </w:tc>
        <w:tc>
          <w:tcPr>
            <w:tcW w:w="1296"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412855.02</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olor w:val="auto"/>
                <w:sz w:val="21"/>
                <w:szCs w:val="21"/>
                <w:highlight w:val="none"/>
              </w:rPr>
            </w:pPr>
          </w:p>
        </w:tc>
        <w:tc>
          <w:tcPr>
            <w:tcW w:w="987" w:type="dxa"/>
            <w:tcBorders>
              <w:top w:val="nil"/>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olor w:val="auto"/>
                <w:sz w:val="21"/>
                <w:szCs w:val="21"/>
                <w:highlight w:val="none"/>
              </w:rPr>
            </w:pPr>
          </w:p>
        </w:tc>
        <w:tc>
          <w:tcPr>
            <w:tcW w:w="1491" w:type="dxa"/>
            <w:tcBorders>
              <w:top w:val="nil"/>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olor w:val="auto"/>
                <w:sz w:val="21"/>
                <w:szCs w:val="21"/>
                <w:highlight w:val="none"/>
              </w:rPr>
            </w:pPr>
          </w:p>
        </w:tc>
        <w:tc>
          <w:tcPr>
            <w:tcW w:w="1417" w:type="dxa"/>
            <w:tcBorders>
              <w:top w:val="nil"/>
              <w:left w:val="single" w:color="auto" w:sz="4" w:space="0"/>
              <w:bottom w:val="single" w:color="auto" w:sz="4" w:space="0"/>
              <w:right w:val="single" w:color="auto" w:sz="8" w:space="0"/>
            </w:tcBorders>
            <w:noWrap/>
            <w:vAlign w:val="center"/>
          </w:tcPr>
          <w:p>
            <w:pPr>
              <w:spacing w:line="300" w:lineRule="exact"/>
              <w:jc w:val="center"/>
              <w:rPr>
                <w:rFonts w:ascii="宋体" w:hAnsi="宋体" w:cs="宋体"/>
                <w:color w:val="auto"/>
                <w:sz w:val="21"/>
                <w:szCs w:val="21"/>
                <w:highlight w:val="none"/>
              </w:rPr>
            </w:pPr>
            <w:r>
              <w:rPr>
                <w:rFonts w:hint="eastAsia" w:ascii="宋体" w:hAnsi="宋体"/>
                <w:color w:val="auto"/>
                <w:sz w:val="21"/>
                <w:szCs w:val="21"/>
                <w:highlight w:val="none"/>
              </w:rPr>
              <w:t>总面积</w:t>
            </w:r>
            <w:r>
              <w:rPr>
                <w:rFonts w:hint="eastAsia" w:ascii="宋体" w:hAnsi="宋体" w:cs="宋体"/>
                <w:color w:val="auto"/>
                <w:sz w:val="21"/>
                <w:szCs w:val="21"/>
                <w:highlight w:val="none"/>
              </w:rPr>
              <w:t>1150350</w:t>
            </w:r>
            <w:r>
              <w:rPr>
                <w:rFonts w:hint="eastAsia" w:ascii="宋体" w:hAnsi="宋体" w:cs="Arial"/>
                <w:bCs/>
                <w:color w:val="auto"/>
                <w:sz w:val="21"/>
                <w:szCs w:val="21"/>
                <w:highlight w:val="none"/>
              </w:rPr>
              <w:t>㎡</w:t>
            </w:r>
            <w:r>
              <w:rPr>
                <w:rFonts w:hint="eastAsia" w:ascii="宋体" w:hAnsi="宋体" w:cs="宋体"/>
                <w:color w:val="auto"/>
                <w:sz w:val="21"/>
                <w:szCs w:val="21"/>
                <w:highlight w:val="none"/>
              </w:rPr>
              <w:t>（计费面积：412855.02</w:t>
            </w:r>
            <w:r>
              <w:rPr>
                <w:rFonts w:hint="eastAsia" w:ascii="宋体" w:hAnsi="宋体" w:cs="Arial"/>
                <w:bCs/>
                <w:color w:val="auto"/>
                <w:sz w:val="21"/>
                <w:szCs w:val="21"/>
                <w:highlight w:val="none"/>
              </w:rPr>
              <w:t>㎡</w:t>
            </w:r>
            <w:r>
              <w:rPr>
                <w:rFonts w:hint="eastAsia" w:ascii="宋体" w:hAnsi="宋体" w:cs="宋体"/>
                <w:color w:val="auto"/>
                <w:sz w:val="21"/>
                <w:szCs w:val="21"/>
                <w:highlight w:val="none"/>
              </w:rPr>
              <w:t>）</w:t>
            </w:r>
          </w:p>
        </w:tc>
      </w:tr>
      <w:tr>
        <w:tblPrEx>
          <w:tblCellMar>
            <w:top w:w="0" w:type="dxa"/>
            <w:left w:w="108" w:type="dxa"/>
            <w:bottom w:w="0" w:type="dxa"/>
            <w:right w:w="108" w:type="dxa"/>
          </w:tblCellMar>
        </w:tblPrEx>
        <w:trPr>
          <w:trHeight w:val="462" w:hRule="atLeast"/>
        </w:trPr>
        <w:tc>
          <w:tcPr>
            <w:tcW w:w="431" w:type="dxa"/>
            <w:tcBorders>
              <w:top w:val="nil"/>
              <w:left w:val="single" w:color="auto" w:sz="8" w:space="0"/>
              <w:bottom w:val="single" w:color="auto" w:sz="4" w:space="0"/>
              <w:right w:val="single" w:color="auto" w:sz="4" w:space="0"/>
            </w:tcBorders>
            <w:noWrap w:val="0"/>
            <w:vAlign w:val="center"/>
          </w:tcPr>
          <w:p>
            <w:pPr>
              <w:spacing w:line="300" w:lineRule="exact"/>
              <w:jc w:val="center"/>
              <w:rPr>
                <w:rFonts w:hint="eastAsia" w:ascii="宋体" w:hAnsi="宋体"/>
                <w:color w:val="auto"/>
                <w:sz w:val="21"/>
                <w:szCs w:val="21"/>
                <w:highlight w:val="none"/>
              </w:rPr>
            </w:pPr>
            <w:r>
              <w:rPr>
                <w:rFonts w:hint="eastAsia" w:ascii="宋体" w:hAnsi="宋体"/>
                <w:color w:val="auto"/>
                <w:sz w:val="21"/>
                <w:szCs w:val="21"/>
                <w:highlight w:val="none"/>
              </w:rPr>
              <w:t>8</w:t>
            </w:r>
          </w:p>
        </w:tc>
        <w:tc>
          <w:tcPr>
            <w:tcW w:w="1852" w:type="dxa"/>
            <w:gridSpan w:val="2"/>
            <w:tcBorders>
              <w:top w:val="nil"/>
              <w:left w:val="single" w:color="auto" w:sz="8" w:space="0"/>
              <w:bottom w:val="single" w:color="auto" w:sz="4" w:space="0"/>
              <w:right w:val="single" w:color="auto" w:sz="4" w:space="0"/>
            </w:tcBorders>
            <w:noWrap/>
            <w:vAlign w:val="center"/>
          </w:tcPr>
          <w:p>
            <w:pPr>
              <w:spacing w:line="300" w:lineRule="exact"/>
              <w:jc w:val="center"/>
              <w:rPr>
                <w:rFonts w:ascii="宋体" w:hAnsi="宋体" w:cs="宋体"/>
                <w:color w:val="auto"/>
                <w:sz w:val="21"/>
                <w:szCs w:val="21"/>
                <w:highlight w:val="none"/>
              </w:rPr>
            </w:pPr>
            <w:r>
              <w:rPr>
                <w:rFonts w:hint="eastAsia" w:ascii="宋体" w:hAnsi="宋体"/>
                <w:color w:val="auto"/>
                <w:sz w:val="21"/>
                <w:szCs w:val="21"/>
                <w:highlight w:val="none"/>
              </w:rPr>
              <w:t>一级公厕</w:t>
            </w:r>
          </w:p>
        </w:tc>
        <w:tc>
          <w:tcPr>
            <w:tcW w:w="591" w:type="dxa"/>
            <w:tcBorders>
              <w:top w:val="nil"/>
              <w:left w:val="nil"/>
              <w:bottom w:val="single" w:color="auto" w:sz="4" w:space="0"/>
              <w:right w:val="single" w:color="auto" w:sz="4" w:space="0"/>
            </w:tcBorders>
            <w:noWrap/>
            <w:vAlign w:val="center"/>
          </w:tcPr>
          <w:p>
            <w:pPr>
              <w:spacing w:line="300" w:lineRule="exact"/>
              <w:jc w:val="center"/>
              <w:rPr>
                <w:rFonts w:ascii="宋体" w:hAnsi="宋体"/>
                <w:color w:val="auto"/>
                <w:sz w:val="21"/>
                <w:szCs w:val="21"/>
                <w:highlight w:val="none"/>
              </w:rPr>
            </w:pPr>
            <w:r>
              <w:rPr>
                <w:rFonts w:ascii="宋体" w:hAnsi="宋体" w:cs="Arial"/>
                <w:bCs/>
                <w:color w:val="auto"/>
                <w:sz w:val="21"/>
                <w:szCs w:val="21"/>
                <w:highlight w:val="none"/>
              </w:rPr>
              <w:t>座</w:t>
            </w:r>
          </w:p>
        </w:tc>
        <w:tc>
          <w:tcPr>
            <w:tcW w:w="1296" w:type="dxa"/>
            <w:tcBorders>
              <w:top w:val="nil"/>
              <w:left w:val="nil"/>
              <w:bottom w:val="single" w:color="auto" w:sz="4" w:space="0"/>
              <w:right w:val="single" w:color="auto" w:sz="4" w:space="0"/>
            </w:tcBorders>
            <w:noWrap/>
            <w:vAlign w:val="center"/>
          </w:tcPr>
          <w:p>
            <w:pPr>
              <w:spacing w:line="300" w:lineRule="exact"/>
              <w:jc w:val="center"/>
              <w:rPr>
                <w:rFonts w:hint="eastAsia" w:ascii="宋体" w:hAnsi="宋体"/>
                <w:color w:val="auto"/>
                <w:sz w:val="21"/>
                <w:szCs w:val="21"/>
                <w:highlight w:val="none"/>
              </w:rPr>
            </w:pPr>
            <w:r>
              <w:rPr>
                <w:rFonts w:hint="eastAsia" w:ascii="宋体" w:hAnsi="宋体"/>
                <w:color w:val="auto"/>
                <w:sz w:val="21"/>
                <w:szCs w:val="21"/>
                <w:highlight w:val="none"/>
              </w:rPr>
              <w:t>1</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olor w:val="auto"/>
                <w:sz w:val="21"/>
                <w:szCs w:val="21"/>
                <w:highlight w:val="none"/>
              </w:rPr>
            </w:pPr>
          </w:p>
        </w:tc>
        <w:tc>
          <w:tcPr>
            <w:tcW w:w="987" w:type="dxa"/>
            <w:tcBorders>
              <w:top w:val="nil"/>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olor w:val="auto"/>
                <w:sz w:val="21"/>
                <w:szCs w:val="21"/>
                <w:highlight w:val="none"/>
              </w:rPr>
            </w:pPr>
          </w:p>
        </w:tc>
        <w:tc>
          <w:tcPr>
            <w:tcW w:w="1491" w:type="dxa"/>
            <w:tcBorders>
              <w:top w:val="nil"/>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olor w:val="auto"/>
                <w:sz w:val="21"/>
                <w:szCs w:val="21"/>
                <w:highlight w:val="none"/>
              </w:rPr>
            </w:pPr>
          </w:p>
        </w:tc>
        <w:tc>
          <w:tcPr>
            <w:tcW w:w="1417" w:type="dxa"/>
            <w:tcBorders>
              <w:top w:val="nil"/>
              <w:left w:val="single" w:color="auto" w:sz="4" w:space="0"/>
              <w:bottom w:val="single" w:color="auto" w:sz="4" w:space="0"/>
              <w:right w:val="single" w:color="auto" w:sz="8" w:space="0"/>
            </w:tcBorders>
            <w:noWrap/>
            <w:vAlign w:val="center"/>
          </w:tcPr>
          <w:p>
            <w:pPr>
              <w:spacing w:line="300" w:lineRule="exact"/>
              <w:rPr>
                <w:rFonts w:ascii="宋体" w:hAnsi="宋体" w:cs="宋体"/>
                <w:color w:val="auto"/>
                <w:sz w:val="21"/>
                <w:szCs w:val="21"/>
                <w:highlight w:val="none"/>
              </w:rPr>
            </w:pPr>
            <w:r>
              <w:rPr>
                <w:rFonts w:hint="eastAsia" w:ascii="宋体" w:hAnsi="宋体"/>
                <w:color w:val="auto"/>
                <w:sz w:val="21"/>
                <w:szCs w:val="21"/>
                <w:highlight w:val="none"/>
              </w:rPr>
              <w:t>　</w:t>
            </w:r>
          </w:p>
        </w:tc>
      </w:tr>
      <w:tr>
        <w:tblPrEx>
          <w:tblCellMar>
            <w:top w:w="0" w:type="dxa"/>
            <w:left w:w="108" w:type="dxa"/>
            <w:bottom w:w="0" w:type="dxa"/>
            <w:right w:w="108" w:type="dxa"/>
          </w:tblCellMar>
        </w:tblPrEx>
        <w:trPr>
          <w:trHeight w:val="412" w:hRule="atLeast"/>
        </w:trPr>
        <w:tc>
          <w:tcPr>
            <w:tcW w:w="431" w:type="dxa"/>
            <w:tcBorders>
              <w:top w:val="nil"/>
              <w:left w:val="single" w:color="auto" w:sz="8" w:space="0"/>
              <w:bottom w:val="single" w:color="auto" w:sz="4" w:space="0"/>
              <w:right w:val="single" w:color="auto" w:sz="4" w:space="0"/>
            </w:tcBorders>
            <w:noWrap w:val="0"/>
            <w:vAlign w:val="center"/>
          </w:tcPr>
          <w:p>
            <w:pPr>
              <w:spacing w:line="300" w:lineRule="exact"/>
              <w:jc w:val="center"/>
              <w:rPr>
                <w:rFonts w:hint="eastAsia" w:ascii="宋体" w:hAnsi="宋体"/>
                <w:color w:val="auto"/>
                <w:sz w:val="21"/>
                <w:szCs w:val="21"/>
                <w:highlight w:val="none"/>
              </w:rPr>
            </w:pPr>
            <w:r>
              <w:rPr>
                <w:rFonts w:hint="eastAsia" w:ascii="宋体" w:hAnsi="宋体"/>
                <w:color w:val="auto"/>
                <w:sz w:val="21"/>
                <w:szCs w:val="21"/>
                <w:highlight w:val="none"/>
              </w:rPr>
              <w:t>9</w:t>
            </w:r>
          </w:p>
        </w:tc>
        <w:tc>
          <w:tcPr>
            <w:tcW w:w="1852" w:type="dxa"/>
            <w:gridSpan w:val="2"/>
            <w:tcBorders>
              <w:top w:val="nil"/>
              <w:left w:val="single" w:color="auto" w:sz="8" w:space="0"/>
              <w:bottom w:val="single" w:color="auto" w:sz="4" w:space="0"/>
              <w:right w:val="single" w:color="auto" w:sz="4" w:space="0"/>
            </w:tcBorders>
            <w:noWrap/>
            <w:vAlign w:val="center"/>
          </w:tcPr>
          <w:p>
            <w:pPr>
              <w:spacing w:line="300" w:lineRule="exact"/>
              <w:jc w:val="center"/>
              <w:rPr>
                <w:rFonts w:ascii="宋体" w:hAnsi="宋体" w:cs="宋体"/>
                <w:color w:val="auto"/>
                <w:sz w:val="21"/>
                <w:szCs w:val="21"/>
                <w:highlight w:val="none"/>
              </w:rPr>
            </w:pPr>
            <w:r>
              <w:rPr>
                <w:rFonts w:hint="eastAsia" w:ascii="宋体" w:hAnsi="宋体"/>
                <w:color w:val="auto"/>
                <w:sz w:val="21"/>
                <w:szCs w:val="21"/>
                <w:highlight w:val="none"/>
              </w:rPr>
              <w:t>二级公厕</w:t>
            </w:r>
          </w:p>
        </w:tc>
        <w:tc>
          <w:tcPr>
            <w:tcW w:w="591" w:type="dxa"/>
            <w:tcBorders>
              <w:top w:val="nil"/>
              <w:left w:val="nil"/>
              <w:bottom w:val="single" w:color="auto" w:sz="4" w:space="0"/>
              <w:right w:val="single" w:color="auto" w:sz="4" w:space="0"/>
            </w:tcBorders>
            <w:noWrap/>
            <w:vAlign w:val="center"/>
          </w:tcPr>
          <w:p>
            <w:pPr>
              <w:spacing w:line="300" w:lineRule="exact"/>
              <w:jc w:val="center"/>
              <w:rPr>
                <w:rFonts w:ascii="宋体" w:hAnsi="宋体"/>
                <w:color w:val="auto"/>
                <w:sz w:val="21"/>
                <w:szCs w:val="21"/>
                <w:highlight w:val="none"/>
              </w:rPr>
            </w:pPr>
            <w:r>
              <w:rPr>
                <w:rFonts w:ascii="宋体" w:hAnsi="宋体" w:cs="Arial"/>
                <w:bCs/>
                <w:color w:val="auto"/>
                <w:sz w:val="21"/>
                <w:szCs w:val="21"/>
                <w:highlight w:val="none"/>
              </w:rPr>
              <w:t>座</w:t>
            </w:r>
          </w:p>
        </w:tc>
        <w:tc>
          <w:tcPr>
            <w:tcW w:w="1296" w:type="dxa"/>
            <w:tcBorders>
              <w:top w:val="nil"/>
              <w:left w:val="nil"/>
              <w:bottom w:val="single" w:color="auto" w:sz="4" w:space="0"/>
              <w:right w:val="single" w:color="auto" w:sz="4" w:space="0"/>
            </w:tcBorders>
            <w:noWrap/>
            <w:vAlign w:val="center"/>
          </w:tcPr>
          <w:p>
            <w:pPr>
              <w:spacing w:line="300" w:lineRule="exact"/>
              <w:jc w:val="center"/>
              <w:rPr>
                <w:rFonts w:hint="eastAsia" w:ascii="宋体" w:hAnsi="宋体"/>
                <w:color w:val="auto"/>
                <w:sz w:val="21"/>
                <w:szCs w:val="21"/>
                <w:highlight w:val="none"/>
              </w:rPr>
            </w:pPr>
            <w:r>
              <w:rPr>
                <w:rFonts w:hint="eastAsia" w:ascii="宋体" w:hAnsi="宋体"/>
                <w:color w:val="auto"/>
                <w:sz w:val="21"/>
                <w:szCs w:val="21"/>
                <w:highlight w:val="none"/>
              </w:rPr>
              <w:t>4</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olor w:val="auto"/>
                <w:sz w:val="21"/>
                <w:szCs w:val="21"/>
                <w:highlight w:val="none"/>
              </w:rPr>
            </w:pPr>
          </w:p>
        </w:tc>
        <w:tc>
          <w:tcPr>
            <w:tcW w:w="987" w:type="dxa"/>
            <w:tcBorders>
              <w:top w:val="nil"/>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olor w:val="auto"/>
                <w:sz w:val="21"/>
                <w:szCs w:val="21"/>
                <w:highlight w:val="none"/>
              </w:rPr>
            </w:pPr>
          </w:p>
        </w:tc>
        <w:tc>
          <w:tcPr>
            <w:tcW w:w="1491" w:type="dxa"/>
            <w:tcBorders>
              <w:top w:val="nil"/>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olor w:val="auto"/>
                <w:sz w:val="21"/>
                <w:szCs w:val="21"/>
                <w:highlight w:val="none"/>
              </w:rPr>
            </w:pPr>
          </w:p>
        </w:tc>
        <w:tc>
          <w:tcPr>
            <w:tcW w:w="1417" w:type="dxa"/>
            <w:tcBorders>
              <w:top w:val="nil"/>
              <w:left w:val="single" w:color="auto" w:sz="4" w:space="0"/>
              <w:bottom w:val="single" w:color="auto" w:sz="4" w:space="0"/>
              <w:right w:val="single" w:color="auto" w:sz="8" w:space="0"/>
            </w:tcBorders>
            <w:noWrap/>
            <w:vAlign w:val="center"/>
          </w:tcPr>
          <w:p>
            <w:pPr>
              <w:spacing w:line="300" w:lineRule="exact"/>
              <w:rPr>
                <w:rFonts w:ascii="宋体" w:hAnsi="宋体" w:cs="宋体"/>
                <w:color w:val="auto"/>
                <w:sz w:val="21"/>
                <w:szCs w:val="21"/>
                <w:highlight w:val="none"/>
              </w:rPr>
            </w:pPr>
            <w:r>
              <w:rPr>
                <w:rFonts w:hint="eastAsia" w:ascii="宋体" w:hAnsi="宋体"/>
                <w:color w:val="auto"/>
                <w:sz w:val="21"/>
                <w:szCs w:val="21"/>
                <w:highlight w:val="none"/>
              </w:rPr>
              <w:t>　</w:t>
            </w:r>
          </w:p>
        </w:tc>
      </w:tr>
      <w:tr>
        <w:tblPrEx>
          <w:tblCellMar>
            <w:top w:w="0" w:type="dxa"/>
            <w:left w:w="108" w:type="dxa"/>
            <w:bottom w:w="0" w:type="dxa"/>
            <w:right w:w="108" w:type="dxa"/>
          </w:tblCellMar>
        </w:tblPrEx>
        <w:trPr>
          <w:trHeight w:val="418" w:hRule="atLeast"/>
        </w:trPr>
        <w:tc>
          <w:tcPr>
            <w:tcW w:w="431" w:type="dxa"/>
            <w:tcBorders>
              <w:top w:val="nil"/>
              <w:left w:val="single" w:color="auto" w:sz="8" w:space="0"/>
              <w:bottom w:val="single" w:color="auto" w:sz="4" w:space="0"/>
              <w:right w:val="single" w:color="auto" w:sz="4" w:space="0"/>
            </w:tcBorders>
            <w:noWrap w:val="0"/>
            <w:vAlign w:val="center"/>
          </w:tcPr>
          <w:p>
            <w:pPr>
              <w:spacing w:line="300" w:lineRule="exact"/>
              <w:jc w:val="center"/>
              <w:rPr>
                <w:rFonts w:hint="eastAsia" w:ascii="宋体" w:hAnsi="宋体"/>
                <w:color w:val="auto"/>
                <w:sz w:val="21"/>
                <w:szCs w:val="21"/>
                <w:highlight w:val="none"/>
              </w:rPr>
            </w:pPr>
            <w:r>
              <w:rPr>
                <w:rFonts w:hint="eastAsia" w:ascii="宋体" w:hAnsi="宋体"/>
                <w:color w:val="auto"/>
                <w:sz w:val="21"/>
                <w:szCs w:val="21"/>
                <w:highlight w:val="none"/>
              </w:rPr>
              <w:t>10</w:t>
            </w:r>
          </w:p>
        </w:tc>
        <w:tc>
          <w:tcPr>
            <w:tcW w:w="1852" w:type="dxa"/>
            <w:gridSpan w:val="2"/>
            <w:tcBorders>
              <w:top w:val="nil"/>
              <w:left w:val="single" w:color="auto" w:sz="8" w:space="0"/>
              <w:bottom w:val="single" w:color="auto" w:sz="4" w:space="0"/>
              <w:right w:val="single" w:color="auto" w:sz="4" w:space="0"/>
            </w:tcBorders>
            <w:noWrap/>
            <w:vAlign w:val="center"/>
          </w:tcPr>
          <w:p>
            <w:pPr>
              <w:spacing w:line="300" w:lineRule="exact"/>
              <w:jc w:val="center"/>
              <w:rPr>
                <w:rFonts w:ascii="宋体" w:hAnsi="宋体" w:cs="宋体"/>
                <w:color w:val="auto"/>
                <w:sz w:val="21"/>
                <w:szCs w:val="21"/>
                <w:highlight w:val="none"/>
              </w:rPr>
            </w:pPr>
            <w:r>
              <w:rPr>
                <w:rFonts w:hint="eastAsia" w:ascii="宋体" w:hAnsi="宋体"/>
                <w:color w:val="auto"/>
                <w:sz w:val="21"/>
                <w:szCs w:val="21"/>
                <w:highlight w:val="none"/>
              </w:rPr>
              <w:t>三级公厕</w:t>
            </w:r>
          </w:p>
        </w:tc>
        <w:tc>
          <w:tcPr>
            <w:tcW w:w="591" w:type="dxa"/>
            <w:tcBorders>
              <w:top w:val="nil"/>
              <w:left w:val="nil"/>
              <w:bottom w:val="single" w:color="auto" w:sz="4" w:space="0"/>
              <w:right w:val="single" w:color="auto" w:sz="4" w:space="0"/>
            </w:tcBorders>
            <w:noWrap/>
            <w:vAlign w:val="center"/>
          </w:tcPr>
          <w:p>
            <w:pPr>
              <w:spacing w:line="300" w:lineRule="exact"/>
              <w:jc w:val="center"/>
              <w:rPr>
                <w:rFonts w:ascii="宋体" w:hAnsi="宋体"/>
                <w:color w:val="auto"/>
                <w:sz w:val="21"/>
                <w:szCs w:val="21"/>
                <w:highlight w:val="none"/>
              </w:rPr>
            </w:pPr>
            <w:r>
              <w:rPr>
                <w:rFonts w:ascii="宋体" w:hAnsi="宋体" w:cs="Arial"/>
                <w:bCs/>
                <w:color w:val="auto"/>
                <w:sz w:val="21"/>
                <w:szCs w:val="21"/>
                <w:highlight w:val="none"/>
              </w:rPr>
              <w:t>座</w:t>
            </w:r>
          </w:p>
        </w:tc>
        <w:tc>
          <w:tcPr>
            <w:tcW w:w="1296" w:type="dxa"/>
            <w:tcBorders>
              <w:top w:val="nil"/>
              <w:left w:val="nil"/>
              <w:bottom w:val="single" w:color="auto" w:sz="4" w:space="0"/>
              <w:right w:val="single" w:color="auto" w:sz="4" w:space="0"/>
            </w:tcBorders>
            <w:noWrap/>
            <w:vAlign w:val="center"/>
          </w:tcPr>
          <w:p>
            <w:pPr>
              <w:spacing w:line="300" w:lineRule="exact"/>
              <w:jc w:val="center"/>
              <w:rPr>
                <w:rFonts w:hint="eastAsia" w:ascii="宋体" w:hAnsi="宋体"/>
                <w:color w:val="auto"/>
                <w:sz w:val="21"/>
                <w:szCs w:val="21"/>
                <w:highlight w:val="none"/>
              </w:rPr>
            </w:pPr>
            <w:r>
              <w:rPr>
                <w:rFonts w:hint="eastAsia" w:ascii="宋体" w:hAnsi="宋体"/>
                <w:color w:val="auto"/>
                <w:sz w:val="21"/>
                <w:szCs w:val="21"/>
                <w:highlight w:val="none"/>
              </w:rPr>
              <w:t>6</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olor w:val="auto"/>
                <w:sz w:val="21"/>
                <w:szCs w:val="21"/>
                <w:highlight w:val="none"/>
              </w:rPr>
            </w:pPr>
          </w:p>
        </w:tc>
        <w:tc>
          <w:tcPr>
            <w:tcW w:w="987" w:type="dxa"/>
            <w:tcBorders>
              <w:top w:val="nil"/>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olor w:val="auto"/>
                <w:sz w:val="21"/>
                <w:szCs w:val="21"/>
                <w:highlight w:val="none"/>
              </w:rPr>
            </w:pPr>
          </w:p>
        </w:tc>
        <w:tc>
          <w:tcPr>
            <w:tcW w:w="1491" w:type="dxa"/>
            <w:tcBorders>
              <w:top w:val="nil"/>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olor w:val="auto"/>
                <w:sz w:val="21"/>
                <w:szCs w:val="21"/>
                <w:highlight w:val="none"/>
              </w:rPr>
            </w:pPr>
          </w:p>
        </w:tc>
        <w:tc>
          <w:tcPr>
            <w:tcW w:w="1417" w:type="dxa"/>
            <w:tcBorders>
              <w:top w:val="nil"/>
              <w:left w:val="single" w:color="auto" w:sz="4" w:space="0"/>
              <w:bottom w:val="single" w:color="auto" w:sz="4" w:space="0"/>
              <w:right w:val="single" w:color="auto" w:sz="8" w:space="0"/>
            </w:tcBorders>
            <w:noWrap/>
            <w:vAlign w:val="center"/>
          </w:tcPr>
          <w:p>
            <w:pPr>
              <w:spacing w:line="300" w:lineRule="exact"/>
              <w:rPr>
                <w:rFonts w:ascii="宋体" w:hAnsi="宋体" w:cs="宋体"/>
                <w:color w:val="auto"/>
                <w:sz w:val="21"/>
                <w:szCs w:val="21"/>
                <w:highlight w:val="none"/>
              </w:rPr>
            </w:pPr>
            <w:r>
              <w:rPr>
                <w:rFonts w:hint="eastAsia" w:ascii="宋体" w:hAnsi="宋体"/>
                <w:color w:val="auto"/>
                <w:sz w:val="21"/>
                <w:szCs w:val="21"/>
                <w:highlight w:val="none"/>
              </w:rPr>
              <w:t>　</w:t>
            </w:r>
          </w:p>
        </w:tc>
      </w:tr>
      <w:tr>
        <w:tblPrEx>
          <w:tblCellMar>
            <w:top w:w="0" w:type="dxa"/>
            <w:left w:w="108" w:type="dxa"/>
            <w:bottom w:w="0" w:type="dxa"/>
            <w:right w:w="108" w:type="dxa"/>
          </w:tblCellMar>
        </w:tblPrEx>
        <w:trPr>
          <w:trHeight w:val="411" w:hRule="atLeast"/>
        </w:trPr>
        <w:tc>
          <w:tcPr>
            <w:tcW w:w="431" w:type="dxa"/>
            <w:tcBorders>
              <w:top w:val="nil"/>
              <w:left w:val="single" w:color="auto" w:sz="8" w:space="0"/>
              <w:bottom w:val="single" w:color="auto" w:sz="4" w:space="0"/>
              <w:right w:val="single" w:color="auto" w:sz="4" w:space="0"/>
            </w:tcBorders>
            <w:noWrap w:val="0"/>
            <w:vAlign w:val="center"/>
          </w:tcPr>
          <w:p>
            <w:pPr>
              <w:spacing w:line="300" w:lineRule="exact"/>
              <w:jc w:val="center"/>
              <w:rPr>
                <w:rFonts w:hint="eastAsia" w:ascii="宋体" w:hAnsi="宋体"/>
                <w:color w:val="auto"/>
                <w:sz w:val="21"/>
                <w:szCs w:val="21"/>
                <w:highlight w:val="none"/>
              </w:rPr>
            </w:pPr>
            <w:r>
              <w:rPr>
                <w:rFonts w:hint="eastAsia" w:ascii="宋体" w:hAnsi="宋体"/>
                <w:color w:val="auto"/>
                <w:sz w:val="21"/>
                <w:szCs w:val="21"/>
                <w:highlight w:val="none"/>
              </w:rPr>
              <w:t>11</w:t>
            </w:r>
          </w:p>
        </w:tc>
        <w:tc>
          <w:tcPr>
            <w:tcW w:w="1852" w:type="dxa"/>
            <w:gridSpan w:val="2"/>
            <w:tcBorders>
              <w:top w:val="nil"/>
              <w:left w:val="single" w:color="auto" w:sz="8" w:space="0"/>
              <w:bottom w:val="single" w:color="auto" w:sz="4" w:space="0"/>
              <w:right w:val="single" w:color="auto" w:sz="4" w:space="0"/>
            </w:tcBorders>
            <w:noWrap/>
            <w:vAlign w:val="center"/>
          </w:tcPr>
          <w:p>
            <w:pPr>
              <w:spacing w:line="300" w:lineRule="exact"/>
              <w:jc w:val="center"/>
              <w:rPr>
                <w:rFonts w:hint="eastAsia" w:ascii="宋体" w:hAnsi="宋体"/>
                <w:color w:val="auto"/>
                <w:sz w:val="21"/>
                <w:szCs w:val="21"/>
                <w:highlight w:val="none"/>
              </w:rPr>
            </w:pPr>
            <w:r>
              <w:rPr>
                <w:rFonts w:hint="eastAsia" w:ascii="宋体" w:hAnsi="宋体"/>
                <w:color w:val="auto"/>
                <w:sz w:val="21"/>
                <w:szCs w:val="21"/>
                <w:highlight w:val="none"/>
              </w:rPr>
              <w:t>四级公厕</w:t>
            </w:r>
          </w:p>
        </w:tc>
        <w:tc>
          <w:tcPr>
            <w:tcW w:w="591" w:type="dxa"/>
            <w:tcBorders>
              <w:top w:val="nil"/>
              <w:left w:val="nil"/>
              <w:bottom w:val="single" w:color="auto" w:sz="4" w:space="0"/>
              <w:right w:val="single" w:color="auto" w:sz="4" w:space="0"/>
            </w:tcBorders>
            <w:noWrap/>
            <w:vAlign w:val="center"/>
          </w:tcPr>
          <w:p>
            <w:pPr>
              <w:spacing w:line="300" w:lineRule="exact"/>
              <w:jc w:val="center"/>
              <w:rPr>
                <w:rFonts w:ascii="宋体" w:hAnsi="宋体"/>
                <w:color w:val="auto"/>
                <w:sz w:val="21"/>
                <w:szCs w:val="21"/>
                <w:highlight w:val="none"/>
              </w:rPr>
            </w:pPr>
            <w:r>
              <w:rPr>
                <w:rFonts w:ascii="宋体" w:hAnsi="宋体" w:cs="Arial"/>
                <w:bCs/>
                <w:color w:val="auto"/>
                <w:sz w:val="21"/>
                <w:szCs w:val="21"/>
                <w:highlight w:val="none"/>
              </w:rPr>
              <w:t>座</w:t>
            </w:r>
          </w:p>
        </w:tc>
        <w:tc>
          <w:tcPr>
            <w:tcW w:w="1296" w:type="dxa"/>
            <w:tcBorders>
              <w:top w:val="nil"/>
              <w:left w:val="nil"/>
              <w:bottom w:val="single" w:color="auto" w:sz="4" w:space="0"/>
              <w:right w:val="single" w:color="auto" w:sz="4" w:space="0"/>
            </w:tcBorders>
            <w:noWrap/>
            <w:vAlign w:val="center"/>
          </w:tcPr>
          <w:p>
            <w:pPr>
              <w:spacing w:line="300" w:lineRule="exact"/>
              <w:jc w:val="center"/>
              <w:rPr>
                <w:rFonts w:hint="eastAsia" w:ascii="宋体" w:hAnsi="宋体"/>
                <w:color w:val="auto"/>
                <w:sz w:val="21"/>
                <w:szCs w:val="21"/>
                <w:highlight w:val="none"/>
              </w:rPr>
            </w:pPr>
            <w:r>
              <w:rPr>
                <w:rFonts w:hint="eastAsia" w:ascii="宋体" w:hAnsi="宋体"/>
                <w:color w:val="auto"/>
                <w:sz w:val="21"/>
                <w:szCs w:val="21"/>
                <w:highlight w:val="none"/>
              </w:rPr>
              <w:t>5</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olor w:val="auto"/>
                <w:sz w:val="21"/>
                <w:szCs w:val="21"/>
                <w:highlight w:val="none"/>
              </w:rPr>
            </w:pPr>
          </w:p>
        </w:tc>
        <w:tc>
          <w:tcPr>
            <w:tcW w:w="987" w:type="dxa"/>
            <w:tcBorders>
              <w:top w:val="nil"/>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olor w:val="auto"/>
                <w:sz w:val="21"/>
                <w:szCs w:val="21"/>
                <w:highlight w:val="none"/>
              </w:rPr>
            </w:pPr>
          </w:p>
        </w:tc>
        <w:tc>
          <w:tcPr>
            <w:tcW w:w="1491" w:type="dxa"/>
            <w:tcBorders>
              <w:top w:val="nil"/>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olor w:val="auto"/>
                <w:sz w:val="21"/>
                <w:szCs w:val="21"/>
                <w:highlight w:val="none"/>
              </w:rPr>
            </w:pPr>
          </w:p>
        </w:tc>
        <w:tc>
          <w:tcPr>
            <w:tcW w:w="1417" w:type="dxa"/>
            <w:tcBorders>
              <w:top w:val="nil"/>
              <w:left w:val="single" w:color="auto" w:sz="4" w:space="0"/>
              <w:bottom w:val="single" w:color="auto" w:sz="4" w:space="0"/>
              <w:right w:val="single" w:color="auto" w:sz="8" w:space="0"/>
            </w:tcBorders>
            <w:noWrap/>
            <w:vAlign w:val="center"/>
          </w:tcPr>
          <w:p>
            <w:pPr>
              <w:spacing w:line="300" w:lineRule="exact"/>
              <w:rPr>
                <w:rFonts w:hint="eastAsia" w:ascii="宋体" w:hAnsi="宋体"/>
                <w:color w:val="auto"/>
                <w:sz w:val="21"/>
                <w:szCs w:val="21"/>
                <w:highlight w:val="none"/>
              </w:rPr>
            </w:pPr>
          </w:p>
        </w:tc>
      </w:tr>
      <w:tr>
        <w:tblPrEx>
          <w:tblCellMar>
            <w:top w:w="0" w:type="dxa"/>
            <w:left w:w="108" w:type="dxa"/>
            <w:bottom w:w="0" w:type="dxa"/>
            <w:right w:w="108" w:type="dxa"/>
          </w:tblCellMar>
        </w:tblPrEx>
        <w:trPr>
          <w:trHeight w:val="701" w:hRule="atLeast"/>
        </w:trPr>
        <w:tc>
          <w:tcPr>
            <w:tcW w:w="431" w:type="dxa"/>
            <w:tcBorders>
              <w:top w:val="nil"/>
              <w:left w:val="single" w:color="auto" w:sz="8" w:space="0"/>
              <w:bottom w:val="single" w:color="auto" w:sz="4" w:space="0"/>
              <w:right w:val="single" w:color="auto" w:sz="4" w:space="0"/>
            </w:tcBorders>
            <w:noWrap w:val="0"/>
            <w:vAlign w:val="center"/>
          </w:tcPr>
          <w:p>
            <w:pPr>
              <w:spacing w:line="300" w:lineRule="exact"/>
              <w:jc w:val="center"/>
              <w:rPr>
                <w:rFonts w:hint="eastAsia" w:ascii="宋体" w:hAnsi="宋体" w:eastAsia="宋体"/>
                <w:color w:val="auto"/>
                <w:sz w:val="21"/>
                <w:szCs w:val="21"/>
                <w:highlight w:val="none"/>
                <w:lang w:eastAsia="zh-CN"/>
              </w:rPr>
            </w:pPr>
            <w:r>
              <w:rPr>
                <w:rFonts w:hint="eastAsia" w:ascii="宋体" w:hAnsi="宋体"/>
                <w:color w:val="auto"/>
                <w:sz w:val="21"/>
                <w:szCs w:val="21"/>
                <w:highlight w:val="none"/>
              </w:rPr>
              <w:t>1</w:t>
            </w:r>
            <w:r>
              <w:rPr>
                <w:rFonts w:hint="eastAsia" w:ascii="宋体" w:hAnsi="宋体"/>
                <w:color w:val="auto"/>
                <w:sz w:val="21"/>
                <w:szCs w:val="21"/>
                <w:highlight w:val="none"/>
                <w:lang w:val="en-US" w:eastAsia="zh-CN"/>
              </w:rPr>
              <w:t>2</w:t>
            </w:r>
          </w:p>
        </w:tc>
        <w:tc>
          <w:tcPr>
            <w:tcW w:w="4803" w:type="dxa"/>
            <w:gridSpan w:val="5"/>
            <w:tcBorders>
              <w:top w:val="nil"/>
              <w:left w:val="single" w:color="auto" w:sz="8" w:space="0"/>
              <w:bottom w:val="single" w:color="auto" w:sz="4" w:space="0"/>
              <w:right w:val="single" w:color="auto" w:sz="4" w:space="0"/>
            </w:tcBorders>
            <w:noWrap/>
            <w:vAlign w:val="center"/>
          </w:tcPr>
          <w:p>
            <w:pPr>
              <w:spacing w:line="300" w:lineRule="exact"/>
              <w:jc w:val="center"/>
              <w:rPr>
                <w:rFonts w:hint="eastAsia" w:ascii="宋体" w:hAnsi="宋体"/>
                <w:color w:val="auto"/>
                <w:sz w:val="21"/>
                <w:szCs w:val="21"/>
                <w:highlight w:val="none"/>
              </w:rPr>
            </w:pPr>
            <w:r>
              <w:rPr>
                <w:rFonts w:hint="eastAsia" w:ascii="宋体" w:hAnsi="宋体"/>
                <w:color w:val="auto"/>
                <w:sz w:val="21"/>
                <w:szCs w:val="21"/>
                <w:highlight w:val="none"/>
              </w:rPr>
              <w:t>合计（投标总价）</w:t>
            </w:r>
          </w:p>
        </w:tc>
        <w:tc>
          <w:tcPr>
            <w:tcW w:w="987" w:type="dxa"/>
            <w:tcBorders>
              <w:top w:val="nil"/>
              <w:left w:val="single" w:color="auto" w:sz="4" w:space="0"/>
              <w:bottom w:val="single" w:color="auto" w:sz="4" w:space="0"/>
              <w:right w:val="single" w:color="auto" w:sz="4" w:space="0"/>
            </w:tcBorders>
            <w:noWrap/>
            <w:vAlign w:val="center"/>
          </w:tcPr>
          <w:p>
            <w:pPr>
              <w:spacing w:line="300" w:lineRule="exact"/>
              <w:jc w:val="center"/>
              <w:rPr>
                <w:rFonts w:hint="eastAsia" w:ascii="宋体" w:hAnsi="宋体"/>
                <w:color w:val="auto"/>
                <w:sz w:val="21"/>
                <w:szCs w:val="21"/>
                <w:highlight w:val="none"/>
              </w:rPr>
            </w:pPr>
          </w:p>
        </w:tc>
        <w:tc>
          <w:tcPr>
            <w:tcW w:w="1491" w:type="dxa"/>
            <w:tcBorders>
              <w:top w:val="nil"/>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olor w:val="auto"/>
                <w:sz w:val="21"/>
                <w:szCs w:val="21"/>
                <w:highlight w:val="none"/>
              </w:rPr>
            </w:pPr>
          </w:p>
        </w:tc>
        <w:tc>
          <w:tcPr>
            <w:tcW w:w="1417" w:type="dxa"/>
            <w:tcBorders>
              <w:top w:val="nil"/>
              <w:left w:val="single" w:color="auto" w:sz="4" w:space="0"/>
              <w:bottom w:val="single" w:color="auto" w:sz="4" w:space="0"/>
              <w:right w:val="single" w:color="auto" w:sz="8" w:space="0"/>
            </w:tcBorders>
            <w:noWrap/>
            <w:vAlign w:val="center"/>
          </w:tcPr>
          <w:p>
            <w:pPr>
              <w:spacing w:line="300" w:lineRule="exact"/>
              <w:rPr>
                <w:rFonts w:hint="eastAsia" w:ascii="宋体" w:hAnsi="宋体"/>
                <w:color w:val="auto"/>
                <w:sz w:val="21"/>
                <w:szCs w:val="21"/>
                <w:highlight w:val="none"/>
              </w:rPr>
            </w:pPr>
          </w:p>
        </w:tc>
      </w:tr>
    </w:tbl>
    <w:p>
      <w:pPr>
        <w:tabs>
          <w:tab w:val="left" w:pos="1418"/>
        </w:tabs>
        <w:spacing w:line="276" w:lineRule="auto"/>
        <w:rPr>
          <w:rFonts w:ascii="宋体" w:hAnsi="宋体"/>
          <w:color w:val="auto"/>
          <w:sz w:val="21"/>
          <w:szCs w:val="21"/>
          <w:highlight w:val="none"/>
        </w:rPr>
      </w:pPr>
      <w:r>
        <w:rPr>
          <w:rFonts w:hint="eastAsia" w:ascii="宋体" w:hAnsi="宋体"/>
          <w:bCs/>
          <w:color w:val="auto"/>
          <w:sz w:val="21"/>
          <w:szCs w:val="21"/>
          <w:highlight w:val="none"/>
        </w:rPr>
        <w:t>注：</w:t>
      </w:r>
      <w:r>
        <w:rPr>
          <w:rFonts w:ascii="宋体" w:hAnsi="宋体"/>
          <w:color w:val="auto"/>
          <w:sz w:val="21"/>
          <w:szCs w:val="21"/>
          <w:highlight w:val="none"/>
        </w:rPr>
        <w:t>1.</w:t>
      </w:r>
      <w:r>
        <w:rPr>
          <w:rFonts w:hint="eastAsia" w:ascii="宋体" w:hAnsi="宋体"/>
          <w:color w:val="auto"/>
          <w:sz w:val="21"/>
          <w:szCs w:val="21"/>
          <w:highlight w:val="none"/>
        </w:rPr>
        <w:t>不提供投标报价明细表将视为没有实质性响应招标文件。</w:t>
      </w:r>
    </w:p>
    <w:p>
      <w:pPr>
        <w:tabs>
          <w:tab w:val="left" w:pos="1418"/>
        </w:tabs>
        <w:spacing w:line="276" w:lineRule="auto"/>
        <w:ind w:firstLine="420" w:firstLineChars="200"/>
        <w:rPr>
          <w:rFonts w:ascii="宋体" w:hAnsi="宋体"/>
          <w:color w:val="auto"/>
          <w:sz w:val="21"/>
          <w:szCs w:val="21"/>
          <w:highlight w:val="none"/>
        </w:rPr>
      </w:pPr>
      <w:r>
        <w:rPr>
          <w:rFonts w:ascii="宋体" w:hAnsi="宋体"/>
          <w:color w:val="auto"/>
          <w:sz w:val="21"/>
          <w:szCs w:val="21"/>
          <w:highlight w:val="none"/>
        </w:rPr>
        <w:t>2.</w:t>
      </w:r>
      <w:r>
        <w:rPr>
          <w:rFonts w:hint="eastAsia" w:ascii="宋体" w:hAnsi="宋体"/>
          <w:color w:val="auto"/>
          <w:sz w:val="21"/>
          <w:szCs w:val="21"/>
          <w:highlight w:val="none"/>
        </w:rPr>
        <w:t>此表的</w:t>
      </w:r>
      <w:r>
        <w:rPr>
          <w:rFonts w:hint="eastAsia" w:ascii="宋体" w:hAnsi="宋体" w:cs="黑体"/>
          <w:color w:val="auto"/>
          <w:sz w:val="21"/>
          <w:szCs w:val="21"/>
          <w:highlight w:val="none"/>
        </w:rPr>
        <w:t>投标</w:t>
      </w:r>
      <w:r>
        <w:rPr>
          <w:rFonts w:hint="eastAsia" w:ascii="宋体" w:hAnsi="宋体"/>
          <w:color w:val="auto"/>
          <w:sz w:val="21"/>
          <w:szCs w:val="21"/>
          <w:highlight w:val="none"/>
        </w:rPr>
        <w:t>总价应与附件一“开标一览表” 投标报价相一致。</w:t>
      </w:r>
    </w:p>
    <w:p>
      <w:pPr>
        <w:tabs>
          <w:tab w:val="left" w:pos="1418"/>
        </w:tabs>
        <w:spacing w:line="276"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3.本表可在不改变格式的情况下根据具体需要自行增减，表格可延续。</w:t>
      </w:r>
    </w:p>
    <w:p>
      <w:pPr>
        <w:tabs>
          <w:tab w:val="left" w:pos="1418"/>
        </w:tabs>
        <w:spacing w:line="276"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4.本表所列费用为该分项的全部费用，未列费用（包括，但不限于：垃圾收集与清运、小广告清除、无主建筑垃圾清理、应急抢险作业、及其他费用等费用）均由投标人考虑在相应项目报价中，今后不予单独支付。</w:t>
      </w:r>
    </w:p>
    <w:p>
      <w:pPr>
        <w:tabs>
          <w:tab w:val="left" w:pos="1418"/>
        </w:tabs>
        <w:spacing w:line="276"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5.以上综合单价已包含人工费、机械台班费、水电费、工具材料费、保洁低值易耗品、公厕设施维修、环卫驿站、垃圾清运费（含无主生活垃圾、无主建筑垃圾、无主大件垃圾、无主农田废弃物处置）、安全文明生产装备费（包括工人冬、夏装工作服等）、企业应缴税金和应得利润、应急等完成合同所需的一切本身和不可或缺的所有工作开支、政策性文件规定计合同包含的所有风险、责任等各项全部费用并承担一切风险责任。供应商认为完成本招标文件规定的项目承包内容所发生的直接成本、间接成本、利润、税金、政策性文件规定的费用、设备进出场费等一切费用。</w:t>
      </w:r>
    </w:p>
    <w:p>
      <w:pPr>
        <w:pStyle w:val="23"/>
        <w:spacing w:before="120" w:after="120" w:line="360" w:lineRule="auto"/>
        <w:ind w:left="560" w:leftChars="200"/>
        <w:rPr>
          <w:rFonts w:hAnsi="宋体"/>
          <w:color w:val="auto"/>
          <w:sz w:val="21"/>
          <w:szCs w:val="21"/>
          <w:highlight w:val="none"/>
        </w:rPr>
      </w:pPr>
      <w:r>
        <w:rPr>
          <w:rFonts w:hint="eastAsia" w:hAnsi="宋体"/>
          <w:color w:val="auto"/>
          <w:sz w:val="21"/>
          <w:szCs w:val="21"/>
          <w:highlight w:val="none"/>
        </w:rPr>
        <w:t xml:space="preserve">投标人（盖公章）：                 </w:t>
      </w:r>
    </w:p>
    <w:p>
      <w:pPr>
        <w:pStyle w:val="23"/>
        <w:spacing w:before="120" w:after="120" w:line="360" w:lineRule="auto"/>
        <w:ind w:left="560" w:leftChars="200"/>
        <w:rPr>
          <w:rFonts w:hint="eastAsia" w:hAnsi="宋体"/>
          <w:color w:val="auto"/>
          <w:sz w:val="21"/>
          <w:szCs w:val="21"/>
          <w:highlight w:val="none"/>
        </w:rPr>
      </w:pPr>
      <w:r>
        <w:rPr>
          <w:rFonts w:hint="eastAsia" w:hAnsi="宋体"/>
          <w:color w:val="auto"/>
          <w:sz w:val="21"/>
          <w:szCs w:val="21"/>
          <w:highlight w:val="none"/>
        </w:rPr>
        <w:t xml:space="preserve">投标人法定代表人或授权代表（签字或盖章）：        </w:t>
      </w:r>
    </w:p>
    <w:p>
      <w:pPr>
        <w:spacing w:line="400" w:lineRule="exact"/>
        <w:ind w:firstLine="392" w:firstLineChars="187"/>
        <w:jc w:val="center"/>
        <w:rPr>
          <w:rFonts w:hint="eastAsia" w:ascii="宋体" w:hAnsi="宋体"/>
          <w:color w:val="auto"/>
          <w:highlight w:val="none"/>
        </w:rPr>
      </w:pPr>
      <w:r>
        <w:rPr>
          <w:rFonts w:hint="eastAsia" w:hAnsi="宋体"/>
          <w:color w:val="auto"/>
          <w:sz w:val="21"/>
          <w:szCs w:val="21"/>
          <w:highlight w:val="none"/>
        </w:rPr>
        <w:t>日期：    年  月  日</w:t>
      </w:r>
      <w:r>
        <w:rPr>
          <w:rFonts w:ascii="宋体" w:hAnsi="宋体"/>
          <w:color w:val="auto"/>
          <w:highlight w:val="none"/>
        </w:rPr>
        <w:br w:type="page"/>
      </w:r>
    </w:p>
    <w:p>
      <w:pPr>
        <w:pStyle w:val="6"/>
        <w:spacing w:before="120" w:beforeLines="50" w:after="120" w:afterLines="50" w:line="360" w:lineRule="auto"/>
        <w:jc w:val="center"/>
        <w:rPr>
          <w:rStyle w:val="139"/>
          <w:b/>
          <w:color w:val="auto"/>
          <w:highlight w:val="none"/>
        </w:rPr>
      </w:pPr>
      <w:bookmarkStart w:id="500" w:name="_Toc105438847"/>
      <w:r>
        <w:rPr>
          <w:rStyle w:val="139"/>
          <w:rFonts w:hint="eastAsia" w:eastAsia="黑体"/>
          <w:b/>
          <w:color w:val="auto"/>
          <w:highlight w:val="none"/>
          <w:lang w:eastAsia="zh-CN"/>
        </w:rPr>
        <w:t>国企</w:t>
      </w:r>
      <w:r>
        <w:rPr>
          <w:rStyle w:val="139"/>
          <w:b/>
          <w:color w:val="auto"/>
          <w:highlight w:val="none"/>
        </w:rPr>
        <w:t>采购活动现场确认声明书</w:t>
      </w:r>
      <w:bookmarkEnd w:id="500"/>
    </w:p>
    <w:p>
      <w:pPr>
        <w:pStyle w:val="107"/>
        <w:snapToGrid w:val="0"/>
        <w:spacing w:line="400" w:lineRule="exact"/>
        <w:rPr>
          <w:rFonts w:hAnsi="宋体"/>
          <w:color w:val="auto"/>
          <w:sz w:val="24"/>
          <w:szCs w:val="24"/>
          <w:highlight w:val="none"/>
        </w:rPr>
      </w:pPr>
    </w:p>
    <w:p>
      <w:pPr>
        <w:pStyle w:val="107"/>
        <w:snapToGrid w:val="0"/>
        <w:spacing w:line="380" w:lineRule="exact"/>
        <w:rPr>
          <w:rFonts w:hAnsi="宋体"/>
          <w:b/>
          <w:color w:val="auto"/>
          <w:szCs w:val="21"/>
          <w:highlight w:val="none"/>
        </w:rPr>
      </w:pPr>
      <w:r>
        <w:rPr>
          <w:rFonts w:hint="eastAsia" w:hAnsi="宋体"/>
          <w:color w:val="auto"/>
          <w:szCs w:val="21"/>
          <w:highlight w:val="none"/>
          <w:u w:val="single"/>
          <w:lang w:eastAsia="zh-CN"/>
        </w:rPr>
        <w:t>温州市龙湾区城市管理服务有限公司</w:t>
      </w:r>
      <w:r>
        <w:rPr>
          <w:rFonts w:hAnsi="宋体"/>
          <w:color w:val="auto"/>
          <w:szCs w:val="21"/>
          <w:highlight w:val="none"/>
          <w:u w:val="single"/>
        </w:rPr>
        <w:t>、</w:t>
      </w:r>
      <w:r>
        <w:rPr>
          <w:rFonts w:hint="eastAsia" w:hAnsi="宋体"/>
          <w:color w:val="auto"/>
          <w:szCs w:val="21"/>
          <w:highlight w:val="none"/>
          <w:u w:val="single"/>
        </w:rPr>
        <w:t>温州韩诚工程项目管理有限公司</w:t>
      </w:r>
      <w:r>
        <w:rPr>
          <w:rFonts w:hAnsi="宋体"/>
          <w:color w:val="auto"/>
          <w:szCs w:val="21"/>
          <w:highlight w:val="none"/>
        </w:rPr>
        <w:t xml:space="preserve">： </w:t>
      </w:r>
    </w:p>
    <w:p>
      <w:pPr>
        <w:pStyle w:val="107"/>
        <w:snapToGrid w:val="0"/>
        <w:spacing w:line="380" w:lineRule="exact"/>
        <w:ind w:firstLine="424" w:firstLineChars="200"/>
        <w:rPr>
          <w:rFonts w:hAnsi="宋体"/>
          <w:color w:val="auto"/>
          <w:spacing w:val="6"/>
          <w:szCs w:val="21"/>
          <w:highlight w:val="none"/>
        </w:rPr>
      </w:pPr>
      <w:r>
        <w:rPr>
          <w:rFonts w:hAnsi="宋体"/>
          <w:color w:val="auto"/>
          <w:spacing w:val="6"/>
          <w:szCs w:val="21"/>
          <w:highlight w:val="none"/>
        </w:rPr>
        <w:t>本人经由</w:t>
      </w:r>
      <w:r>
        <w:rPr>
          <w:rFonts w:hAnsi="宋体"/>
          <w:color w:val="auto"/>
          <w:spacing w:val="6"/>
          <w:szCs w:val="21"/>
          <w:highlight w:val="none"/>
          <w:u w:val="single"/>
        </w:rPr>
        <w:t xml:space="preserve">              </w:t>
      </w:r>
      <w:r>
        <w:rPr>
          <w:rFonts w:hAnsi="宋体"/>
          <w:i/>
          <w:color w:val="auto"/>
          <w:spacing w:val="6"/>
          <w:szCs w:val="21"/>
          <w:highlight w:val="none"/>
          <w:u w:val="single"/>
        </w:rPr>
        <w:t>（</w:t>
      </w:r>
      <w:r>
        <w:rPr>
          <w:rFonts w:hAnsi="宋体" w:cs="等线"/>
          <w:i/>
          <w:color w:val="auto"/>
          <w:sz w:val="21"/>
          <w:szCs w:val="21"/>
          <w:highlight w:val="none"/>
          <w:u w:val="single"/>
        </w:rPr>
        <w:t>供应商名称</w:t>
      </w:r>
      <w:r>
        <w:rPr>
          <w:rFonts w:hAnsi="宋体"/>
          <w:i/>
          <w:color w:val="auto"/>
          <w:spacing w:val="6"/>
          <w:szCs w:val="21"/>
          <w:highlight w:val="none"/>
          <w:u w:val="single"/>
        </w:rPr>
        <w:t>）</w:t>
      </w:r>
      <w:r>
        <w:rPr>
          <w:rFonts w:hint="eastAsia" w:hAnsi="宋体"/>
          <w:i/>
          <w:color w:val="auto"/>
          <w:spacing w:val="6"/>
          <w:szCs w:val="21"/>
          <w:highlight w:val="none"/>
          <w:u w:val="single"/>
        </w:rPr>
        <w:t xml:space="preserve">      </w:t>
      </w:r>
      <w:r>
        <w:rPr>
          <w:rFonts w:hAnsi="宋体"/>
          <w:b/>
          <w:color w:val="auto"/>
          <w:spacing w:val="6"/>
          <w:szCs w:val="21"/>
          <w:highlight w:val="none"/>
        </w:rPr>
        <w:t>负责人</w:t>
      </w:r>
      <w:r>
        <w:rPr>
          <w:rFonts w:hAnsi="宋体"/>
          <w:color w:val="auto"/>
          <w:spacing w:val="6"/>
          <w:szCs w:val="21"/>
          <w:highlight w:val="none"/>
          <w:u w:val="single"/>
        </w:rPr>
        <w:t xml:space="preserve">    </w:t>
      </w:r>
      <w:r>
        <w:rPr>
          <w:rFonts w:hAnsi="宋体"/>
          <w:i/>
          <w:color w:val="auto"/>
          <w:spacing w:val="6"/>
          <w:szCs w:val="21"/>
          <w:highlight w:val="none"/>
          <w:u w:val="single"/>
        </w:rPr>
        <w:t>（法定代表人姓名）</w:t>
      </w:r>
      <w:r>
        <w:rPr>
          <w:rFonts w:hint="eastAsia" w:hAnsi="宋体"/>
          <w:i/>
          <w:color w:val="auto"/>
          <w:spacing w:val="6"/>
          <w:szCs w:val="21"/>
          <w:highlight w:val="none"/>
          <w:u w:val="single"/>
        </w:rPr>
        <w:t xml:space="preserve">  </w:t>
      </w:r>
      <w:r>
        <w:rPr>
          <w:rFonts w:hAnsi="宋体"/>
          <w:color w:val="auto"/>
          <w:spacing w:val="6"/>
          <w:szCs w:val="21"/>
          <w:highlight w:val="none"/>
        </w:rPr>
        <w:t>合法授权参加</w:t>
      </w:r>
      <w:r>
        <w:rPr>
          <w:rFonts w:hint="eastAsia" w:hAnsi="宋体"/>
          <w:color w:val="auto"/>
          <w:spacing w:val="6"/>
          <w:szCs w:val="21"/>
          <w:highlight w:val="none"/>
          <w:u w:val="single"/>
        </w:rPr>
        <w:t>龙湾区瑶溪街道环卫保洁一体化项目</w:t>
      </w:r>
      <w:r>
        <w:rPr>
          <w:rFonts w:hAnsi="宋体"/>
          <w:color w:val="auto"/>
          <w:spacing w:val="6"/>
          <w:szCs w:val="21"/>
          <w:highlight w:val="none"/>
        </w:rPr>
        <w:t>项目（编号：</w:t>
      </w:r>
      <w:r>
        <w:rPr>
          <w:rFonts w:hint="eastAsia" w:hAnsi="宋体"/>
          <w:color w:val="auto"/>
          <w:spacing w:val="6"/>
          <w:szCs w:val="21"/>
          <w:highlight w:val="none"/>
          <w:u w:val="single"/>
          <w:lang w:eastAsia="zh-CN"/>
        </w:rPr>
        <w:t>WZHC-20220923</w:t>
      </w:r>
      <w:r>
        <w:rPr>
          <w:rFonts w:hAnsi="宋体"/>
          <w:color w:val="auto"/>
          <w:spacing w:val="6"/>
          <w:szCs w:val="21"/>
          <w:highlight w:val="none"/>
        </w:rPr>
        <w:t>）</w:t>
      </w:r>
      <w:r>
        <w:rPr>
          <w:rFonts w:hint="eastAsia" w:hAnsi="宋体"/>
          <w:color w:val="auto"/>
          <w:spacing w:val="6"/>
          <w:szCs w:val="21"/>
          <w:highlight w:val="none"/>
          <w:lang w:eastAsia="zh-CN"/>
        </w:rPr>
        <w:t>国企</w:t>
      </w:r>
      <w:r>
        <w:rPr>
          <w:rFonts w:hAnsi="宋体"/>
          <w:color w:val="auto"/>
          <w:spacing w:val="6"/>
          <w:szCs w:val="21"/>
          <w:highlight w:val="none"/>
        </w:rPr>
        <w:t xml:space="preserve">采购活动，经与本单位法人代表（负责人）联系确认，现就有关公平竞争事项郑重声明如下： </w:t>
      </w:r>
    </w:p>
    <w:p>
      <w:pPr>
        <w:pStyle w:val="121"/>
        <w:numPr>
          <w:ilvl w:val="0"/>
          <w:numId w:val="17"/>
        </w:numPr>
        <w:suppressAutoHyphens w:val="0"/>
        <w:snapToGrid w:val="0"/>
        <w:spacing w:after="0" w:line="380" w:lineRule="exact"/>
        <w:ind w:firstLine="396" w:firstLineChars="189"/>
        <w:rPr>
          <w:rFonts w:ascii="宋体" w:hAnsi="宋体" w:eastAsia="宋体"/>
          <w:color w:val="auto"/>
          <w:sz w:val="21"/>
          <w:szCs w:val="21"/>
          <w:highlight w:val="none"/>
        </w:rPr>
      </w:pPr>
      <w:r>
        <w:rPr>
          <w:rFonts w:ascii="宋体" w:hAnsi="宋体" w:eastAsia="宋体"/>
          <w:color w:val="auto"/>
          <w:sz w:val="21"/>
          <w:szCs w:val="21"/>
          <w:highlight w:val="none"/>
        </w:rPr>
        <w:t>本单位与采购人之间</w:t>
      </w:r>
      <w:r>
        <w:rPr>
          <w:rFonts w:ascii="宋体" w:hAnsi="宋体" w:eastAsia="宋体"/>
          <w:b/>
          <w:color w:val="auto"/>
          <w:sz w:val="21"/>
          <w:szCs w:val="21"/>
          <w:highlight w:val="none"/>
        </w:rPr>
        <w:t xml:space="preserve"> </w:t>
      </w:r>
      <w:r>
        <w:rPr>
          <w:rFonts w:ascii="宋体" w:hAnsi="宋体" w:eastAsia="宋体" w:cs="等线"/>
          <w:b/>
          <w:color w:val="auto"/>
          <w:sz w:val="21"/>
          <w:szCs w:val="21"/>
          <w:highlight w:val="none"/>
        </w:rPr>
        <w:t>□</w:t>
      </w:r>
      <w:r>
        <w:rPr>
          <w:rFonts w:ascii="宋体" w:hAnsi="宋体" w:eastAsia="宋体"/>
          <w:b/>
          <w:color w:val="auto"/>
          <w:sz w:val="21"/>
          <w:szCs w:val="21"/>
          <w:highlight w:val="none"/>
        </w:rPr>
        <w:t xml:space="preserve">不存在利害关系 </w:t>
      </w:r>
      <w:r>
        <w:rPr>
          <w:rFonts w:hint="eastAsia" w:ascii="宋体" w:hAnsi="宋体" w:eastAsia="宋体"/>
          <w:b/>
          <w:color w:val="auto"/>
          <w:sz w:val="21"/>
          <w:szCs w:val="21"/>
          <w:highlight w:val="none"/>
        </w:rPr>
        <w:t xml:space="preserve">  </w:t>
      </w:r>
      <w:r>
        <w:rPr>
          <w:rFonts w:ascii="宋体" w:hAnsi="宋体" w:eastAsia="宋体" w:cs="等线"/>
          <w:b/>
          <w:color w:val="auto"/>
          <w:sz w:val="21"/>
          <w:szCs w:val="21"/>
          <w:highlight w:val="none"/>
        </w:rPr>
        <w:t>□</w:t>
      </w:r>
      <w:r>
        <w:rPr>
          <w:rFonts w:ascii="宋体" w:hAnsi="宋体" w:eastAsia="宋体"/>
          <w:b/>
          <w:color w:val="auto"/>
          <w:sz w:val="21"/>
          <w:szCs w:val="21"/>
          <w:highlight w:val="none"/>
        </w:rPr>
        <w:t>存在下列利害关系</w:t>
      </w:r>
      <w:r>
        <w:rPr>
          <w:rFonts w:ascii="宋体" w:hAnsi="宋体" w:eastAsia="宋体"/>
          <w:color w:val="auto"/>
          <w:sz w:val="21"/>
          <w:szCs w:val="21"/>
          <w:highlight w:val="none"/>
          <w:u w:val="single"/>
        </w:rPr>
        <w:t xml:space="preserve">              </w:t>
      </w:r>
      <w:r>
        <w:rPr>
          <w:rFonts w:ascii="宋体" w:hAnsi="宋体" w:eastAsia="宋体"/>
          <w:color w:val="auto"/>
          <w:sz w:val="21"/>
          <w:szCs w:val="21"/>
          <w:highlight w:val="none"/>
        </w:rPr>
        <w:t>：</w:t>
      </w:r>
    </w:p>
    <w:p>
      <w:pPr>
        <w:pStyle w:val="121"/>
        <w:snapToGrid w:val="0"/>
        <w:spacing w:after="0" w:line="380" w:lineRule="exact"/>
        <w:ind w:firstLine="424" w:firstLineChars="202"/>
        <w:rPr>
          <w:rFonts w:ascii="宋体" w:hAnsi="宋体" w:eastAsia="宋体"/>
          <w:color w:val="auto"/>
          <w:sz w:val="21"/>
          <w:szCs w:val="21"/>
          <w:highlight w:val="none"/>
        </w:rPr>
      </w:pPr>
      <w:r>
        <w:rPr>
          <w:rFonts w:ascii="宋体" w:hAnsi="宋体" w:eastAsia="宋体"/>
          <w:color w:val="auto"/>
          <w:sz w:val="21"/>
          <w:szCs w:val="21"/>
          <w:highlight w:val="none"/>
        </w:rPr>
        <w:t xml:space="preserve">  A.投资关系    B.行政隶属关系    C.业务指导关系 </w:t>
      </w:r>
    </w:p>
    <w:p>
      <w:pPr>
        <w:pStyle w:val="121"/>
        <w:snapToGrid w:val="0"/>
        <w:spacing w:after="0" w:line="380" w:lineRule="exact"/>
        <w:ind w:firstLine="424" w:firstLineChars="202"/>
        <w:rPr>
          <w:rFonts w:ascii="宋体" w:hAnsi="宋体" w:eastAsia="宋体"/>
          <w:color w:val="auto"/>
          <w:sz w:val="21"/>
          <w:szCs w:val="21"/>
          <w:highlight w:val="none"/>
        </w:rPr>
      </w:pPr>
      <w:r>
        <w:rPr>
          <w:rFonts w:ascii="宋体" w:hAnsi="宋体" w:eastAsia="宋体"/>
          <w:color w:val="auto"/>
          <w:sz w:val="21"/>
          <w:szCs w:val="21"/>
          <w:highlight w:val="none"/>
        </w:rPr>
        <w:t xml:space="preserve">  D.其他可能影响采购公正的利害关系</w:t>
      </w:r>
      <w:r>
        <w:rPr>
          <w:rFonts w:hint="eastAsia" w:ascii="宋体" w:hAnsi="宋体" w:eastAsia="宋体"/>
          <w:color w:val="auto"/>
          <w:sz w:val="21"/>
          <w:szCs w:val="21"/>
          <w:highlight w:val="none"/>
          <w:u w:val="single"/>
        </w:rPr>
        <w:t xml:space="preserve">     </w:t>
      </w:r>
      <w:r>
        <w:rPr>
          <w:rFonts w:ascii="宋体" w:hAnsi="宋体" w:eastAsia="宋体"/>
          <w:i/>
          <w:color w:val="auto"/>
          <w:sz w:val="21"/>
          <w:szCs w:val="21"/>
          <w:highlight w:val="none"/>
          <w:u w:val="single"/>
        </w:rPr>
        <w:t>（如有，请如实说明）</w:t>
      </w:r>
      <w:r>
        <w:rPr>
          <w:rFonts w:ascii="宋体" w:hAnsi="宋体" w:eastAsia="宋体"/>
          <w:color w:val="auto"/>
          <w:sz w:val="21"/>
          <w:szCs w:val="21"/>
          <w:highlight w:val="none"/>
          <w:u w:val="single"/>
        </w:rPr>
        <w:t xml:space="preserve">                 </w:t>
      </w:r>
      <w:r>
        <w:rPr>
          <w:rFonts w:ascii="宋体" w:hAnsi="宋体" w:eastAsia="宋体"/>
          <w:color w:val="auto"/>
          <w:sz w:val="21"/>
          <w:szCs w:val="21"/>
          <w:highlight w:val="none"/>
        </w:rPr>
        <w:t>。</w:t>
      </w:r>
    </w:p>
    <w:p>
      <w:pPr>
        <w:pStyle w:val="121"/>
        <w:snapToGrid w:val="0"/>
        <w:spacing w:after="0" w:line="380" w:lineRule="exact"/>
        <w:ind w:firstLine="424" w:firstLineChars="191"/>
        <w:rPr>
          <w:rFonts w:ascii="宋体" w:hAnsi="宋体" w:eastAsia="宋体"/>
          <w:color w:val="auto"/>
          <w:sz w:val="21"/>
          <w:szCs w:val="21"/>
          <w:highlight w:val="none"/>
        </w:rPr>
      </w:pPr>
      <w:r>
        <w:rPr>
          <w:rFonts w:ascii="宋体" w:hAnsi="宋体" w:eastAsia="宋体"/>
          <w:color w:val="auto"/>
          <w:spacing w:val="6"/>
          <w:sz w:val="21"/>
          <w:szCs w:val="21"/>
          <w:highlight w:val="none"/>
        </w:rPr>
        <w:t>二、</w:t>
      </w:r>
      <w:r>
        <w:rPr>
          <w:rFonts w:ascii="宋体" w:hAnsi="宋体" w:eastAsia="宋体"/>
          <w:color w:val="auto"/>
          <w:sz w:val="21"/>
          <w:szCs w:val="21"/>
          <w:highlight w:val="none"/>
        </w:rPr>
        <w:t>现已清楚知道参加本项目采购活动的</w:t>
      </w:r>
      <w:r>
        <w:rPr>
          <w:rFonts w:ascii="宋体" w:hAnsi="宋体" w:eastAsia="宋体"/>
          <w:color w:val="auto"/>
          <w:sz w:val="21"/>
          <w:szCs w:val="21"/>
          <w:highlight w:val="none"/>
        </w:rPr>
        <w:tab/>
      </w:r>
      <w:r>
        <w:rPr>
          <w:rFonts w:ascii="宋体" w:hAnsi="宋体" w:eastAsia="宋体"/>
          <w:color w:val="auto"/>
          <w:sz w:val="21"/>
          <w:szCs w:val="21"/>
          <w:highlight w:val="none"/>
        </w:rPr>
        <w:t xml:space="preserve">其他所有供应商名称，本单位 </w:t>
      </w:r>
      <w:r>
        <w:rPr>
          <w:rFonts w:ascii="宋体" w:hAnsi="宋体" w:eastAsia="宋体" w:cs="等线"/>
          <w:b/>
          <w:color w:val="auto"/>
          <w:sz w:val="21"/>
          <w:szCs w:val="21"/>
          <w:highlight w:val="none"/>
        </w:rPr>
        <w:sym w:font="Wingdings 2" w:char="0052"/>
      </w:r>
      <w:r>
        <w:rPr>
          <w:rFonts w:ascii="宋体" w:hAnsi="宋体" w:eastAsia="宋体" w:cs="等线"/>
          <w:b/>
          <w:color w:val="auto"/>
          <w:sz w:val="21"/>
          <w:szCs w:val="21"/>
          <w:highlight w:val="none"/>
        </w:rPr>
        <w:t>与其他所有供应商之间均</w:t>
      </w:r>
      <w:r>
        <w:rPr>
          <w:rFonts w:ascii="宋体" w:hAnsi="宋体" w:eastAsia="宋体"/>
          <w:b/>
          <w:color w:val="auto"/>
          <w:sz w:val="21"/>
          <w:szCs w:val="21"/>
          <w:highlight w:val="none"/>
        </w:rPr>
        <w:t xml:space="preserve">不存在利害关系 </w:t>
      </w:r>
      <w:r>
        <w:rPr>
          <w:rFonts w:ascii="宋体" w:hAnsi="宋体" w:eastAsia="宋体" w:cs="等线"/>
          <w:b/>
          <w:color w:val="auto"/>
          <w:sz w:val="21"/>
          <w:szCs w:val="21"/>
          <w:highlight w:val="none"/>
        </w:rPr>
        <w:t>□与</w:t>
      </w:r>
      <w:r>
        <w:rPr>
          <w:rFonts w:ascii="宋体" w:hAnsi="宋体" w:eastAsia="宋体" w:cs="等线"/>
          <w:b/>
          <w:color w:val="auto"/>
          <w:sz w:val="21"/>
          <w:szCs w:val="21"/>
          <w:highlight w:val="none"/>
          <w:u w:val="single"/>
        </w:rPr>
        <w:t xml:space="preserve">              </w:t>
      </w:r>
      <w:r>
        <w:rPr>
          <w:rFonts w:ascii="宋体" w:hAnsi="宋体" w:eastAsia="宋体" w:cs="等线"/>
          <w:i/>
          <w:color w:val="auto"/>
          <w:sz w:val="21"/>
          <w:szCs w:val="21"/>
          <w:highlight w:val="none"/>
          <w:u w:val="single"/>
        </w:rPr>
        <w:t xml:space="preserve"> （供应商名称）</w:t>
      </w:r>
      <w:r>
        <w:rPr>
          <w:rFonts w:hint="eastAsia" w:ascii="宋体" w:hAnsi="宋体" w:eastAsia="宋体" w:cs="等线"/>
          <w:b/>
          <w:color w:val="auto"/>
          <w:sz w:val="21"/>
          <w:szCs w:val="21"/>
          <w:highlight w:val="none"/>
          <w:u w:val="single"/>
        </w:rPr>
        <w:t xml:space="preserve">   </w:t>
      </w:r>
      <w:r>
        <w:rPr>
          <w:rFonts w:ascii="宋体" w:hAnsi="宋体" w:eastAsia="宋体" w:cs="等线"/>
          <w:b/>
          <w:color w:val="auto"/>
          <w:sz w:val="21"/>
          <w:szCs w:val="21"/>
          <w:highlight w:val="none"/>
        </w:rPr>
        <w:t>之间</w:t>
      </w:r>
      <w:r>
        <w:rPr>
          <w:rFonts w:ascii="宋体" w:hAnsi="宋体" w:eastAsia="宋体"/>
          <w:b/>
          <w:color w:val="auto"/>
          <w:sz w:val="21"/>
          <w:szCs w:val="21"/>
          <w:highlight w:val="none"/>
        </w:rPr>
        <w:t>存在下列利害关系</w:t>
      </w:r>
      <w:r>
        <w:rPr>
          <w:rFonts w:ascii="宋体" w:hAnsi="宋体" w:eastAsia="宋体"/>
          <w:b/>
          <w:color w:val="auto"/>
          <w:sz w:val="21"/>
          <w:szCs w:val="21"/>
          <w:highlight w:val="none"/>
          <w:u w:val="single"/>
        </w:rPr>
        <w:t xml:space="preserve">       </w:t>
      </w:r>
      <w:r>
        <w:rPr>
          <w:rFonts w:ascii="宋体" w:hAnsi="宋体" w:eastAsia="宋体"/>
          <w:b/>
          <w:color w:val="auto"/>
          <w:sz w:val="21"/>
          <w:szCs w:val="21"/>
          <w:highlight w:val="none"/>
        </w:rPr>
        <w:t>：</w:t>
      </w:r>
    </w:p>
    <w:p>
      <w:pPr>
        <w:pStyle w:val="107"/>
        <w:snapToGrid w:val="0"/>
        <w:spacing w:line="380" w:lineRule="exact"/>
        <w:ind w:firstLine="426" w:firstLineChars="213"/>
        <w:rPr>
          <w:rFonts w:hAnsi="宋体"/>
          <w:color w:val="auto"/>
          <w:szCs w:val="21"/>
          <w:highlight w:val="none"/>
        </w:rPr>
      </w:pPr>
      <w:r>
        <w:rPr>
          <w:rFonts w:hAnsi="宋体"/>
          <w:color w:val="auto"/>
          <w:szCs w:val="21"/>
          <w:highlight w:val="none"/>
        </w:rPr>
        <w:t xml:space="preserve">  A.法定代表人或负责人或实际控制人是同一人</w:t>
      </w:r>
    </w:p>
    <w:p>
      <w:pPr>
        <w:pStyle w:val="107"/>
        <w:snapToGrid w:val="0"/>
        <w:spacing w:line="380" w:lineRule="exact"/>
        <w:ind w:firstLine="426" w:firstLineChars="213"/>
        <w:rPr>
          <w:rFonts w:hAnsi="宋体"/>
          <w:color w:val="auto"/>
          <w:spacing w:val="6"/>
          <w:szCs w:val="21"/>
          <w:highlight w:val="none"/>
        </w:rPr>
      </w:pPr>
      <w:r>
        <w:rPr>
          <w:rFonts w:hAnsi="宋体"/>
          <w:color w:val="auto"/>
          <w:szCs w:val="21"/>
          <w:highlight w:val="none"/>
        </w:rPr>
        <w:t xml:space="preserve">  B.法定代表人或负责人或实际控制人是夫妻关系</w:t>
      </w:r>
    </w:p>
    <w:p>
      <w:pPr>
        <w:pStyle w:val="107"/>
        <w:snapToGrid w:val="0"/>
        <w:spacing w:line="380" w:lineRule="exact"/>
        <w:ind w:firstLine="426" w:firstLineChars="213"/>
        <w:rPr>
          <w:rFonts w:hAnsi="宋体"/>
          <w:color w:val="auto"/>
          <w:spacing w:val="6"/>
          <w:szCs w:val="21"/>
          <w:highlight w:val="none"/>
        </w:rPr>
      </w:pPr>
      <w:r>
        <w:rPr>
          <w:rFonts w:hAnsi="宋体"/>
          <w:color w:val="auto"/>
          <w:szCs w:val="21"/>
          <w:highlight w:val="none"/>
        </w:rPr>
        <w:t xml:space="preserve">  C.法定代表人或负责人或实际控制人是直系血亲关系</w:t>
      </w:r>
    </w:p>
    <w:p>
      <w:pPr>
        <w:pStyle w:val="107"/>
        <w:snapToGrid w:val="0"/>
        <w:spacing w:line="380" w:lineRule="exact"/>
        <w:ind w:firstLine="426" w:firstLineChars="213"/>
        <w:rPr>
          <w:rFonts w:hAnsi="宋体"/>
          <w:color w:val="auto"/>
          <w:spacing w:val="6"/>
          <w:szCs w:val="21"/>
          <w:highlight w:val="none"/>
        </w:rPr>
      </w:pPr>
      <w:r>
        <w:rPr>
          <w:rFonts w:hAnsi="宋体"/>
          <w:color w:val="auto"/>
          <w:szCs w:val="21"/>
          <w:highlight w:val="none"/>
        </w:rPr>
        <w:t xml:space="preserve">  D.法定代表人或负责人或实际控制人存在三代以内旁系血亲关系</w:t>
      </w:r>
    </w:p>
    <w:p>
      <w:pPr>
        <w:pStyle w:val="107"/>
        <w:snapToGrid w:val="0"/>
        <w:spacing w:line="380" w:lineRule="exact"/>
        <w:ind w:firstLine="426" w:firstLineChars="213"/>
        <w:rPr>
          <w:rFonts w:hAnsi="宋体"/>
          <w:color w:val="auto"/>
          <w:szCs w:val="21"/>
          <w:highlight w:val="none"/>
        </w:rPr>
      </w:pPr>
      <w:r>
        <w:rPr>
          <w:rFonts w:hAnsi="宋体"/>
          <w:color w:val="auto"/>
          <w:szCs w:val="21"/>
          <w:highlight w:val="none"/>
        </w:rPr>
        <w:t xml:space="preserve">  E.法定代表人或负责人或实际控制人存在近姻亲关系</w:t>
      </w:r>
    </w:p>
    <w:p>
      <w:pPr>
        <w:pStyle w:val="107"/>
        <w:snapToGrid w:val="0"/>
        <w:spacing w:line="380" w:lineRule="exact"/>
        <w:ind w:firstLine="426" w:firstLineChars="213"/>
        <w:rPr>
          <w:rFonts w:hAnsi="宋体"/>
          <w:color w:val="auto"/>
          <w:szCs w:val="21"/>
          <w:highlight w:val="none"/>
        </w:rPr>
      </w:pPr>
      <w:r>
        <w:rPr>
          <w:rFonts w:hAnsi="宋体"/>
          <w:color w:val="auto"/>
          <w:szCs w:val="21"/>
          <w:highlight w:val="none"/>
        </w:rPr>
        <w:t xml:space="preserve">  F.法定代表人或负责人或实际控制人存在股份控制或实际控制关系</w:t>
      </w:r>
    </w:p>
    <w:p>
      <w:pPr>
        <w:pStyle w:val="107"/>
        <w:snapToGrid w:val="0"/>
        <w:spacing w:line="380" w:lineRule="exact"/>
        <w:ind w:firstLine="426" w:firstLineChars="213"/>
        <w:rPr>
          <w:rFonts w:hAnsi="宋体"/>
          <w:color w:val="auto"/>
          <w:szCs w:val="21"/>
          <w:highlight w:val="none"/>
        </w:rPr>
      </w:pPr>
      <w:r>
        <w:rPr>
          <w:rFonts w:hAnsi="宋体"/>
          <w:color w:val="auto"/>
          <w:szCs w:val="21"/>
          <w:highlight w:val="none"/>
        </w:rPr>
        <w:t xml:space="preserve">  G.存在共同直接或间接投资设立子公司、联营企业和合营企业情况</w:t>
      </w:r>
    </w:p>
    <w:p>
      <w:pPr>
        <w:pStyle w:val="107"/>
        <w:snapToGrid w:val="0"/>
        <w:spacing w:line="380" w:lineRule="exact"/>
        <w:ind w:firstLine="426" w:firstLineChars="213"/>
        <w:rPr>
          <w:rFonts w:hAnsi="宋体"/>
          <w:color w:val="auto"/>
          <w:szCs w:val="21"/>
          <w:highlight w:val="none"/>
        </w:rPr>
      </w:pPr>
      <w:r>
        <w:rPr>
          <w:rFonts w:hAnsi="宋体"/>
          <w:color w:val="auto"/>
          <w:szCs w:val="21"/>
          <w:highlight w:val="none"/>
        </w:rPr>
        <w:t xml:space="preserve">  H.存在分级代理或代销关系、同一生产制造商关系、管理关系、重要业务（占主营业务收入50%以上）或重要财务往来关系（如融资）等其他实质性控制关系</w:t>
      </w:r>
    </w:p>
    <w:p>
      <w:pPr>
        <w:pStyle w:val="107"/>
        <w:snapToGrid w:val="0"/>
        <w:spacing w:line="380" w:lineRule="exact"/>
        <w:ind w:firstLine="426" w:firstLineChars="213"/>
        <w:rPr>
          <w:rFonts w:hAnsi="宋体"/>
          <w:color w:val="auto"/>
          <w:spacing w:val="6"/>
          <w:szCs w:val="21"/>
          <w:highlight w:val="none"/>
        </w:rPr>
      </w:pPr>
      <w:r>
        <w:rPr>
          <w:rFonts w:hAnsi="宋体"/>
          <w:color w:val="auto"/>
          <w:szCs w:val="21"/>
          <w:highlight w:val="none"/>
        </w:rPr>
        <w:t xml:space="preserve">  I.其他利害关系情况</w:t>
      </w:r>
      <w:r>
        <w:rPr>
          <w:rFonts w:hAnsi="宋体"/>
          <w:color w:val="auto"/>
          <w:szCs w:val="21"/>
          <w:highlight w:val="none"/>
          <w:u w:val="single"/>
        </w:rPr>
        <w:t xml:space="preserve">                              </w:t>
      </w:r>
      <w:r>
        <w:rPr>
          <w:rFonts w:hAnsi="宋体"/>
          <w:color w:val="auto"/>
          <w:szCs w:val="21"/>
          <w:highlight w:val="none"/>
        </w:rPr>
        <w:t>。</w:t>
      </w:r>
    </w:p>
    <w:p>
      <w:pPr>
        <w:pStyle w:val="121"/>
        <w:numPr>
          <w:ilvl w:val="0"/>
          <w:numId w:val="18"/>
        </w:numPr>
        <w:suppressAutoHyphens w:val="0"/>
        <w:snapToGrid w:val="0"/>
        <w:spacing w:after="0" w:line="380" w:lineRule="exact"/>
        <w:ind w:firstLine="424" w:firstLineChars="202"/>
        <w:jc w:val="both"/>
        <w:rPr>
          <w:rFonts w:ascii="宋体" w:hAnsi="宋体" w:eastAsia="宋体"/>
          <w:color w:val="auto"/>
          <w:sz w:val="21"/>
          <w:szCs w:val="21"/>
          <w:highlight w:val="none"/>
        </w:rPr>
      </w:pPr>
      <w:r>
        <w:rPr>
          <w:rFonts w:ascii="宋体" w:hAnsi="宋体" w:eastAsia="宋体"/>
          <w:color w:val="auto"/>
          <w:sz w:val="21"/>
          <w:szCs w:val="21"/>
          <w:highlight w:val="none"/>
        </w:rPr>
        <w:t>现已清楚知道并严格遵守政府采购法律法规和现场纪律。</w:t>
      </w:r>
    </w:p>
    <w:p>
      <w:pPr>
        <w:pStyle w:val="121"/>
        <w:numPr>
          <w:ilvl w:val="0"/>
          <w:numId w:val="18"/>
        </w:numPr>
        <w:suppressAutoHyphens w:val="0"/>
        <w:snapToGrid w:val="0"/>
        <w:spacing w:after="0" w:line="380" w:lineRule="exact"/>
        <w:ind w:firstLine="424" w:firstLineChars="202"/>
        <w:jc w:val="both"/>
        <w:rPr>
          <w:rFonts w:ascii="宋体" w:hAnsi="宋体" w:eastAsia="宋体"/>
          <w:color w:val="auto"/>
          <w:sz w:val="21"/>
          <w:szCs w:val="21"/>
          <w:highlight w:val="none"/>
        </w:rPr>
      </w:pPr>
      <w:r>
        <w:rPr>
          <w:rFonts w:ascii="宋体" w:hAnsi="宋体" w:eastAsia="宋体"/>
          <w:color w:val="auto"/>
          <w:sz w:val="21"/>
          <w:szCs w:val="21"/>
          <w:highlight w:val="none"/>
        </w:rPr>
        <w:t>我发现</w:t>
      </w:r>
      <w:r>
        <w:rPr>
          <w:rFonts w:ascii="宋体" w:hAnsi="宋体" w:eastAsia="宋体"/>
          <w:color w:val="auto"/>
          <w:sz w:val="21"/>
          <w:szCs w:val="21"/>
          <w:highlight w:val="none"/>
          <w:u w:val="single"/>
        </w:rPr>
        <w:t xml:space="preserve">                    </w:t>
      </w:r>
      <w:r>
        <w:rPr>
          <w:rFonts w:ascii="宋体" w:hAnsi="宋体" w:eastAsia="宋体"/>
          <w:color w:val="auto"/>
          <w:sz w:val="21"/>
          <w:szCs w:val="21"/>
          <w:highlight w:val="none"/>
        </w:rPr>
        <w:t>供应商之间存在或可能存在上述第二条第</w:t>
      </w:r>
      <w:r>
        <w:rPr>
          <w:rFonts w:ascii="宋体" w:hAnsi="宋体" w:eastAsia="宋体"/>
          <w:color w:val="auto"/>
          <w:sz w:val="21"/>
          <w:szCs w:val="21"/>
          <w:highlight w:val="none"/>
          <w:u w:val="single"/>
        </w:rPr>
        <w:t xml:space="preserve">        </w:t>
      </w:r>
      <w:r>
        <w:rPr>
          <w:rFonts w:ascii="宋体" w:hAnsi="宋体" w:eastAsia="宋体"/>
          <w:color w:val="auto"/>
          <w:sz w:val="21"/>
          <w:szCs w:val="21"/>
          <w:highlight w:val="none"/>
        </w:rPr>
        <w:t>项利害关系。</w:t>
      </w:r>
    </w:p>
    <w:p>
      <w:pPr>
        <w:pStyle w:val="107"/>
        <w:snapToGrid w:val="0"/>
        <w:spacing w:line="380" w:lineRule="exact"/>
        <w:ind w:firstLine="400" w:firstLineChars="200"/>
        <w:rPr>
          <w:rFonts w:hAnsi="宋体"/>
          <w:color w:val="auto"/>
          <w:szCs w:val="21"/>
          <w:highlight w:val="none"/>
        </w:rPr>
      </w:pPr>
    </w:p>
    <w:p>
      <w:pPr>
        <w:pStyle w:val="107"/>
        <w:snapToGrid w:val="0"/>
        <w:spacing w:line="380" w:lineRule="exact"/>
        <w:ind w:firstLine="400" w:firstLineChars="200"/>
        <w:rPr>
          <w:rFonts w:hAnsi="宋体"/>
          <w:color w:val="auto"/>
          <w:szCs w:val="21"/>
          <w:highlight w:val="none"/>
        </w:rPr>
      </w:pPr>
      <w:r>
        <w:rPr>
          <w:rFonts w:hAnsi="宋体"/>
          <w:color w:val="auto"/>
          <w:szCs w:val="21"/>
          <w:highlight w:val="none"/>
        </w:rPr>
        <w:t xml:space="preserve">                                （供应商</w:t>
      </w:r>
      <w:r>
        <w:rPr>
          <w:rFonts w:hint="eastAsia" w:hAnsi="宋体"/>
          <w:color w:val="auto"/>
          <w:szCs w:val="21"/>
          <w:highlight w:val="none"/>
        </w:rPr>
        <w:t>盖公章或</w:t>
      </w:r>
      <w:r>
        <w:rPr>
          <w:rFonts w:hAnsi="宋体"/>
          <w:color w:val="auto"/>
          <w:szCs w:val="21"/>
          <w:highlight w:val="none"/>
        </w:rPr>
        <w:t>代表签名）</w:t>
      </w:r>
    </w:p>
    <w:p>
      <w:pPr>
        <w:spacing w:line="380" w:lineRule="exact"/>
        <w:jc w:val="center"/>
        <w:rPr>
          <w:rFonts w:ascii="宋体" w:hAnsi="宋体"/>
          <w:color w:val="auto"/>
          <w:sz w:val="21"/>
          <w:szCs w:val="21"/>
          <w:highlight w:val="none"/>
        </w:rPr>
      </w:pPr>
      <w:r>
        <w:rPr>
          <w:rFonts w:ascii="宋体" w:hAnsi="宋体"/>
          <w:color w:val="auto"/>
          <w:sz w:val="21"/>
          <w:szCs w:val="21"/>
          <w:highlight w:val="none"/>
        </w:rPr>
        <w:t xml:space="preserve">                                    年   月   日</w:t>
      </w:r>
    </w:p>
    <w:p>
      <w:pPr>
        <w:rPr>
          <w:rFonts w:hint="eastAsia"/>
          <w:color w:val="auto"/>
          <w:highlight w:val="none"/>
        </w:rPr>
      </w:pPr>
    </w:p>
    <w:p>
      <w:pPr>
        <w:pStyle w:val="2"/>
        <w:ind w:firstLine="280"/>
        <w:rPr>
          <w:rFonts w:hint="eastAsia"/>
          <w:color w:val="auto"/>
          <w:highlight w:val="none"/>
        </w:rPr>
      </w:pPr>
    </w:p>
    <w:p>
      <w:pPr>
        <w:pStyle w:val="6"/>
        <w:spacing w:before="120" w:beforeLines="50" w:after="120" w:afterLines="50" w:line="360" w:lineRule="auto"/>
        <w:jc w:val="center"/>
        <w:rPr>
          <w:rStyle w:val="139"/>
          <w:rFonts w:hint="eastAsia"/>
          <w:b/>
          <w:color w:val="auto"/>
          <w:highlight w:val="none"/>
        </w:rPr>
      </w:pPr>
    </w:p>
    <w:p>
      <w:pPr>
        <w:rPr>
          <w:rFonts w:hint="eastAsia"/>
          <w:color w:val="auto"/>
          <w:highlight w:val="none"/>
        </w:rPr>
      </w:pPr>
    </w:p>
    <w:p>
      <w:pPr>
        <w:pStyle w:val="6"/>
        <w:spacing w:before="120" w:beforeLines="50" w:after="120" w:afterLines="50" w:line="360" w:lineRule="auto"/>
        <w:jc w:val="center"/>
        <w:rPr>
          <w:rStyle w:val="139"/>
          <w:rFonts w:hint="eastAsia"/>
          <w:b/>
          <w:color w:val="auto"/>
          <w:highlight w:val="none"/>
        </w:rPr>
        <w:sectPr>
          <w:type w:val="continuous"/>
          <w:pgSz w:w="11906" w:h="16838"/>
          <w:pgMar w:top="1247" w:right="1247" w:bottom="1247" w:left="1247" w:header="0" w:footer="782" w:gutter="0"/>
          <w:pgNumType w:start="1"/>
          <w:cols w:space="720" w:num="1"/>
          <w:formProt w:val="0"/>
          <w:docGrid w:linePitch="381" w:charSpace="0"/>
        </w:sectPr>
      </w:pPr>
    </w:p>
    <w:p>
      <w:pPr>
        <w:pStyle w:val="6"/>
        <w:spacing w:before="156" w:beforeLines="50" w:after="156" w:afterLines="50" w:line="360" w:lineRule="auto"/>
        <w:jc w:val="center"/>
        <w:rPr>
          <w:rStyle w:val="139"/>
          <w:rFonts w:hint="eastAsia"/>
          <w:b/>
          <w:color w:val="auto"/>
          <w:highlight w:val="none"/>
        </w:rPr>
      </w:pPr>
      <w:r>
        <w:rPr>
          <w:rStyle w:val="139"/>
          <w:rFonts w:hint="eastAsia"/>
          <w:b/>
          <w:color w:val="auto"/>
          <w:highlight w:val="none"/>
        </w:rPr>
        <w:t>附件</w:t>
      </w:r>
      <w:r>
        <w:rPr>
          <w:rStyle w:val="139"/>
          <w:b/>
          <w:color w:val="auto"/>
          <w:highlight w:val="none"/>
        </w:rPr>
        <w:t>：</w:t>
      </w:r>
      <w:r>
        <w:rPr>
          <w:rStyle w:val="139"/>
          <w:rFonts w:hint="eastAsia"/>
          <w:b/>
          <w:color w:val="auto"/>
          <w:highlight w:val="none"/>
        </w:rPr>
        <w:t>瑶溪街道环卫保洁作业量清单</w:t>
      </w:r>
    </w:p>
    <w:p>
      <w:pPr>
        <w:rPr>
          <w:rFonts w:hint="eastAsia"/>
          <w:color w:val="auto"/>
          <w:highlight w:val="none"/>
        </w:rPr>
      </w:pPr>
      <w:r>
        <w:rPr>
          <w:rFonts w:hint="eastAsia"/>
          <w:color w:val="auto"/>
          <w:highlight w:val="none"/>
        </w:rPr>
        <w:t>附件-1市政道路（城区公路）</w:t>
      </w:r>
    </w:p>
    <w:tbl>
      <w:tblPr>
        <w:tblStyle w:val="42"/>
        <w:tblW w:w="0" w:type="auto"/>
        <w:tblInd w:w="93" w:type="dxa"/>
        <w:tblLayout w:type="autofit"/>
        <w:tblCellMar>
          <w:top w:w="0" w:type="dxa"/>
          <w:left w:w="108" w:type="dxa"/>
          <w:bottom w:w="0" w:type="dxa"/>
          <w:right w:w="108" w:type="dxa"/>
        </w:tblCellMar>
      </w:tblPr>
      <w:tblGrid>
        <w:gridCol w:w="339"/>
        <w:gridCol w:w="684"/>
        <w:gridCol w:w="450"/>
        <w:gridCol w:w="450"/>
        <w:gridCol w:w="450"/>
        <w:gridCol w:w="400"/>
        <w:gridCol w:w="567"/>
        <w:gridCol w:w="567"/>
        <w:gridCol w:w="450"/>
        <w:gridCol w:w="400"/>
        <w:gridCol w:w="567"/>
        <w:gridCol w:w="462"/>
        <w:gridCol w:w="567"/>
        <w:gridCol w:w="450"/>
        <w:gridCol w:w="400"/>
        <w:gridCol w:w="509"/>
        <w:gridCol w:w="567"/>
        <w:gridCol w:w="450"/>
        <w:gridCol w:w="400"/>
        <w:gridCol w:w="509"/>
        <w:gridCol w:w="509"/>
        <w:gridCol w:w="509"/>
        <w:gridCol w:w="509"/>
        <w:gridCol w:w="509"/>
        <w:gridCol w:w="509"/>
        <w:gridCol w:w="685"/>
        <w:gridCol w:w="861"/>
        <w:gridCol w:w="510"/>
      </w:tblGrid>
      <w:tr>
        <w:tblPrEx>
          <w:tblCellMar>
            <w:top w:w="0" w:type="dxa"/>
            <w:left w:w="108" w:type="dxa"/>
            <w:bottom w:w="0" w:type="dxa"/>
            <w:right w:w="108" w:type="dxa"/>
          </w:tblCellMar>
        </w:tblPrEx>
        <w:trPr>
          <w:trHeight w:val="44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序号</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路名</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起止地点</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保洁等级</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道路长度</w:t>
            </w:r>
            <w:r>
              <w:rPr>
                <w:rFonts w:ascii="Arial" w:hAnsi="Arial" w:cs="Arial"/>
                <w:color w:val="auto"/>
                <w:kern w:val="0"/>
                <w:sz w:val="21"/>
                <w:szCs w:val="21"/>
                <w:highlight w:val="none"/>
                <w:lang w:bidi="ar"/>
              </w:rPr>
              <w:t>(m)</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道路宽度</w:t>
            </w:r>
            <w:r>
              <w:rPr>
                <w:rFonts w:ascii="Arial" w:hAnsi="Arial" w:cs="Arial"/>
                <w:color w:val="auto"/>
                <w:kern w:val="0"/>
                <w:sz w:val="21"/>
                <w:szCs w:val="21"/>
                <w:highlight w:val="none"/>
                <w:lang w:bidi="ar"/>
              </w:rPr>
              <w:t>(m)</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道路总面积</w:t>
            </w:r>
            <w:r>
              <w:rPr>
                <w:rFonts w:ascii="Arial" w:hAnsi="Arial" w:cs="Arial"/>
                <w:color w:val="auto"/>
                <w:kern w:val="0"/>
                <w:sz w:val="21"/>
                <w:szCs w:val="21"/>
                <w:highlight w:val="none"/>
                <w:lang w:bidi="ar"/>
              </w:rPr>
              <w:t xml:space="preserve">   (m²)</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主路中间隔离带形式（绿化带、护栏或无）</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机动车道</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是、否</w:t>
            </w:r>
          </w:p>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可机扫</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机非隔离带形式（绿化带、护栏或无）</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非机动车道</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人非隔离带形式（绿化带、护栏或无）</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人行道</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道路红线内的绿地面积</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道路红线外的绿地面积</w:t>
            </w:r>
          </w:p>
        </w:tc>
      </w:tr>
      <w:tr>
        <w:tblPrEx>
          <w:tblCellMar>
            <w:top w:w="0" w:type="dxa"/>
            <w:left w:w="108" w:type="dxa"/>
            <w:bottom w:w="0" w:type="dxa"/>
            <w:right w:w="108" w:type="dxa"/>
          </w:tblCellMar>
        </w:tblPrEx>
        <w:trPr>
          <w:trHeight w:val="10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21"/>
                <w:szCs w:val="21"/>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21"/>
                <w:szCs w:val="21"/>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21"/>
                <w:szCs w:val="21"/>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21"/>
                <w:szCs w:val="21"/>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21"/>
                <w:szCs w:val="21"/>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21"/>
                <w:szCs w:val="21"/>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21"/>
                <w:szCs w:val="21"/>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21"/>
                <w:szCs w:val="21"/>
                <w:highlight w:val="none"/>
              </w:rPr>
            </w:pPr>
          </w:p>
        </w:tc>
        <w:tc>
          <w:tcPr>
            <w:tcW w:w="0" w:type="auto"/>
            <w:tcBorders>
              <w:top w:val="single" w:color="000000" w:sz="4" w:space="0"/>
              <w:left w:val="single" w:color="000000" w:sz="4" w:space="0"/>
              <w:bottom w:val="nil"/>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长</w:t>
            </w:r>
            <w:r>
              <w:rPr>
                <w:rFonts w:ascii="Arial" w:hAnsi="Arial" w:cs="Arial"/>
                <w:color w:val="auto"/>
                <w:kern w:val="0"/>
                <w:sz w:val="21"/>
                <w:szCs w:val="21"/>
                <w:highlight w:val="none"/>
                <w:lang w:bidi="ar"/>
              </w:rPr>
              <w:t>(m)</w:t>
            </w:r>
          </w:p>
        </w:tc>
        <w:tc>
          <w:tcPr>
            <w:tcW w:w="0" w:type="auto"/>
            <w:tcBorders>
              <w:top w:val="single" w:color="000000" w:sz="4" w:space="0"/>
              <w:left w:val="single" w:color="000000" w:sz="4" w:space="0"/>
              <w:bottom w:val="nil"/>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宽</w:t>
            </w:r>
            <w:r>
              <w:rPr>
                <w:rFonts w:ascii="Arial" w:hAnsi="Arial" w:cs="Arial"/>
                <w:color w:val="auto"/>
                <w:kern w:val="0"/>
                <w:sz w:val="21"/>
                <w:szCs w:val="21"/>
                <w:highlight w:val="none"/>
                <w:lang w:bidi="ar"/>
              </w:rPr>
              <w:t>(m)</w:t>
            </w:r>
          </w:p>
        </w:tc>
        <w:tc>
          <w:tcPr>
            <w:tcW w:w="0" w:type="auto"/>
            <w:tcBorders>
              <w:top w:val="single" w:color="000000" w:sz="4" w:space="0"/>
              <w:left w:val="single" w:color="000000" w:sz="4" w:space="0"/>
              <w:bottom w:val="nil"/>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面积</w:t>
            </w:r>
            <w:r>
              <w:rPr>
                <w:rFonts w:ascii="Arial" w:hAnsi="Arial" w:cs="Arial"/>
                <w:color w:val="auto"/>
                <w:kern w:val="0"/>
                <w:sz w:val="21"/>
                <w:szCs w:val="21"/>
                <w:highlight w:val="none"/>
                <w:lang w:bidi="ar"/>
              </w:rPr>
              <w:t>(m²)</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21"/>
                <w:szCs w:val="21"/>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21"/>
                <w:szCs w:val="21"/>
                <w:highlight w:val="none"/>
              </w:rPr>
            </w:pPr>
          </w:p>
        </w:tc>
        <w:tc>
          <w:tcPr>
            <w:tcW w:w="0" w:type="auto"/>
            <w:tcBorders>
              <w:top w:val="single" w:color="000000" w:sz="4" w:space="0"/>
              <w:left w:val="single" w:color="000000" w:sz="4" w:space="0"/>
              <w:bottom w:val="nil"/>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长</w:t>
            </w:r>
            <w:r>
              <w:rPr>
                <w:rFonts w:ascii="Arial" w:hAnsi="Arial" w:cs="Arial"/>
                <w:color w:val="auto"/>
                <w:kern w:val="0"/>
                <w:sz w:val="21"/>
                <w:szCs w:val="21"/>
                <w:highlight w:val="none"/>
                <w:lang w:bidi="ar"/>
              </w:rPr>
              <w:t>(m)</w:t>
            </w:r>
          </w:p>
        </w:tc>
        <w:tc>
          <w:tcPr>
            <w:tcW w:w="0" w:type="auto"/>
            <w:tcBorders>
              <w:top w:val="single" w:color="000000" w:sz="4" w:space="0"/>
              <w:left w:val="single" w:color="000000" w:sz="4" w:space="0"/>
              <w:bottom w:val="nil"/>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宽</w:t>
            </w:r>
            <w:r>
              <w:rPr>
                <w:rFonts w:ascii="Arial" w:hAnsi="Arial" w:cs="Arial"/>
                <w:color w:val="auto"/>
                <w:kern w:val="0"/>
                <w:sz w:val="21"/>
                <w:szCs w:val="21"/>
                <w:highlight w:val="none"/>
                <w:lang w:bidi="ar"/>
              </w:rPr>
              <w:t>(m)</w:t>
            </w:r>
          </w:p>
        </w:tc>
        <w:tc>
          <w:tcPr>
            <w:tcW w:w="0" w:type="auto"/>
            <w:tcBorders>
              <w:top w:val="single" w:color="000000" w:sz="4" w:space="0"/>
              <w:left w:val="single" w:color="000000" w:sz="4" w:space="0"/>
              <w:bottom w:val="nil"/>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面积</w:t>
            </w:r>
            <w:r>
              <w:rPr>
                <w:rFonts w:ascii="Arial" w:hAnsi="Arial" w:cs="Arial"/>
                <w:color w:val="auto"/>
                <w:kern w:val="0"/>
                <w:sz w:val="21"/>
                <w:szCs w:val="21"/>
                <w:highlight w:val="none"/>
                <w:lang w:bidi="ar"/>
              </w:rPr>
              <w:t>(m²)</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21"/>
                <w:szCs w:val="21"/>
                <w:highlight w:val="none"/>
              </w:rPr>
            </w:pPr>
          </w:p>
        </w:tc>
        <w:tc>
          <w:tcPr>
            <w:tcW w:w="0" w:type="auto"/>
            <w:tcBorders>
              <w:top w:val="single" w:color="000000" w:sz="4" w:space="0"/>
              <w:left w:val="single" w:color="000000" w:sz="4" w:space="0"/>
              <w:bottom w:val="nil"/>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长</w:t>
            </w:r>
            <w:r>
              <w:rPr>
                <w:rFonts w:ascii="Arial" w:hAnsi="Arial" w:cs="Arial"/>
                <w:color w:val="auto"/>
                <w:kern w:val="0"/>
                <w:sz w:val="21"/>
                <w:szCs w:val="21"/>
                <w:highlight w:val="none"/>
                <w:lang w:bidi="ar"/>
              </w:rPr>
              <w:t>(m)</w:t>
            </w:r>
          </w:p>
        </w:tc>
        <w:tc>
          <w:tcPr>
            <w:tcW w:w="0" w:type="auto"/>
            <w:tcBorders>
              <w:top w:val="single" w:color="000000" w:sz="4" w:space="0"/>
              <w:left w:val="single" w:color="000000" w:sz="4" w:space="0"/>
              <w:bottom w:val="nil"/>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宽</w:t>
            </w:r>
            <w:r>
              <w:rPr>
                <w:rFonts w:ascii="Arial" w:hAnsi="Arial" w:cs="Arial"/>
                <w:color w:val="auto"/>
                <w:kern w:val="0"/>
                <w:sz w:val="21"/>
                <w:szCs w:val="21"/>
                <w:highlight w:val="none"/>
                <w:lang w:bidi="ar"/>
              </w:rPr>
              <w:t>(m)</w:t>
            </w:r>
          </w:p>
        </w:tc>
        <w:tc>
          <w:tcPr>
            <w:tcW w:w="0" w:type="auto"/>
            <w:tcBorders>
              <w:top w:val="single" w:color="000000" w:sz="4" w:space="0"/>
              <w:left w:val="single" w:color="000000" w:sz="4" w:space="0"/>
              <w:bottom w:val="nil"/>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面积</w:t>
            </w:r>
            <w:r>
              <w:rPr>
                <w:rFonts w:ascii="Arial" w:hAnsi="Arial" w:cs="Arial"/>
                <w:color w:val="auto"/>
                <w:kern w:val="0"/>
                <w:sz w:val="21"/>
                <w:szCs w:val="21"/>
                <w:highlight w:val="none"/>
                <w:lang w:bidi="ar"/>
              </w:rPr>
              <w:t>(m²)</w:t>
            </w:r>
          </w:p>
        </w:tc>
        <w:tc>
          <w:tcPr>
            <w:tcW w:w="0" w:type="auto"/>
            <w:tcBorders>
              <w:top w:val="single" w:color="000000" w:sz="4" w:space="0"/>
              <w:left w:val="single" w:color="000000" w:sz="4" w:space="0"/>
              <w:bottom w:val="nil"/>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中间隔离带</w:t>
            </w:r>
            <w:r>
              <w:rPr>
                <w:rFonts w:ascii="Arial" w:hAnsi="Arial" w:cs="Arial"/>
                <w:color w:val="auto"/>
                <w:kern w:val="0"/>
                <w:sz w:val="21"/>
                <w:szCs w:val="21"/>
                <w:highlight w:val="none"/>
                <w:lang w:bidi="ar"/>
              </w:rPr>
              <w:t>(m²)</w:t>
            </w:r>
          </w:p>
        </w:tc>
        <w:tc>
          <w:tcPr>
            <w:tcW w:w="0" w:type="auto"/>
            <w:tcBorders>
              <w:top w:val="single" w:color="000000" w:sz="4" w:space="0"/>
              <w:left w:val="single" w:color="000000" w:sz="4" w:space="0"/>
              <w:bottom w:val="nil"/>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机非隔离带</w:t>
            </w:r>
            <w:r>
              <w:rPr>
                <w:rFonts w:ascii="Arial" w:hAnsi="Arial" w:cs="Arial"/>
                <w:color w:val="auto"/>
                <w:kern w:val="0"/>
                <w:sz w:val="21"/>
                <w:szCs w:val="21"/>
                <w:highlight w:val="none"/>
                <w:lang w:bidi="ar"/>
              </w:rPr>
              <w:t>(m²)</w:t>
            </w:r>
          </w:p>
        </w:tc>
        <w:tc>
          <w:tcPr>
            <w:tcW w:w="0" w:type="auto"/>
            <w:tcBorders>
              <w:top w:val="single" w:color="000000" w:sz="4" w:space="0"/>
              <w:left w:val="single" w:color="000000" w:sz="4" w:space="0"/>
              <w:bottom w:val="nil"/>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人非隔离带</w:t>
            </w:r>
            <w:r>
              <w:rPr>
                <w:rFonts w:ascii="Arial" w:hAnsi="Arial" w:cs="Arial"/>
                <w:color w:val="auto"/>
                <w:kern w:val="0"/>
                <w:sz w:val="21"/>
                <w:szCs w:val="21"/>
                <w:highlight w:val="none"/>
                <w:lang w:bidi="ar"/>
              </w:rPr>
              <w:t>(m²)</w:t>
            </w:r>
          </w:p>
        </w:tc>
        <w:tc>
          <w:tcPr>
            <w:tcW w:w="0" w:type="auto"/>
            <w:tcBorders>
              <w:top w:val="single" w:color="000000" w:sz="4" w:space="0"/>
              <w:left w:val="single" w:color="000000" w:sz="4" w:space="0"/>
              <w:bottom w:val="nil"/>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人行道外侧绿地</w:t>
            </w:r>
            <w:r>
              <w:rPr>
                <w:rFonts w:ascii="Arial" w:hAnsi="Arial" w:cs="Arial"/>
                <w:color w:val="auto"/>
                <w:kern w:val="0"/>
                <w:sz w:val="21"/>
                <w:szCs w:val="21"/>
                <w:highlight w:val="none"/>
                <w:lang w:bidi="ar"/>
              </w:rPr>
              <w:t>(m²)</w:t>
            </w:r>
          </w:p>
        </w:tc>
        <w:tc>
          <w:tcPr>
            <w:tcW w:w="0" w:type="auto"/>
            <w:tcBorders>
              <w:top w:val="single" w:color="000000" w:sz="4" w:space="0"/>
              <w:left w:val="single" w:color="000000" w:sz="4" w:space="0"/>
              <w:bottom w:val="nil"/>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绿地总面积</w:t>
            </w:r>
            <w:r>
              <w:rPr>
                <w:rFonts w:ascii="Arial" w:hAnsi="Arial" w:cs="Arial"/>
                <w:color w:val="auto"/>
                <w:kern w:val="0"/>
                <w:sz w:val="21"/>
                <w:szCs w:val="21"/>
                <w:highlight w:val="none"/>
                <w:lang w:bidi="ar"/>
              </w:rPr>
              <w:t>(m²)</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绿地名称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绿地位置</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绿地面积(m²)</w:t>
            </w: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南洋大道</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机场大道-龙永路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一级</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4260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170400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绿化带</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4260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59640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护栏</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4260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34080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绿化带</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4260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21300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25560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29820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55380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r>
      <w:tr>
        <w:tblPrEx>
          <w:tblCellMar>
            <w:top w:w="0" w:type="dxa"/>
            <w:left w:w="108" w:type="dxa"/>
            <w:bottom w:w="0" w:type="dxa"/>
            <w:right w:w="108" w:type="dxa"/>
          </w:tblCellMar>
        </w:tblPrEx>
        <w:trPr>
          <w:trHeight w:val="740"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黄山路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温州大道-灵昆大桥</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一级</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1427</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71350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绿化带</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1427</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34248</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绿化带</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1427</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14270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1427</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9989</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7135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5708</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12843</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街头绿地</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靠灵昆大桥路两侧</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18000</w:t>
            </w:r>
          </w:p>
        </w:tc>
      </w:tr>
      <w:tr>
        <w:tblPrEx>
          <w:tblCellMar>
            <w:top w:w="0" w:type="dxa"/>
            <w:left w:w="108" w:type="dxa"/>
            <w:bottom w:w="0" w:type="dxa"/>
            <w:right w:w="108" w:type="dxa"/>
          </w:tblCellMar>
        </w:tblPrEx>
        <w:trPr>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隧道</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一级</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510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13260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护栏</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510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8160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护栏</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510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3060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护栏</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510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2040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0"/>
                <w:szCs w:val="20"/>
                <w:highlight w:val="none"/>
              </w:rPr>
            </w:pP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温州大道</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龙永路-王尖路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一级</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1500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75000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绿化带</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1500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34500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绿化带</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1500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13500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1500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15000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6000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6000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12000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r>
      <w:tr>
        <w:tblPrEx>
          <w:tblCellMar>
            <w:top w:w="0" w:type="dxa"/>
            <w:left w:w="108" w:type="dxa"/>
            <w:bottom w:w="0" w:type="dxa"/>
            <w:right w:w="108" w:type="dxa"/>
          </w:tblCellMar>
        </w:tblPrEx>
        <w:trPr>
          <w:trHeight w:val="9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永中西路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环一东河桥中界-至龙永路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一级</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1700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68000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护栏</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1700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23800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绿化带</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1700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9</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15300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1700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18700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10200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10200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w:t>
            </w:r>
          </w:p>
        </w:tc>
      </w:tr>
      <w:tr>
        <w:tblPrEx>
          <w:tblCellMar>
            <w:top w:w="0" w:type="dxa"/>
            <w:left w:w="108" w:type="dxa"/>
            <w:bottom w:w="0" w:type="dxa"/>
            <w:right w:w="108" w:type="dxa"/>
          </w:tblCellMar>
        </w:tblPrEx>
        <w:trPr>
          <w:trHeight w:val="580"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机场路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海军水兵桥-蓝浦路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一级</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7800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390000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绿化带</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7800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187200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绿化带</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7800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78000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7800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31200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15600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31200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46800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93600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街头绿地</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大唐5G门口</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6000</w:t>
            </w:r>
          </w:p>
        </w:tc>
      </w:tr>
      <w:tr>
        <w:tblPrEx>
          <w:tblCellMar>
            <w:top w:w="0" w:type="dxa"/>
            <w:left w:w="108" w:type="dxa"/>
            <w:bottom w:w="0" w:type="dxa"/>
            <w:right w:w="108" w:type="dxa"/>
          </w:tblCellMar>
        </w:tblPrEx>
        <w:trPr>
          <w:trHeight w:val="58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茅竹岭隧道及高架部分 </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一级</w:t>
            </w:r>
          </w:p>
        </w:tc>
        <w:tc>
          <w:tcPr>
            <w:tcW w:w="0" w:type="auto"/>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940</w:t>
            </w:r>
          </w:p>
        </w:tc>
        <w:tc>
          <w:tcPr>
            <w:tcW w:w="0" w:type="auto"/>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9400</w:t>
            </w:r>
          </w:p>
        </w:tc>
        <w:tc>
          <w:tcPr>
            <w:tcW w:w="0" w:type="auto"/>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940</w:t>
            </w:r>
          </w:p>
        </w:tc>
        <w:tc>
          <w:tcPr>
            <w:tcW w:w="0" w:type="auto"/>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7520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940</w:t>
            </w:r>
          </w:p>
        </w:tc>
        <w:tc>
          <w:tcPr>
            <w:tcW w:w="0" w:type="auto"/>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1880</w:t>
            </w:r>
          </w:p>
        </w:tc>
        <w:tc>
          <w:tcPr>
            <w:tcW w:w="0" w:type="auto"/>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nil"/>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0" w:type="auto"/>
            <w:tcBorders>
              <w:top w:val="nil"/>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0" w:type="auto"/>
            <w:tcBorders>
              <w:top w:val="nil"/>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r>
      <w:tr>
        <w:tblPrEx>
          <w:tblCellMar>
            <w:top w:w="0" w:type="dxa"/>
            <w:left w:w="108" w:type="dxa"/>
            <w:bottom w:w="0" w:type="dxa"/>
            <w:right w:w="108" w:type="dxa"/>
          </w:tblCellMar>
        </w:tblPrEx>
        <w:trPr>
          <w:trHeight w:val="900"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c>
          <w:tcPr>
            <w:tcW w:w="0" w:type="auto"/>
            <w:vMerge w:val="restart"/>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永宁西路</w:t>
            </w:r>
          </w:p>
        </w:tc>
        <w:tc>
          <w:tcPr>
            <w:tcW w:w="0" w:type="auto"/>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东起御龙湾桥东，西至党校西侧道路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一级</w:t>
            </w:r>
          </w:p>
        </w:tc>
        <w:tc>
          <w:tcPr>
            <w:tcW w:w="0" w:type="auto"/>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1400</w:t>
            </w:r>
          </w:p>
        </w:tc>
        <w:tc>
          <w:tcPr>
            <w:tcW w:w="0" w:type="auto"/>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47600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护栏</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1400</w:t>
            </w:r>
          </w:p>
        </w:tc>
        <w:tc>
          <w:tcPr>
            <w:tcW w:w="0" w:type="auto"/>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29</w:t>
            </w:r>
          </w:p>
        </w:tc>
        <w:tc>
          <w:tcPr>
            <w:tcW w:w="0" w:type="auto"/>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40600</w:t>
            </w:r>
          </w:p>
        </w:tc>
        <w:tc>
          <w:tcPr>
            <w:tcW w:w="0" w:type="auto"/>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1400</w:t>
            </w:r>
          </w:p>
        </w:tc>
        <w:tc>
          <w:tcPr>
            <w:tcW w:w="0" w:type="auto"/>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0" w:type="auto"/>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7000</w:t>
            </w:r>
          </w:p>
        </w:tc>
        <w:tc>
          <w:tcPr>
            <w:tcW w:w="0" w:type="auto"/>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w:t>
            </w:r>
          </w:p>
        </w:tc>
        <w:tc>
          <w:tcPr>
            <w:tcW w:w="0" w:type="auto"/>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w:t>
            </w:r>
          </w:p>
        </w:tc>
        <w:tc>
          <w:tcPr>
            <w:tcW w:w="0" w:type="auto"/>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w:t>
            </w:r>
          </w:p>
        </w:tc>
      </w:tr>
      <w:tr>
        <w:tblPrEx>
          <w:tblCellMar>
            <w:top w:w="0" w:type="dxa"/>
            <w:left w:w="108" w:type="dxa"/>
            <w:bottom w:w="0" w:type="dxa"/>
            <w:right w:w="108" w:type="dxa"/>
          </w:tblCellMar>
        </w:tblPrEx>
        <w:trPr>
          <w:trHeight w:val="58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0" w:type="auto"/>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龙永路-八高</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一级</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1000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24000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护栏</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1000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17</w:t>
            </w:r>
          </w:p>
        </w:tc>
        <w:tc>
          <w:tcPr>
            <w:tcW w:w="0" w:type="auto"/>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17000</w:t>
            </w:r>
          </w:p>
        </w:tc>
        <w:tc>
          <w:tcPr>
            <w:tcW w:w="0" w:type="auto"/>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1000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w:t>
            </w:r>
          </w:p>
        </w:tc>
        <w:tc>
          <w:tcPr>
            <w:tcW w:w="0" w:type="auto"/>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7000</w:t>
            </w:r>
          </w:p>
        </w:tc>
        <w:tc>
          <w:tcPr>
            <w:tcW w:w="0" w:type="auto"/>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auto"/>
                <w:sz w:val="22"/>
                <w:szCs w:val="22"/>
                <w:highlight w:val="none"/>
              </w:rPr>
            </w:pPr>
          </w:p>
        </w:tc>
      </w:tr>
    </w:tbl>
    <w:p>
      <w:pPr>
        <w:pStyle w:val="2"/>
        <w:spacing w:after="156"/>
        <w:ind w:firstLine="280"/>
        <w:rPr>
          <w:color w:val="auto"/>
          <w:highlight w:val="none"/>
        </w:rPr>
      </w:pPr>
    </w:p>
    <w:tbl>
      <w:tblPr>
        <w:tblStyle w:val="42"/>
        <w:tblW w:w="0" w:type="auto"/>
        <w:tblInd w:w="93" w:type="dxa"/>
        <w:tblLayout w:type="fixed"/>
        <w:tblCellMar>
          <w:top w:w="0" w:type="dxa"/>
          <w:left w:w="108" w:type="dxa"/>
          <w:bottom w:w="0" w:type="dxa"/>
          <w:right w:w="108" w:type="dxa"/>
        </w:tblCellMar>
      </w:tblPr>
      <w:tblGrid>
        <w:gridCol w:w="326"/>
        <w:gridCol w:w="639"/>
        <w:gridCol w:w="1221"/>
        <w:gridCol w:w="428"/>
        <w:gridCol w:w="428"/>
        <w:gridCol w:w="383"/>
        <w:gridCol w:w="534"/>
        <w:gridCol w:w="534"/>
        <w:gridCol w:w="428"/>
        <w:gridCol w:w="428"/>
        <w:gridCol w:w="534"/>
        <w:gridCol w:w="438"/>
        <w:gridCol w:w="534"/>
        <w:gridCol w:w="428"/>
        <w:gridCol w:w="383"/>
        <w:gridCol w:w="481"/>
        <w:gridCol w:w="438"/>
        <w:gridCol w:w="428"/>
        <w:gridCol w:w="383"/>
        <w:gridCol w:w="481"/>
        <w:gridCol w:w="481"/>
        <w:gridCol w:w="481"/>
        <w:gridCol w:w="420"/>
        <w:gridCol w:w="420"/>
        <w:gridCol w:w="481"/>
        <w:gridCol w:w="640"/>
        <w:gridCol w:w="958"/>
        <w:gridCol w:w="481"/>
      </w:tblGrid>
      <w:tr>
        <w:tblPrEx>
          <w:tblCellMar>
            <w:top w:w="0" w:type="dxa"/>
            <w:left w:w="108" w:type="dxa"/>
            <w:bottom w:w="0" w:type="dxa"/>
            <w:right w:w="108" w:type="dxa"/>
          </w:tblCellMar>
        </w:tblPrEx>
        <w:trPr>
          <w:trHeight w:val="580" w:hRule="atLeast"/>
        </w:trPr>
        <w:tc>
          <w:tcPr>
            <w:tcW w:w="32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序号</w:t>
            </w:r>
          </w:p>
        </w:tc>
        <w:tc>
          <w:tcPr>
            <w:tcW w:w="63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路名</w:t>
            </w:r>
          </w:p>
        </w:tc>
        <w:tc>
          <w:tcPr>
            <w:tcW w:w="1221"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起止地点</w:t>
            </w:r>
          </w:p>
        </w:tc>
        <w:tc>
          <w:tcPr>
            <w:tcW w:w="42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保洁等级</w:t>
            </w:r>
          </w:p>
        </w:tc>
        <w:tc>
          <w:tcPr>
            <w:tcW w:w="42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道路长度</w:t>
            </w:r>
            <w:r>
              <w:rPr>
                <w:rFonts w:ascii="Arial" w:hAnsi="Arial" w:cs="Arial"/>
                <w:color w:val="auto"/>
                <w:kern w:val="0"/>
                <w:sz w:val="21"/>
                <w:szCs w:val="21"/>
                <w:highlight w:val="none"/>
                <w:lang w:bidi="ar"/>
              </w:rPr>
              <w:t>(m)</w:t>
            </w:r>
          </w:p>
        </w:tc>
        <w:tc>
          <w:tcPr>
            <w:tcW w:w="38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道路宽度</w:t>
            </w:r>
            <w:r>
              <w:rPr>
                <w:rFonts w:ascii="Arial" w:hAnsi="Arial" w:cs="Arial"/>
                <w:color w:val="auto"/>
                <w:kern w:val="0"/>
                <w:sz w:val="21"/>
                <w:szCs w:val="21"/>
                <w:highlight w:val="none"/>
                <w:lang w:bidi="ar"/>
              </w:rPr>
              <w:t>(m)</w:t>
            </w:r>
          </w:p>
        </w:tc>
        <w:tc>
          <w:tcPr>
            <w:tcW w:w="534"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道路总面积</w:t>
            </w:r>
            <w:r>
              <w:rPr>
                <w:rFonts w:ascii="Arial" w:hAnsi="Arial" w:cs="Arial"/>
                <w:color w:val="auto"/>
                <w:kern w:val="0"/>
                <w:sz w:val="21"/>
                <w:szCs w:val="21"/>
                <w:highlight w:val="none"/>
                <w:lang w:bidi="ar"/>
              </w:rPr>
              <w:t xml:space="preserve">   (m²)</w:t>
            </w:r>
          </w:p>
        </w:tc>
        <w:tc>
          <w:tcPr>
            <w:tcW w:w="534"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主路中间隔离带形式（绿化带、护栏或无）</w:t>
            </w:r>
          </w:p>
        </w:tc>
        <w:tc>
          <w:tcPr>
            <w:tcW w:w="139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机动车道</w:t>
            </w:r>
          </w:p>
        </w:tc>
        <w:tc>
          <w:tcPr>
            <w:tcW w:w="43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是、否</w:t>
            </w:r>
          </w:p>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可机扫</w:t>
            </w:r>
          </w:p>
        </w:tc>
        <w:tc>
          <w:tcPr>
            <w:tcW w:w="534"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机非隔离带形式（绿化带、护栏或无）</w:t>
            </w:r>
          </w:p>
        </w:tc>
        <w:tc>
          <w:tcPr>
            <w:tcW w:w="1292"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非机动车道</w:t>
            </w:r>
          </w:p>
        </w:tc>
        <w:tc>
          <w:tcPr>
            <w:tcW w:w="43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人非隔离带形式（绿化带、护栏或无）</w:t>
            </w:r>
          </w:p>
        </w:tc>
        <w:tc>
          <w:tcPr>
            <w:tcW w:w="1292"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人行道</w:t>
            </w:r>
          </w:p>
        </w:tc>
        <w:tc>
          <w:tcPr>
            <w:tcW w:w="2283"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道路红线内的绿地面积</w:t>
            </w:r>
          </w:p>
        </w:tc>
        <w:tc>
          <w:tcPr>
            <w:tcW w:w="2079"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道路红线外的绿地面积</w:t>
            </w:r>
          </w:p>
        </w:tc>
      </w:tr>
      <w:tr>
        <w:tblPrEx>
          <w:tblCellMar>
            <w:top w:w="0" w:type="dxa"/>
            <w:left w:w="108" w:type="dxa"/>
            <w:bottom w:w="0" w:type="dxa"/>
            <w:right w:w="108" w:type="dxa"/>
          </w:tblCellMar>
        </w:tblPrEx>
        <w:trPr>
          <w:trHeight w:val="580" w:hRule="atLeast"/>
        </w:trPr>
        <w:tc>
          <w:tcPr>
            <w:tcW w:w="32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21"/>
                <w:szCs w:val="21"/>
                <w:highlight w:val="none"/>
              </w:rPr>
            </w:pPr>
          </w:p>
        </w:tc>
        <w:tc>
          <w:tcPr>
            <w:tcW w:w="63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21"/>
                <w:szCs w:val="21"/>
                <w:highlight w:val="none"/>
              </w:rPr>
            </w:pPr>
          </w:p>
        </w:tc>
        <w:tc>
          <w:tcPr>
            <w:tcW w:w="122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21"/>
                <w:szCs w:val="21"/>
                <w:highlight w:val="none"/>
              </w:rPr>
            </w:pPr>
          </w:p>
        </w:tc>
        <w:tc>
          <w:tcPr>
            <w:tcW w:w="42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21"/>
                <w:szCs w:val="21"/>
                <w:highlight w:val="none"/>
              </w:rPr>
            </w:pPr>
          </w:p>
        </w:tc>
        <w:tc>
          <w:tcPr>
            <w:tcW w:w="42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21"/>
                <w:szCs w:val="21"/>
                <w:highlight w:val="none"/>
              </w:rPr>
            </w:pPr>
          </w:p>
        </w:tc>
        <w:tc>
          <w:tcPr>
            <w:tcW w:w="38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21"/>
                <w:szCs w:val="21"/>
                <w:highlight w:val="none"/>
              </w:rPr>
            </w:pPr>
          </w:p>
        </w:tc>
        <w:tc>
          <w:tcPr>
            <w:tcW w:w="53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21"/>
                <w:szCs w:val="21"/>
                <w:highlight w:val="none"/>
              </w:rPr>
            </w:pPr>
          </w:p>
        </w:tc>
        <w:tc>
          <w:tcPr>
            <w:tcW w:w="53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21"/>
                <w:szCs w:val="21"/>
                <w:highlight w:val="none"/>
              </w:rPr>
            </w:pPr>
          </w:p>
        </w:tc>
        <w:tc>
          <w:tcPr>
            <w:tcW w:w="428"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长</w:t>
            </w:r>
            <w:r>
              <w:rPr>
                <w:rFonts w:ascii="Arial" w:hAnsi="Arial" w:cs="Arial"/>
                <w:color w:val="auto"/>
                <w:kern w:val="0"/>
                <w:sz w:val="21"/>
                <w:szCs w:val="21"/>
                <w:highlight w:val="none"/>
                <w:lang w:bidi="ar"/>
              </w:rPr>
              <w:t>(m)</w:t>
            </w:r>
          </w:p>
        </w:tc>
        <w:tc>
          <w:tcPr>
            <w:tcW w:w="428"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宽</w:t>
            </w:r>
            <w:r>
              <w:rPr>
                <w:rFonts w:ascii="Arial" w:hAnsi="Arial" w:cs="Arial"/>
                <w:color w:val="auto"/>
                <w:kern w:val="0"/>
                <w:sz w:val="21"/>
                <w:szCs w:val="21"/>
                <w:highlight w:val="none"/>
                <w:lang w:bidi="ar"/>
              </w:rPr>
              <w:t>(m)</w:t>
            </w:r>
          </w:p>
        </w:tc>
        <w:tc>
          <w:tcPr>
            <w:tcW w:w="534"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面积</w:t>
            </w:r>
            <w:r>
              <w:rPr>
                <w:rFonts w:ascii="Arial" w:hAnsi="Arial" w:cs="Arial"/>
                <w:color w:val="auto"/>
                <w:kern w:val="0"/>
                <w:sz w:val="21"/>
                <w:szCs w:val="21"/>
                <w:highlight w:val="none"/>
                <w:lang w:bidi="ar"/>
              </w:rPr>
              <w:t>(m²)</w:t>
            </w: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21"/>
                <w:szCs w:val="21"/>
                <w:highlight w:val="none"/>
              </w:rPr>
            </w:pPr>
          </w:p>
        </w:tc>
        <w:tc>
          <w:tcPr>
            <w:tcW w:w="53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21"/>
                <w:szCs w:val="21"/>
                <w:highlight w:val="none"/>
              </w:rPr>
            </w:pPr>
          </w:p>
        </w:tc>
        <w:tc>
          <w:tcPr>
            <w:tcW w:w="428"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长</w:t>
            </w:r>
            <w:r>
              <w:rPr>
                <w:rFonts w:ascii="Arial" w:hAnsi="Arial" w:cs="Arial"/>
                <w:color w:val="auto"/>
                <w:kern w:val="0"/>
                <w:sz w:val="21"/>
                <w:szCs w:val="21"/>
                <w:highlight w:val="none"/>
                <w:lang w:bidi="ar"/>
              </w:rPr>
              <w:t>(m)</w:t>
            </w:r>
          </w:p>
        </w:tc>
        <w:tc>
          <w:tcPr>
            <w:tcW w:w="383"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宽</w:t>
            </w:r>
            <w:r>
              <w:rPr>
                <w:rFonts w:ascii="Arial" w:hAnsi="Arial" w:cs="Arial"/>
                <w:color w:val="auto"/>
                <w:kern w:val="0"/>
                <w:sz w:val="21"/>
                <w:szCs w:val="21"/>
                <w:highlight w:val="none"/>
                <w:lang w:bidi="ar"/>
              </w:rPr>
              <w:t>(m)</w:t>
            </w:r>
          </w:p>
        </w:tc>
        <w:tc>
          <w:tcPr>
            <w:tcW w:w="481"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面积</w:t>
            </w:r>
            <w:r>
              <w:rPr>
                <w:rFonts w:ascii="Arial" w:hAnsi="Arial" w:cs="Arial"/>
                <w:color w:val="auto"/>
                <w:kern w:val="0"/>
                <w:sz w:val="21"/>
                <w:szCs w:val="21"/>
                <w:highlight w:val="none"/>
                <w:lang w:bidi="ar"/>
              </w:rPr>
              <w:t>(m²)</w:t>
            </w: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21"/>
                <w:szCs w:val="21"/>
                <w:highlight w:val="none"/>
              </w:rPr>
            </w:pPr>
          </w:p>
        </w:tc>
        <w:tc>
          <w:tcPr>
            <w:tcW w:w="428"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长</w:t>
            </w:r>
            <w:r>
              <w:rPr>
                <w:rFonts w:ascii="Arial" w:hAnsi="Arial" w:cs="Arial"/>
                <w:color w:val="auto"/>
                <w:kern w:val="0"/>
                <w:sz w:val="21"/>
                <w:szCs w:val="21"/>
                <w:highlight w:val="none"/>
                <w:lang w:bidi="ar"/>
              </w:rPr>
              <w:t>(m)</w:t>
            </w:r>
          </w:p>
        </w:tc>
        <w:tc>
          <w:tcPr>
            <w:tcW w:w="383"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宽</w:t>
            </w:r>
            <w:r>
              <w:rPr>
                <w:rFonts w:ascii="Arial" w:hAnsi="Arial" w:cs="Arial"/>
                <w:color w:val="auto"/>
                <w:kern w:val="0"/>
                <w:sz w:val="21"/>
                <w:szCs w:val="21"/>
                <w:highlight w:val="none"/>
                <w:lang w:bidi="ar"/>
              </w:rPr>
              <w:t>(m)</w:t>
            </w:r>
          </w:p>
        </w:tc>
        <w:tc>
          <w:tcPr>
            <w:tcW w:w="481"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面积</w:t>
            </w:r>
            <w:r>
              <w:rPr>
                <w:rFonts w:ascii="Arial" w:hAnsi="Arial" w:cs="Arial"/>
                <w:color w:val="auto"/>
                <w:kern w:val="0"/>
                <w:sz w:val="21"/>
                <w:szCs w:val="21"/>
                <w:highlight w:val="none"/>
                <w:lang w:bidi="ar"/>
              </w:rPr>
              <w:t>(m²)</w:t>
            </w:r>
          </w:p>
        </w:tc>
        <w:tc>
          <w:tcPr>
            <w:tcW w:w="481"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中间隔离带</w:t>
            </w:r>
            <w:r>
              <w:rPr>
                <w:rFonts w:ascii="Arial" w:hAnsi="Arial" w:cs="Arial"/>
                <w:color w:val="auto"/>
                <w:kern w:val="0"/>
                <w:sz w:val="21"/>
                <w:szCs w:val="21"/>
                <w:highlight w:val="none"/>
                <w:lang w:bidi="ar"/>
              </w:rPr>
              <w:t>(m²)</w:t>
            </w:r>
          </w:p>
        </w:tc>
        <w:tc>
          <w:tcPr>
            <w:tcW w:w="481"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机非隔离带</w:t>
            </w:r>
            <w:r>
              <w:rPr>
                <w:rFonts w:ascii="Arial" w:hAnsi="Arial" w:cs="Arial"/>
                <w:color w:val="auto"/>
                <w:kern w:val="0"/>
                <w:sz w:val="21"/>
                <w:szCs w:val="21"/>
                <w:highlight w:val="none"/>
                <w:lang w:bidi="ar"/>
              </w:rPr>
              <w:t>(m²)</w:t>
            </w:r>
          </w:p>
        </w:tc>
        <w:tc>
          <w:tcPr>
            <w:tcW w:w="420"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人非隔离带</w:t>
            </w:r>
            <w:r>
              <w:rPr>
                <w:rFonts w:ascii="Arial" w:hAnsi="Arial" w:cs="Arial"/>
                <w:color w:val="auto"/>
                <w:kern w:val="0"/>
                <w:sz w:val="21"/>
                <w:szCs w:val="21"/>
                <w:highlight w:val="none"/>
                <w:lang w:bidi="ar"/>
              </w:rPr>
              <w:t>(m²)</w:t>
            </w:r>
          </w:p>
        </w:tc>
        <w:tc>
          <w:tcPr>
            <w:tcW w:w="420"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人行道外侧绿地</w:t>
            </w:r>
            <w:r>
              <w:rPr>
                <w:rFonts w:ascii="Arial" w:hAnsi="Arial" w:cs="Arial"/>
                <w:color w:val="auto"/>
                <w:kern w:val="0"/>
                <w:sz w:val="21"/>
                <w:szCs w:val="21"/>
                <w:highlight w:val="none"/>
                <w:lang w:bidi="ar"/>
              </w:rPr>
              <w:t>(m²)</w:t>
            </w:r>
          </w:p>
        </w:tc>
        <w:tc>
          <w:tcPr>
            <w:tcW w:w="481"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绿地总面积</w:t>
            </w:r>
            <w:r>
              <w:rPr>
                <w:rFonts w:ascii="Arial" w:hAnsi="Arial" w:cs="Arial"/>
                <w:color w:val="auto"/>
                <w:kern w:val="0"/>
                <w:sz w:val="21"/>
                <w:szCs w:val="21"/>
                <w:highlight w:val="none"/>
                <w:lang w:bidi="ar"/>
              </w:rPr>
              <w:t>(m²)</w:t>
            </w:r>
          </w:p>
        </w:tc>
        <w:tc>
          <w:tcPr>
            <w:tcW w:w="6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绿地名称</w:t>
            </w:r>
          </w:p>
        </w:tc>
        <w:tc>
          <w:tcPr>
            <w:tcW w:w="9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绿地位置</w:t>
            </w:r>
          </w:p>
        </w:tc>
        <w:tc>
          <w:tcPr>
            <w:tcW w:w="4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绿地面积(m²)</w:t>
            </w:r>
          </w:p>
        </w:tc>
      </w:tr>
      <w:tr>
        <w:tblPrEx>
          <w:tblCellMar>
            <w:top w:w="0" w:type="dxa"/>
            <w:left w:w="108" w:type="dxa"/>
            <w:bottom w:w="0" w:type="dxa"/>
            <w:right w:w="108" w:type="dxa"/>
          </w:tblCellMar>
        </w:tblPrEx>
        <w:trPr>
          <w:trHeight w:val="680" w:hRule="atLeast"/>
        </w:trPr>
        <w:tc>
          <w:tcPr>
            <w:tcW w:w="3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63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龙瑶大道</w:t>
            </w:r>
          </w:p>
        </w:tc>
        <w:tc>
          <w:tcPr>
            <w:tcW w:w="12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西起龙永路-东至王尖路</w:t>
            </w:r>
          </w:p>
        </w:tc>
        <w:tc>
          <w:tcPr>
            <w:tcW w:w="42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二级</w:t>
            </w:r>
          </w:p>
        </w:tc>
        <w:tc>
          <w:tcPr>
            <w:tcW w:w="42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1300</w:t>
            </w:r>
          </w:p>
        </w:tc>
        <w:tc>
          <w:tcPr>
            <w:tcW w:w="38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40</w:t>
            </w:r>
          </w:p>
        </w:tc>
        <w:tc>
          <w:tcPr>
            <w:tcW w:w="5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52000</w:t>
            </w:r>
          </w:p>
        </w:tc>
        <w:tc>
          <w:tcPr>
            <w:tcW w:w="5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42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1300</w:t>
            </w:r>
          </w:p>
        </w:tc>
        <w:tc>
          <w:tcPr>
            <w:tcW w:w="42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16</w:t>
            </w:r>
          </w:p>
        </w:tc>
        <w:tc>
          <w:tcPr>
            <w:tcW w:w="5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20800</w:t>
            </w:r>
          </w:p>
        </w:tc>
        <w:tc>
          <w:tcPr>
            <w:tcW w:w="43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是</w:t>
            </w:r>
          </w:p>
        </w:tc>
        <w:tc>
          <w:tcPr>
            <w:tcW w:w="5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绿化带</w:t>
            </w:r>
          </w:p>
        </w:tc>
        <w:tc>
          <w:tcPr>
            <w:tcW w:w="42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1300</w:t>
            </w:r>
          </w:p>
        </w:tc>
        <w:tc>
          <w:tcPr>
            <w:tcW w:w="38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12</w:t>
            </w:r>
          </w:p>
        </w:tc>
        <w:tc>
          <w:tcPr>
            <w:tcW w:w="4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15600</w:t>
            </w:r>
          </w:p>
        </w:tc>
        <w:tc>
          <w:tcPr>
            <w:tcW w:w="43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42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1300</w:t>
            </w:r>
          </w:p>
        </w:tc>
        <w:tc>
          <w:tcPr>
            <w:tcW w:w="38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w:t>
            </w:r>
          </w:p>
        </w:tc>
        <w:tc>
          <w:tcPr>
            <w:tcW w:w="4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10400</w:t>
            </w:r>
          </w:p>
        </w:tc>
        <w:tc>
          <w:tcPr>
            <w:tcW w:w="4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4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5200</w:t>
            </w:r>
          </w:p>
        </w:tc>
        <w:tc>
          <w:tcPr>
            <w:tcW w:w="4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4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4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5200</w:t>
            </w:r>
          </w:p>
        </w:tc>
        <w:tc>
          <w:tcPr>
            <w:tcW w:w="6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滨水绿地</w:t>
            </w:r>
          </w:p>
        </w:tc>
        <w:tc>
          <w:tcPr>
            <w:tcW w:w="9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东悦里南侧河边</w:t>
            </w:r>
          </w:p>
        </w:tc>
        <w:tc>
          <w:tcPr>
            <w:tcW w:w="4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4200</w:t>
            </w:r>
          </w:p>
        </w:tc>
      </w:tr>
      <w:tr>
        <w:tblPrEx>
          <w:tblCellMar>
            <w:top w:w="0" w:type="dxa"/>
            <w:left w:w="108" w:type="dxa"/>
            <w:bottom w:w="0" w:type="dxa"/>
            <w:right w:w="108" w:type="dxa"/>
          </w:tblCellMar>
        </w:tblPrEx>
        <w:trPr>
          <w:trHeight w:val="940" w:hRule="atLeast"/>
        </w:trPr>
        <w:tc>
          <w:tcPr>
            <w:tcW w:w="3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63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环山北路</w:t>
            </w:r>
          </w:p>
        </w:tc>
        <w:tc>
          <w:tcPr>
            <w:tcW w:w="12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曹龙路-皇岙隧道前</w:t>
            </w:r>
          </w:p>
        </w:tc>
        <w:tc>
          <w:tcPr>
            <w:tcW w:w="42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二级</w:t>
            </w:r>
          </w:p>
        </w:tc>
        <w:tc>
          <w:tcPr>
            <w:tcW w:w="42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4200</w:t>
            </w:r>
          </w:p>
        </w:tc>
        <w:tc>
          <w:tcPr>
            <w:tcW w:w="38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50</w:t>
            </w:r>
          </w:p>
        </w:tc>
        <w:tc>
          <w:tcPr>
            <w:tcW w:w="5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210000</w:t>
            </w:r>
          </w:p>
        </w:tc>
        <w:tc>
          <w:tcPr>
            <w:tcW w:w="5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绿化带</w:t>
            </w:r>
          </w:p>
        </w:tc>
        <w:tc>
          <w:tcPr>
            <w:tcW w:w="42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4200</w:t>
            </w:r>
          </w:p>
        </w:tc>
        <w:tc>
          <w:tcPr>
            <w:tcW w:w="42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24</w:t>
            </w:r>
          </w:p>
        </w:tc>
        <w:tc>
          <w:tcPr>
            <w:tcW w:w="5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100800</w:t>
            </w:r>
          </w:p>
        </w:tc>
        <w:tc>
          <w:tcPr>
            <w:tcW w:w="43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是</w:t>
            </w:r>
          </w:p>
        </w:tc>
        <w:tc>
          <w:tcPr>
            <w:tcW w:w="5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绿化带</w:t>
            </w:r>
          </w:p>
        </w:tc>
        <w:tc>
          <w:tcPr>
            <w:tcW w:w="42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4200</w:t>
            </w:r>
          </w:p>
        </w:tc>
        <w:tc>
          <w:tcPr>
            <w:tcW w:w="38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w:t>
            </w:r>
          </w:p>
        </w:tc>
        <w:tc>
          <w:tcPr>
            <w:tcW w:w="4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29400</w:t>
            </w:r>
          </w:p>
        </w:tc>
        <w:tc>
          <w:tcPr>
            <w:tcW w:w="43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42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4200</w:t>
            </w:r>
          </w:p>
        </w:tc>
        <w:tc>
          <w:tcPr>
            <w:tcW w:w="38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10</w:t>
            </w:r>
          </w:p>
        </w:tc>
        <w:tc>
          <w:tcPr>
            <w:tcW w:w="4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42000</w:t>
            </w:r>
          </w:p>
        </w:tc>
        <w:tc>
          <w:tcPr>
            <w:tcW w:w="4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21000</w:t>
            </w:r>
          </w:p>
        </w:tc>
        <w:tc>
          <w:tcPr>
            <w:tcW w:w="4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16800</w:t>
            </w:r>
          </w:p>
        </w:tc>
        <w:tc>
          <w:tcPr>
            <w:tcW w:w="4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4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4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37800</w:t>
            </w:r>
          </w:p>
        </w:tc>
        <w:tc>
          <w:tcPr>
            <w:tcW w:w="6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95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48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r>
      <w:tr>
        <w:tblPrEx>
          <w:tblCellMar>
            <w:top w:w="0" w:type="dxa"/>
            <w:left w:w="108" w:type="dxa"/>
            <w:bottom w:w="0" w:type="dxa"/>
            <w:right w:w="108" w:type="dxa"/>
          </w:tblCellMar>
        </w:tblPrEx>
        <w:trPr>
          <w:trHeight w:val="920" w:hRule="atLeast"/>
        </w:trPr>
        <w:tc>
          <w:tcPr>
            <w:tcW w:w="3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c>
          <w:tcPr>
            <w:tcW w:w="6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孚敬路</w:t>
            </w:r>
          </w:p>
        </w:tc>
        <w:tc>
          <w:tcPr>
            <w:tcW w:w="12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龙永路-瓯海大道</w:t>
            </w:r>
          </w:p>
        </w:tc>
        <w:tc>
          <w:tcPr>
            <w:tcW w:w="4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二级</w:t>
            </w:r>
          </w:p>
        </w:tc>
        <w:tc>
          <w:tcPr>
            <w:tcW w:w="4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1362</w:t>
            </w:r>
          </w:p>
        </w:tc>
        <w:tc>
          <w:tcPr>
            <w:tcW w:w="3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24</w:t>
            </w:r>
          </w:p>
        </w:tc>
        <w:tc>
          <w:tcPr>
            <w:tcW w:w="5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32688</w:t>
            </w:r>
          </w:p>
        </w:tc>
        <w:tc>
          <w:tcPr>
            <w:tcW w:w="5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护栏</w:t>
            </w:r>
          </w:p>
        </w:tc>
        <w:tc>
          <w:tcPr>
            <w:tcW w:w="42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1362</w:t>
            </w:r>
          </w:p>
        </w:tc>
        <w:tc>
          <w:tcPr>
            <w:tcW w:w="4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15</w:t>
            </w:r>
          </w:p>
        </w:tc>
        <w:tc>
          <w:tcPr>
            <w:tcW w:w="5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20430</w:t>
            </w: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是</w:t>
            </w:r>
          </w:p>
        </w:tc>
        <w:tc>
          <w:tcPr>
            <w:tcW w:w="5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护栏</w:t>
            </w:r>
          </w:p>
        </w:tc>
        <w:tc>
          <w:tcPr>
            <w:tcW w:w="42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3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4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42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1362</w:t>
            </w:r>
          </w:p>
        </w:tc>
        <w:tc>
          <w:tcPr>
            <w:tcW w:w="3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9</w:t>
            </w:r>
          </w:p>
        </w:tc>
        <w:tc>
          <w:tcPr>
            <w:tcW w:w="4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12258</w:t>
            </w:r>
          </w:p>
        </w:tc>
        <w:tc>
          <w:tcPr>
            <w:tcW w:w="4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4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4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6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校东公园</w:t>
            </w:r>
          </w:p>
        </w:tc>
        <w:tc>
          <w:tcPr>
            <w:tcW w:w="9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党校东侧</w:t>
            </w:r>
          </w:p>
        </w:tc>
        <w:tc>
          <w:tcPr>
            <w:tcW w:w="4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10690</w:t>
            </w:r>
          </w:p>
        </w:tc>
      </w:tr>
      <w:tr>
        <w:tblPrEx>
          <w:tblCellMar>
            <w:top w:w="0" w:type="dxa"/>
            <w:left w:w="108" w:type="dxa"/>
            <w:bottom w:w="0" w:type="dxa"/>
            <w:right w:w="108" w:type="dxa"/>
          </w:tblCellMar>
        </w:tblPrEx>
        <w:trPr>
          <w:trHeight w:val="860" w:hRule="atLeast"/>
        </w:trPr>
        <w:tc>
          <w:tcPr>
            <w:tcW w:w="3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6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首辅路</w:t>
            </w:r>
          </w:p>
        </w:tc>
        <w:tc>
          <w:tcPr>
            <w:tcW w:w="12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永宁西路-龙永路</w:t>
            </w:r>
          </w:p>
        </w:tc>
        <w:tc>
          <w:tcPr>
            <w:tcW w:w="4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二级</w:t>
            </w:r>
          </w:p>
        </w:tc>
        <w:tc>
          <w:tcPr>
            <w:tcW w:w="4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950</w:t>
            </w:r>
          </w:p>
        </w:tc>
        <w:tc>
          <w:tcPr>
            <w:tcW w:w="3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24</w:t>
            </w:r>
          </w:p>
        </w:tc>
        <w:tc>
          <w:tcPr>
            <w:tcW w:w="5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22800</w:t>
            </w:r>
          </w:p>
        </w:tc>
        <w:tc>
          <w:tcPr>
            <w:tcW w:w="5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42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950</w:t>
            </w:r>
          </w:p>
        </w:tc>
        <w:tc>
          <w:tcPr>
            <w:tcW w:w="4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9</w:t>
            </w:r>
          </w:p>
        </w:tc>
        <w:tc>
          <w:tcPr>
            <w:tcW w:w="5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8550</w:t>
            </w: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是</w:t>
            </w:r>
          </w:p>
        </w:tc>
        <w:tc>
          <w:tcPr>
            <w:tcW w:w="5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4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950</w:t>
            </w:r>
          </w:p>
        </w:tc>
        <w:tc>
          <w:tcPr>
            <w:tcW w:w="3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c>
          <w:tcPr>
            <w:tcW w:w="4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5700</w:t>
            </w: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42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950</w:t>
            </w:r>
          </w:p>
        </w:tc>
        <w:tc>
          <w:tcPr>
            <w:tcW w:w="3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9</w:t>
            </w:r>
          </w:p>
        </w:tc>
        <w:tc>
          <w:tcPr>
            <w:tcW w:w="4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8550</w:t>
            </w:r>
          </w:p>
        </w:tc>
        <w:tc>
          <w:tcPr>
            <w:tcW w:w="4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4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4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6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滨水绿地</w:t>
            </w:r>
          </w:p>
        </w:tc>
        <w:tc>
          <w:tcPr>
            <w:tcW w:w="9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高尔夫艺墅背面</w:t>
            </w:r>
          </w:p>
        </w:tc>
        <w:tc>
          <w:tcPr>
            <w:tcW w:w="4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4320</w:t>
            </w:r>
          </w:p>
        </w:tc>
      </w:tr>
      <w:tr>
        <w:tblPrEx>
          <w:tblCellMar>
            <w:top w:w="0" w:type="dxa"/>
            <w:left w:w="108" w:type="dxa"/>
            <w:bottom w:w="0" w:type="dxa"/>
            <w:right w:w="108" w:type="dxa"/>
          </w:tblCellMar>
        </w:tblPrEx>
        <w:trPr>
          <w:trHeight w:val="940" w:hRule="atLeast"/>
        </w:trPr>
        <w:tc>
          <w:tcPr>
            <w:tcW w:w="3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63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阳明路</w:t>
            </w:r>
          </w:p>
        </w:tc>
        <w:tc>
          <w:tcPr>
            <w:tcW w:w="12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南至茅永路，北至机场路</w:t>
            </w:r>
          </w:p>
        </w:tc>
        <w:tc>
          <w:tcPr>
            <w:tcW w:w="4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二级</w:t>
            </w:r>
          </w:p>
        </w:tc>
        <w:tc>
          <w:tcPr>
            <w:tcW w:w="42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940</w:t>
            </w:r>
          </w:p>
        </w:tc>
        <w:tc>
          <w:tcPr>
            <w:tcW w:w="38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24</w:t>
            </w:r>
          </w:p>
        </w:tc>
        <w:tc>
          <w:tcPr>
            <w:tcW w:w="5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22560</w:t>
            </w:r>
          </w:p>
        </w:tc>
        <w:tc>
          <w:tcPr>
            <w:tcW w:w="5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42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940</w:t>
            </w:r>
          </w:p>
        </w:tc>
        <w:tc>
          <w:tcPr>
            <w:tcW w:w="42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14</w:t>
            </w:r>
          </w:p>
        </w:tc>
        <w:tc>
          <w:tcPr>
            <w:tcW w:w="5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13160</w:t>
            </w: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是</w:t>
            </w:r>
          </w:p>
        </w:tc>
        <w:tc>
          <w:tcPr>
            <w:tcW w:w="5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4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38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4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42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940</w:t>
            </w:r>
          </w:p>
        </w:tc>
        <w:tc>
          <w:tcPr>
            <w:tcW w:w="38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10</w:t>
            </w:r>
          </w:p>
        </w:tc>
        <w:tc>
          <w:tcPr>
            <w:tcW w:w="4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9400</w:t>
            </w:r>
          </w:p>
        </w:tc>
        <w:tc>
          <w:tcPr>
            <w:tcW w:w="4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4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4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6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街头绿地</w:t>
            </w:r>
          </w:p>
        </w:tc>
        <w:tc>
          <w:tcPr>
            <w:tcW w:w="9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小楼下小公园</w:t>
            </w:r>
          </w:p>
        </w:tc>
        <w:tc>
          <w:tcPr>
            <w:tcW w:w="4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1500</w:t>
            </w:r>
          </w:p>
        </w:tc>
      </w:tr>
      <w:tr>
        <w:tblPrEx>
          <w:tblCellMar>
            <w:top w:w="0" w:type="dxa"/>
            <w:left w:w="108" w:type="dxa"/>
            <w:bottom w:w="0" w:type="dxa"/>
            <w:right w:w="108" w:type="dxa"/>
          </w:tblCellMar>
        </w:tblPrEx>
        <w:trPr>
          <w:trHeight w:val="580" w:hRule="atLeast"/>
        </w:trPr>
        <w:tc>
          <w:tcPr>
            <w:tcW w:w="3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c>
          <w:tcPr>
            <w:tcW w:w="63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石龙路</w:t>
            </w:r>
          </w:p>
        </w:tc>
        <w:tc>
          <w:tcPr>
            <w:tcW w:w="122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河头龙西路-瓯海大道</w:t>
            </w:r>
          </w:p>
        </w:tc>
        <w:tc>
          <w:tcPr>
            <w:tcW w:w="42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二级</w:t>
            </w:r>
          </w:p>
        </w:tc>
        <w:tc>
          <w:tcPr>
            <w:tcW w:w="42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400</w:t>
            </w:r>
          </w:p>
        </w:tc>
        <w:tc>
          <w:tcPr>
            <w:tcW w:w="38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24</w:t>
            </w:r>
          </w:p>
        </w:tc>
        <w:tc>
          <w:tcPr>
            <w:tcW w:w="5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9600</w:t>
            </w:r>
          </w:p>
        </w:tc>
        <w:tc>
          <w:tcPr>
            <w:tcW w:w="5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42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400</w:t>
            </w:r>
          </w:p>
        </w:tc>
        <w:tc>
          <w:tcPr>
            <w:tcW w:w="42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19</w:t>
            </w:r>
          </w:p>
        </w:tc>
        <w:tc>
          <w:tcPr>
            <w:tcW w:w="5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7600</w:t>
            </w: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是</w:t>
            </w:r>
          </w:p>
        </w:tc>
        <w:tc>
          <w:tcPr>
            <w:tcW w:w="5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4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38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4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42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400</w:t>
            </w:r>
          </w:p>
        </w:tc>
        <w:tc>
          <w:tcPr>
            <w:tcW w:w="38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4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2000</w:t>
            </w:r>
          </w:p>
        </w:tc>
        <w:tc>
          <w:tcPr>
            <w:tcW w:w="4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4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4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6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95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48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r>
      <w:tr>
        <w:tblPrEx>
          <w:tblCellMar>
            <w:top w:w="0" w:type="dxa"/>
            <w:left w:w="108" w:type="dxa"/>
            <w:bottom w:w="0" w:type="dxa"/>
            <w:right w:w="108" w:type="dxa"/>
          </w:tblCellMar>
        </w:tblPrEx>
        <w:trPr>
          <w:trHeight w:val="580" w:hRule="atLeast"/>
        </w:trPr>
        <w:tc>
          <w:tcPr>
            <w:tcW w:w="3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w:t>
            </w:r>
          </w:p>
        </w:tc>
        <w:tc>
          <w:tcPr>
            <w:tcW w:w="63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瑶川路</w:t>
            </w:r>
          </w:p>
        </w:tc>
        <w:tc>
          <w:tcPr>
            <w:tcW w:w="12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西起龙永路-东至南洋大道</w:t>
            </w:r>
          </w:p>
        </w:tc>
        <w:tc>
          <w:tcPr>
            <w:tcW w:w="42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二级</w:t>
            </w:r>
          </w:p>
        </w:tc>
        <w:tc>
          <w:tcPr>
            <w:tcW w:w="42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934</w:t>
            </w:r>
          </w:p>
        </w:tc>
        <w:tc>
          <w:tcPr>
            <w:tcW w:w="38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24</w:t>
            </w:r>
          </w:p>
        </w:tc>
        <w:tc>
          <w:tcPr>
            <w:tcW w:w="5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22416</w:t>
            </w:r>
          </w:p>
        </w:tc>
        <w:tc>
          <w:tcPr>
            <w:tcW w:w="5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42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934</w:t>
            </w:r>
          </w:p>
        </w:tc>
        <w:tc>
          <w:tcPr>
            <w:tcW w:w="42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18</w:t>
            </w:r>
          </w:p>
        </w:tc>
        <w:tc>
          <w:tcPr>
            <w:tcW w:w="5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16812</w:t>
            </w:r>
          </w:p>
        </w:tc>
        <w:tc>
          <w:tcPr>
            <w:tcW w:w="43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是</w:t>
            </w:r>
          </w:p>
        </w:tc>
        <w:tc>
          <w:tcPr>
            <w:tcW w:w="5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4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38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4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43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42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934</w:t>
            </w:r>
          </w:p>
        </w:tc>
        <w:tc>
          <w:tcPr>
            <w:tcW w:w="38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c>
          <w:tcPr>
            <w:tcW w:w="4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5604</w:t>
            </w:r>
          </w:p>
        </w:tc>
        <w:tc>
          <w:tcPr>
            <w:tcW w:w="4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4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4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4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4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6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95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48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r>
      <w:tr>
        <w:tblPrEx>
          <w:tblCellMar>
            <w:top w:w="0" w:type="dxa"/>
            <w:left w:w="108" w:type="dxa"/>
            <w:bottom w:w="0" w:type="dxa"/>
            <w:right w:w="108" w:type="dxa"/>
          </w:tblCellMar>
        </w:tblPrEx>
        <w:trPr>
          <w:trHeight w:val="580" w:hRule="atLeast"/>
        </w:trPr>
        <w:tc>
          <w:tcPr>
            <w:tcW w:w="3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w:t>
            </w:r>
          </w:p>
        </w:tc>
        <w:tc>
          <w:tcPr>
            <w:tcW w:w="63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瑶岭路</w:t>
            </w:r>
          </w:p>
        </w:tc>
        <w:tc>
          <w:tcPr>
            <w:tcW w:w="12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北起温州大道-南至龙瑶大道</w:t>
            </w:r>
          </w:p>
        </w:tc>
        <w:tc>
          <w:tcPr>
            <w:tcW w:w="42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二级</w:t>
            </w:r>
          </w:p>
        </w:tc>
        <w:tc>
          <w:tcPr>
            <w:tcW w:w="42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545</w:t>
            </w:r>
          </w:p>
        </w:tc>
        <w:tc>
          <w:tcPr>
            <w:tcW w:w="38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24</w:t>
            </w:r>
          </w:p>
        </w:tc>
        <w:tc>
          <w:tcPr>
            <w:tcW w:w="5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13080</w:t>
            </w:r>
          </w:p>
        </w:tc>
        <w:tc>
          <w:tcPr>
            <w:tcW w:w="5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42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545</w:t>
            </w:r>
          </w:p>
        </w:tc>
        <w:tc>
          <w:tcPr>
            <w:tcW w:w="42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18</w:t>
            </w:r>
          </w:p>
        </w:tc>
        <w:tc>
          <w:tcPr>
            <w:tcW w:w="5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9810</w:t>
            </w:r>
          </w:p>
        </w:tc>
        <w:tc>
          <w:tcPr>
            <w:tcW w:w="43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是</w:t>
            </w:r>
          </w:p>
        </w:tc>
        <w:tc>
          <w:tcPr>
            <w:tcW w:w="5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4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38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4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43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42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545</w:t>
            </w:r>
          </w:p>
        </w:tc>
        <w:tc>
          <w:tcPr>
            <w:tcW w:w="38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c>
          <w:tcPr>
            <w:tcW w:w="4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3270</w:t>
            </w:r>
          </w:p>
        </w:tc>
        <w:tc>
          <w:tcPr>
            <w:tcW w:w="4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4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4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4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4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6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95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48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r>
      <w:tr>
        <w:tblPrEx>
          <w:tblCellMar>
            <w:top w:w="0" w:type="dxa"/>
            <w:left w:w="108" w:type="dxa"/>
            <w:bottom w:w="0" w:type="dxa"/>
            <w:right w:w="108" w:type="dxa"/>
          </w:tblCellMar>
        </w:tblPrEx>
        <w:trPr>
          <w:trHeight w:val="580" w:hRule="atLeast"/>
        </w:trPr>
        <w:tc>
          <w:tcPr>
            <w:tcW w:w="3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9</w:t>
            </w:r>
          </w:p>
        </w:tc>
        <w:tc>
          <w:tcPr>
            <w:tcW w:w="63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瑶滨路</w:t>
            </w:r>
          </w:p>
        </w:tc>
        <w:tc>
          <w:tcPr>
            <w:tcW w:w="12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北起温州大道-南至龙瑶大道</w:t>
            </w:r>
          </w:p>
        </w:tc>
        <w:tc>
          <w:tcPr>
            <w:tcW w:w="42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二级</w:t>
            </w:r>
          </w:p>
        </w:tc>
        <w:tc>
          <w:tcPr>
            <w:tcW w:w="42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519</w:t>
            </w:r>
          </w:p>
        </w:tc>
        <w:tc>
          <w:tcPr>
            <w:tcW w:w="38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24</w:t>
            </w:r>
          </w:p>
        </w:tc>
        <w:tc>
          <w:tcPr>
            <w:tcW w:w="5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12456</w:t>
            </w:r>
          </w:p>
        </w:tc>
        <w:tc>
          <w:tcPr>
            <w:tcW w:w="5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42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519</w:t>
            </w:r>
          </w:p>
        </w:tc>
        <w:tc>
          <w:tcPr>
            <w:tcW w:w="42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18</w:t>
            </w:r>
          </w:p>
        </w:tc>
        <w:tc>
          <w:tcPr>
            <w:tcW w:w="5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9342</w:t>
            </w:r>
          </w:p>
        </w:tc>
        <w:tc>
          <w:tcPr>
            <w:tcW w:w="43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是</w:t>
            </w:r>
          </w:p>
        </w:tc>
        <w:tc>
          <w:tcPr>
            <w:tcW w:w="5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4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38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4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43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42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519</w:t>
            </w:r>
          </w:p>
        </w:tc>
        <w:tc>
          <w:tcPr>
            <w:tcW w:w="38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c>
          <w:tcPr>
            <w:tcW w:w="4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3114</w:t>
            </w:r>
          </w:p>
        </w:tc>
        <w:tc>
          <w:tcPr>
            <w:tcW w:w="4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4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4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4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4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6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95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48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r>
      <w:tr>
        <w:tblPrEx>
          <w:tblCellMar>
            <w:top w:w="0" w:type="dxa"/>
            <w:left w:w="108" w:type="dxa"/>
            <w:bottom w:w="0" w:type="dxa"/>
            <w:right w:w="108" w:type="dxa"/>
          </w:tblCellMar>
        </w:tblPrEx>
        <w:trPr>
          <w:trHeight w:val="580" w:hRule="atLeast"/>
        </w:trPr>
        <w:tc>
          <w:tcPr>
            <w:tcW w:w="3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9</w:t>
            </w:r>
          </w:p>
        </w:tc>
        <w:tc>
          <w:tcPr>
            <w:tcW w:w="63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规二路</w:t>
            </w:r>
          </w:p>
        </w:tc>
        <w:tc>
          <w:tcPr>
            <w:tcW w:w="12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南洋大道-云谷西面</w:t>
            </w:r>
          </w:p>
        </w:tc>
        <w:tc>
          <w:tcPr>
            <w:tcW w:w="42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二级</w:t>
            </w:r>
          </w:p>
        </w:tc>
        <w:tc>
          <w:tcPr>
            <w:tcW w:w="42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225</w:t>
            </w:r>
          </w:p>
        </w:tc>
        <w:tc>
          <w:tcPr>
            <w:tcW w:w="38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24</w:t>
            </w:r>
          </w:p>
        </w:tc>
        <w:tc>
          <w:tcPr>
            <w:tcW w:w="5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5400</w:t>
            </w:r>
          </w:p>
        </w:tc>
        <w:tc>
          <w:tcPr>
            <w:tcW w:w="5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绿化带</w:t>
            </w:r>
          </w:p>
        </w:tc>
        <w:tc>
          <w:tcPr>
            <w:tcW w:w="42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225</w:t>
            </w:r>
          </w:p>
        </w:tc>
        <w:tc>
          <w:tcPr>
            <w:tcW w:w="42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14</w:t>
            </w:r>
          </w:p>
        </w:tc>
        <w:tc>
          <w:tcPr>
            <w:tcW w:w="5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3150</w:t>
            </w:r>
          </w:p>
        </w:tc>
        <w:tc>
          <w:tcPr>
            <w:tcW w:w="43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是</w:t>
            </w:r>
          </w:p>
        </w:tc>
        <w:tc>
          <w:tcPr>
            <w:tcW w:w="5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4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3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4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43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42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225</w:t>
            </w:r>
          </w:p>
        </w:tc>
        <w:tc>
          <w:tcPr>
            <w:tcW w:w="38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c>
          <w:tcPr>
            <w:tcW w:w="4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1350</w:t>
            </w:r>
          </w:p>
        </w:tc>
        <w:tc>
          <w:tcPr>
            <w:tcW w:w="4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900</w:t>
            </w:r>
          </w:p>
        </w:tc>
        <w:tc>
          <w:tcPr>
            <w:tcW w:w="4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4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4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4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900</w:t>
            </w:r>
          </w:p>
        </w:tc>
        <w:tc>
          <w:tcPr>
            <w:tcW w:w="6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95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48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r>
      <w:tr>
        <w:tblPrEx>
          <w:tblCellMar>
            <w:top w:w="0" w:type="dxa"/>
            <w:left w:w="108" w:type="dxa"/>
            <w:bottom w:w="0" w:type="dxa"/>
            <w:right w:w="108" w:type="dxa"/>
          </w:tblCellMar>
        </w:tblPrEx>
        <w:trPr>
          <w:trHeight w:val="580" w:hRule="atLeast"/>
        </w:trPr>
        <w:tc>
          <w:tcPr>
            <w:tcW w:w="3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10</w:t>
            </w:r>
          </w:p>
        </w:tc>
        <w:tc>
          <w:tcPr>
            <w:tcW w:w="63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水埠路</w:t>
            </w:r>
          </w:p>
        </w:tc>
        <w:tc>
          <w:tcPr>
            <w:tcW w:w="12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南洋大道-王尖路</w:t>
            </w:r>
          </w:p>
        </w:tc>
        <w:tc>
          <w:tcPr>
            <w:tcW w:w="42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二级</w:t>
            </w:r>
          </w:p>
        </w:tc>
        <w:tc>
          <w:tcPr>
            <w:tcW w:w="42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390</w:t>
            </w:r>
          </w:p>
        </w:tc>
        <w:tc>
          <w:tcPr>
            <w:tcW w:w="38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24</w:t>
            </w:r>
          </w:p>
        </w:tc>
        <w:tc>
          <w:tcPr>
            <w:tcW w:w="5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9360</w:t>
            </w:r>
          </w:p>
        </w:tc>
        <w:tc>
          <w:tcPr>
            <w:tcW w:w="5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护栏</w:t>
            </w:r>
          </w:p>
        </w:tc>
        <w:tc>
          <w:tcPr>
            <w:tcW w:w="42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390</w:t>
            </w:r>
          </w:p>
        </w:tc>
        <w:tc>
          <w:tcPr>
            <w:tcW w:w="42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19</w:t>
            </w:r>
          </w:p>
        </w:tc>
        <w:tc>
          <w:tcPr>
            <w:tcW w:w="5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7410</w:t>
            </w:r>
          </w:p>
        </w:tc>
        <w:tc>
          <w:tcPr>
            <w:tcW w:w="43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是</w:t>
            </w:r>
          </w:p>
        </w:tc>
        <w:tc>
          <w:tcPr>
            <w:tcW w:w="5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4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3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4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43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42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390</w:t>
            </w:r>
          </w:p>
        </w:tc>
        <w:tc>
          <w:tcPr>
            <w:tcW w:w="38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4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1950</w:t>
            </w:r>
          </w:p>
        </w:tc>
        <w:tc>
          <w:tcPr>
            <w:tcW w:w="4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4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4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4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4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6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95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48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r>
      <w:tr>
        <w:tblPrEx>
          <w:tblCellMar>
            <w:top w:w="0" w:type="dxa"/>
            <w:left w:w="108" w:type="dxa"/>
            <w:bottom w:w="0" w:type="dxa"/>
            <w:right w:w="108" w:type="dxa"/>
          </w:tblCellMar>
        </w:tblPrEx>
        <w:trPr>
          <w:trHeight w:val="580" w:hRule="atLeast"/>
        </w:trPr>
        <w:tc>
          <w:tcPr>
            <w:tcW w:w="3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11</w:t>
            </w:r>
          </w:p>
        </w:tc>
        <w:tc>
          <w:tcPr>
            <w:tcW w:w="63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王尖路</w:t>
            </w:r>
          </w:p>
        </w:tc>
        <w:tc>
          <w:tcPr>
            <w:tcW w:w="12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龙瑶大道-龙岗路</w:t>
            </w:r>
          </w:p>
        </w:tc>
        <w:tc>
          <w:tcPr>
            <w:tcW w:w="42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二级</w:t>
            </w:r>
          </w:p>
        </w:tc>
        <w:tc>
          <w:tcPr>
            <w:tcW w:w="42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900</w:t>
            </w:r>
          </w:p>
        </w:tc>
        <w:tc>
          <w:tcPr>
            <w:tcW w:w="38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28</w:t>
            </w:r>
          </w:p>
        </w:tc>
        <w:tc>
          <w:tcPr>
            <w:tcW w:w="5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25200</w:t>
            </w:r>
          </w:p>
        </w:tc>
        <w:tc>
          <w:tcPr>
            <w:tcW w:w="5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护栏</w:t>
            </w:r>
          </w:p>
        </w:tc>
        <w:tc>
          <w:tcPr>
            <w:tcW w:w="42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900</w:t>
            </w:r>
          </w:p>
        </w:tc>
        <w:tc>
          <w:tcPr>
            <w:tcW w:w="42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16.5</w:t>
            </w:r>
          </w:p>
        </w:tc>
        <w:tc>
          <w:tcPr>
            <w:tcW w:w="5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14850</w:t>
            </w:r>
          </w:p>
        </w:tc>
        <w:tc>
          <w:tcPr>
            <w:tcW w:w="43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是</w:t>
            </w:r>
          </w:p>
        </w:tc>
        <w:tc>
          <w:tcPr>
            <w:tcW w:w="5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绿化带</w:t>
            </w:r>
          </w:p>
        </w:tc>
        <w:tc>
          <w:tcPr>
            <w:tcW w:w="42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900</w:t>
            </w:r>
          </w:p>
        </w:tc>
        <w:tc>
          <w:tcPr>
            <w:tcW w:w="38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4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4500</w:t>
            </w:r>
          </w:p>
        </w:tc>
        <w:tc>
          <w:tcPr>
            <w:tcW w:w="43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42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900</w:t>
            </w:r>
          </w:p>
        </w:tc>
        <w:tc>
          <w:tcPr>
            <w:tcW w:w="38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4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3600</w:t>
            </w:r>
          </w:p>
        </w:tc>
        <w:tc>
          <w:tcPr>
            <w:tcW w:w="4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4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2250</w:t>
            </w:r>
          </w:p>
        </w:tc>
        <w:tc>
          <w:tcPr>
            <w:tcW w:w="4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4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4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2250</w:t>
            </w:r>
          </w:p>
        </w:tc>
        <w:tc>
          <w:tcPr>
            <w:tcW w:w="6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95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481" w:type="dxa"/>
            <w:tcBorders>
              <w:top w:val="nil"/>
              <w:left w:val="nil"/>
              <w:bottom w:val="nil"/>
              <w:right w:val="nil"/>
            </w:tcBorders>
            <w:noWrap/>
            <w:vAlign w:val="center"/>
          </w:tcPr>
          <w:p>
            <w:pPr>
              <w:rPr>
                <w:rFonts w:hint="eastAsia" w:ascii="宋体" w:hAnsi="宋体" w:cs="宋体"/>
                <w:color w:val="auto"/>
                <w:sz w:val="22"/>
                <w:szCs w:val="22"/>
                <w:highlight w:val="none"/>
              </w:rPr>
            </w:pPr>
          </w:p>
        </w:tc>
      </w:tr>
    </w:tbl>
    <w:p>
      <w:pPr>
        <w:rPr>
          <w:color w:val="auto"/>
          <w:highlight w:val="none"/>
        </w:rPr>
      </w:pPr>
    </w:p>
    <w:tbl>
      <w:tblPr>
        <w:tblStyle w:val="42"/>
        <w:tblW w:w="0" w:type="auto"/>
        <w:tblInd w:w="93" w:type="dxa"/>
        <w:tblLayout w:type="autofit"/>
        <w:tblCellMar>
          <w:top w:w="0" w:type="dxa"/>
          <w:left w:w="108" w:type="dxa"/>
          <w:bottom w:w="0" w:type="dxa"/>
          <w:right w:w="108" w:type="dxa"/>
        </w:tblCellMar>
      </w:tblPr>
      <w:tblGrid>
        <w:gridCol w:w="343"/>
        <w:gridCol w:w="726"/>
        <w:gridCol w:w="1268"/>
        <w:gridCol w:w="343"/>
        <w:gridCol w:w="471"/>
        <w:gridCol w:w="407"/>
        <w:gridCol w:w="535"/>
        <w:gridCol w:w="471"/>
        <w:gridCol w:w="471"/>
        <w:gridCol w:w="407"/>
        <w:gridCol w:w="535"/>
        <w:gridCol w:w="471"/>
        <w:gridCol w:w="471"/>
        <w:gridCol w:w="407"/>
        <w:gridCol w:w="407"/>
        <w:gridCol w:w="471"/>
        <w:gridCol w:w="471"/>
        <w:gridCol w:w="471"/>
        <w:gridCol w:w="407"/>
        <w:gridCol w:w="535"/>
        <w:gridCol w:w="471"/>
        <w:gridCol w:w="471"/>
        <w:gridCol w:w="471"/>
        <w:gridCol w:w="471"/>
        <w:gridCol w:w="471"/>
        <w:gridCol w:w="471"/>
        <w:gridCol w:w="790"/>
        <w:gridCol w:w="535"/>
      </w:tblGrid>
      <w:tr>
        <w:tblPrEx>
          <w:tblCellMar>
            <w:top w:w="0" w:type="dxa"/>
            <w:left w:w="108" w:type="dxa"/>
            <w:bottom w:w="0" w:type="dxa"/>
            <w:right w:w="108" w:type="dxa"/>
          </w:tblCellMar>
        </w:tblPrEx>
        <w:trPr>
          <w:trHeight w:val="58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序号</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路名</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起止地点</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保洁等级</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道路长度(m)</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道路宽度(m)</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道路总面积   (m²)</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主路中间隔离带形式（绿化带、护栏或无）</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机动车道</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是、否</w:t>
            </w:r>
          </w:p>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可机扫</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机非隔离带形式（绿化带、护栏或无）</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非机动车道</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人非隔离带形式（绿化带、护栏或无）</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人行道</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道路红线内的绿地面积</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道路红线外的绿地面积</w:t>
            </w:r>
          </w:p>
        </w:tc>
      </w:tr>
      <w:tr>
        <w:tblPrEx>
          <w:tblCellMar>
            <w:top w:w="0" w:type="dxa"/>
            <w:left w:w="108" w:type="dxa"/>
            <w:bottom w:w="0" w:type="dxa"/>
            <w:right w:w="108" w:type="dxa"/>
          </w:tblCellMar>
        </w:tblPrEx>
        <w:trPr>
          <w:trHeight w:val="8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20"/>
                <w:szCs w:val="20"/>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20"/>
                <w:szCs w:val="20"/>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20"/>
                <w:szCs w:val="20"/>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20"/>
                <w:szCs w:val="20"/>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20"/>
                <w:szCs w:val="20"/>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20"/>
                <w:szCs w:val="20"/>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20"/>
                <w:szCs w:val="20"/>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长(m)</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宽(m)</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面积(m²)</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20"/>
                <w:szCs w:val="20"/>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长(m)</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宽(m)</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面积(m²)</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长(m)</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宽(m)</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面积(m²)</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中间隔离带(m²)</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机非隔离带(m²)</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人非隔离带(m²)</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人行道外侧绿地(m²)</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绿地总面积(m²)</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绿地名称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绿地位置</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绿地面积(m²)</w:t>
            </w:r>
          </w:p>
        </w:tc>
      </w:tr>
      <w:tr>
        <w:tblPrEx>
          <w:tblCellMar>
            <w:top w:w="0" w:type="dxa"/>
            <w:left w:w="108" w:type="dxa"/>
            <w:bottom w:w="0" w:type="dxa"/>
            <w:right w:w="108" w:type="dxa"/>
          </w:tblCellMar>
        </w:tblPrEx>
        <w:trPr>
          <w:trHeight w:val="3060" w:hRule="atLeast"/>
        </w:trPr>
        <w:tc>
          <w:tcPr>
            <w:tcW w:w="0" w:type="auto"/>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0" w:type="auto"/>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龙永路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南至瑶溪桥，北至白楼下立交桥</w:t>
            </w:r>
          </w:p>
        </w:tc>
        <w:tc>
          <w:tcPr>
            <w:tcW w:w="0" w:type="auto"/>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三级</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60000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44000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16000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小公园、绿地</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龙永路两侧</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8700</w:t>
            </w:r>
          </w:p>
        </w:tc>
      </w:tr>
      <w:tr>
        <w:tblPrEx>
          <w:tblCellMar>
            <w:top w:w="0" w:type="dxa"/>
            <w:left w:w="108" w:type="dxa"/>
            <w:bottom w:w="0" w:type="dxa"/>
            <w:right w:w="108" w:type="dxa"/>
          </w:tblCellMar>
        </w:tblPrEx>
        <w:trPr>
          <w:trHeight w:val="900" w:hRule="atLeast"/>
        </w:trPr>
        <w:tc>
          <w:tcPr>
            <w:tcW w:w="0" w:type="auto"/>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瑶南路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东起凤凰城东侧小道，西至首辅路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三级</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12000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滨水绿地+街头绿地</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新天地北面（16275）+凤凰城北面（3960）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20235</w:t>
            </w:r>
          </w:p>
        </w:tc>
      </w:tr>
      <w:tr>
        <w:tblPrEx>
          <w:tblCellMar>
            <w:top w:w="0" w:type="dxa"/>
            <w:left w:w="108" w:type="dxa"/>
            <w:bottom w:w="0" w:type="dxa"/>
            <w:right w:w="108" w:type="dxa"/>
          </w:tblCellMar>
        </w:tblPrEx>
        <w:trPr>
          <w:trHeight w:val="900" w:hRule="atLeast"/>
        </w:trPr>
        <w:tc>
          <w:tcPr>
            <w:tcW w:w="0" w:type="auto"/>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c>
          <w:tcPr>
            <w:tcW w:w="0" w:type="auto"/>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庐山路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东起凤翔路-西至黄山路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三级</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1200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15600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1200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8400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1200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7200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0"/>
                <w:szCs w:val="20"/>
                <w:highlight w:val="none"/>
              </w:rPr>
            </w:pPr>
          </w:p>
        </w:tc>
      </w:tr>
      <w:tr>
        <w:tblPrEx>
          <w:tblCellMar>
            <w:top w:w="0" w:type="dxa"/>
            <w:left w:w="108" w:type="dxa"/>
            <w:bottom w:w="0" w:type="dxa"/>
            <w:right w:w="108" w:type="dxa"/>
          </w:tblCellMar>
        </w:tblPrEx>
        <w:trPr>
          <w:trHeight w:val="900" w:hRule="atLeast"/>
        </w:trPr>
        <w:tc>
          <w:tcPr>
            <w:tcW w:w="0" w:type="auto"/>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中兴路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东起凤湾路-西至黄山路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三级</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1300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26000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1300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18200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1300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5200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2600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2600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0"/>
                <w:szCs w:val="20"/>
                <w:highlight w:val="none"/>
              </w:rPr>
            </w:pPr>
          </w:p>
        </w:tc>
      </w:tr>
      <w:tr>
        <w:tblPrEx>
          <w:tblCellMar>
            <w:top w:w="0" w:type="dxa"/>
            <w:left w:w="108" w:type="dxa"/>
            <w:bottom w:w="0" w:type="dxa"/>
            <w:right w:w="108" w:type="dxa"/>
          </w:tblCellMar>
        </w:tblPrEx>
        <w:trPr>
          <w:trHeight w:val="900" w:hRule="atLeast"/>
        </w:trPr>
        <w:tc>
          <w:tcPr>
            <w:tcW w:w="0" w:type="auto"/>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长海路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东起凤翔路-西至黄山路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三级</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1500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19500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1500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10500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1500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9000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0"/>
                <w:szCs w:val="20"/>
                <w:highlight w:val="none"/>
              </w:rPr>
            </w:pPr>
          </w:p>
        </w:tc>
      </w:tr>
      <w:tr>
        <w:tblPrEx>
          <w:tblCellMar>
            <w:top w:w="0" w:type="dxa"/>
            <w:left w:w="108" w:type="dxa"/>
            <w:bottom w:w="0" w:type="dxa"/>
            <w:right w:w="108" w:type="dxa"/>
          </w:tblCellMar>
        </w:tblPrEx>
        <w:trPr>
          <w:trHeight w:val="900" w:hRule="atLeast"/>
        </w:trPr>
        <w:tc>
          <w:tcPr>
            <w:tcW w:w="0" w:type="auto"/>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金盘路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南起机场路-北至江边</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三级</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538</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8608</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538</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5380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538</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2152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1076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1076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w:t>
            </w:r>
          </w:p>
        </w:tc>
      </w:tr>
      <w:tr>
        <w:tblPrEx>
          <w:tblCellMar>
            <w:top w:w="0" w:type="dxa"/>
            <w:left w:w="108" w:type="dxa"/>
            <w:bottom w:w="0" w:type="dxa"/>
            <w:right w:w="108" w:type="dxa"/>
          </w:tblCellMar>
        </w:tblPrEx>
        <w:trPr>
          <w:trHeight w:val="900" w:hRule="atLeast"/>
        </w:trPr>
        <w:tc>
          <w:tcPr>
            <w:tcW w:w="0" w:type="auto"/>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金水路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南起机场路-北至江边</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三级</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12000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8400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2400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1200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1200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w:t>
            </w:r>
          </w:p>
        </w:tc>
      </w:tr>
      <w:tr>
        <w:tblPrEx>
          <w:tblCellMar>
            <w:top w:w="0" w:type="dxa"/>
            <w:left w:w="108" w:type="dxa"/>
            <w:bottom w:w="0" w:type="dxa"/>
            <w:right w:w="108" w:type="dxa"/>
          </w:tblCellMar>
        </w:tblPrEx>
        <w:trPr>
          <w:trHeight w:val="900" w:hRule="atLeast"/>
        </w:trPr>
        <w:tc>
          <w:tcPr>
            <w:tcW w:w="0" w:type="auto"/>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凤舞路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南起庐山路-北至江边</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三级</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470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6580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470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3760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470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2820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w:t>
            </w:r>
          </w:p>
        </w:tc>
      </w:tr>
      <w:tr>
        <w:tblPrEx>
          <w:tblCellMar>
            <w:top w:w="0" w:type="dxa"/>
            <w:left w:w="108" w:type="dxa"/>
            <w:bottom w:w="0" w:type="dxa"/>
            <w:right w:w="108" w:type="dxa"/>
          </w:tblCellMar>
        </w:tblPrEx>
        <w:trPr>
          <w:trHeight w:val="900" w:hRule="atLeast"/>
        </w:trPr>
        <w:tc>
          <w:tcPr>
            <w:tcW w:w="0" w:type="auto"/>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9</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凤鸣路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南起庐山路-北至江边</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三级</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450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5850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450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3150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450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2700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w:t>
            </w:r>
          </w:p>
        </w:tc>
      </w:tr>
      <w:tr>
        <w:tblPrEx>
          <w:tblCellMar>
            <w:top w:w="0" w:type="dxa"/>
            <w:left w:w="108" w:type="dxa"/>
            <w:bottom w:w="0" w:type="dxa"/>
            <w:right w:w="108" w:type="dxa"/>
          </w:tblCellMar>
        </w:tblPrEx>
        <w:trPr>
          <w:trHeight w:val="900" w:hRule="atLeast"/>
        </w:trPr>
        <w:tc>
          <w:tcPr>
            <w:tcW w:w="0" w:type="auto"/>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凤翔路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南起庐山路-北至江边</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三级</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450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5850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450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3150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450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2700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w:t>
            </w:r>
          </w:p>
        </w:tc>
      </w:tr>
      <w:tr>
        <w:tblPrEx>
          <w:tblCellMar>
            <w:top w:w="0" w:type="dxa"/>
            <w:left w:w="108" w:type="dxa"/>
            <w:bottom w:w="0" w:type="dxa"/>
            <w:right w:w="108" w:type="dxa"/>
          </w:tblCellMar>
        </w:tblPrEx>
        <w:trPr>
          <w:trHeight w:val="900" w:hRule="atLeast"/>
        </w:trPr>
        <w:tc>
          <w:tcPr>
            <w:tcW w:w="0" w:type="auto"/>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凤起路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南起庐山路-北至江边</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三级</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360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4680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360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2520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360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1440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720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720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w:t>
            </w:r>
          </w:p>
        </w:tc>
      </w:tr>
      <w:tr>
        <w:tblPrEx>
          <w:tblCellMar>
            <w:top w:w="0" w:type="dxa"/>
            <w:left w:w="108" w:type="dxa"/>
            <w:bottom w:w="0" w:type="dxa"/>
            <w:right w:w="108" w:type="dxa"/>
          </w:tblCellMar>
        </w:tblPrEx>
        <w:trPr>
          <w:trHeight w:val="900" w:hRule="atLeast"/>
        </w:trPr>
        <w:tc>
          <w:tcPr>
            <w:tcW w:w="0" w:type="auto"/>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凤湾路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南起长海路-北至江边</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三级</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380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7600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380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5320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380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2280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w:t>
            </w:r>
          </w:p>
        </w:tc>
      </w:tr>
      <w:tr>
        <w:tblPrEx>
          <w:tblCellMar>
            <w:top w:w="0" w:type="dxa"/>
            <w:left w:w="108" w:type="dxa"/>
            <w:bottom w:w="0" w:type="dxa"/>
            <w:right w:w="108" w:type="dxa"/>
          </w:tblCellMar>
        </w:tblPrEx>
        <w:trPr>
          <w:trHeight w:val="900" w:hRule="atLeast"/>
        </w:trPr>
        <w:tc>
          <w:tcPr>
            <w:tcW w:w="0" w:type="auto"/>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13</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瑶溪六小南面道路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北起机场大道-南至北山河</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三级</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130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2340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130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1560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130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780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w:t>
            </w:r>
          </w:p>
        </w:tc>
      </w:tr>
      <w:tr>
        <w:tblPrEx>
          <w:tblCellMar>
            <w:top w:w="0" w:type="dxa"/>
            <w:left w:w="108" w:type="dxa"/>
            <w:bottom w:w="0" w:type="dxa"/>
            <w:right w:w="108" w:type="dxa"/>
          </w:tblCellMar>
        </w:tblPrEx>
        <w:trPr>
          <w:trHeight w:val="900" w:hRule="atLeast"/>
        </w:trPr>
        <w:tc>
          <w:tcPr>
            <w:tcW w:w="0" w:type="auto"/>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鸿园路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南起永宁西路-西至南洋大道</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三级</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633</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11394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633</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7596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633</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3798</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w:t>
            </w:r>
          </w:p>
        </w:tc>
      </w:tr>
      <w:tr>
        <w:tblPrEx>
          <w:tblCellMar>
            <w:top w:w="0" w:type="dxa"/>
            <w:left w:w="108" w:type="dxa"/>
            <w:bottom w:w="0" w:type="dxa"/>
            <w:right w:w="108" w:type="dxa"/>
          </w:tblCellMar>
        </w:tblPrEx>
        <w:trPr>
          <w:trHeight w:val="900" w:hRule="atLeast"/>
        </w:trPr>
        <w:tc>
          <w:tcPr>
            <w:tcW w:w="0" w:type="auto"/>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邮电路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南至机场大道，北至中兴路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三级</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650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14300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650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9100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650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5200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龙东公园 </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龙东村</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6000</w:t>
            </w:r>
          </w:p>
        </w:tc>
      </w:tr>
      <w:tr>
        <w:tblPrEx>
          <w:tblCellMar>
            <w:top w:w="0" w:type="dxa"/>
            <w:left w:w="108" w:type="dxa"/>
            <w:bottom w:w="0" w:type="dxa"/>
            <w:right w:w="108" w:type="dxa"/>
          </w:tblCellMar>
        </w:tblPrEx>
        <w:trPr>
          <w:trHeight w:val="900" w:hRule="atLeast"/>
        </w:trPr>
        <w:tc>
          <w:tcPr>
            <w:tcW w:w="0" w:type="auto"/>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黄山路（龙湾化工前）</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南起中兴路-北至江边</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三级</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187</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3366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187</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2244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187</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748</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374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374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w:t>
            </w:r>
          </w:p>
        </w:tc>
      </w:tr>
      <w:tr>
        <w:tblPrEx>
          <w:tblCellMar>
            <w:top w:w="0" w:type="dxa"/>
            <w:left w:w="108" w:type="dxa"/>
            <w:bottom w:w="0" w:type="dxa"/>
            <w:right w:w="108" w:type="dxa"/>
          </w:tblCellMar>
        </w:tblPrEx>
        <w:trPr>
          <w:trHeight w:val="90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17</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八高西侧道路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南至永宁西路，北至环山北路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三级</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350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4900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350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9</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3150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350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1750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0"/>
                <w:szCs w:val="20"/>
                <w:highlight w:val="none"/>
              </w:rPr>
            </w:pP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瑶南二路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孚敬路-曹龙路路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三级</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1420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29820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护栏</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1420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13</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18460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1420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11360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河头龙路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街道桥-石龙路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三级</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2473</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4800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1200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浃底路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龙瑶大道-龙江二路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三级</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7440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5580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1860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r>
      <w:tr>
        <w:tblPrEx>
          <w:tblCellMar>
            <w:top w:w="0" w:type="dxa"/>
            <w:left w:w="108" w:type="dxa"/>
            <w:bottom w:w="0" w:type="dxa"/>
            <w:right w:w="108" w:type="dxa"/>
          </w:tblCellMar>
        </w:tblPrEx>
        <w:trPr>
          <w:trHeight w:val="70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致富路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南起机场路-北至江边</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三级</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568</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28</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15904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568</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14200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否</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1704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1704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w:t>
            </w: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22</w:t>
            </w:r>
          </w:p>
        </w:tc>
        <w:tc>
          <w:tcPr>
            <w:tcW w:w="0" w:type="auto"/>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纵四路</w:t>
            </w:r>
          </w:p>
        </w:tc>
        <w:tc>
          <w:tcPr>
            <w:tcW w:w="0" w:type="auto"/>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南起永中西路，北至永宁西路</w:t>
            </w:r>
          </w:p>
        </w:tc>
        <w:tc>
          <w:tcPr>
            <w:tcW w:w="0" w:type="auto"/>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三级</w:t>
            </w:r>
          </w:p>
        </w:tc>
        <w:tc>
          <w:tcPr>
            <w:tcW w:w="0" w:type="auto"/>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470</w:t>
            </w:r>
          </w:p>
        </w:tc>
        <w:tc>
          <w:tcPr>
            <w:tcW w:w="0" w:type="auto"/>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12</w:t>
            </w:r>
          </w:p>
        </w:tc>
        <w:tc>
          <w:tcPr>
            <w:tcW w:w="0" w:type="auto"/>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5640</w:t>
            </w:r>
          </w:p>
        </w:tc>
        <w:tc>
          <w:tcPr>
            <w:tcW w:w="0" w:type="auto"/>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470</w:t>
            </w:r>
          </w:p>
        </w:tc>
        <w:tc>
          <w:tcPr>
            <w:tcW w:w="0" w:type="auto"/>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w:t>
            </w:r>
          </w:p>
        </w:tc>
        <w:tc>
          <w:tcPr>
            <w:tcW w:w="0" w:type="auto"/>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3760</w:t>
            </w:r>
          </w:p>
        </w:tc>
        <w:tc>
          <w:tcPr>
            <w:tcW w:w="0" w:type="auto"/>
            <w:tcBorders>
              <w:top w:val="single" w:color="000000" w:sz="4" w:space="0"/>
              <w:left w:val="single" w:color="000000" w:sz="4" w:space="0"/>
              <w:bottom w:val="nil"/>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是</w:t>
            </w:r>
          </w:p>
        </w:tc>
        <w:tc>
          <w:tcPr>
            <w:tcW w:w="0" w:type="auto"/>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470</w:t>
            </w:r>
          </w:p>
        </w:tc>
        <w:tc>
          <w:tcPr>
            <w:tcW w:w="0" w:type="auto"/>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0" w:type="auto"/>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1880</w:t>
            </w:r>
          </w:p>
        </w:tc>
        <w:tc>
          <w:tcPr>
            <w:tcW w:w="0" w:type="auto"/>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nil"/>
              <w:right w:val="single" w:color="000000" w:sz="4" w:space="0"/>
            </w:tcBorders>
            <w:noWrap/>
            <w:vAlign w:val="center"/>
          </w:tcPr>
          <w:p>
            <w:pPr>
              <w:rPr>
                <w:rFonts w:hint="eastAsia" w:ascii="宋体" w:hAnsi="宋体" w:cs="宋体"/>
                <w:color w:val="auto"/>
                <w:sz w:val="20"/>
                <w:szCs w:val="20"/>
                <w:highlight w:val="none"/>
              </w:rPr>
            </w:pPr>
          </w:p>
        </w:tc>
        <w:tc>
          <w:tcPr>
            <w:tcW w:w="0" w:type="auto"/>
            <w:tcBorders>
              <w:top w:val="single" w:color="000000" w:sz="4" w:space="0"/>
              <w:left w:val="single" w:color="000000" w:sz="4" w:space="0"/>
              <w:bottom w:val="nil"/>
              <w:right w:val="single" w:color="000000" w:sz="4" w:space="0"/>
            </w:tcBorders>
            <w:noWrap/>
            <w:vAlign w:val="center"/>
          </w:tcPr>
          <w:p>
            <w:pPr>
              <w:rPr>
                <w:rFonts w:hint="eastAsia" w:ascii="宋体" w:hAnsi="宋体" w:cs="宋体"/>
                <w:color w:val="auto"/>
                <w:sz w:val="20"/>
                <w:szCs w:val="20"/>
                <w:highlight w:val="none"/>
              </w:rPr>
            </w:pPr>
          </w:p>
        </w:tc>
        <w:tc>
          <w:tcPr>
            <w:tcW w:w="0" w:type="auto"/>
            <w:tcBorders>
              <w:top w:val="nil"/>
              <w:left w:val="nil"/>
              <w:bottom w:val="nil"/>
              <w:right w:val="nil"/>
            </w:tcBorders>
            <w:noWrap/>
            <w:vAlign w:val="center"/>
          </w:tcPr>
          <w:p>
            <w:pPr>
              <w:rPr>
                <w:rFonts w:hint="eastAsia" w:ascii="宋体" w:hAnsi="宋体" w:cs="宋体"/>
                <w:color w:val="auto"/>
                <w:sz w:val="22"/>
                <w:szCs w:val="22"/>
                <w:highlight w:val="none"/>
              </w:rPr>
            </w:pP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23</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瓯江路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致富路-龙江路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三级</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666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auto"/>
                <w:sz w:val="19"/>
                <w:szCs w:val="19"/>
                <w:highlight w:val="none"/>
              </w:rPr>
            </w:pPr>
            <w:r>
              <w:rPr>
                <w:rFonts w:hint="eastAsia" w:ascii="仿宋" w:hAnsi="仿宋" w:eastAsia="仿宋" w:cs="仿宋"/>
                <w:color w:val="auto"/>
                <w:kern w:val="0"/>
                <w:sz w:val="19"/>
                <w:szCs w:val="19"/>
                <w:highlight w:val="none"/>
                <w:lang w:bidi="ar"/>
              </w:rPr>
              <w:t>30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19980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666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9324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绿化带</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666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3330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bidi="ar"/>
              </w:rPr>
              <w:t>666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4662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2664</w:t>
            </w:r>
          </w:p>
        </w:tc>
        <w:tc>
          <w:tcPr>
            <w:tcW w:w="0" w:type="auto"/>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2664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auto"/>
                <w:sz w:val="22"/>
                <w:szCs w:val="22"/>
                <w:highlight w:val="none"/>
              </w:rPr>
            </w:pP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黄石路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罗东北街-雷达路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三级</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700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16800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护栏</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700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11200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绿化带</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5600</w:t>
            </w:r>
          </w:p>
        </w:tc>
        <w:tc>
          <w:tcPr>
            <w:tcW w:w="0" w:type="auto"/>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5600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auto"/>
                <w:sz w:val="22"/>
                <w:szCs w:val="22"/>
                <w:highlight w:val="none"/>
              </w:rPr>
            </w:pP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龙岗路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王尖路-南洋大道</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三级</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353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8472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护栏</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353</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8472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否</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auto"/>
                <w:sz w:val="22"/>
                <w:szCs w:val="22"/>
                <w:highlight w:val="none"/>
              </w:rPr>
            </w:pP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科创北路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西起黄石路，东至机场大道</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三级</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7200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否</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1200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1200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2"/>
                <w:szCs w:val="22"/>
                <w:highlight w:val="none"/>
              </w:rPr>
            </w:pPr>
          </w:p>
        </w:tc>
      </w:tr>
    </w:tbl>
    <w:p>
      <w:pPr>
        <w:pStyle w:val="2"/>
        <w:ind w:firstLine="0" w:firstLineChars="0"/>
        <w:rPr>
          <w:color w:val="auto"/>
          <w:highlight w:val="none"/>
        </w:rPr>
      </w:pPr>
    </w:p>
    <w:tbl>
      <w:tblPr>
        <w:tblStyle w:val="42"/>
        <w:tblW w:w="0" w:type="auto"/>
        <w:tblInd w:w="93" w:type="dxa"/>
        <w:tblLayout w:type="autofit"/>
        <w:tblCellMar>
          <w:top w:w="0" w:type="dxa"/>
          <w:left w:w="108" w:type="dxa"/>
          <w:bottom w:w="0" w:type="dxa"/>
          <w:right w:w="108" w:type="dxa"/>
        </w:tblCellMar>
      </w:tblPr>
      <w:tblGrid>
        <w:gridCol w:w="349"/>
        <w:gridCol w:w="824"/>
        <w:gridCol w:w="1251"/>
        <w:gridCol w:w="344"/>
        <w:gridCol w:w="459"/>
        <w:gridCol w:w="408"/>
        <w:gridCol w:w="520"/>
        <w:gridCol w:w="472"/>
        <w:gridCol w:w="459"/>
        <w:gridCol w:w="408"/>
        <w:gridCol w:w="520"/>
        <w:gridCol w:w="472"/>
        <w:gridCol w:w="472"/>
        <w:gridCol w:w="408"/>
        <w:gridCol w:w="408"/>
        <w:gridCol w:w="450"/>
        <w:gridCol w:w="472"/>
        <w:gridCol w:w="408"/>
        <w:gridCol w:w="408"/>
        <w:gridCol w:w="459"/>
        <w:gridCol w:w="450"/>
        <w:gridCol w:w="450"/>
        <w:gridCol w:w="450"/>
        <w:gridCol w:w="459"/>
        <w:gridCol w:w="459"/>
        <w:gridCol w:w="703"/>
        <w:gridCol w:w="825"/>
        <w:gridCol w:w="472"/>
      </w:tblGrid>
      <w:tr>
        <w:tblPrEx>
          <w:tblCellMar>
            <w:top w:w="0" w:type="dxa"/>
            <w:left w:w="108" w:type="dxa"/>
            <w:bottom w:w="0" w:type="dxa"/>
            <w:right w:w="108" w:type="dxa"/>
          </w:tblCellMar>
        </w:tblPrEx>
        <w:trPr>
          <w:trHeight w:val="58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序号</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路名</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起止地点</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保洁等级</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道路长度</w:t>
            </w:r>
            <w:r>
              <w:rPr>
                <w:rFonts w:ascii="Arial" w:hAnsi="Arial" w:cs="Arial"/>
                <w:color w:val="auto"/>
                <w:kern w:val="0"/>
                <w:sz w:val="21"/>
                <w:szCs w:val="21"/>
                <w:highlight w:val="none"/>
                <w:lang w:bidi="ar"/>
              </w:rPr>
              <w:t>(m)</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道路宽度</w:t>
            </w:r>
            <w:r>
              <w:rPr>
                <w:rFonts w:ascii="Arial" w:hAnsi="Arial" w:cs="Arial"/>
                <w:color w:val="auto"/>
                <w:kern w:val="0"/>
                <w:sz w:val="21"/>
                <w:szCs w:val="21"/>
                <w:highlight w:val="none"/>
                <w:lang w:bidi="ar"/>
              </w:rPr>
              <w:t>(m)</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道路总面积</w:t>
            </w:r>
            <w:r>
              <w:rPr>
                <w:rFonts w:ascii="Arial" w:hAnsi="Arial" w:cs="Arial"/>
                <w:color w:val="auto"/>
                <w:kern w:val="0"/>
                <w:sz w:val="21"/>
                <w:szCs w:val="21"/>
                <w:highlight w:val="none"/>
                <w:lang w:bidi="ar"/>
              </w:rPr>
              <w:t xml:space="preserve">   (m²)</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主路中间隔离带形式（绿化带、或无）</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机动车道</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是、否</w:t>
            </w:r>
          </w:p>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可机扫</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机非隔离带形式（绿化带、护栏或无）</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非机动车道</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人非隔离带形式（绿化带、护栏或无）</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人行道</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道路红线内的绿地面积</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道路红线外的绿地面积</w:t>
            </w:r>
          </w:p>
        </w:tc>
      </w:tr>
      <w:tr>
        <w:tblPrEx>
          <w:tblCellMar>
            <w:top w:w="0" w:type="dxa"/>
            <w:left w:w="108" w:type="dxa"/>
            <w:bottom w:w="0" w:type="dxa"/>
            <w:right w:w="108" w:type="dxa"/>
          </w:tblCellMar>
        </w:tblPrEx>
        <w:trPr>
          <w:trHeight w:val="8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21"/>
                <w:szCs w:val="21"/>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21"/>
                <w:szCs w:val="21"/>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21"/>
                <w:szCs w:val="21"/>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21"/>
                <w:szCs w:val="21"/>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21"/>
                <w:szCs w:val="21"/>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21"/>
                <w:szCs w:val="21"/>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21"/>
                <w:szCs w:val="21"/>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21"/>
                <w:szCs w:val="21"/>
                <w:highlight w:val="none"/>
              </w:rPr>
            </w:pPr>
          </w:p>
        </w:tc>
        <w:tc>
          <w:tcPr>
            <w:tcW w:w="0" w:type="auto"/>
            <w:tcBorders>
              <w:top w:val="single" w:color="000000" w:sz="4" w:space="0"/>
              <w:left w:val="single" w:color="000000" w:sz="4" w:space="0"/>
              <w:bottom w:val="nil"/>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长</w:t>
            </w:r>
            <w:r>
              <w:rPr>
                <w:rFonts w:ascii="Arial" w:hAnsi="Arial" w:cs="Arial"/>
                <w:color w:val="auto"/>
                <w:kern w:val="0"/>
                <w:sz w:val="21"/>
                <w:szCs w:val="21"/>
                <w:highlight w:val="none"/>
                <w:lang w:bidi="ar"/>
              </w:rPr>
              <w:t>(m)</w:t>
            </w:r>
          </w:p>
        </w:tc>
        <w:tc>
          <w:tcPr>
            <w:tcW w:w="0" w:type="auto"/>
            <w:tcBorders>
              <w:top w:val="single" w:color="000000" w:sz="4" w:space="0"/>
              <w:left w:val="single" w:color="000000" w:sz="4" w:space="0"/>
              <w:bottom w:val="nil"/>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宽</w:t>
            </w:r>
            <w:r>
              <w:rPr>
                <w:rFonts w:ascii="Arial" w:hAnsi="Arial" w:cs="Arial"/>
                <w:color w:val="auto"/>
                <w:kern w:val="0"/>
                <w:sz w:val="21"/>
                <w:szCs w:val="21"/>
                <w:highlight w:val="none"/>
                <w:lang w:bidi="ar"/>
              </w:rPr>
              <w:t>(m)</w:t>
            </w:r>
          </w:p>
        </w:tc>
        <w:tc>
          <w:tcPr>
            <w:tcW w:w="0" w:type="auto"/>
            <w:tcBorders>
              <w:top w:val="single" w:color="000000" w:sz="4" w:space="0"/>
              <w:left w:val="single" w:color="000000" w:sz="4" w:space="0"/>
              <w:bottom w:val="nil"/>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面积</w:t>
            </w:r>
            <w:r>
              <w:rPr>
                <w:rFonts w:ascii="Arial" w:hAnsi="Arial" w:cs="Arial"/>
                <w:color w:val="auto"/>
                <w:kern w:val="0"/>
                <w:sz w:val="21"/>
                <w:szCs w:val="21"/>
                <w:highlight w:val="none"/>
                <w:lang w:bidi="ar"/>
              </w:rPr>
              <w:t>(m²)</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21"/>
                <w:szCs w:val="21"/>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21"/>
                <w:szCs w:val="21"/>
                <w:highlight w:val="none"/>
              </w:rPr>
            </w:pPr>
          </w:p>
        </w:tc>
        <w:tc>
          <w:tcPr>
            <w:tcW w:w="0" w:type="auto"/>
            <w:tcBorders>
              <w:top w:val="single" w:color="000000" w:sz="4" w:space="0"/>
              <w:left w:val="single" w:color="000000" w:sz="4" w:space="0"/>
              <w:bottom w:val="nil"/>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长</w:t>
            </w:r>
            <w:r>
              <w:rPr>
                <w:rFonts w:ascii="Arial" w:hAnsi="Arial" w:cs="Arial"/>
                <w:color w:val="auto"/>
                <w:kern w:val="0"/>
                <w:sz w:val="21"/>
                <w:szCs w:val="21"/>
                <w:highlight w:val="none"/>
                <w:lang w:bidi="ar"/>
              </w:rPr>
              <w:t>(m)</w:t>
            </w:r>
          </w:p>
        </w:tc>
        <w:tc>
          <w:tcPr>
            <w:tcW w:w="0" w:type="auto"/>
            <w:tcBorders>
              <w:top w:val="single" w:color="000000" w:sz="4" w:space="0"/>
              <w:left w:val="single" w:color="000000" w:sz="4" w:space="0"/>
              <w:bottom w:val="nil"/>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宽</w:t>
            </w:r>
            <w:r>
              <w:rPr>
                <w:rFonts w:ascii="Arial" w:hAnsi="Arial" w:cs="Arial"/>
                <w:color w:val="auto"/>
                <w:kern w:val="0"/>
                <w:sz w:val="21"/>
                <w:szCs w:val="21"/>
                <w:highlight w:val="none"/>
                <w:lang w:bidi="ar"/>
              </w:rPr>
              <w:t>(m)</w:t>
            </w:r>
          </w:p>
        </w:tc>
        <w:tc>
          <w:tcPr>
            <w:tcW w:w="0" w:type="auto"/>
            <w:tcBorders>
              <w:top w:val="single" w:color="000000" w:sz="4" w:space="0"/>
              <w:left w:val="single" w:color="000000" w:sz="4" w:space="0"/>
              <w:bottom w:val="nil"/>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面积</w:t>
            </w:r>
            <w:r>
              <w:rPr>
                <w:rFonts w:ascii="Arial" w:hAnsi="Arial" w:cs="Arial"/>
                <w:color w:val="auto"/>
                <w:kern w:val="0"/>
                <w:sz w:val="21"/>
                <w:szCs w:val="21"/>
                <w:highlight w:val="none"/>
                <w:lang w:bidi="ar"/>
              </w:rPr>
              <w:t>(m²)</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21"/>
                <w:szCs w:val="21"/>
                <w:highlight w:val="none"/>
              </w:rPr>
            </w:pPr>
          </w:p>
        </w:tc>
        <w:tc>
          <w:tcPr>
            <w:tcW w:w="0" w:type="auto"/>
            <w:tcBorders>
              <w:top w:val="single" w:color="000000" w:sz="4" w:space="0"/>
              <w:left w:val="single" w:color="000000" w:sz="4" w:space="0"/>
              <w:bottom w:val="nil"/>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长</w:t>
            </w:r>
            <w:r>
              <w:rPr>
                <w:rFonts w:ascii="Arial" w:hAnsi="Arial" w:cs="Arial"/>
                <w:color w:val="auto"/>
                <w:kern w:val="0"/>
                <w:sz w:val="21"/>
                <w:szCs w:val="21"/>
                <w:highlight w:val="none"/>
                <w:lang w:bidi="ar"/>
              </w:rPr>
              <w:t>(m)</w:t>
            </w:r>
          </w:p>
        </w:tc>
        <w:tc>
          <w:tcPr>
            <w:tcW w:w="0" w:type="auto"/>
            <w:tcBorders>
              <w:top w:val="single" w:color="000000" w:sz="4" w:space="0"/>
              <w:left w:val="single" w:color="000000" w:sz="4" w:space="0"/>
              <w:bottom w:val="nil"/>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宽</w:t>
            </w:r>
            <w:r>
              <w:rPr>
                <w:rFonts w:ascii="Arial" w:hAnsi="Arial" w:cs="Arial"/>
                <w:color w:val="auto"/>
                <w:kern w:val="0"/>
                <w:sz w:val="21"/>
                <w:szCs w:val="21"/>
                <w:highlight w:val="none"/>
                <w:lang w:bidi="ar"/>
              </w:rPr>
              <w:t>(m)</w:t>
            </w:r>
          </w:p>
        </w:tc>
        <w:tc>
          <w:tcPr>
            <w:tcW w:w="0" w:type="auto"/>
            <w:tcBorders>
              <w:top w:val="single" w:color="000000" w:sz="4" w:space="0"/>
              <w:left w:val="single" w:color="000000" w:sz="4" w:space="0"/>
              <w:bottom w:val="nil"/>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面积</w:t>
            </w:r>
            <w:r>
              <w:rPr>
                <w:rFonts w:ascii="Arial" w:hAnsi="Arial" w:cs="Arial"/>
                <w:color w:val="auto"/>
                <w:kern w:val="0"/>
                <w:sz w:val="21"/>
                <w:szCs w:val="21"/>
                <w:highlight w:val="none"/>
                <w:lang w:bidi="ar"/>
              </w:rPr>
              <w:t>(m²)</w:t>
            </w:r>
          </w:p>
        </w:tc>
        <w:tc>
          <w:tcPr>
            <w:tcW w:w="0" w:type="auto"/>
            <w:tcBorders>
              <w:top w:val="single" w:color="000000" w:sz="4" w:space="0"/>
              <w:left w:val="single" w:color="000000" w:sz="4" w:space="0"/>
              <w:bottom w:val="nil"/>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中间隔离带</w:t>
            </w:r>
            <w:r>
              <w:rPr>
                <w:rFonts w:ascii="Arial" w:hAnsi="Arial" w:cs="Arial"/>
                <w:color w:val="auto"/>
                <w:kern w:val="0"/>
                <w:sz w:val="21"/>
                <w:szCs w:val="21"/>
                <w:highlight w:val="none"/>
                <w:lang w:bidi="ar"/>
              </w:rPr>
              <w:t>(m²)</w:t>
            </w:r>
          </w:p>
        </w:tc>
        <w:tc>
          <w:tcPr>
            <w:tcW w:w="0" w:type="auto"/>
            <w:tcBorders>
              <w:top w:val="single" w:color="000000" w:sz="4" w:space="0"/>
              <w:left w:val="single" w:color="000000" w:sz="4" w:space="0"/>
              <w:bottom w:val="nil"/>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机非隔离带</w:t>
            </w:r>
            <w:r>
              <w:rPr>
                <w:rFonts w:ascii="Arial" w:hAnsi="Arial" w:cs="Arial"/>
                <w:color w:val="auto"/>
                <w:kern w:val="0"/>
                <w:sz w:val="21"/>
                <w:szCs w:val="21"/>
                <w:highlight w:val="none"/>
                <w:lang w:bidi="ar"/>
              </w:rPr>
              <w:t>(m²)</w:t>
            </w:r>
          </w:p>
        </w:tc>
        <w:tc>
          <w:tcPr>
            <w:tcW w:w="0" w:type="auto"/>
            <w:tcBorders>
              <w:top w:val="single" w:color="000000" w:sz="4" w:space="0"/>
              <w:left w:val="single" w:color="000000" w:sz="4" w:space="0"/>
              <w:bottom w:val="nil"/>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人非隔离带</w:t>
            </w:r>
            <w:r>
              <w:rPr>
                <w:rFonts w:ascii="Arial" w:hAnsi="Arial" w:cs="Arial"/>
                <w:color w:val="auto"/>
                <w:kern w:val="0"/>
                <w:sz w:val="21"/>
                <w:szCs w:val="21"/>
                <w:highlight w:val="none"/>
                <w:lang w:bidi="ar"/>
              </w:rPr>
              <w:t>(m²)</w:t>
            </w:r>
          </w:p>
        </w:tc>
        <w:tc>
          <w:tcPr>
            <w:tcW w:w="0" w:type="auto"/>
            <w:tcBorders>
              <w:top w:val="single" w:color="000000" w:sz="4" w:space="0"/>
              <w:left w:val="single" w:color="000000" w:sz="4" w:space="0"/>
              <w:bottom w:val="nil"/>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人行道外侧绿地</w:t>
            </w:r>
            <w:r>
              <w:rPr>
                <w:rFonts w:ascii="Arial" w:hAnsi="Arial" w:cs="Arial"/>
                <w:color w:val="auto"/>
                <w:kern w:val="0"/>
                <w:sz w:val="21"/>
                <w:szCs w:val="21"/>
                <w:highlight w:val="none"/>
                <w:lang w:bidi="ar"/>
              </w:rPr>
              <w:t>(m²)</w:t>
            </w:r>
          </w:p>
        </w:tc>
        <w:tc>
          <w:tcPr>
            <w:tcW w:w="0" w:type="auto"/>
            <w:tcBorders>
              <w:top w:val="single" w:color="000000" w:sz="4" w:space="0"/>
              <w:left w:val="single" w:color="000000" w:sz="4" w:space="0"/>
              <w:bottom w:val="nil"/>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绿地总面积</w:t>
            </w:r>
            <w:r>
              <w:rPr>
                <w:rFonts w:ascii="Arial" w:hAnsi="Arial" w:cs="Arial"/>
                <w:color w:val="auto"/>
                <w:kern w:val="0"/>
                <w:sz w:val="21"/>
                <w:szCs w:val="21"/>
                <w:highlight w:val="none"/>
                <w:lang w:bidi="ar"/>
              </w:rPr>
              <w:t>(m²)</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绿地名称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绿地位置</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绿地面积(m²)</w:t>
            </w:r>
          </w:p>
        </w:tc>
      </w:tr>
      <w:tr>
        <w:tblPrEx>
          <w:tblCellMar>
            <w:top w:w="0" w:type="dxa"/>
            <w:left w:w="108" w:type="dxa"/>
            <w:bottom w:w="0" w:type="dxa"/>
            <w:right w:w="108" w:type="dxa"/>
          </w:tblCellMar>
        </w:tblPrEx>
        <w:trPr>
          <w:trHeight w:val="90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阳明路支路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温州粮食中心市场-万家鸿小区尽头</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四级</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344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3440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344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3440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滨水绿地</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阳明路交叉口</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4000</w:t>
            </w:r>
          </w:p>
        </w:tc>
      </w:tr>
      <w:tr>
        <w:tblPrEx>
          <w:tblCellMar>
            <w:top w:w="0" w:type="dxa"/>
            <w:left w:w="108" w:type="dxa"/>
            <w:bottom w:w="0" w:type="dxa"/>
            <w:right w:w="108" w:type="dxa"/>
          </w:tblCellMar>
        </w:tblPrEx>
        <w:trPr>
          <w:trHeight w:val="90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东华横路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南至邮电路，北至温州燃机发电有限公司</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四级</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184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1472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184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1472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否</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0"/>
                <w:szCs w:val="20"/>
                <w:highlight w:val="none"/>
              </w:rPr>
            </w:pPr>
          </w:p>
        </w:tc>
      </w:tr>
      <w:tr>
        <w:tblPrEx>
          <w:tblCellMar>
            <w:top w:w="0" w:type="dxa"/>
            <w:left w:w="108" w:type="dxa"/>
            <w:bottom w:w="0" w:type="dxa"/>
            <w:right w:w="108" w:type="dxa"/>
          </w:tblCellMar>
        </w:tblPrEx>
        <w:trPr>
          <w:trHeight w:val="90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瑶川华亭门前路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东至南洋大道，西北至瑶川华亭西门</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四级</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290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1740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185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1472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否</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0"/>
                <w:szCs w:val="20"/>
                <w:highlight w:val="none"/>
              </w:rPr>
            </w:pPr>
          </w:p>
        </w:tc>
      </w:tr>
      <w:tr>
        <w:tblPrEx>
          <w:tblCellMar>
            <w:top w:w="0" w:type="dxa"/>
            <w:left w:w="108" w:type="dxa"/>
            <w:bottom w:w="0" w:type="dxa"/>
            <w:right w:w="108" w:type="dxa"/>
          </w:tblCellMar>
        </w:tblPrEx>
        <w:trPr>
          <w:trHeight w:val="90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大围墙学校路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东至茅永路，西至茅竹岭公园</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四级</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270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2160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270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2160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茅竹岭公园</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学校山边</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9300</w:t>
            </w: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苏川浃路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苏川浃两侧</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四级</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370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2590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370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2590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否</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滨水绿地</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苏川浃两岸</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4200</w:t>
            </w: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万兴路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龙永路-浃底工业区</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四级</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4160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3120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1040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街头绿地</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万兴路雄心工业区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4000</w:t>
            </w:r>
          </w:p>
        </w:tc>
      </w:tr>
      <w:tr>
        <w:tblPrEx>
          <w:tblCellMar>
            <w:top w:w="0" w:type="dxa"/>
            <w:left w:w="108" w:type="dxa"/>
            <w:bottom w:w="0" w:type="dxa"/>
            <w:right w:w="108" w:type="dxa"/>
          </w:tblCellMar>
        </w:tblPrEx>
        <w:trPr>
          <w:trHeight w:val="90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沿河路（T字型）</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雄心工业区内</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四级</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430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2580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430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2580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否</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滨水绿地</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沿河路河边</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300</w:t>
            </w:r>
          </w:p>
        </w:tc>
      </w:tr>
      <w:tr>
        <w:tblPrEx>
          <w:tblCellMar>
            <w:top w:w="0" w:type="dxa"/>
            <w:left w:w="108" w:type="dxa"/>
            <w:bottom w:w="0" w:type="dxa"/>
            <w:right w:w="108" w:type="dxa"/>
          </w:tblCellMar>
        </w:tblPrEx>
        <w:trPr>
          <w:trHeight w:val="86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浃底工业区路（T字型）</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浃底工业区</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四级</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440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5280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绿化带</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440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3520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440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880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880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880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滨水绿地</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浃底工业区路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1600</w:t>
            </w:r>
          </w:p>
        </w:tc>
      </w:tr>
      <w:tr>
        <w:tblPrEx>
          <w:tblCellMar>
            <w:top w:w="0" w:type="dxa"/>
            <w:left w:w="108" w:type="dxa"/>
            <w:bottom w:w="0" w:type="dxa"/>
            <w:right w:w="108" w:type="dxa"/>
          </w:tblCellMar>
        </w:tblPrEx>
        <w:trPr>
          <w:trHeight w:val="90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9</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瑶溪一小路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东至茅永公路，西至瑶溪一小门前</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四级</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190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1490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190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1140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否</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350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0"/>
                <w:szCs w:val="20"/>
                <w:highlight w:val="none"/>
              </w:rPr>
            </w:pPr>
          </w:p>
        </w:tc>
      </w:tr>
      <w:tr>
        <w:tblPrEx>
          <w:tblCellMar>
            <w:top w:w="0" w:type="dxa"/>
            <w:left w:w="108" w:type="dxa"/>
            <w:bottom w:w="0" w:type="dxa"/>
            <w:right w:w="108" w:type="dxa"/>
          </w:tblCellMar>
        </w:tblPrEx>
        <w:trPr>
          <w:trHeight w:val="90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上山公路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南至茅永路，北至瑶溪上山口</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四级</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1300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13000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1300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7800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5200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5200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0"/>
                <w:szCs w:val="20"/>
                <w:highlight w:val="none"/>
              </w:rPr>
            </w:pPr>
          </w:p>
        </w:tc>
      </w:tr>
      <w:tr>
        <w:tblPrEx>
          <w:tblCellMar>
            <w:top w:w="0" w:type="dxa"/>
            <w:left w:w="108" w:type="dxa"/>
            <w:bottom w:w="0" w:type="dxa"/>
            <w:right w:w="108" w:type="dxa"/>
          </w:tblCellMar>
        </w:tblPrEx>
        <w:trPr>
          <w:trHeight w:val="11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罗峰路（瑶溪风景区上山公路）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北起瑶溪农家乐-南至山上人家</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四级</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1400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5600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1400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14000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r>
      <w:tr>
        <w:tblPrEx>
          <w:tblCellMar>
            <w:top w:w="0" w:type="dxa"/>
            <w:left w:w="108" w:type="dxa"/>
            <w:bottom w:w="0" w:type="dxa"/>
            <w:right w:w="108" w:type="dxa"/>
          </w:tblCellMar>
        </w:tblPrEx>
        <w:trPr>
          <w:trHeight w:val="9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瑶溪公园路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东至瑶溪村，西至上山公路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四级</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1140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6840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1140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6840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否</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0"/>
                <w:szCs w:val="20"/>
                <w:highlight w:val="none"/>
              </w:rPr>
            </w:pPr>
          </w:p>
        </w:tc>
      </w:tr>
      <w:tr>
        <w:tblPrEx>
          <w:tblCellMar>
            <w:top w:w="0" w:type="dxa"/>
            <w:left w:w="108" w:type="dxa"/>
            <w:bottom w:w="0" w:type="dxa"/>
            <w:right w:w="108" w:type="dxa"/>
          </w:tblCellMar>
        </w:tblPrEx>
        <w:trPr>
          <w:trHeight w:val="9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13</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老环山公路（纬二路）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皇岙村至河头龙</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四级</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12000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12000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否</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河口公园、浃底公园</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河口村、浃底村</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7943</w:t>
            </w: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河头龙东路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南洋大道-街道桥</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四级</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4920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4920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否</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街头绿地</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沿线绿地</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1676</w:t>
            </w:r>
          </w:p>
        </w:tc>
      </w:tr>
      <w:tr>
        <w:tblPrEx>
          <w:tblCellMar>
            <w:top w:w="0" w:type="dxa"/>
            <w:left w:w="108" w:type="dxa"/>
            <w:bottom w:w="0" w:type="dxa"/>
            <w:right w:w="108" w:type="dxa"/>
          </w:tblCellMar>
        </w:tblPrEx>
        <w:trPr>
          <w:trHeight w:val="9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龙岗路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东起环山公路-西至龙岗寺</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四级</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2000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10000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2000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10000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否</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r>
      <w:tr>
        <w:tblPrEx>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横浦锦苑北门道路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阳明路-路尽头</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四级</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90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900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90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900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否</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r>
      <w:tr>
        <w:tblPrEx>
          <w:tblCellMar>
            <w:top w:w="0" w:type="dxa"/>
            <w:left w:w="108" w:type="dxa"/>
            <w:bottom w:w="0" w:type="dxa"/>
            <w:right w:w="108" w:type="dxa"/>
          </w:tblCellMar>
        </w:tblPrEx>
        <w:trPr>
          <w:trHeight w:val="9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17</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中兴路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东起凤飞路-西至金瓯路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四级</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10000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10000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w:t>
            </w:r>
          </w:p>
        </w:tc>
      </w:tr>
      <w:tr>
        <w:tblPrEx>
          <w:tblCellMar>
            <w:top w:w="0" w:type="dxa"/>
            <w:left w:w="108" w:type="dxa"/>
            <w:bottom w:w="0" w:type="dxa"/>
            <w:right w:w="108" w:type="dxa"/>
          </w:tblCellMar>
        </w:tblPrEx>
        <w:trPr>
          <w:trHeight w:val="9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18</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金瓯路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南起机场路-北至庐山路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四级</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150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150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w:t>
            </w:r>
          </w:p>
        </w:tc>
      </w:tr>
      <w:tr>
        <w:tblPrEx>
          <w:tblCellMar>
            <w:top w:w="0" w:type="dxa"/>
            <w:left w:w="108" w:type="dxa"/>
            <w:bottom w:w="0" w:type="dxa"/>
            <w:right w:w="108" w:type="dxa"/>
          </w:tblCellMar>
        </w:tblPrEx>
        <w:trPr>
          <w:trHeight w:val="9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19</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金江路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南起机场路-北至镇江路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四级</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w:t>
            </w:r>
          </w:p>
        </w:tc>
      </w:tr>
      <w:tr>
        <w:tblPrEx>
          <w:tblCellMar>
            <w:top w:w="0" w:type="dxa"/>
            <w:left w:w="108" w:type="dxa"/>
            <w:bottom w:w="0" w:type="dxa"/>
            <w:right w:w="108" w:type="dxa"/>
          </w:tblCellMar>
        </w:tblPrEx>
        <w:trPr>
          <w:trHeight w:val="9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东羚路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南至机场路，北至河边</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四级</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110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880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110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880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否</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0"/>
                <w:szCs w:val="20"/>
                <w:highlight w:val="none"/>
              </w:rPr>
            </w:pPr>
          </w:p>
        </w:tc>
      </w:tr>
      <w:tr>
        <w:tblPrEx>
          <w:tblCellMar>
            <w:top w:w="0" w:type="dxa"/>
            <w:left w:w="108" w:type="dxa"/>
            <w:bottom w:w="0" w:type="dxa"/>
            <w:right w:w="108" w:type="dxa"/>
          </w:tblCellMar>
        </w:tblPrEx>
        <w:trPr>
          <w:trHeight w:val="9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瑶河路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南至南洋大道，北至龙水西路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四级</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410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2460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410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2460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否</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0"/>
                <w:szCs w:val="20"/>
                <w:highlight w:val="none"/>
              </w:rPr>
            </w:pPr>
          </w:p>
        </w:tc>
      </w:tr>
    </w:tbl>
    <w:p>
      <w:pPr>
        <w:pStyle w:val="3"/>
        <w:rPr>
          <w:rFonts w:hint="eastAsia"/>
          <w:color w:val="auto"/>
          <w:highlight w:val="none"/>
        </w:rPr>
      </w:pPr>
      <w:r>
        <w:rPr>
          <w:rFonts w:hint="eastAsia"/>
          <w:color w:val="auto"/>
          <w:highlight w:val="none"/>
          <w:lang w:eastAsia="zh-CN"/>
        </w:rPr>
        <w:t>备注：环山北路</w:t>
      </w:r>
      <w:r>
        <w:rPr>
          <w:rFonts w:hint="eastAsia"/>
          <w:color w:val="auto"/>
          <w:highlight w:val="none"/>
          <w:lang w:val="en-US" w:eastAsia="zh-CN"/>
        </w:rPr>
        <w:t xml:space="preserve">  东起茂永路-西至隧道口（该条路段待正式移交后，经业主同意后进场保洁未移交前扣除该保洁经费）</w:t>
      </w:r>
    </w:p>
    <w:p>
      <w:pPr>
        <w:pStyle w:val="3"/>
        <w:rPr>
          <w:rFonts w:hint="eastAsia"/>
          <w:color w:val="auto"/>
          <w:highlight w:val="none"/>
        </w:rPr>
      </w:pPr>
      <w:r>
        <w:rPr>
          <w:rFonts w:hint="eastAsia"/>
          <w:color w:val="auto"/>
          <w:highlight w:val="none"/>
        </w:rPr>
        <w:t>附表2：城中村道路（有路名的全部纳入，不包括屋前屋后道坦、通道）</w:t>
      </w:r>
    </w:p>
    <w:tbl>
      <w:tblPr>
        <w:tblStyle w:val="42"/>
        <w:tblW w:w="14057" w:type="dxa"/>
        <w:tblInd w:w="93" w:type="dxa"/>
        <w:tblLayout w:type="autofit"/>
        <w:tblCellMar>
          <w:top w:w="0" w:type="dxa"/>
          <w:left w:w="108" w:type="dxa"/>
          <w:bottom w:w="0" w:type="dxa"/>
          <w:right w:w="108" w:type="dxa"/>
        </w:tblCellMar>
      </w:tblPr>
      <w:tblGrid>
        <w:gridCol w:w="586"/>
        <w:gridCol w:w="1391"/>
        <w:gridCol w:w="2431"/>
        <w:gridCol w:w="3639"/>
        <w:gridCol w:w="1487"/>
        <w:gridCol w:w="1434"/>
        <w:gridCol w:w="1420"/>
        <w:gridCol w:w="1669"/>
      </w:tblGrid>
      <w:tr>
        <w:tblPrEx>
          <w:tblCellMar>
            <w:top w:w="0" w:type="dxa"/>
            <w:left w:w="108" w:type="dxa"/>
            <w:bottom w:w="0" w:type="dxa"/>
            <w:right w:w="108" w:type="dxa"/>
          </w:tblCellMar>
        </w:tblPrEx>
        <w:trPr>
          <w:trHeight w:val="620" w:hRule="atLeast"/>
        </w:trPr>
        <w:tc>
          <w:tcPr>
            <w:tcW w:w="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黑体" w:hAnsi="宋体" w:eastAsia="黑体" w:cs="黑体"/>
                <w:color w:val="auto"/>
                <w:sz w:val="20"/>
                <w:szCs w:val="20"/>
                <w:highlight w:val="none"/>
              </w:rPr>
            </w:pPr>
            <w:r>
              <w:rPr>
                <w:rFonts w:hint="eastAsia" w:ascii="黑体" w:hAnsi="宋体" w:eastAsia="黑体" w:cs="黑体"/>
                <w:color w:val="auto"/>
                <w:kern w:val="0"/>
                <w:sz w:val="20"/>
                <w:szCs w:val="20"/>
                <w:highlight w:val="none"/>
                <w:lang w:bidi="ar"/>
              </w:rPr>
              <w:t>序号</w:t>
            </w:r>
          </w:p>
        </w:tc>
        <w:tc>
          <w:tcPr>
            <w:tcW w:w="139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黑体" w:hAnsi="宋体" w:eastAsia="黑体" w:cs="黑体"/>
                <w:color w:val="auto"/>
                <w:sz w:val="20"/>
                <w:szCs w:val="20"/>
                <w:highlight w:val="none"/>
              </w:rPr>
            </w:pPr>
            <w:r>
              <w:rPr>
                <w:rFonts w:hint="eastAsia" w:ascii="黑体" w:hAnsi="宋体" w:eastAsia="黑体" w:cs="黑体"/>
                <w:color w:val="auto"/>
                <w:kern w:val="0"/>
                <w:sz w:val="20"/>
                <w:szCs w:val="20"/>
                <w:highlight w:val="none"/>
                <w:lang w:bidi="ar"/>
              </w:rPr>
              <w:t>村居名称</w:t>
            </w:r>
          </w:p>
        </w:tc>
        <w:tc>
          <w:tcPr>
            <w:tcW w:w="243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黑体" w:hAnsi="宋体" w:eastAsia="黑体" w:cs="黑体"/>
                <w:color w:val="auto"/>
                <w:sz w:val="20"/>
                <w:szCs w:val="20"/>
                <w:highlight w:val="none"/>
              </w:rPr>
            </w:pPr>
            <w:r>
              <w:rPr>
                <w:rFonts w:hint="eastAsia" w:ascii="黑体" w:hAnsi="宋体" w:eastAsia="黑体" w:cs="黑体"/>
                <w:color w:val="auto"/>
                <w:kern w:val="0"/>
                <w:sz w:val="20"/>
                <w:szCs w:val="20"/>
                <w:highlight w:val="none"/>
                <w:lang w:bidi="ar"/>
              </w:rPr>
              <w:t>路名</w:t>
            </w:r>
          </w:p>
        </w:tc>
        <w:tc>
          <w:tcPr>
            <w:tcW w:w="36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黑体" w:hAnsi="宋体" w:eastAsia="黑体" w:cs="黑体"/>
                <w:color w:val="auto"/>
                <w:sz w:val="20"/>
                <w:szCs w:val="20"/>
                <w:highlight w:val="none"/>
              </w:rPr>
            </w:pPr>
            <w:r>
              <w:rPr>
                <w:rFonts w:hint="eastAsia" w:ascii="黑体" w:hAnsi="宋体" w:eastAsia="黑体" w:cs="黑体"/>
                <w:color w:val="auto"/>
                <w:kern w:val="0"/>
                <w:sz w:val="20"/>
                <w:szCs w:val="20"/>
                <w:highlight w:val="none"/>
                <w:lang w:bidi="ar"/>
              </w:rPr>
              <w:t>起止地点</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黑体" w:hAnsi="宋体" w:eastAsia="黑体" w:cs="黑体"/>
                <w:color w:val="auto"/>
                <w:sz w:val="20"/>
                <w:szCs w:val="20"/>
                <w:highlight w:val="none"/>
              </w:rPr>
            </w:pPr>
            <w:r>
              <w:rPr>
                <w:rFonts w:hint="eastAsia" w:ascii="黑体" w:hAnsi="宋体" w:eastAsia="黑体" w:cs="黑体"/>
                <w:color w:val="auto"/>
                <w:kern w:val="0"/>
                <w:sz w:val="20"/>
                <w:szCs w:val="20"/>
                <w:highlight w:val="none"/>
                <w:lang w:bidi="ar"/>
              </w:rPr>
              <w:t>保洁等级</w:t>
            </w: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黑体" w:hAnsi="宋体" w:eastAsia="黑体" w:cs="黑体"/>
                <w:color w:val="auto"/>
                <w:sz w:val="20"/>
                <w:szCs w:val="20"/>
                <w:highlight w:val="none"/>
              </w:rPr>
            </w:pPr>
            <w:r>
              <w:rPr>
                <w:rFonts w:hint="eastAsia" w:ascii="黑体" w:hAnsi="宋体" w:eastAsia="黑体" w:cs="黑体"/>
                <w:color w:val="auto"/>
                <w:kern w:val="0"/>
                <w:sz w:val="20"/>
                <w:szCs w:val="20"/>
                <w:highlight w:val="none"/>
                <w:lang w:bidi="ar"/>
              </w:rPr>
              <w:t>道路长度(m)</w:t>
            </w:r>
          </w:p>
        </w:tc>
        <w:tc>
          <w:tcPr>
            <w:tcW w:w="14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黑体" w:hAnsi="宋体" w:eastAsia="黑体" w:cs="黑体"/>
                <w:color w:val="auto"/>
                <w:sz w:val="20"/>
                <w:szCs w:val="20"/>
                <w:highlight w:val="none"/>
              </w:rPr>
            </w:pPr>
            <w:r>
              <w:rPr>
                <w:rFonts w:hint="eastAsia" w:ascii="黑体" w:hAnsi="宋体" w:eastAsia="黑体" w:cs="黑体"/>
                <w:color w:val="auto"/>
                <w:kern w:val="0"/>
                <w:sz w:val="20"/>
                <w:szCs w:val="20"/>
                <w:highlight w:val="none"/>
                <w:lang w:bidi="ar"/>
              </w:rPr>
              <w:t>道路宽度(m)</w:t>
            </w:r>
          </w:p>
        </w:tc>
        <w:tc>
          <w:tcPr>
            <w:tcW w:w="166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黑体" w:hAnsi="宋体" w:eastAsia="黑体" w:cs="黑体"/>
                <w:color w:val="auto"/>
                <w:sz w:val="20"/>
                <w:szCs w:val="20"/>
                <w:highlight w:val="none"/>
              </w:rPr>
            </w:pPr>
            <w:r>
              <w:rPr>
                <w:rFonts w:hint="eastAsia" w:ascii="黑体" w:hAnsi="宋体" w:eastAsia="黑体" w:cs="黑体"/>
                <w:color w:val="auto"/>
                <w:kern w:val="0"/>
                <w:sz w:val="20"/>
                <w:szCs w:val="20"/>
                <w:highlight w:val="none"/>
                <w:lang w:bidi="ar"/>
              </w:rPr>
              <w:t>道路总面积   (m</w:t>
            </w:r>
            <w:r>
              <w:rPr>
                <w:rFonts w:ascii="Arial" w:hAnsi="Arial" w:eastAsia="黑体" w:cs="Arial"/>
                <w:color w:val="auto"/>
                <w:kern w:val="0"/>
                <w:sz w:val="20"/>
                <w:szCs w:val="20"/>
                <w:highlight w:val="none"/>
                <w:lang w:bidi="ar"/>
              </w:rPr>
              <w:t>²</w:t>
            </w:r>
            <w:r>
              <w:rPr>
                <w:rFonts w:hint="eastAsia" w:ascii="黑体" w:hAnsi="宋体" w:eastAsia="黑体" w:cs="黑体"/>
                <w:color w:val="auto"/>
                <w:kern w:val="0"/>
                <w:sz w:val="20"/>
                <w:szCs w:val="20"/>
                <w:highlight w:val="none"/>
                <w:lang w:bidi="ar"/>
              </w:rPr>
              <w:t>)</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永胜村</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沙河河提</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永前路--振胜路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背街小巷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3500</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永前路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龙永路--沙河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背街小巷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500</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大段东路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龙永路--沙河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背街小巷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350</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大段西路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龙永路--大段河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背街小巷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500</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永新路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龙永路--沙河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背街小巷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280</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中房路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龙永路--沙河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背街小巷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150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750</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永胜路东</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龙永路--沙河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背街小巷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450</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永胜路西</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永胜路西（龙永路--永城锦苑）</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背街小巷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350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1750</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9</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三花路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龙永路--沙河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背街小巷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1050</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10</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振胜路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龙永路--沙河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背街小巷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250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1000</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11</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7栋（安置房周围）</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7栋（安置房周围）</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背街小巷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350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2100</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12</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书香街</w:t>
            </w:r>
          </w:p>
        </w:tc>
        <w:tc>
          <w:tcPr>
            <w:tcW w:w="36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西起龙永路-东至河边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背街小巷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125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500</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黄山村</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黄山南路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机场路-北山河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背街小巷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260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1560</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金岙村</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老人房路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南洋路——金隆路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背街小巷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150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2250</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15</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苏川村</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方山路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方山路1——81方山路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背街小巷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2100</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16</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前河路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前河路马路—崇文中心</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背街小巷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1200</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17</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方苏路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方苏路1号——55号路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背街小巷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1400</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18</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艺术路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艺术路——龙永路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背街小巷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1600</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19</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菜市场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镇宿舍——红景天路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背街小巷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800</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20</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菜市场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活动场——苏川路中间小路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背街小巷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800</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21</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河头西路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河头西路——前河路中间小路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背街小巷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2000</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22</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河头西路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方氏此图路——中间路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背街小巷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1600</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23</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苏川路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佳乐幼儿——街道路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背街小巷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1600</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24</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浃底村</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龙浃路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龙浃路——环山路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背街小巷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3000</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25</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浃河路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浃河路——龙浃路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背街小巷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2400</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26</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双溪路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双溪路——环山路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背街小巷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2400</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27</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西园路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西园路——环山路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背街小巷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1200</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28</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青松路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青松路——西园路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背街小巷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350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1050</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29</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青春路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青春路——浃河路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背街小巷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1200</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龙湾村</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炮台路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机场大道--浦江路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背街小巷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5600</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浦江路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炮台路——码头路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背街小巷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2100</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龙东村</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龙东市场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龙东市场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背街小巷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3000</w:t>
            </w:r>
          </w:p>
        </w:tc>
      </w:tr>
      <w:tr>
        <w:tblPrEx>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33</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朱宅村</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龙水中路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王宅桥-朱宅桥</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背街小巷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550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3300</w:t>
            </w:r>
          </w:p>
        </w:tc>
      </w:tr>
      <w:tr>
        <w:tblPrEx>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34</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龙水西路南洋大道东</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朱宅桥-南洋大道</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背街小巷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380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2660</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35</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龙水中路-瓯海大道</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朱宅桥-瓯海大道</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背街小巷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280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1960</w:t>
            </w:r>
          </w:p>
        </w:tc>
      </w:tr>
      <w:tr>
        <w:tblPrEx>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36</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中岸路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马士桥-永新桥</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背街小巷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1600</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37</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西岸路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朱宅桥-永新桥</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背街小巷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270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1350</w:t>
            </w:r>
          </w:p>
        </w:tc>
      </w:tr>
      <w:tr>
        <w:tblPrEx>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38</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龙江二路便道</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老人房-南洋大道</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背街小巷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3600</w:t>
            </w:r>
          </w:p>
        </w:tc>
      </w:tr>
      <w:tr>
        <w:tblPrEx>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39</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东岸路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中岸路-基督教堂</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背街小巷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1100</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40</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河滨村</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邵氏大宗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邵氏大宗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背街小巷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41</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繁景家园外路面</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繁景家园外路面</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背街小巷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1800</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璋川村</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璋川老人周转房</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周转房周边道路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背街小巷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3000</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黄石村</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黄石村委会前</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黄石村委会前</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背街小巷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南山村</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浃底南山老人房</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瓯海大道辅路万兴路边上</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背街小巷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4000</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45</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雄心村</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龙永路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龙永路北--龙永路南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背街小巷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5600</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46</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中心路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中心路东--中心路西</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背街小巷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2000</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47</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雄滨路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雄滨路东--雄滨路西</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背街小巷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250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750</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48</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雄河路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雄河路北--雄河路南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背街小巷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150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450</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49</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榕园路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榕园路南--榕园路北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背街小巷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1500</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50</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书院路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书院路东--书院路南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背街小巷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300</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51</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东岸路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东岸路南--东岸路北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背街小巷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150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750</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52</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槽门路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槽门北路--槽门南路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背街小巷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150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450</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底岭下村</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直河路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阳明路--高桥路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背街小巷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2000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24000</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54</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皇岙村</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国安路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国安路——龙水北路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背街小巷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2800</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55</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凤翔路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凤翔路——国安路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背街小巷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1500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6000</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56</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康宁路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康宁路——环山北路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背街小巷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600</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57</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龙水北路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龙水北路--环山北路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背街小巷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3600</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58</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环一村</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老人房路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老人房路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背街小巷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2400</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59</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老人房路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老人房路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背街小巷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320</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60</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凤凰城东边道路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凤凰城东边道路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背街小巷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1200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12000</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61</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王宅北路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王宅北路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背街小巷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1300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15600</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62</w:t>
            </w:r>
          </w:p>
        </w:tc>
        <w:tc>
          <w:tcPr>
            <w:tcW w:w="0" w:type="auto"/>
            <w:vMerge w:val="restart"/>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河口村</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河口路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环山北路——旗头路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背街小巷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255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1020</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63</w:t>
            </w:r>
          </w:p>
        </w:tc>
        <w:tc>
          <w:tcPr>
            <w:tcW w:w="0" w:type="auto"/>
            <w:vMerge w:val="continue"/>
            <w:tcBorders>
              <w:top w:val="nil"/>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河口路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河口路——河口老桥路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背街小巷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1550</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64</w:t>
            </w:r>
          </w:p>
        </w:tc>
        <w:tc>
          <w:tcPr>
            <w:tcW w:w="0" w:type="auto"/>
            <w:vMerge w:val="continue"/>
            <w:tcBorders>
              <w:top w:val="nil"/>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北景路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河口路——河中西路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背街小巷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145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435</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65</w:t>
            </w:r>
          </w:p>
        </w:tc>
        <w:tc>
          <w:tcPr>
            <w:tcW w:w="0" w:type="auto"/>
            <w:vMerge w:val="continue"/>
            <w:tcBorders>
              <w:top w:val="nil"/>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河中西路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河口路——河中西路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背街小巷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430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1505</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66</w:t>
            </w:r>
          </w:p>
        </w:tc>
        <w:tc>
          <w:tcPr>
            <w:tcW w:w="0" w:type="auto"/>
            <w:vMerge w:val="continue"/>
            <w:tcBorders>
              <w:top w:val="nil"/>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河中东路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河口路——河中东路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背街小巷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450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2250</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67</w:t>
            </w:r>
          </w:p>
        </w:tc>
        <w:tc>
          <w:tcPr>
            <w:tcW w:w="0" w:type="auto"/>
            <w:vMerge w:val="continue"/>
            <w:tcBorders>
              <w:top w:val="nil"/>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旗头路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河口路——河中西路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背街小巷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500</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白楼下村</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阳光路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阳光路-阳明路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背街小巷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2000</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69</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瑶溪村</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富瑶路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77省道-公园路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背街小巷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413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2065</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70</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瑶溪路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77省道-公园路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背街小巷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412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1236</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71</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景南路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瑶堤路-77省道延伸段</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背街小巷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147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588</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72</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瑶景路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富瑶路-77省道延伸段</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背街小巷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174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870</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73</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景西路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瑶堤路-公园路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背街小巷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147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470.4</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74</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公园路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瑶堤路-77省道延伸段</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背街小巷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445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3115</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75</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瑶堤路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77省道-公园路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背街小巷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522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2871</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76</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东瑶路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77省道-瑶景路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背街小巷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105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472.5</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77</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公园路22弄</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公园路-公园路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背街小巷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440</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78</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龙永路沿村边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龙永路沿村边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背街小巷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267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2670</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79</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4条无名道路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4条无名道路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背街小巷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385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1232</w:t>
            </w:r>
          </w:p>
        </w:tc>
      </w:tr>
      <w:tr>
        <w:tblPrEx>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80</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24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广场</w:t>
            </w:r>
          </w:p>
        </w:tc>
        <w:tc>
          <w:tcPr>
            <w:tcW w:w="36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77省道边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背街小巷</w:t>
            </w:r>
          </w:p>
        </w:tc>
        <w:tc>
          <w:tcPr>
            <w:tcW w:w="14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w:t>
            </w:r>
          </w:p>
        </w:tc>
        <w:tc>
          <w:tcPr>
            <w:tcW w:w="14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w:t>
            </w:r>
          </w:p>
        </w:tc>
        <w:tc>
          <w:tcPr>
            <w:tcW w:w="16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1406</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81</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24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榕树广场</w:t>
            </w:r>
          </w:p>
        </w:tc>
        <w:tc>
          <w:tcPr>
            <w:tcW w:w="36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钟灵庙榕树边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背街小巷</w:t>
            </w:r>
          </w:p>
        </w:tc>
        <w:tc>
          <w:tcPr>
            <w:tcW w:w="14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w:t>
            </w:r>
          </w:p>
        </w:tc>
        <w:tc>
          <w:tcPr>
            <w:tcW w:w="14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w:t>
            </w:r>
          </w:p>
        </w:tc>
        <w:tc>
          <w:tcPr>
            <w:tcW w:w="16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2681</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82</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24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停车场1</w:t>
            </w:r>
          </w:p>
        </w:tc>
        <w:tc>
          <w:tcPr>
            <w:tcW w:w="36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景南路57号南面</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背街小巷</w:t>
            </w:r>
          </w:p>
        </w:tc>
        <w:tc>
          <w:tcPr>
            <w:tcW w:w="14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w:t>
            </w:r>
          </w:p>
        </w:tc>
        <w:tc>
          <w:tcPr>
            <w:tcW w:w="14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w:t>
            </w:r>
          </w:p>
        </w:tc>
        <w:tc>
          <w:tcPr>
            <w:tcW w:w="16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744</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83</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24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停车场2</w:t>
            </w:r>
          </w:p>
        </w:tc>
        <w:tc>
          <w:tcPr>
            <w:tcW w:w="36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瑶景路东首</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背街小巷</w:t>
            </w:r>
          </w:p>
        </w:tc>
        <w:tc>
          <w:tcPr>
            <w:tcW w:w="14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w:t>
            </w:r>
          </w:p>
        </w:tc>
        <w:tc>
          <w:tcPr>
            <w:tcW w:w="14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w:t>
            </w:r>
          </w:p>
        </w:tc>
        <w:tc>
          <w:tcPr>
            <w:tcW w:w="16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502</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84</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24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停车场3</w:t>
            </w:r>
          </w:p>
        </w:tc>
        <w:tc>
          <w:tcPr>
            <w:tcW w:w="36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村委会傍</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背街小巷</w:t>
            </w:r>
          </w:p>
        </w:tc>
        <w:tc>
          <w:tcPr>
            <w:tcW w:w="14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w:t>
            </w:r>
          </w:p>
        </w:tc>
        <w:tc>
          <w:tcPr>
            <w:tcW w:w="14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w:t>
            </w:r>
          </w:p>
        </w:tc>
        <w:tc>
          <w:tcPr>
            <w:tcW w:w="16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2423</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85</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24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停车场4</w:t>
            </w:r>
          </w:p>
        </w:tc>
        <w:tc>
          <w:tcPr>
            <w:tcW w:w="36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瑶溪路23号东面</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背街小巷</w:t>
            </w:r>
          </w:p>
        </w:tc>
        <w:tc>
          <w:tcPr>
            <w:tcW w:w="14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w:t>
            </w:r>
          </w:p>
        </w:tc>
        <w:tc>
          <w:tcPr>
            <w:tcW w:w="14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w:t>
            </w:r>
          </w:p>
        </w:tc>
        <w:tc>
          <w:tcPr>
            <w:tcW w:w="16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826</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86</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24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停车场5</w:t>
            </w:r>
          </w:p>
        </w:tc>
        <w:tc>
          <w:tcPr>
            <w:tcW w:w="36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富瑶路水果店东面</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背街小巷</w:t>
            </w:r>
          </w:p>
        </w:tc>
        <w:tc>
          <w:tcPr>
            <w:tcW w:w="14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w:t>
            </w:r>
          </w:p>
        </w:tc>
        <w:tc>
          <w:tcPr>
            <w:tcW w:w="14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w:t>
            </w:r>
          </w:p>
        </w:tc>
        <w:tc>
          <w:tcPr>
            <w:tcW w:w="16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930</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87</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24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停车场6</w:t>
            </w:r>
          </w:p>
        </w:tc>
        <w:tc>
          <w:tcPr>
            <w:tcW w:w="36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富瑶路50号北面</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背街小巷</w:t>
            </w:r>
          </w:p>
        </w:tc>
        <w:tc>
          <w:tcPr>
            <w:tcW w:w="14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w:t>
            </w:r>
          </w:p>
        </w:tc>
        <w:tc>
          <w:tcPr>
            <w:tcW w:w="14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w:t>
            </w:r>
          </w:p>
        </w:tc>
        <w:tc>
          <w:tcPr>
            <w:tcW w:w="16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458.5</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88</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24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停车场7</w:t>
            </w:r>
          </w:p>
        </w:tc>
        <w:tc>
          <w:tcPr>
            <w:tcW w:w="36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瑶景路27号西面</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背街小巷</w:t>
            </w:r>
          </w:p>
        </w:tc>
        <w:tc>
          <w:tcPr>
            <w:tcW w:w="14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w:t>
            </w:r>
          </w:p>
        </w:tc>
        <w:tc>
          <w:tcPr>
            <w:tcW w:w="14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w:t>
            </w:r>
          </w:p>
        </w:tc>
        <w:tc>
          <w:tcPr>
            <w:tcW w:w="16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228.5</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89</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24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停车场8</w:t>
            </w:r>
          </w:p>
        </w:tc>
        <w:tc>
          <w:tcPr>
            <w:tcW w:w="36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富瑶路24号东面</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背街小巷</w:t>
            </w:r>
          </w:p>
        </w:tc>
        <w:tc>
          <w:tcPr>
            <w:tcW w:w="14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w:t>
            </w:r>
          </w:p>
        </w:tc>
        <w:tc>
          <w:tcPr>
            <w:tcW w:w="14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w:t>
            </w:r>
          </w:p>
        </w:tc>
        <w:tc>
          <w:tcPr>
            <w:tcW w:w="16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352</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90</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24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农贸市场</w:t>
            </w:r>
          </w:p>
        </w:tc>
        <w:tc>
          <w:tcPr>
            <w:tcW w:w="36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村委会西南角</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背街小巷</w:t>
            </w:r>
          </w:p>
        </w:tc>
        <w:tc>
          <w:tcPr>
            <w:tcW w:w="14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w:t>
            </w:r>
          </w:p>
        </w:tc>
        <w:tc>
          <w:tcPr>
            <w:tcW w:w="14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w:t>
            </w:r>
          </w:p>
        </w:tc>
        <w:tc>
          <w:tcPr>
            <w:tcW w:w="16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570</w:t>
            </w:r>
          </w:p>
        </w:tc>
      </w:tr>
    </w:tbl>
    <w:p>
      <w:pPr>
        <w:pStyle w:val="2"/>
        <w:ind w:firstLine="280"/>
        <w:rPr>
          <w:rFonts w:hint="eastAsia"/>
          <w:color w:val="auto"/>
          <w:highlight w:val="none"/>
        </w:rPr>
      </w:pPr>
    </w:p>
    <w:p>
      <w:pPr>
        <w:pStyle w:val="2"/>
        <w:ind w:firstLine="280"/>
        <w:rPr>
          <w:rFonts w:hint="eastAsia"/>
          <w:color w:val="auto"/>
          <w:highlight w:val="none"/>
        </w:rPr>
      </w:pPr>
      <w:r>
        <w:rPr>
          <w:rFonts w:hint="eastAsia"/>
          <w:color w:val="auto"/>
          <w:highlight w:val="none"/>
        </w:rPr>
        <w:t>附表3：公厕</w:t>
      </w:r>
    </w:p>
    <w:tbl>
      <w:tblPr>
        <w:tblStyle w:val="42"/>
        <w:tblW w:w="14234" w:type="dxa"/>
        <w:tblInd w:w="93" w:type="dxa"/>
        <w:tblLayout w:type="autofit"/>
        <w:tblCellMar>
          <w:top w:w="0" w:type="dxa"/>
          <w:left w:w="108" w:type="dxa"/>
          <w:bottom w:w="0" w:type="dxa"/>
          <w:right w:w="108" w:type="dxa"/>
        </w:tblCellMar>
      </w:tblPr>
      <w:tblGrid>
        <w:gridCol w:w="808"/>
        <w:gridCol w:w="2835"/>
        <w:gridCol w:w="1433"/>
        <w:gridCol w:w="1097"/>
        <w:gridCol w:w="1219"/>
        <w:gridCol w:w="1067"/>
        <w:gridCol w:w="945"/>
        <w:gridCol w:w="1295"/>
        <w:gridCol w:w="1341"/>
        <w:gridCol w:w="1097"/>
        <w:gridCol w:w="1097"/>
      </w:tblGrid>
      <w:tr>
        <w:tblPrEx>
          <w:tblCellMar>
            <w:top w:w="0" w:type="dxa"/>
            <w:left w:w="108" w:type="dxa"/>
            <w:bottom w:w="0" w:type="dxa"/>
            <w:right w:w="108" w:type="dxa"/>
          </w:tblCellMar>
        </w:tblPrEx>
        <w:trPr>
          <w:trHeight w:val="981" w:hRule="atLeast"/>
        </w:trPr>
        <w:tc>
          <w:tcPr>
            <w:tcW w:w="80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黑体" w:hAnsi="宋体" w:eastAsia="黑体" w:cs="黑体"/>
                <w:color w:val="auto"/>
                <w:sz w:val="21"/>
                <w:szCs w:val="21"/>
                <w:highlight w:val="none"/>
              </w:rPr>
            </w:pPr>
            <w:r>
              <w:rPr>
                <w:rFonts w:hint="eastAsia" w:ascii="黑体" w:hAnsi="宋体" w:eastAsia="黑体" w:cs="黑体"/>
                <w:color w:val="auto"/>
                <w:kern w:val="0"/>
                <w:sz w:val="21"/>
                <w:szCs w:val="21"/>
                <w:highlight w:val="none"/>
                <w:lang w:bidi="ar"/>
              </w:rPr>
              <w:t>序号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黑体" w:hAnsi="宋体" w:eastAsia="黑体" w:cs="黑体"/>
                <w:color w:val="auto"/>
                <w:sz w:val="21"/>
                <w:szCs w:val="21"/>
                <w:highlight w:val="none"/>
              </w:rPr>
            </w:pPr>
            <w:r>
              <w:rPr>
                <w:rFonts w:hint="eastAsia" w:ascii="黑体" w:hAnsi="宋体" w:eastAsia="黑体" w:cs="黑体"/>
                <w:color w:val="auto"/>
                <w:kern w:val="0"/>
                <w:sz w:val="21"/>
                <w:szCs w:val="21"/>
                <w:highlight w:val="none"/>
                <w:lang w:bidi="ar"/>
              </w:rPr>
              <w:t>名称</w:t>
            </w:r>
          </w:p>
        </w:tc>
        <w:tc>
          <w:tcPr>
            <w:tcW w:w="14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黑体" w:hAnsi="宋体" w:eastAsia="黑体" w:cs="黑体"/>
                <w:color w:val="auto"/>
                <w:sz w:val="21"/>
                <w:szCs w:val="21"/>
                <w:highlight w:val="none"/>
              </w:rPr>
            </w:pPr>
            <w:r>
              <w:rPr>
                <w:rFonts w:hint="eastAsia" w:ascii="黑体" w:hAnsi="宋体" w:eastAsia="黑体" w:cs="黑体"/>
                <w:color w:val="auto"/>
                <w:kern w:val="0"/>
                <w:sz w:val="21"/>
                <w:szCs w:val="21"/>
                <w:highlight w:val="none"/>
                <w:lang w:bidi="ar"/>
              </w:rPr>
              <w:t>地点</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黑体" w:hAnsi="宋体" w:eastAsia="黑体" w:cs="黑体"/>
                <w:color w:val="auto"/>
                <w:sz w:val="21"/>
                <w:szCs w:val="21"/>
                <w:highlight w:val="none"/>
              </w:rPr>
            </w:pPr>
            <w:r>
              <w:rPr>
                <w:rFonts w:hint="eastAsia" w:ascii="黑体" w:hAnsi="宋体" w:eastAsia="黑体" w:cs="黑体"/>
                <w:color w:val="auto"/>
                <w:kern w:val="0"/>
                <w:sz w:val="21"/>
                <w:szCs w:val="21"/>
                <w:highlight w:val="none"/>
                <w:lang w:bidi="ar"/>
              </w:rPr>
              <w:t>保洁等级</w:t>
            </w:r>
          </w:p>
        </w:tc>
        <w:tc>
          <w:tcPr>
            <w:tcW w:w="12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黑体" w:hAnsi="宋体" w:eastAsia="黑体" w:cs="黑体"/>
                <w:color w:val="auto"/>
                <w:kern w:val="0"/>
                <w:sz w:val="21"/>
                <w:szCs w:val="21"/>
                <w:highlight w:val="none"/>
                <w:lang w:bidi="ar"/>
              </w:rPr>
            </w:pPr>
            <w:r>
              <w:rPr>
                <w:rFonts w:hint="eastAsia" w:ascii="黑体" w:hAnsi="宋体" w:eastAsia="黑体" w:cs="黑体"/>
                <w:color w:val="auto"/>
                <w:kern w:val="0"/>
                <w:sz w:val="21"/>
                <w:szCs w:val="21"/>
                <w:highlight w:val="none"/>
                <w:lang w:bidi="ar"/>
              </w:rPr>
              <w:t>男厕小便斗</w:t>
            </w:r>
          </w:p>
          <w:p>
            <w:pPr>
              <w:widowControl/>
              <w:jc w:val="center"/>
              <w:textAlignment w:val="center"/>
              <w:rPr>
                <w:rFonts w:hint="eastAsia" w:ascii="黑体" w:hAnsi="宋体" w:eastAsia="黑体" w:cs="黑体"/>
                <w:color w:val="auto"/>
                <w:sz w:val="21"/>
                <w:szCs w:val="21"/>
                <w:highlight w:val="none"/>
              </w:rPr>
            </w:pPr>
            <w:r>
              <w:rPr>
                <w:rFonts w:hint="eastAsia" w:ascii="黑体" w:hAnsi="宋体" w:eastAsia="黑体" w:cs="黑体"/>
                <w:color w:val="auto"/>
                <w:kern w:val="0"/>
                <w:sz w:val="21"/>
                <w:szCs w:val="21"/>
                <w:highlight w:val="none"/>
                <w:lang w:bidi="ar"/>
              </w:rPr>
              <w:t>(个数)</w:t>
            </w:r>
          </w:p>
        </w:tc>
        <w:tc>
          <w:tcPr>
            <w:tcW w:w="10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黑体" w:hAnsi="宋体" w:eastAsia="黑体" w:cs="黑体"/>
                <w:color w:val="auto"/>
                <w:kern w:val="0"/>
                <w:sz w:val="21"/>
                <w:szCs w:val="21"/>
                <w:highlight w:val="none"/>
                <w:lang w:bidi="ar"/>
              </w:rPr>
            </w:pPr>
            <w:r>
              <w:rPr>
                <w:rFonts w:hint="eastAsia" w:ascii="黑体" w:hAnsi="宋体" w:eastAsia="黑体" w:cs="黑体"/>
                <w:color w:val="auto"/>
                <w:kern w:val="0"/>
                <w:sz w:val="21"/>
                <w:szCs w:val="21"/>
                <w:highlight w:val="none"/>
                <w:lang w:bidi="ar"/>
              </w:rPr>
              <w:t>男厕蹲位</w:t>
            </w:r>
          </w:p>
          <w:p>
            <w:pPr>
              <w:widowControl/>
              <w:jc w:val="center"/>
              <w:textAlignment w:val="center"/>
              <w:rPr>
                <w:rFonts w:hint="eastAsia" w:ascii="黑体" w:hAnsi="宋体" w:eastAsia="黑体" w:cs="黑体"/>
                <w:color w:val="auto"/>
                <w:sz w:val="21"/>
                <w:szCs w:val="21"/>
                <w:highlight w:val="none"/>
              </w:rPr>
            </w:pPr>
            <w:r>
              <w:rPr>
                <w:rFonts w:hint="eastAsia" w:ascii="黑体" w:hAnsi="宋体" w:eastAsia="黑体" w:cs="黑体"/>
                <w:color w:val="auto"/>
                <w:kern w:val="0"/>
                <w:sz w:val="21"/>
                <w:szCs w:val="21"/>
                <w:highlight w:val="none"/>
                <w:lang w:bidi="ar"/>
              </w:rPr>
              <w:t>(个数)</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黑体" w:hAnsi="宋体" w:eastAsia="黑体" w:cs="黑体"/>
                <w:color w:val="auto"/>
                <w:kern w:val="0"/>
                <w:sz w:val="21"/>
                <w:szCs w:val="21"/>
                <w:highlight w:val="none"/>
                <w:lang w:bidi="ar"/>
              </w:rPr>
            </w:pPr>
            <w:r>
              <w:rPr>
                <w:rFonts w:hint="eastAsia" w:ascii="黑体" w:hAnsi="宋体" w:eastAsia="黑体" w:cs="黑体"/>
                <w:color w:val="auto"/>
                <w:kern w:val="0"/>
                <w:sz w:val="21"/>
                <w:szCs w:val="21"/>
                <w:highlight w:val="none"/>
                <w:lang w:bidi="ar"/>
              </w:rPr>
              <w:t>女厕蹲位</w:t>
            </w:r>
          </w:p>
          <w:p>
            <w:pPr>
              <w:widowControl/>
              <w:jc w:val="center"/>
              <w:textAlignment w:val="center"/>
              <w:rPr>
                <w:rFonts w:hint="eastAsia" w:ascii="黑体" w:hAnsi="宋体" w:eastAsia="黑体" w:cs="黑体"/>
                <w:color w:val="auto"/>
                <w:sz w:val="21"/>
                <w:szCs w:val="21"/>
                <w:highlight w:val="none"/>
              </w:rPr>
            </w:pPr>
            <w:r>
              <w:rPr>
                <w:rFonts w:hint="eastAsia" w:ascii="黑体" w:hAnsi="宋体" w:eastAsia="黑体" w:cs="黑体"/>
                <w:color w:val="auto"/>
                <w:kern w:val="0"/>
                <w:sz w:val="21"/>
                <w:szCs w:val="21"/>
                <w:highlight w:val="none"/>
                <w:lang w:bidi="ar"/>
              </w:rPr>
              <w:t>(个数)</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黑体" w:hAnsi="宋体" w:eastAsia="黑体" w:cs="黑体"/>
                <w:color w:val="auto"/>
                <w:kern w:val="0"/>
                <w:sz w:val="22"/>
                <w:szCs w:val="22"/>
                <w:highlight w:val="none"/>
                <w:lang w:bidi="ar"/>
              </w:rPr>
            </w:pPr>
            <w:r>
              <w:rPr>
                <w:rFonts w:hint="eastAsia" w:ascii="黑体" w:hAnsi="宋体" w:eastAsia="黑体" w:cs="黑体"/>
                <w:color w:val="auto"/>
                <w:kern w:val="0"/>
                <w:sz w:val="22"/>
                <w:szCs w:val="22"/>
                <w:highlight w:val="none"/>
                <w:lang w:bidi="ar"/>
              </w:rPr>
              <w:t>第三卫生间</w:t>
            </w:r>
          </w:p>
          <w:p>
            <w:pPr>
              <w:widowControl/>
              <w:jc w:val="center"/>
              <w:textAlignment w:val="center"/>
              <w:rPr>
                <w:rFonts w:hint="eastAsia" w:ascii="黑体" w:hAnsi="宋体" w:eastAsia="黑体" w:cs="黑体"/>
                <w:color w:val="auto"/>
                <w:sz w:val="22"/>
                <w:szCs w:val="22"/>
                <w:highlight w:val="none"/>
              </w:rPr>
            </w:pPr>
            <w:r>
              <w:rPr>
                <w:rFonts w:hint="eastAsia" w:ascii="黑体" w:hAnsi="宋体" w:eastAsia="黑体" w:cs="黑体"/>
                <w:color w:val="auto"/>
                <w:kern w:val="0"/>
                <w:sz w:val="22"/>
                <w:szCs w:val="22"/>
                <w:highlight w:val="none"/>
                <w:lang w:bidi="ar"/>
              </w:rPr>
              <w:t>面积（㎡）</w:t>
            </w:r>
          </w:p>
        </w:tc>
        <w:tc>
          <w:tcPr>
            <w:tcW w:w="134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黑体" w:hAnsi="宋体" w:eastAsia="黑体" w:cs="黑体"/>
                <w:color w:val="auto"/>
                <w:kern w:val="0"/>
                <w:sz w:val="22"/>
                <w:szCs w:val="22"/>
                <w:highlight w:val="none"/>
                <w:lang w:bidi="ar"/>
              </w:rPr>
            </w:pPr>
            <w:r>
              <w:rPr>
                <w:rFonts w:hint="eastAsia" w:ascii="黑体" w:hAnsi="宋体" w:eastAsia="黑体" w:cs="黑体"/>
                <w:color w:val="auto"/>
                <w:kern w:val="0"/>
                <w:sz w:val="22"/>
                <w:szCs w:val="22"/>
                <w:highlight w:val="none"/>
                <w:lang w:bidi="ar"/>
              </w:rPr>
              <w:t>管理房</w:t>
            </w:r>
          </w:p>
          <w:p>
            <w:pPr>
              <w:widowControl/>
              <w:jc w:val="center"/>
              <w:textAlignment w:val="center"/>
              <w:rPr>
                <w:rFonts w:hint="eastAsia" w:ascii="黑体" w:hAnsi="宋体" w:eastAsia="黑体" w:cs="黑体"/>
                <w:color w:val="auto"/>
                <w:sz w:val="22"/>
                <w:szCs w:val="22"/>
                <w:highlight w:val="none"/>
              </w:rPr>
            </w:pPr>
            <w:r>
              <w:rPr>
                <w:rFonts w:hint="eastAsia" w:ascii="黑体" w:hAnsi="宋体" w:eastAsia="黑体" w:cs="黑体"/>
                <w:color w:val="auto"/>
                <w:kern w:val="0"/>
                <w:sz w:val="22"/>
                <w:szCs w:val="22"/>
                <w:highlight w:val="none"/>
                <w:lang w:bidi="ar"/>
              </w:rPr>
              <w:t>面积（㎡）</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黑体" w:hAnsi="宋体" w:eastAsia="黑体" w:cs="黑体"/>
                <w:color w:val="auto"/>
                <w:kern w:val="0"/>
                <w:sz w:val="21"/>
                <w:szCs w:val="21"/>
                <w:highlight w:val="none"/>
                <w:lang w:bidi="ar"/>
              </w:rPr>
            </w:pPr>
            <w:r>
              <w:rPr>
                <w:rFonts w:hint="eastAsia" w:ascii="黑体" w:hAnsi="宋体" w:eastAsia="黑体" w:cs="黑体"/>
                <w:color w:val="auto"/>
                <w:kern w:val="0"/>
                <w:sz w:val="21"/>
                <w:szCs w:val="21"/>
                <w:highlight w:val="none"/>
                <w:lang w:bidi="ar"/>
              </w:rPr>
              <w:t>年度水费</w:t>
            </w:r>
          </w:p>
          <w:p>
            <w:pPr>
              <w:widowControl/>
              <w:jc w:val="center"/>
              <w:textAlignment w:val="center"/>
              <w:rPr>
                <w:rFonts w:hint="eastAsia" w:ascii="黑体" w:hAnsi="宋体" w:eastAsia="黑体" w:cs="黑体"/>
                <w:color w:val="auto"/>
                <w:sz w:val="21"/>
                <w:szCs w:val="21"/>
                <w:highlight w:val="none"/>
              </w:rPr>
            </w:pPr>
            <w:r>
              <w:rPr>
                <w:rFonts w:hint="eastAsia" w:ascii="黑体" w:hAnsi="宋体" w:eastAsia="黑体" w:cs="黑体"/>
                <w:color w:val="auto"/>
                <w:kern w:val="0"/>
                <w:sz w:val="21"/>
                <w:szCs w:val="21"/>
                <w:highlight w:val="none"/>
                <w:lang w:bidi="ar"/>
              </w:rPr>
              <w:t>（万元）</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黑体" w:hAnsi="宋体" w:eastAsia="黑体" w:cs="黑体"/>
                <w:color w:val="auto"/>
                <w:kern w:val="0"/>
                <w:sz w:val="21"/>
                <w:szCs w:val="21"/>
                <w:highlight w:val="none"/>
                <w:lang w:bidi="ar"/>
              </w:rPr>
            </w:pPr>
            <w:r>
              <w:rPr>
                <w:rFonts w:hint="eastAsia" w:ascii="黑体" w:hAnsi="宋体" w:eastAsia="黑体" w:cs="黑体"/>
                <w:color w:val="auto"/>
                <w:kern w:val="0"/>
                <w:sz w:val="21"/>
                <w:szCs w:val="21"/>
                <w:highlight w:val="none"/>
                <w:lang w:bidi="ar"/>
              </w:rPr>
              <w:t>年度电费</w:t>
            </w:r>
          </w:p>
          <w:p>
            <w:pPr>
              <w:widowControl/>
              <w:jc w:val="center"/>
              <w:textAlignment w:val="center"/>
              <w:rPr>
                <w:rFonts w:hint="eastAsia" w:ascii="黑体" w:hAnsi="宋体" w:eastAsia="黑体" w:cs="黑体"/>
                <w:color w:val="auto"/>
                <w:sz w:val="21"/>
                <w:szCs w:val="21"/>
                <w:highlight w:val="none"/>
              </w:rPr>
            </w:pPr>
            <w:r>
              <w:rPr>
                <w:rFonts w:hint="eastAsia" w:ascii="黑体" w:hAnsi="宋体" w:eastAsia="黑体" w:cs="黑体"/>
                <w:color w:val="auto"/>
                <w:kern w:val="0"/>
                <w:sz w:val="21"/>
                <w:szCs w:val="21"/>
                <w:highlight w:val="none"/>
                <w:lang w:bidi="ar"/>
              </w:rPr>
              <w:t>（万元）</w:t>
            </w:r>
          </w:p>
        </w:tc>
      </w:tr>
      <w:tr>
        <w:tblPrEx>
          <w:tblCellMar>
            <w:top w:w="0" w:type="dxa"/>
            <w:left w:w="108" w:type="dxa"/>
            <w:bottom w:w="0" w:type="dxa"/>
            <w:right w:w="108" w:type="dxa"/>
          </w:tblCellMar>
        </w:tblPrEx>
        <w:trPr>
          <w:trHeight w:val="403"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w:t>
            </w:r>
          </w:p>
        </w:tc>
        <w:tc>
          <w:tcPr>
            <w:tcW w:w="28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瑶溪皇岙村国安寺旁</w:t>
            </w:r>
          </w:p>
        </w:tc>
        <w:tc>
          <w:tcPr>
            <w:tcW w:w="14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皇岙村</w:t>
            </w:r>
          </w:p>
        </w:tc>
        <w:tc>
          <w:tcPr>
            <w:tcW w:w="10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0.84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0.1</w:t>
            </w:r>
          </w:p>
        </w:tc>
      </w:tr>
      <w:tr>
        <w:tblPrEx>
          <w:tblCellMar>
            <w:top w:w="0" w:type="dxa"/>
            <w:left w:w="108" w:type="dxa"/>
            <w:bottom w:w="0" w:type="dxa"/>
            <w:right w:w="108" w:type="dxa"/>
          </w:tblCellMar>
        </w:tblPrEx>
        <w:trPr>
          <w:trHeight w:val="403"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w:t>
            </w:r>
          </w:p>
        </w:tc>
        <w:tc>
          <w:tcPr>
            <w:tcW w:w="28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茅永公路边</w:t>
            </w:r>
          </w:p>
        </w:tc>
        <w:tc>
          <w:tcPr>
            <w:tcW w:w="14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雄心村</w:t>
            </w:r>
          </w:p>
        </w:tc>
        <w:tc>
          <w:tcPr>
            <w:tcW w:w="10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0.92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0.09</w:t>
            </w:r>
          </w:p>
        </w:tc>
      </w:tr>
      <w:tr>
        <w:tblPrEx>
          <w:tblCellMar>
            <w:top w:w="0" w:type="dxa"/>
            <w:left w:w="108" w:type="dxa"/>
            <w:bottom w:w="0" w:type="dxa"/>
            <w:right w:w="108" w:type="dxa"/>
          </w:tblCellMar>
        </w:tblPrEx>
        <w:trPr>
          <w:trHeight w:val="403"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w:t>
            </w:r>
          </w:p>
        </w:tc>
        <w:tc>
          <w:tcPr>
            <w:tcW w:w="28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苏川村佳乐幼儿园旁</w:t>
            </w:r>
          </w:p>
        </w:tc>
        <w:tc>
          <w:tcPr>
            <w:tcW w:w="14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苏川村</w:t>
            </w:r>
          </w:p>
        </w:tc>
        <w:tc>
          <w:tcPr>
            <w:tcW w:w="10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0.72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0.1</w:t>
            </w:r>
          </w:p>
        </w:tc>
      </w:tr>
      <w:tr>
        <w:tblPrEx>
          <w:tblCellMar>
            <w:top w:w="0" w:type="dxa"/>
            <w:left w:w="108" w:type="dxa"/>
            <w:bottom w:w="0" w:type="dxa"/>
            <w:right w:w="108" w:type="dxa"/>
          </w:tblCellMar>
        </w:tblPrEx>
        <w:trPr>
          <w:trHeight w:val="403"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4</w:t>
            </w:r>
          </w:p>
        </w:tc>
        <w:tc>
          <w:tcPr>
            <w:tcW w:w="28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瑶溪河口村临水殿东首</w:t>
            </w:r>
          </w:p>
        </w:tc>
        <w:tc>
          <w:tcPr>
            <w:tcW w:w="14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河口村</w:t>
            </w:r>
          </w:p>
        </w:tc>
        <w:tc>
          <w:tcPr>
            <w:tcW w:w="10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0.7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0.08</w:t>
            </w:r>
          </w:p>
        </w:tc>
      </w:tr>
      <w:tr>
        <w:tblPrEx>
          <w:tblCellMar>
            <w:top w:w="0" w:type="dxa"/>
            <w:left w:w="108" w:type="dxa"/>
            <w:bottom w:w="0" w:type="dxa"/>
            <w:right w:w="108" w:type="dxa"/>
          </w:tblCellMar>
        </w:tblPrEx>
        <w:trPr>
          <w:trHeight w:val="403"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凤翔路公厕</w:t>
            </w:r>
          </w:p>
        </w:tc>
        <w:tc>
          <w:tcPr>
            <w:tcW w:w="14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工业园区</w:t>
            </w:r>
          </w:p>
        </w:tc>
        <w:tc>
          <w:tcPr>
            <w:tcW w:w="10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0.72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0.4</w:t>
            </w:r>
          </w:p>
        </w:tc>
      </w:tr>
      <w:tr>
        <w:tblPrEx>
          <w:tblCellMar>
            <w:top w:w="0" w:type="dxa"/>
            <w:left w:w="108" w:type="dxa"/>
            <w:bottom w:w="0" w:type="dxa"/>
            <w:right w:w="108" w:type="dxa"/>
          </w:tblCellMar>
        </w:tblPrEx>
        <w:trPr>
          <w:trHeight w:val="403"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6</w:t>
            </w:r>
          </w:p>
        </w:tc>
        <w:tc>
          <w:tcPr>
            <w:tcW w:w="28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瑶溪村委会边</w:t>
            </w:r>
          </w:p>
        </w:tc>
        <w:tc>
          <w:tcPr>
            <w:tcW w:w="14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瑶溪村</w:t>
            </w:r>
          </w:p>
        </w:tc>
        <w:tc>
          <w:tcPr>
            <w:tcW w:w="10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0.88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0.06</w:t>
            </w:r>
          </w:p>
        </w:tc>
      </w:tr>
      <w:tr>
        <w:tblPrEx>
          <w:tblCellMar>
            <w:top w:w="0" w:type="dxa"/>
            <w:left w:w="108" w:type="dxa"/>
            <w:bottom w:w="0" w:type="dxa"/>
            <w:right w:w="108" w:type="dxa"/>
          </w:tblCellMar>
        </w:tblPrEx>
        <w:trPr>
          <w:trHeight w:val="403"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7</w:t>
            </w:r>
          </w:p>
        </w:tc>
        <w:tc>
          <w:tcPr>
            <w:tcW w:w="28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永胜村菜场</w:t>
            </w:r>
          </w:p>
        </w:tc>
        <w:tc>
          <w:tcPr>
            <w:tcW w:w="14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永胜村</w:t>
            </w:r>
          </w:p>
        </w:tc>
        <w:tc>
          <w:tcPr>
            <w:tcW w:w="10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0.56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0.04</w:t>
            </w:r>
          </w:p>
        </w:tc>
      </w:tr>
      <w:tr>
        <w:tblPrEx>
          <w:tblCellMar>
            <w:top w:w="0" w:type="dxa"/>
            <w:left w:w="108" w:type="dxa"/>
            <w:bottom w:w="0" w:type="dxa"/>
            <w:right w:w="108" w:type="dxa"/>
          </w:tblCellMar>
        </w:tblPrEx>
        <w:trPr>
          <w:trHeight w:val="403"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8</w:t>
            </w:r>
          </w:p>
        </w:tc>
        <w:tc>
          <w:tcPr>
            <w:tcW w:w="28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阳明路粮食市场对面</w:t>
            </w:r>
          </w:p>
        </w:tc>
        <w:tc>
          <w:tcPr>
            <w:tcW w:w="14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底岭下村</w:t>
            </w:r>
          </w:p>
        </w:tc>
        <w:tc>
          <w:tcPr>
            <w:tcW w:w="10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0.72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0.07</w:t>
            </w:r>
          </w:p>
        </w:tc>
      </w:tr>
      <w:tr>
        <w:tblPrEx>
          <w:tblCellMar>
            <w:top w:w="0" w:type="dxa"/>
            <w:left w:w="108" w:type="dxa"/>
            <w:bottom w:w="0" w:type="dxa"/>
            <w:right w:w="108" w:type="dxa"/>
          </w:tblCellMar>
        </w:tblPrEx>
        <w:trPr>
          <w:trHeight w:val="403"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祥生睿城内</w:t>
            </w:r>
          </w:p>
        </w:tc>
        <w:tc>
          <w:tcPr>
            <w:tcW w:w="14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南洋社区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2"/>
                <w:szCs w:val="22"/>
                <w:highlight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2"/>
                <w:szCs w:val="22"/>
                <w:highlight w:val="none"/>
              </w:rPr>
            </w:pPr>
          </w:p>
        </w:tc>
      </w:tr>
      <w:tr>
        <w:tblPrEx>
          <w:tblCellMar>
            <w:top w:w="0" w:type="dxa"/>
            <w:left w:w="108" w:type="dxa"/>
            <w:bottom w:w="0" w:type="dxa"/>
            <w:right w:w="108" w:type="dxa"/>
          </w:tblCellMar>
        </w:tblPrEx>
        <w:trPr>
          <w:trHeight w:val="403"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新天地公厕</w:t>
            </w:r>
          </w:p>
        </w:tc>
        <w:tc>
          <w:tcPr>
            <w:tcW w:w="14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永胜村</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0.6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0.4</w:t>
            </w:r>
          </w:p>
        </w:tc>
      </w:tr>
      <w:tr>
        <w:tblPrEx>
          <w:tblCellMar>
            <w:top w:w="0" w:type="dxa"/>
            <w:left w:w="108" w:type="dxa"/>
            <w:bottom w:w="0" w:type="dxa"/>
            <w:right w:w="108" w:type="dxa"/>
          </w:tblCellMar>
        </w:tblPrEx>
        <w:trPr>
          <w:trHeight w:val="403"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茅竹岭公园公厕</w:t>
            </w:r>
          </w:p>
        </w:tc>
        <w:tc>
          <w:tcPr>
            <w:tcW w:w="14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白楼下</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0.6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0.4</w:t>
            </w:r>
          </w:p>
        </w:tc>
      </w:tr>
      <w:tr>
        <w:tblPrEx>
          <w:tblCellMar>
            <w:top w:w="0" w:type="dxa"/>
            <w:left w:w="108" w:type="dxa"/>
            <w:bottom w:w="0" w:type="dxa"/>
            <w:right w:w="108" w:type="dxa"/>
          </w:tblCellMar>
        </w:tblPrEx>
        <w:trPr>
          <w:trHeight w:val="403"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12</w:t>
            </w:r>
          </w:p>
        </w:tc>
        <w:tc>
          <w:tcPr>
            <w:tcW w:w="28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龙东村菜市场边</w:t>
            </w:r>
          </w:p>
        </w:tc>
        <w:tc>
          <w:tcPr>
            <w:tcW w:w="14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龙东村</w:t>
            </w:r>
          </w:p>
        </w:tc>
        <w:tc>
          <w:tcPr>
            <w:tcW w:w="10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0.76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0.07</w:t>
            </w:r>
          </w:p>
        </w:tc>
      </w:tr>
      <w:tr>
        <w:tblPrEx>
          <w:tblCellMar>
            <w:top w:w="0" w:type="dxa"/>
            <w:left w:w="108" w:type="dxa"/>
            <w:bottom w:w="0" w:type="dxa"/>
            <w:right w:w="108" w:type="dxa"/>
          </w:tblCellMar>
        </w:tblPrEx>
        <w:trPr>
          <w:trHeight w:val="403"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13</w:t>
            </w:r>
          </w:p>
        </w:tc>
        <w:tc>
          <w:tcPr>
            <w:tcW w:w="28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瑶溪江滨路立交桥水坝旁</w:t>
            </w:r>
          </w:p>
        </w:tc>
        <w:tc>
          <w:tcPr>
            <w:tcW w:w="14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白楼下</w:t>
            </w:r>
          </w:p>
        </w:tc>
        <w:tc>
          <w:tcPr>
            <w:tcW w:w="10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0.47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0.04</w:t>
            </w:r>
          </w:p>
        </w:tc>
      </w:tr>
      <w:tr>
        <w:tblPrEx>
          <w:tblCellMar>
            <w:top w:w="0" w:type="dxa"/>
            <w:left w:w="108" w:type="dxa"/>
            <w:bottom w:w="0" w:type="dxa"/>
            <w:right w:w="108" w:type="dxa"/>
          </w:tblCellMar>
        </w:tblPrEx>
        <w:trPr>
          <w:trHeight w:val="403"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14</w:t>
            </w:r>
          </w:p>
        </w:tc>
        <w:tc>
          <w:tcPr>
            <w:tcW w:w="28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河头龙西路7号</w:t>
            </w:r>
          </w:p>
        </w:tc>
        <w:tc>
          <w:tcPr>
            <w:tcW w:w="14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苏川村</w:t>
            </w:r>
          </w:p>
        </w:tc>
        <w:tc>
          <w:tcPr>
            <w:tcW w:w="10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0.49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0.05</w:t>
            </w:r>
          </w:p>
        </w:tc>
      </w:tr>
      <w:tr>
        <w:tblPrEx>
          <w:tblCellMar>
            <w:top w:w="0" w:type="dxa"/>
            <w:left w:w="108" w:type="dxa"/>
            <w:bottom w:w="0" w:type="dxa"/>
            <w:right w:w="108" w:type="dxa"/>
          </w:tblCellMar>
        </w:tblPrEx>
        <w:trPr>
          <w:trHeight w:val="403"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15</w:t>
            </w:r>
          </w:p>
        </w:tc>
        <w:tc>
          <w:tcPr>
            <w:tcW w:w="28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浃底村办公楼东首</w:t>
            </w:r>
          </w:p>
        </w:tc>
        <w:tc>
          <w:tcPr>
            <w:tcW w:w="14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浃底村</w:t>
            </w:r>
          </w:p>
        </w:tc>
        <w:tc>
          <w:tcPr>
            <w:tcW w:w="10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0.38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0.04</w:t>
            </w:r>
          </w:p>
        </w:tc>
      </w:tr>
      <w:tr>
        <w:tblPrEx>
          <w:tblCellMar>
            <w:top w:w="0" w:type="dxa"/>
            <w:left w:w="108" w:type="dxa"/>
            <w:bottom w:w="0" w:type="dxa"/>
            <w:right w:w="108" w:type="dxa"/>
          </w:tblCellMar>
        </w:tblPrEx>
        <w:trPr>
          <w:trHeight w:val="413"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16</w:t>
            </w:r>
          </w:p>
        </w:tc>
        <w:tc>
          <w:tcPr>
            <w:tcW w:w="28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瑶溪河口村公园内</w:t>
            </w:r>
          </w:p>
        </w:tc>
        <w:tc>
          <w:tcPr>
            <w:tcW w:w="14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河口村</w:t>
            </w:r>
          </w:p>
        </w:tc>
        <w:tc>
          <w:tcPr>
            <w:tcW w:w="10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0.78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0.08</w:t>
            </w:r>
          </w:p>
        </w:tc>
      </w:tr>
    </w:tbl>
    <w:p>
      <w:pPr>
        <w:rPr>
          <w:color w:val="auto"/>
          <w:highlight w:val="none"/>
        </w:rPr>
      </w:pPr>
    </w:p>
    <w:p>
      <w:pPr>
        <w:pStyle w:val="3"/>
        <w:rPr>
          <w:rFonts w:hint="eastAsia"/>
          <w:color w:val="auto"/>
          <w:highlight w:val="none"/>
        </w:rPr>
      </w:pPr>
      <w:r>
        <w:rPr>
          <w:rFonts w:hint="eastAsia"/>
          <w:color w:val="auto"/>
          <w:highlight w:val="none"/>
        </w:rPr>
        <w:t>附表4：河道</w:t>
      </w:r>
    </w:p>
    <w:tbl>
      <w:tblPr>
        <w:tblStyle w:val="42"/>
        <w:tblW w:w="14197" w:type="dxa"/>
        <w:tblInd w:w="93" w:type="dxa"/>
        <w:tblLayout w:type="autofit"/>
        <w:tblCellMar>
          <w:top w:w="0" w:type="dxa"/>
          <w:left w:w="108" w:type="dxa"/>
          <w:bottom w:w="0" w:type="dxa"/>
          <w:right w:w="108" w:type="dxa"/>
        </w:tblCellMar>
      </w:tblPr>
      <w:tblGrid>
        <w:gridCol w:w="636"/>
        <w:gridCol w:w="1661"/>
        <w:gridCol w:w="4252"/>
        <w:gridCol w:w="1391"/>
        <w:gridCol w:w="1391"/>
        <w:gridCol w:w="1777"/>
        <w:gridCol w:w="1448"/>
        <w:gridCol w:w="1641"/>
      </w:tblGrid>
      <w:tr>
        <w:tblPrEx>
          <w:tblCellMar>
            <w:top w:w="0" w:type="dxa"/>
            <w:left w:w="108" w:type="dxa"/>
            <w:bottom w:w="0" w:type="dxa"/>
            <w:right w:w="108" w:type="dxa"/>
          </w:tblCellMar>
        </w:tblPrEx>
        <w:trPr>
          <w:trHeight w:val="965" w:hRule="atLeast"/>
        </w:trPr>
        <w:tc>
          <w:tcPr>
            <w:tcW w:w="6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黑体" w:hAnsi="宋体" w:eastAsia="黑体" w:cs="黑体"/>
                <w:color w:val="auto"/>
                <w:sz w:val="21"/>
                <w:szCs w:val="21"/>
                <w:highlight w:val="none"/>
              </w:rPr>
            </w:pPr>
            <w:r>
              <w:rPr>
                <w:rFonts w:hint="eastAsia" w:ascii="黑体" w:hAnsi="宋体" w:eastAsia="黑体" w:cs="黑体"/>
                <w:color w:val="auto"/>
                <w:kern w:val="0"/>
                <w:sz w:val="21"/>
                <w:szCs w:val="21"/>
                <w:highlight w:val="none"/>
                <w:lang w:bidi="ar"/>
              </w:rPr>
              <w:t>序号</w:t>
            </w:r>
          </w:p>
        </w:tc>
        <w:tc>
          <w:tcPr>
            <w:tcW w:w="16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黑体" w:hAnsi="宋体" w:eastAsia="黑体" w:cs="黑体"/>
                <w:color w:val="auto"/>
                <w:sz w:val="21"/>
                <w:szCs w:val="21"/>
                <w:highlight w:val="none"/>
              </w:rPr>
            </w:pPr>
            <w:r>
              <w:rPr>
                <w:rFonts w:hint="eastAsia" w:ascii="黑体" w:hAnsi="宋体" w:eastAsia="黑体" w:cs="黑体"/>
                <w:color w:val="auto"/>
                <w:kern w:val="0"/>
                <w:sz w:val="21"/>
                <w:szCs w:val="21"/>
                <w:highlight w:val="none"/>
                <w:lang w:bidi="ar"/>
              </w:rPr>
              <w:t>名称</w:t>
            </w:r>
          </w:p>
        </w:tc>
        <w:tc>
          <w:tcPr>
            <w:tcW w:w="42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黑体" w:hAnsi="宋体" w:eastAsia="黑体" w:cs="黑体"/>
                <w:color w:val="auto"/>
                <w:sz w:val="21"/>
                <w:szCs w:val="21"/>
                <w:highlight w:val="none"/>
              </w:rPr>
            </w:pPr>
            <w:r>
              <w:rPr>
                <w:rFonts w:hint="eastAsia" w:ascii="黑体" w:hAnsi="宋体" w:eastAsia="黑体" w:cs="黑体"/>
                <w:color w:val="auto"/>
                <w:kern w:val="0"/>
                <w:sz w:val="21"/>
                <w:szCs w:val="21"/>
                <w:highlight w:val="none"/>
                <w:lang w:bidi="ar"/>
              </w:rPr>
              <w:t>起止地点</w:t>
            </w:r>
          </w:p>
        </w:tc>
        <w:tc>
          <w:tcPr>
            <w:tcW w:w="139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黑体" w:hAnsi="宋体" w:eastAsia="黑体" w:cs="黑体"/>
                <w:color w:val="auto"/>
                <w:sz w:val="21"/>
                <w:szCs w:val="21"/>
                <w:highlight w:val="none"/>
              </w:rPr>
            </w:pPr>
            <w:r>
              <w:rPr>
                <w:rFonts w:hint="eastAsia" w:ascii="黑体" w:hAnsi="宋体" w:eastAsia="黑体" w:cs="黑体"/>
                <w:color w:val="auto"/>
                <w:kern w:val="0"/>
                <w:sz w:val="21"/>
                <w:szCs w:val="21"/>
                <w:highlight w:val="none"/>
                <w:lang w:bidi="ar"/>
              </w:rPr>
              <w:t>长度(m)</w:t>
            </w:r>
          </w:p>
        </w:tc>
        <w:tc>
          <w:tcPr>
            <w:tcW w:w="139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黑体" w:hAnsi="宋体" w:eastAsia="黑体" w:cs="黑体"/>
                <w:color w:val="auto"/>
                <w:sz w:val="21"/>
                <w:szCs w:val="21"/>
                <w:highlight w:val="none"/>
              </w:rPr>
            </w:pPr>
            <w:r>
              <w:rPr>
                <w:rFonts w:hint="eastAsia" w:ascii="黑体" w:hAnsi="宋体" w:eastAsia="黑体" w:cs="黑体"/>
                <w:color w:val="auto"/>
                <w:kern w:val="0"/>
                <w:sz w:val="21"/>
                <w:szCs w:val="21"/>
                <w:highlight w:val="none"/>
                <w:lang w:bidi="ar"/>
              </w:rPr>
              <w:t>宽度(m)</w:t>
            </w:r>
          </w:p>
        </w:tc>
        <w:tc>
          <w:tcPr>
            <w:tcW w:w="17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黑体" w:hAnsi="宋体" w:eastAsia="黑体" w:cs="黑体"/>
                <w:color w:val="auto"/>
                <w:sz w:val="21"/>
                <w:szCs w:val="21"/>
                <w:highlight w:val="none"/>
              </w:rPr>
            </w:pPr>
            <w:r>
              <w:rPr>
                <w:rFonts w:hint="eastAsia" w:ascii="黑体" w:hAnsi="宋体" w:eastAsia="黑体" w:cs="黑体"/>
                <w:color w:val="auto"/>
                <w:kern w:val="0"/>
                <w:sz w:val="21"/>
                <w:szCs w:val="21"/>
                <w:highlight w:val="none"/>
                <w:lang w:bidi="ar"/>
              </w:rPr>
              <w:t>总面积(m</w:t>
            </w:r>
            <w:r>
              <w:rPr>
                <w:rFonts w:ascii="Arial" w:hAnsi="Arial" w:eastAsia="黑体" w:cs="Arial"/>
                <w:color w:val="auto"/>
                <w:kern w:val="0"/>
                <w:sz w:val="21"/>
                <w:szCs w:val="21"/>
                <w:highlight w:val="none"/>
                <w:lang w:bidi="ar"/>
              </w:rPr>
              <w:t>²</w:t>
            </w:r>
            <w:r>
              <w:rPr>
                <w:rFonts w:hint="eastAsia" w:ascii="黑体" w:hAnsi="宋体" w:eastAsia="黑体" w:cs="黑体"/>
                <w:color w:val="auto"/>
                <w:kern w:val="0"/>
                <w:sz w:val="21"/>
                <w:szCs w:val="21"/>
                <w:highlight w:val="none"/>
                <w:lang w:bidi="ar"/>
              </w:rPr>
              <w:t>)</w:t>
            </w:r>
          </w:p>
        </w:tc>
        <w:tc>
          <w:tcPr>
            <w:tcW w:w="1448" w:type="dxa"/>
            <w:tcBorders>
              <w:top w:val="single" w:color="000000" w:sz="4" w:space="0"/>
              <w:left w:val="single" w:color="000000" w:sz="4" w:space="0"/>
              <w:bottom w:val="single" w:color="000000" w:sz="4" w:space="0"/>
              <w:right w:val="nil"/>
            </w:tcBorders>
            <w:shd w:val="clear" w:color="auto" w:fill="FFFF00"/>
            <w:noWrap w:val="0"/>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计费宽度（m）</w:t>
            </w:r>
          </w:p>
        </w:tc>
        <w:tc>
          <w:tcPr>
            <w:tcW w:w="1641" w:type="dxa"/>
            <w:tcBorders>
              <w:top w:val="single" w:color="000000" w:sz="4" w:space="0"/>
              <w:left w:val="single" w:color="000000" w:sz="4" w:space="0"/>
              <w:bottom w:val="single" w:color="000000" w:sz="4" w:space="0"/>
              <w:right w:val="single" w:color="000000" w:sz="4" w:space="0"/>
            </w:tcBorders>
            <w:shd w:val="clear" w:color="auto" w:fill="FFFF00"/>
            <w:noWrap w:val="0"/>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计费面积(m²)</w:t>
            </w:r>
          </w:p>
        </w:tc>
      </w:tr>
      <w:tr>
        <w:tblPrEx>
          <w:tblCellMar>
            <w:top w:w="0" w:type="dxa"/>
            <w:left w:w="108" w:type="dxa"/>
            <w:bottom w:w="0" w:type="dxa"/>
            <w:right w:w="108" w:type="dxa"/>
          </w:tblCellMar>
        </w:tblPrEx>
        <w:trPr>
          <w:trHeight w:val="43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瑶溪河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瑶溪风景区售票亭-东平水闸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5844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30.00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175320</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46752</w:t>
            </w:r>
          </w:p>
        </w:tc>
      </w:tr>
      <w:tr>
        <w:tblPrEx>
          <w:tblCellMar>
            <w:top w:w="0" w:type="dxa"/>
            <w:left w:w="108" w:type="dxa"/>
            <w:bottom w:w="0" w:type="dxa"/>
            <w:right w:w="108" w:type="dxa"/>
          </w:tblCellMar>
        </w:tblPrEx>
        <w:trPr>
          <w:trHeight w:val="43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水心河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瑶溪河-朱宅新河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1262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20.00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25240</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10096</w:t>
            </w:r>
          </w:p>
        </w:tc>
      </w:tr>
      <w:tr>
        <w:tblPrEx>
          <w:tblCellMar>
            <w:top w:w="0" w:type="dxa"/>
            <w:left w:w="108" w:type="dxa"/>
            <w:bottom w:w="0" w:type="dxa"/>
            <w:right w:w="108" w:type="dxa"/>
          </w:tblCellMar>
        </w:tblPrEx>
        <w:trPr>
          <w:trHeight w:val="43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草河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瑶溪河-黄石山后河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2028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34.00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68950</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16224</w:t>
            </w:r>
          </w:p>
        </w:tc>
      </w:tr>
      <w:tr>
        <w:tblPrEx>
          <w:tblCellMar>
            <w:top w:w="0" w:type="dxa"/>
            <w:left w:w="108" w:type="dxa"/>
            <w:bottom w:w="0" w:type="dxa"/>
            <w:right w:w="108" w:type="dxa"/>
          </w:tblCellMar>
        </w:tblPrEx>
        <w:trPr>
          <w:trHeight w:val="6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4</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黄石山后河（轮船河）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瑶溪河-永中界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2556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40.00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102240</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20448</w:t>
            </w:r>
          </w:p>
        </w:tc>
      </w:tr>
      <w:tr>
        <w:tblPrEx>
          <w:tblCellMar>
            <w:top w:w="0" w:type="dxa"/>
            <w:left w:w="108" w:type="dxa"/>
            <w:bottom w:w="0" w:type="dxa"/>
            <w:right w:w="108" w:type="dxa"/>
          </w:tblCellMar>
        </w:tblPrEx>
        <w:trPr>
          <w:trHeight w:val="43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龙湾河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黄石山后河-龙湾水闸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1202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20.00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24040</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9616</w:t>
            </w:r>
          </w:p>
        </w:tc>
      </w:tr>
      <w:tr>
        <w:tblPrEx>
          <w:tblCellMar>
            <w:top w:w="0" w:type="dxa"/>
            <w:left w:w="108" w:type="dxa"/>
            <w:bottom w:w="0" w:type="dxa"/>
            <w:right w:w="108" w:type="dxa"/>
          </w:tblCellMar>
        </w:tblPrEx>
        <w:trPr>
          <w:trHeight w:val="43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北山河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龙湾河-邮电路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2530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12.00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30360</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20240</w:t>
            </w:r>
          </w:p>
        </w:tc>
      </w:tr>
      <w:tr>
        <w:tblPrEx>
          <w:tblCellMar>
            <w:top w:w="0" w:type="dxa"/>
            <w:left w:w="108" w:type="dxa"/>
            <w:bottom w:w="0" w:type="dxa"/>
            <w:right w:w="108" w:type="dxa"/>
          </w:tblCellMar>
        </w:tblPrEx>
        <w:trPr>
          <w:trHeight w:val="43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山洞河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茅竹林翻水站-瑶溪河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19.01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6540</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2752</w:t>
            </w:r>
          </w:p>
        </w:tc>
      </w:tr>
      <w:tr>
        <w:tblPrEx>
          <w:tblCellMar>
            <w:top w:w="0" w:type="dxa"/>
            <w:left w:w="108" w:type="dxa"/>
            <w:bottom w:w="0" w:type="dxa"/>
            <w:right w:w="108" w:type="dxa"/>
          </w:tblCellMar>
        </w:tblPrEx>
        <w:trPr>
          <w:trHeight w:val="43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龙水河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黄石山后河-环一东河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1434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30.15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43230</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11472</w:t>
            </w:r>
          </w:p>
        </w:tc>
      </w:tr>
      <w:tr>
        <w:tblPrEx>
          <w:tblCellMar>
            <w:top w:w="0" w:type="dxa"/>
            <w:left w:w="108" w:type="dxa"/>
            <w:bottom w:w="0" w:type="dxa"/>
            <w:right w:w="108" w:type="dxa"/>
          </w:tblCellMar>
        </w:tblPrEx>
        <w:trPr>
          <w:trHeight w:val="43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大王丼河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皇岙榕树-瑶溪河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2141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30.00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64230</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17128</w:t>
            </w:r>
          </w:p>
        </w:tc>
      </w:tr>
      <w:tr>
        <w:tblPrEx>
          <w:tblCellMar>
            <w:top w:w="0" w:type="dxa"/>
            <w:left w:w="108" w:type="dxa"/>
            <w:bottom w:w="0" w:type="dxa"/>
            <w:right w:w="108" w:type="dxa"/>
          </w:tblCellMar>
        </w:tblPrEx>
        <w:trPr>
          <w:trHeight w:val="43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下南山河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下南山-大王丼河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20.00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5700</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2280</w:t>
            </w:r>
          </w:p>
        </w:tc>
      </w:tr>
      <w:tr>
        <w:tblPrEx>
          <w:tblCellMar>
            <w:top w:w="0" w:type="dxa"/>
            <w:left w:w="108" w:type="dxa"/>
            <w:bottom w:w="0" w:type="dxa"/>
            <w:right w:w="108" w:type="dxa"/>
          </w:tblCellMar>
        </w:tblPrEx>
        <w:trPr>
          <w:trHeight w:val="43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河口直浃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大王丼河-河口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23.02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5340</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1856</w:t>
            </w:r>
          </w:p>
        </w:tc>
      </w:tr>
      <w:tr>
        <w:tblPrEx>
          <w:tblCellMar>
            <w:top w:w="0" w:type="dxa"/>
            <w:left w:w="108" w:type="dxa"/>
            <w:bottom w:w="0" w:type="dxa"/>
            <w:right w:w="108" w:type="dxa"/>
          </w:tblCellMar>
        </w:tblPrEx>
        <w:trPr>
          <w:trHeight w:val="43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浃底河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大王丼河-叶氏大宗祠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20.00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5980</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2392</w:t>
            </w:r>
          </w:p>
        </w:tc>
      </w:tr>
      <w:tr>
        <w:tblPrEx>
          <w:tblCellMar>
            <w:top w:w="0" w:type="dxa"/>
            <w:left w:w="108" w:type="dxa"/>
            <w:bottom w:w="0" w:type="dxa"/>
            <w:right w:w="108" w:type="dxa"/>
          </w:tblCellMar>
        </w:tblPrEx>
        <w:trPr>
          <w:trHeight w:val="43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岩桥头浃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大王丼河-浃底赛车场东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475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18.34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8710</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3800</w:t>
            </w:r>
          </w:p>
        </w:tc>
      </w:tr>
      <w:tr>
        <w:tblPrEx>
          <w:tblCellMar>
            <w:top w:w="0" w:type="dxa"/>
            <w:left w:w="108" w:type="dxa"/>
            <w:bottom w:w="0" w:type="dxa"/>
            <w:right w:w="108" w:type="dxa"/>
          </w:tblCellMar>
        </w:tblPrEx>
        <w:trPr>
          <w:trHeight w:val="43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拆降河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殿后河-老鸭翼河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673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27.00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18170</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5384</w:t>
            </w:r>
          </w:p>
        </w:tc>
      </w:tr>
      <w:tr>
        <w:tblPrEx>
          <w:tblCellMar>
            <w:top w:w="0" w:type="dxa"/>
            <w:left w:w="108" w:type="dxa"/>
            <w:bottom w:w="0" w:type="dxa"/>
            <w:right w:w="108" w:type="dxa"/>
          </w:tblCellMar>
        </w:tblPrEx>
        <w:trPr>
          <w:trHeight w:val="43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老鸭翼河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瑶街河-永胜东岸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441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25.01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11030</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3528</w:t>
            </w:r>
          </w:p>
        </w:tc>
      </w:tr>
      <w:tr>
        <w:tblPrEx>
          <w:tblCellMar>
            <w:top w:w="0" w:type="dxa"/>
            <w:left w:w="108" w:type="dxa"/>
            <w:bottom w:w="0" w:type="dxa"/>
            <w:right w:w="108" w:type="dxa"/>
          </w:tblCellMar>
        </w:tblPrEx>
        <w:trPr>
          <w:trHeight w:val="43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瑶街河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老鸭翼河-瑶街浃潭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620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20.02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12410</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4960</w:t>
            </w:r>
          </w:p>
        </w:tc>
      </w:tr>
      <w:tr>
        <w:tblPrEx>
          <w:tblCellMar>
            <w:top w:w="0" w:type="dxa"/>
            <w:left w:w="108" w:type="dxa"/>
            <w:bottom w:w="0" w:type="dxa"/>
            <w:right w:w="108" w:type="dxa"/>
          </w:tblCellMar>
        </w:tblPrEx>
        <w:trPr>
          <w:trHeight w:val="43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环一西河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板帐河-农田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901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18.00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16220</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7208</w:t>
            </w:r>
          </w:p>
        </w:tc>
      </w:tr>
      <w:tr>
        <w:tblPrEx>
          <w:tblCellMar>
            <w:top w:w="0" w:type="dxa"/>
            <w:left w:w="108" w:type="dxa"/>
            <w:bottom w:w="0" w:type="dxa"/>
            <w:right w:w="108" w:type="dxa"/>
          </w:tblCellMar>
        </w:tblPrEx>
        <w:trPr>
          <w:trHeight w:val="43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环一东河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板帐河-环一牌坊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1270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15.00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19050</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10160</w:t>
            </w:r>
          </w:p>
        </w:tc>
      </w:tr>
      <w:tr>
        <w:tblPrEx>
          <w:tblCellMar>
            <w:top w:w="0" w:type="dxa"/>
            <w:left w:w="108" w:type="dxa"/>
            <w:bottom w:w="0" w:type="dxa"/>
            <w:right w:w="108" w:type="dxa"/>
          </w:tblCellMar>
        </w:tblPrEx>
        <w:trPr>
          <w:trHeight w:val="43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横河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瑶街河-东岸浃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405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18.99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7690</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3240</w:t>
            </w:r>
          </w:p>
        </w:tc>
      </w:tr>
      <w:tr>
        <w:tblPrEx>
          <w:tblCellMar>
            <w:top w:w="0" w:type="dxa"/>
            <w:left w:w="108" w:type="dxa"/>
            <w:bottom w:w="0" w:type="dxa"/>
            <w:right w:w="108" w:type="dxa"/>
          </w:tblCellMar>
        </w:tblPrEx>
        <w:trPr>
          <w:trHeight w:val="43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东岸浃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雄心东岸-板帐河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842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21.00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17680</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6736</w:t>
            </w:r>
          </w:p>
        </w:tc>
      </w:tr>
      <w:tr>
        <w:tblPrEx>
          <w:tblCellMar>
            <w:top w:w="0" w:type="dxa"/>
            <w:left w:w="108" w:type="dxa"/>
            <w:bottom w:w="0" w:type="dxa"/>
            <w:right w:w="108" w:type="dxa"/>
          </w:tblCellMar>
        </w:tblPrEx>
        <w:trPr>
          <w:trHeight w:val="43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板帐河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大宗河-环一西河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746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20.00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14920</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5968</w:t>
            </w:r>
          </w:p>
        </w:tc>
      </w:tr>
      <w:tr>
        <w:tblPrEx>
          <w:tblCellMar>
            <w:top w:w="0" w:type="dxa"/>
            <w:left w:w="108" w:type="dxa"/>
            <w:bottom w:w="0" w:type="dxa"/>
            <w:right w:w="108" w:type="dxa"/>
          </w:tblCellMar>
        </w:tblPrEx>
        <w:trPr>
          <w:trHeight w:val="43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大宗河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前岸榕树-下河滨河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30.00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9390</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2504</w:t>
            </w:r>
          </w:p>
        </w:tc>
      </w:tr>
      <w:tr>
        <w:tblPrEx>
          <w:tblCellMar>
            <w:top w:w="0" w:type="dxa"/>
            <w:left w:w="108" w:type="dxa"/>
            <w:bottom w:w="0" w:type="dxa"/>
            <w:right w:w="108" w:type="dxa"/>
          </w:tblCellMar>
        </w:tblPrEx>
        <w:trPr>
          <w:trHeight w:val="43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朱宅新河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板帐河-东岸浃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1317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30.00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39510</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10536</w:t>
            </w:r>
          </w:p>
        </w:tc>
      </w:tr>
      <w:tr>
        <w:tblPrEx>
          <w:tblCellMar>
            <w:top w:w="0" w:type="dxa"/>
            <w:left w:w="108" w:type="dxa"/>
            <w:bottom w:w="0" w:type="dxa"/>
            <w:right w:w="108" w:type="dxa"/>
          </w:tblCellMar>
        </w:tblPrEx>
        <w:trPr>
          <w:trHeight w:val="43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下河滨河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瑶溪河-朱宅新河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681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23.00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15660</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5448</w:t>
            </w:r>
          </w:p>
        </w:tc>
      </w:tr>
      <w:tr>
        <w:tblPrEx>
          <w:tblCellMar>
            <w:top w:w="0" w:type="dxa"/>
            <w:left w:w="108" w:type="dxa"/>
            <w:bottom w:w="0" w:type="dxa"/>
            <w:right w:w="108" w:type="dxa"/>
          </w:tblCellMar>
        </w:tblPrEx>
        <w:trPr>
          <w:trHeight w:val="43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朱院头浃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瑶溪河-朱宅门前河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701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15.01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10520</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5608</w:t>
            </w:r>
          </w:p>
        </w:tc>
      </w:tr>
      <w:tr>
        <w:tblPrEx>
          <w:tblCellMar>
            <w:top w:w="0" w:type="dxa"/>
            <w:left w:w="108" w:type="dxa"/>
            <w:bottom w:w="0" w:type="dxa"/>
            <w:right w:w="108" w:type="dxa"/>
          </w:tblCellMar>
        </w:tblPrEx>
        <w:trPr>
          <w:trHeight w:val="43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朱宅门前河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朱院头浃-朱宅新河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596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15.00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8940</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4768</w:t>
            </w:r>
          </w:p>
        </w:tc>
      </w:tr>
      <w:tr>
        <w:tblPrEx>
          <w:tblCellMar>
            <w:top w:w="0" w:type="dxa"/>
            <w:left w:w="108" w:type="dxa"/>
            <w:bottom w:w="0" w:type="dxa"/>
            <w:right w:w="108" w:type="dxa"/>
          </w:tblCellMar>
        </w:tblPrEx>
        <w:trPr>
          <w:trHeight w:val="43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七瓜爿河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草河-门前河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531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20.00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10620</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4248</w:t>
            </w:r>
          </w:p>
        </w:tc>
      </w:tr>
      <w:tr>
        <w:tblPrEx>
          <w:tblCellMar>
            <w:top w:w="0" w:type="dxa"/>
            <w:left w:w="108" w:type="dxa"/>
            <w:bottom w:w="0" w:type="dxa"/>
            <w:right w:w="108" w:type="dxa"/>
          </w:tblCellMar>
        </w:tblPrEx>
        <w:trPr>
          <w:trHeight w:val="43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直垟河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水心新河-草河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1041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27.00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28110</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8328</w:t>
            </w:r>
          </w:p>
        </w:tc>
      </w:tr>
      <w:tr>
        <w:tblPrEx>
          <w:tblCellMar>
            <w:top w:w="0" w:type="dxa"/>
            <w:left w:w="108" w:type="dxa"/>
            <w:bottom w:w="0" w:type="dxa"/>
            <w:right w:w="108" w:type="dxa"/>
          </w:tblCellMar>
        </w:tblPrEx>
        <w:trPr>
          <w:trHeight w:val="43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和尚潭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草河-农田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504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25.00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12600</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4032</w:t>
            </w:r>
          </w:p>
        </w:tc>
      </w:tr>
      <w:tr>
        <w:tblPrEx>
          <w:tblCellMar>
            <w:top w:w="0" w:type="dxa"/>
            <w:left w:w="108" w:type="dxa"/>
            <w:bottom w:w="0" w:type="dxa"/>
            <w:right w:w="108" w:type="dxa"/>
          </w:tblCellMar>
        </w:tblPrEx>
        <w:trPr>
          <w:trHeight w:val="43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北专河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鸡蛋坑-草河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707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23.00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16260</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5656</w:t>
            </w:r>
          </w:p>
        </w:tc>
      </w:tr>
      <w:tr>
        <w:tblPrEx>
          <w:tblCellMar>
            <w:top w:w="0" w:type="dxa"/>
            <w:left w:w="108" w:type="dxa"/>
            <w:bottom w:w="0" w:type="dxa"/>
            <w:right w:w="108" w:type="dxa"/>
          </w:tblCellMar>
        </w:tblPrEx>
        <w:trPr>
          <w:trHeight w:val="58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鸡蛋坑（上丼河）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北专河-农田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25.02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6630</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2120</w:t>
            </w:r>
          </w:p>
        </w:tc>
      </w:tr>
      <w:tr>
        <w:tblPrEx>
          <w:tblCellMar>
            <w:top w:w="0" w:type="dxa"/>
            <w:left w:w="108" w:type="dxa"/>
            <w:bottom w:w="0" w:type="dxa"/>
            <w:right w:w="108" w:type="dxa"/>
          </w:tblCellMar>
        </w:tblPrEx>
        <w:trPr>
          <w:trHeight w:val="43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南垟新河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北专河-草河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932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25.00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23300</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7456</w:t>
            </w:r>
          </w:p>
        </w:tc>
      </w:tr>
      <w:tr>
        <w:tblPrEx>
          <w:tblCellMar>
            <w:top w:w="0" w:type="dxa"/>
            <w:left w:w="108" w:type="dxa"/>
            <w:bottom w:w="0" w:type="dxa"/>
            <w:right w:w="108" w:type="dxa"/>
          </w:tblCellMar>
        </w:tblPrEx>
        <w:trPr>
          <w:trHeight w:val="43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直浃潭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农田-轮船河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4.98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1490</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4.98</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1489.02</w:t>
            </w:r>
          </w:p>
        </w:tc>
      </w:tr>
      <w:tr>
        <w:tblPrEx>
          <w:tblCellMar>
            <w:top w:w="0" w:type="dxa"/>
            <w:left w:w="108" w:type="dxa"/>
            <w:bottom w:w="0" w:type="dxa"/>
            <w:right w:w="108" w:type="dxa"/>
          </w:tblCellMar>
        </w:tblPrEx>
        <w:trPr>
          <w:trHeight w:val="43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大横溪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直浃潭-王宅东河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571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15.01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8570</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4568</w:t>
            </w:r>
          </w:p>
        </w:tc>
      </w:tr>
      <w:tr>
        <w:tblPrEx>
          <w:tblCellMar>
            <w:top w:w="0" w:type="dxa"/>
            <w:left w:w="108" w:type="dxa"/>
            <w:bottom w:w="0" w:type="dxa"/>
            <w:right w:w="108" w:type="dxa"/>
          </w:tblCellMar>
        </w:tblPrEx>
        <w:trPr>
          <w:trHeight w:val="43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直河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草河-瑶溪河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849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23.00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19530</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6792</w:t>
            </w:r>
          </w:p>
        </w:tc>
      </w:tr>
      <w:tr>
        <w:tblPrEx>
          <w:tblCellMar>
            <w:top w:w="0" w:type="dxa"/>
            <w:left w:w="108" w:type="dxa"/>
            <w:bottom w:w="0" w:type="dxa"/>
            <w:right w:w="108" w:type="dxa"/>
          </w:tblCellMar>
        </w:tblPrEx>
        <w:trPr>
          <w:trHeight w:val="43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前池浃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曹龙大道-轮船河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666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16.01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10660</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5328</w:t>
            </w:r>
          </w:p>
        </w:tc>
      </w:tr>
      <w:tr>
        <w:tblPrEx>
          <w:tblCellMar>
            <w:top w:w="0" w:type="dxa"/>
            <w:left w:w="108" w:type="dxa"/>
            <w:bottom w:w="0" w:type="dxa"/>
            <w:right w:w="108" w:type="dxa"/>
          </w:tblCellMar>
        </w:tblPrEx>
        <w:trPr>
          <w:trHeight w:val="43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小横河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轮船河-破袋河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508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15.00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7620</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4064</w:t>
            </w:r>
          </w:p>
        </w:tc>
      </w:tr>
      <w:tr>
        <w:tblPrEx>
          <w:tblCellMar>
            <w:top w:w="0" w:type="dxa"/>
            <w:left w:w="108" w:type="dxa"/>
            <w:bottom w:w="0" w:type="dxa"/>
            <w:right w:w="108" w:type="dxa"/>
          </w:tblCellMar>
        </w:tblPrEx>
        <w:trPr>
          <w:trHeight w:val="43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破袋河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瑶溪河-万吨码头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1497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22.00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32930</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11976</w:t>
            </w:r>
          </w:p>
        </w:tc>
      </w:tr>
      <w:tr>
        <w:tblPrEx>
          <w:tblCellMar>
            <w:top w:w="0" w:type="dxa"/>
            <w:left w:w="108" w:type="dxa"/>
            <w:bottom w:w="0" w:type="dxa"/>
            <w:right w:w="108" w:type="dxa"/>
          </w:tblCellMar>
        </w:tblPrEx>
        <w:trPr>
          <w:trHeight w:val="43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大段河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下南山-瑶溪河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829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20.00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16580</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6632</w:t>
            </w:r>
          </w:p>
        </w:tc>
      </w:tr>
      <w:tr>
        <w:tblPrEx>
          <w:tblCellMar>
            <w:top w:w="0" w:type="dxa"/>
            <w:left w:w="108" w:type="dxa"/>
            <w:bottom w:w="0" w:type="dxa"/>
            <w:right w:w="108" w:type="dxa"/>
          </w:tblCellMar>
        </w:tblPrEx>
        <w:trPr>
          <w:trHeight w:val="43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苏川浃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榕树-瑶溪河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588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15.00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8820</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4704</w:t>
            </w:r>
          </w:p>
        </w:tc>
      </w:tr>
      <w:tr>
        <w:tblPrEx>
          <w:tblCellMar>
            <w:top w:w="0" w:type="dxa"/>
            <w:left w:w="108" w:type="dxa"/>
            <w:bottom w:w="0" w:type="dxa"/>
            <w:right w:w="108" w:type="dxa"/>
          </w:tblCellMar>
        </w:tblPrEx>
        <w:trPr>
          <w:trHeight w:val="43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前爿浃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前爿-瑶溪河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20.00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6460</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2584</w:t>
            </w:r>
          </w:p>
        </w:tc>
      </w:tr>
      <w:tr>
        <w:tblPrEx>
          <w:tblCellMar>
            <w:top w:w="0" w:type="dxa"/>
            <w:left w:w="108" w:type="dxa"/>
            <w:bottom w:w="0" w:type="dxa"/>
            <w:right w:w="108" w:type="dxa"/>
          </w:tblCellMar>
        </w:tblPrEx>
        <w:trPr>
          <w:trHeight w:val="43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底岭下浃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前爿健身场-瑶溪河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455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20.00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9100</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3640</w:t>
            </w:r>
          </w:p>
        </w:tc>
      </w:tr>
      <w:tr>
        <w:tblPrEx>
          <w:tblCellMar>
            <w:top w:w="0" w:type="dxa"/>
            <w:left w:w="108" w:type="dxa"/>
            <w:bottom w:w="0" w:type="dxa"/>
            <w:right w:w="108" w:type="dxa"/>
          </w:tblCellMar>
        </w:tblPrEx>
        <w:trPr>
          <w:trHeight w:val="43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龙船浃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茅永路-瑶溪河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20.00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2500</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1000</w:t>
            </w:r>
          </w:p>
        </w:tc>
      </w:tr>
      <w:tr>
        <w:tblPrEx>
          <w:tblCellMar>
            <w:top w:w="0" w:type="dxa"/>
            <w:left w:w="108" w:type="dxa"/>
            <w:bottom w:w="0" w:type="dxa"/>
            <w:right w:w="108" w:type="dxa"/>
          </w:tblCellMar>
        </w:tblPrEx>
        <w:trPr>
          <w:trHeight w:val="43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后潭浃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茅永路-瑶溪河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20.00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1640</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656</w:t>
            </w:r>
          </w:p>
        </w:tc>
      </w:tr>
      <w:tr>
        <w:tblPrEx>
          <w:tblCellMar>
            <w:top w:w="0" w:type="dxa"/>
            <w:left w:w="108" w:type="dxa"/>
            <w:bottom w:w="0" w:type="dxa"/>
            <w:right w:w="108" w:type="dxa"/>
          </w:tblCellMar>
        </w:tblPrEx>
        <w:trPr>
          <w:trHeight w:val="43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殿后河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殿后-璋浃桥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5.00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1870</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1870</w:t>
            </w:r>
          </w:p>
        </w:tc>
      </w:tr>
      <w:tr>
        <w:tblPrEx>
          <w:tblCellMar>
            <w:top w:w="0" w:type="dxa"/>
            <w:left w:w="108" w:type="dxa"/>
            <w:bottom w:w="0" w:type="dxa"/>
            <w:right w:w="108" w:type="dxa"/>
          </w:tblCellMar>
        </w:tblPrEx>
        <w:trPr>
          <w:trHeight w:val="43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北山河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瑶溪交界-龙东邮电路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2760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12.00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33120</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22080</w:t>
            </w:r>
          </w:p>
        </w:tc>
      </w:tr>
      <w:tr>
        <w:tblPrEx>
          <w:tblCellMar>
            <w:top w:w="0" w:type="dxa"/>
            <w:left w:w="108" w:type="dxa"/>
            <w:bottom w:w="0" w:type="dxa"/>
            <w:right w:w="108" w:type="dxa"/>
          </w:tblCellMar>
        </w:tblPrEx>
        <w:trPr>
          <w:trHeight w:val="43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盈田浃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盈田-北山河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7.88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2640</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7.88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2640</w:t>
            </w:r>
          </w:p>
        </w:tc>
      </w:tr>
      <w:tr>
        <w:tblPrEx>
          <w:tblCellMar>
            <w:top w:w="0" w:type="dxa"/>
            <w:left w:w="108" w:type="dxa"/>
            <w:bottom w:w="0" w:type="dxa"/>
            <w:right w:w="108" w:type="dxa"/>
          </w:tblCellMar>
        </w:tblPrEx>
        <w:trPr>
          <w:trHeight w:val="4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48</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后陈后半河头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黄石加油站-后陈东头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501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18.26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9150</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4008</w:t>
            </w:r>
          </w:p>
        </w:tc>
      </w:tr>
      <w:tr>
        <w:tblPrEx>
          <w:tblCellMar>
            <w:top w:w="0" w:type="dxa"/>
            <w:left w:w="108" w:type="dxa"/>
            <w:bottom w:w="0" w:type="dxa"/>
            <w:right w:w="108" w:type="dxa"/>
          </w:tblCellMar>
        </w:tblPrEx>
        <w:trPr>
          <w:trHeight w:val="43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塘河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后陈东头-破脚裂河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402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11.97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4810</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3216</w:t>
            </w:r>
          </w:p>
        </w:tc>
      </w:tr>
      <w:tr>
        <w:tblPrEx>
          <w:tblCellMar>
            <w:top w:w="0" w:type="dxa"/>
            <w:left w:w="108" w:type="dxa"/>
            <w:bottom w:w="0" w:type="dxa"/>
            <w:right w:w="108" w:type="dxa"/>
          </w:tblCellMar>
        </w:tblPrEx>
        <w:trPr>
          <w:trHeight w:val="43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破脚裂河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温州人造革-纪梵喜服饰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1164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13.99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16290</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9312</w:t>
            </w:r>
          </w:p>
        </w:tc>
      </w:tr>
      <w:tr>
        <w:tblPrEx>
          <w:tblCellMar>
            <w:top w:w="0" w:type="dxa"/>
            <w:left w:w="108" w:type="dxa"/>
            <w:bottom w:w="0" w:type="dxa"/>
            <w:right w:w="108" w:type="dxa"/>
          </w:tblCellMar>
        </w:tblPrEx>
        <w:trPr>
          <w:trHeight w:val="43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垟儿河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东桥头-四十亩大河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14.40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4940</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2744</w:t>
            </w:r>
          </w:p>
        </w:tc>
      </w:tr>
      <w:tr>
        <w:tblPrEx>
          <w:tblCellMar>
            <w:top w:w="0" w:type="dxa"/>
            <w:left w:w="108" w:type="dxa"/>
            <w:bottom w:w="0" w:type="dxa"/>
            <w:right w:w="108" w:type="dxa"/>
          </w:tblCellMar>
        </w:tblPrEx>
        <w:trPr>
          <w:trHeight w:val="43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四十亩大河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垟儿河-三十亩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39.46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11720</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2376</w:t>
            </w:r>
          </w:p>
        </w:tc>
      </w:tr>
      <w:tr>
        <w:tblPrEx>
          <w:tblCellMar>
            <w:top w:w="0" w:type="dxa"/>
            <w:left w:w="108" w:type="dxa"/>
            <w:bottom w:w="0" w:type="dxa"/>
            <w:right w:w="108" w:type="dxa"/>
          </w:tblCellMar>
        </w:tblPrEx>
        <w:trPr>
          <w:trHeight w:val="43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三十亩河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四十亩大河-洞头袋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571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12.87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7350</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4568</w:t>
            </w:r>
          </w:p>
        </w:tc>
      </w:tr>
      <w:tr>
        <w:tblPrEx>
          <w:tblCellMar>
            <w:top w:w="0" w:type="dxa"/>
            <w:left w:w="108" w:type="dxa"/>
            <w:bottom w:w="0" w:type="dxa"/>
            <w:right w:w="108" w:type="dxa"/>
          </w:tblCellMar>
        </w:tblPrEx>
        <w:trPr>
          <w:trHeight w:val="43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四十亩直河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四十亩大河-大浦河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585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15.01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8780</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4680</w:t>
            </w:r>
          </w:p>
        </w:tc>
      </w:tr>
      <w:tr>
        <w:tblPrEx>
          <w:tblCellMar>
            <w:top w:w="0" w:type="dxa"/>
            <w:left w:w="108" w:type="dxa"/>
            <w:bottom w:w="0" w:type="dxa"/>
            <w:right w:w="108" w:type="dxa"/>
          </w:tblCellMar>
        </w:tblPrEx>
        <w:trPr>
          <w:trHeight w:val="43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大浦河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沙岙儿车桥-一帆农药厂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2825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17.00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48020</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22600</w:t>
            </w:r>
          </w:p>
        </w:tc>
      </w:tr>
      <w:tr>
        <w:tblPrEx>
          <w:tblCellMar>
            <w:top w:w="0" w:type="dxa"/>
            <w:left w:w="108" w:type="dxa"/>
            <w:bottom w:w="0" w:type="dxa"/>
            <w:right w:w="108" w:type="dxa"/>
          </w:tblCellMar>
        </w:tblPrEx>
        <w:trPr>
          <w:trHeight w:val="48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沙岙儿河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沙岙儿台背-沙岙儿车桥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798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14.00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11170</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6384</w:t>
            </w:r>
          </w:p>
        </w:tc>
      </w:tr>
    </w:tbl>
    <w:p>
      <w:pPr>
        <w:rPr>
          <w:rFonts w:hint="eastAsia" w:eastAsia="宋体"/>
          <w:color w:val="auto"/>
          <w:highlight w:val="none"/>
          <w:lang w:eastAsia="zh-CN"/>
        </w:rPr>
      </w:pPr>
    </w:p>
    <w:p>
      <w:pPr>
        <w:pStyle w:val="2"/>
        <w:spacing w:after="156"/>
        <w:ind w:firstLine="0" w:firstLineChars="0"/>
        <w:rPr>
          <w:rFonts w:hint="eastAsia"/>
          <w:color w:val="auto"/>
          <w:highlight w:val="none"/>
        </w:rPr>
        <w:sectPr>
          <w:pgSz w:w="16838" w:h="11906" w:orient="landscape"/>
          <w:pgMar w:top="993" w:right="1588" w:bottom="1418" w:left="1134" w:header="680" w:footer="992" w:gutter="0"/>
          <w:cols w:space="720" w:num="1"/>
          <w:docGrid w:type="lines" w:linePitch="312" w:charSpace="0"/>
        </w:sectPr>
      </w:pPr>
      <w:r>
        <w:rPr>
          <w:rFonts w:hint="eastAsia"/>
          <w:b/>
          <w:bCs/>
          <w:color w:val="auto"/>
          <w:highlight w:val="none"/>
        </w:rPr>
        <w:t>最终汇总面积（本项目提供的城市道路、河道、水体、公园、广场等保洁面积为参考数据，合同执行过程保洁面积以实际面积为准，供应商须现场踏勘，以求得准确的报价依据，并自行承担投标报价风险）</w:t>
      </w:r>
    </w:p>
    <w:p>
      <w:pPr>
        <w:spacing w:line="360" w:lineRule="auto"/>
        <w:jc w:val="center"/>
        <w:rPr>
          <w:rFonts w:ascii="宋体" w:cs="Times New Roman"/>
          <w:b/>
          <w:bCs/>
          <w:color w:val="auto"/>
          <w:spacing w:val="-30"/>
          <w:sz w:val="36"/>
          <w:szCs w:val="36"/>
          <w:highlight w:val="none"/>
        </w:rPr>
      </w:pPr>
      <w:r>
        <w:rPr>
          <w:rFonts w:hint="eastAsia" w:ascii="宋体" w:cs="宋体"/>
          <w:b/>
          <w:bCs/>
          <w:color w:val="auto"/>
          <w:spacing w:val="-30"/>
          <w:sz w:val="36"/>
          <w:szCs w:val="36"/>
          <w:highlight w:val="none"/>
        </w:rPr>
        <w:t>投标文件封条</w:t>
      </w:r>
    </w:p>
    <w:p>
      <w:pPr>
        <w:spacing w:line="360" w:lineRule="auto"/>
        <w:jc w:val="center"/>
        <w:rPr>
          <w:rFonts w:ascii="宋体" w:cs="Times New Roman"/>
          <w:b/>
          <w:bCs/>
          <w:color w:val="auto"/>
          <w:spacing w:val="-30"/>
          <w:sz w:val="36"/>
          <w:szCs w:val="36"/>
          <w:highlight w:val="none"/>
        </w:rPr>
      </w:pPr>
      <w:r>
        <w:rPr>
          <w:rFonts w:hint="eastAsia" w:ascii="宋体" w:cs="宋体"/>
          <w:color w:val="auto"/>
          <w:highlight w:val="none"/>
        </w:rPr>
        <w:t>（注：投标人在密封标书时将下列封条沿线剪下，不够可复印）</w:t>
      </w:r>
    </w:p>
    <w:tbl>
      <w:tblPr>
        <w:tblStyle w:val="42"/>
        <w:tblW w:w="0" w:type="auto"/>
        <w:tblInd w:w="2"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05"/>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 w:hRule="atLeast"/>
        </w:trPr>
        <w:tc>
          <w:tcPr>
            <w:tcW w:w="9105" w:type="dxa"/>
            <w:tcBorders>
              <w:top w:val="single" w:color="auto" w:sz="4" w:space="0"/>
            </w:tcBorders>
            <w:noWrap w:val="0"/>
            <w:vAlign w:val="top"/>
          </w:tcPr>
          <w:p>
            <w:pPr>
              <w:rPr>
                <w:rFonts w:ascii="宋体" w:cs="宋体"/>
                <w:color w:val="auto"/>
                <w:spacing w:val="-30"/>
                <w:highlight w:val="none"/>
              </w:rPr>
            </w:pPr>
            <w:r>
              <w:rPr>
                <w:rFonts w:ascii="宋体" w:cs="宋体"/>
                <w:color w:val="auto"/>
                <w:spacing w:val="-30"/>
                <w:highlight w:val="none"/>
              </w:rPr>
              <w:t xml:space="preserve"> </w:t>
            </w:r>
          </w:p>
        </w:tc>
      </w:tr>
    </w:tbl>
    <w:p>
      <w:pPr>
        <w:spacing w:line="600" w:lineRule="exact"/>
        <w:jc w:val="center"/>
        <w:rPr>
          <w:rFonts w:ascii="宋体" w:cs="Times New Roman"/>
          <w:b/>
          <w:bCs/>
          <w:color w:val="auto"/>
          <w:spacing w:val="-30"/>
          <w:sz w:val="44"/>
          <w:szCs w:val="44"/>
          <w:highlight w:val="none"/>
        </w:rPr>
      </w:pPr>
      <w:r>
        <w:rPr>
          <w:rFonts w:hint="eastAsia" w:ascii="宋体" w:cs="宋体"/>
          <w:b/>
          <w:bCs/>
          <w:color w:val="auto"/>
          <w:spacing w:val="-30"/>
          <w:sz w:val="44"/>
          <w:szCs w:val="44"/>
          <w:highlight w:val="none"/>
        </w:rPr>
        <w:t>龙湾区瑶溪街道环卫保洁一体化项目商务</w:t>
      </w:r>
      <w:r>
        <w:rPr>
          <w:rFonts w:hint="eastAsia" w:ascii="宋体" w:cs="宋体"/>
          <w:b/>
          <w:bCs/>
          <w:color w:val="auto"/>
          <w:spacing w:val="-30"/>
          <w:sz w:val="44"/>
          <w:szCs w:val="44"/>
          <w:highlight w:val="none"/>
          <w:lang w:eastAsia="zh-CN"/>
        </w:rPr>
        <w:t>技术</w:t>
      </w:r>
      <w:r>
        <w:rPr>
          <w:rFonts w:hint="eastAsia" w:ascii="宋体" w:cs="宋体"/>
          <w:b/>
          <w:bCs/>
          <w:color w:val="auto"/>
          <w:spacing w:val="-30"/>
          <w:sz w:val="44"/>
          <w:szCs w:val="44"/>
          <w:highlight w:val="none"/>
        </w:rPr>
        <w:t>部分投标文件密封袋封条</w:t>
      </w:r>
    </w:p>
    <w:p>
      <w:pPr>
        <w:pStyle w:val="30"/>
        <w:spacing w:line="500" w:lineRule="exact"/>
        <w:ind w:firstLine="258"/>
        <w:jc w:val="center"/>
        <w:rPr>
          <w:color w:val="auto"/>
          <w:spacing w:val="-30"/>
          <w:highlight w:val="none"/>
          <w:shd w:val="pct10" w:color="auto" w:fill="FFFFFF"/>
        </w:rPr>
      </w:pPr>
      <w:r>
        <w:rPr>
          <w:rFonts w:hint="eastAsia"/>
          <w:color w:val="auto"/>
          <w:spacing w:val="-30"/>
          <w:highlight w:val="none"/>
          <w:shd w:val="pct10" w:color="auto" w:fill="FFFFFF"/>
        </w:rPr>
        <w:t>加</w:t>
      </w:r>
      <w:r>
        <w:rPr>
          <w:color w:val="auto"/>
          <w:spacing w:val="-30"/>
          <w:highlight w:val="none"/>
          <w:shd w:val="pct10" w:color="auto" w:fill="FFFFFF"/>
        </w:rPr>
        <w:t xml:space="preserve"> </w:t>
      </w:r>
      <w:r>
        <w:rPr>
          <w:rFonts w:hint="eastAsia"/>
          <w:color w:val="auto"/>
          <w:spacing w:val="-30"/>
          <w:highlight w:val="none"/>
          <w:shd w:val="pct10" w:color="auto" w:fill="FFFFFF"/>
        </w:rPr>
        <w:t>盖</w:t>
      </w:r>
      <w:r>
        <w:rPr>
          <w:color w:val="auto"/>
          <w:spacing w:val="-30"/>
          <w:highlight w:val="none"/>
          <w:shd w:val="pct10" w:color="auto" w:fill="FFFFFF"/>
        </w:rPr>
        <w:t xml:space="preserve"> </w:t>
      </w:r>
      <w:r>
        <w:rPr>
          <w:rFonts w:hint="eastAsia"/>
          <w:color w:val="auto"/>
          <w:spacing w:val="-30"/>
          <w:highlight w:val="none"/>
          <w:shd w:val="pct10" w:color="auto" w:fill="FFFFFF"/>
        </w:rPr>
        <w:t>投</w:t>
      </w:r>
      <w:r>
        <w:rPr>
          <w:color w:val="auto"/>
          <w:spacing w:val="-30"/>
          <w:highlight w:val="none"/>
          <w:shd w:val="pct10" w:color="auto" w:fill="FFFFFF"/>
        </w:rPr>
        <w:t xml:space="preserve"> </w:t>
      </w:r>
      <w:r>
        <w:rPr>
          <w:rFonts w:hint="eastAsia"/>
          <w:color w:val="auto"/>
          <w:spacing w:val="-30"/>
          <w:highlight w:val="none"/>
          <w:shd w:val="pct10" w:color="auto" w:fill="FFFFFF"/>
        </w:rPr>
        <w:t>标</w:t>
      </w:r>
      <w:r>
        <w:rPr>
          <w:color w:val="auto"/>
          <w:spacing w:val="-30"/>
          <w:highlight w:val="none"/>
          <w:shd w:val="pct10" w:color="auto" w:fill="FFFFFF"/>
        </w:rPr>
        <w:t xml:space="preserve"> </w:t>
      </w:r>
      <w:r>
        <w:rPr>
          <w:rFonts w:hint="eastAsia"/>
          <w:color w:val="auto"/>
          <w:spacing w:val="-30"/>
          <w:highlight w:val="none"/>
          <w:shd w:val="pct10" w:color="auto" w:fill="FFFFFF"/>
        </w:rPr>
        <w:t>单</w:t>
      </w:r>
      <w:r>
        <w:rPr>
          <w:color w:val="auto"/>
          <w:spacing w:val="-30"/>
          <w:highlight w:val="none"/>
          <w:shd w:val="pct10" w:color="auto" w:fill="FFFFFF"/>
        </w:rPr>
        <w:t xml:space="preserve"> </w:t>
      </w:r>
      <w:r>
        <w:rPr>
          <w:rFonts w:hint="eastAsia"/>
          <w:color w:val="auto"/>
          <w:spacing w:val="-30"/>
          <w:highlight w:val="none"/>
          <w:shd w:val="pct10" w:color="auto" w:fill="FFFFFF"/>
        </w:rPr>
        <w:t>位</w:t>
      </w:r>
      <w:r>
        <w:rPr>
          <w:color w:val="auto"/>
          <w:spacing w:val="-30"/>
          <w:highlight w:val="none"/>
          <w:shd w:val="pct10" w:color="auto" w:fill="FFFFFF"/>
        </w:rPr>
        <w:t xml:space="preserve"> </w:t>
      </w:r>
      <w:r>
        <w:rPr>
          <w:rFonts w:hint="eastAsia"/>
          <w:color w:val="auto"/>
          <w:spacing w:val="-30"/>
          <w:highlight w:val="none"/>
          <w:shd w:val="pct10" w:color="auto" w:fill="FFFFFF"/>
        </w:rPr>
        <w:t>公章</w:t>
      </w:r>
      <w:r>
        <w:rPr>
          <w:color w:val="auto"/>
          <w:spacing w:val="-30"/>
          <w:highlight w:val="none"/>
          <w:shd w:val="pct10" w:color="auto" w:fill="FFFFFF"/>
        </w:rPr>
        <w:t xml:space="preserve"> </w:t>
      </w:r>
      <w:r>
        <w:rPr>
          <w:rFonts w:hint="eastAsia"/>
          <w:color w:val="auto"/>
          <w:spacing w:val="-30"/>
          <w:highlight w:val="none"/>
          <w:shd w:val="pct10" w:color="auto" w:fill="FFFFFF"/>
        </w:rPr>
        <w:t>及法定代表人或</w:t>
      </w:r>
      <w:r>
        <w:rPr>
          <w:color w:val="auto"/>
          <w:spacing w:val="-30"/>
          <w:highlight w:val="none"/>
          <w:shd w:val="pct10" w:color="auto" w:fill="FFFFFF"/>
        </w:rPr>
        <w:t xml:space="preserve"> </w:t>
      </w:r>
      <w:r>
        <w:rPr>
          <w:rFonts w:hint="eastAsia"/>
          <w:color w:val="auto"/>
          <w:spacing w:val="-30"/>
          <w:highlight w:val="none"/>
          <w:shd w:val="pct10" w:color="auto" w:fill="FFFFFF"/>
        </w:rPr>
        <w:t>其</w:t>
      </w:r>
      <w:r>
        <w:rPr>
          <w:color w:val="auto"/>
          <w:spacing w:val="-30"/>
          <w:highlight w:val="none"/>
          <w:shd w:val="pct10" w:color="auto" w:fill="FFFFFF"/>
        </w:rPr>
        <w:t xml:space="preserve"> </w:t>
      </w:r>
      <w:r>
        <w:rPr>
          <w:rFonts w:hint="eastAsia"/>
          <w:color w:val="auto"/>
          <w:spacing w:val="-30"/>
          <w:highlight w:val="none"/>
          <w:shd w:val="pct10" w:color="auto" w:fill="FFFFFF"/>
        </w:rPr>
        <w:t>法</w:t>
      </w:r>
      <w:r>
        <w:rPr>
          <w:color w:val="auto"/>
          <w:spacing w:val="-30"/>
          <w:highlight w:val="none"/>
          <w:shd w:val="pct10" w:color="auto" w:fill="FFFFFF"/>
        </w:rPr>
        <w:t xml:space="preserve"> </w:t>
      </w:r>
      <w:r>
        <w:rPr>
          <w:rFonts w:hint="eastAsia"/>
          <w:color w:val="auto"/>
          <w:spacing w:val="-30"/>
          <w:highlight w:val="none"/>
          <w:shd w:val="pct10" w:color="auto" w:fill="FFFFFF"/>
        </w:rPr>
        <w:t>定</w:t>
      </w:r>
      <w:r>
        <w:rPr>
          <w:color w:val="auto"/>
          <w:spacing w:val="-30"/>
          <w:highlight w:val="none"/>
          <w:shd w:val="pct10" w:color="auto" w:fill="FFFFFF"/>
        </w:rPr>
        <w:t xml:space="preserve"> </w:t>
      </w:r>
      <w:r>
        <w:rPr>
          <w:rFonts w:hint="eastAsia"/>
          <w:color w:val="auto"/>
          <w:spacing w:val="-30"/>
          <w:highlight w:val="none"/>
          <w:shd w:val="pct10" w:color="auto" w:fill="FFFFFF"/>
        </w:rPr>
        <w:t>代</w:t>
      </w:r>
      <w:r>
        <w:rPr>
          <w:color w:val="auto"/>
          <w:spacing w:val="-30"/>
          <w:highlight w:val="none"/>
          <w:shd w:val="pct10" w:color="auto" w:fill="FFFFFF"/>
        </w:rPr>
        <w:t xml:space="preserve"> </w:t>
      </w:r>
      <w:r>
        <w:rPr>
          <w:rFonts w:hint="eastAsia"/>
          <w:color w:val="auto"/>
          <w:spacing w:val="-30"/>
          <w:highlight w:val="none"/>
          <w:shd w:val="pct10" w:color="auto" w:fill="FFFFFF"/>
        </w:rPr>
        <w:t>表</w:t>
      </w:r>
      <w:r>
        <w:rPr>
          <w:color w:val="auto"/>
          <w:spacing w:val="-30"/>
          <w:highlight w:val="none"/>
          <w:shd w:val="pct10" w:color="auto" w:fill="FFFFFF"/>
        </w:rPr>
        <w:t xml:space="preserve"> </w:t>
      </w:r>
      <w:r>
        <w:rPr>
          <w:rFonts w:hint="eastAsia"/>
          <w:color w:val="auto"/>
          <w:spacing w:val="-30"/>
          <w:highlight w:val="none"/>
          <w:shd w:val="pct10" w:color="auto" w:fill="FFFFFF"/>
        </w:rPr>
        <w:t>人</w:t>
      </w:r>
      <w:r>
        <w:rPr>
          <w:color w:val="auto"/>
          <w:spacing w:val="-30"/>
          <w:highlight w:val="none"/>
          <w:shd w:val="pct10" w:color="auto" w:fill="FFFFFF"/>
        </w:rPr>
        <w:t xml:space="preserve"> </w:t>
      </w:r>
      <w:r>
        <w:rPr>
          <w:rFonts w:hint="eastAsia"/>
          <w:color w:val="auto"/>
          <w:spacing w:val="-30"/>
          <w:highlight w:val="none"/>
          <w:shd w:val="pct10" w:color="auto" w:fill="FFFFFF"/>
        </w:rPr>
        <w:t>委</w:t>
      </w:r>
      <w:r>
        <w:rPr>
          <w:color w:val="auto"/>
          <w:spacing w:val="-30"/>
          <w:highlight w:val="none"/>
          <w:shd w:val="pct10" w:color="auto" w:fill="FFFFFF"/>
        </w:rPr>
        <w:t xml:space="preserve"> </w:t>
      </w:r>
      <w:r>
        <w:rPr>
          <w:rFonts w:hint="eastAsia"/>
          <w:color w:val="auto"/>
          <w:spacing w:val="-30"/>
          <w:highlight w:val="none"/>
          <w:shd w:val="pct10" w:color="auto" w:fill="FFFFFF"/>
        </w:rPr>
        <w:t>托</w:t>
      </w:r>
      <w:r>
        <w:rPr>
          <w:color w:val="auto"/>
          <w:spacing w:val="-30"/>
          <w:highlight w:val="none"/>
          <w:shd w:val="pct10" w:color="auto" w:fill="FFFFFF"/>
        </w:rPr>
        <w:t xml:space="preserve"> </w:t>
      </w:r>
      <w:r>
        <w:rPr>
          <w:rFonts w:hint="eastAsia"/>
          <w:color w:val="auto"/>
          <w:spacing w:val="-30"/>
          <w:highlight w:val="none"/>
          <w:shd w:val="pct10" w:color="auto" w:fill="FFFFFF"/>
        </w:rPr>
        <w:t>代</w:t>
      </w:r>
      <w:r>
        <w:rPr>
          <w:color w:val="auto"/>
          <w:spacing w:val="-30"/>
          <w:highlight w:val="none"/>
          <w:shd w:val="pct10" w:color="auto" w:fill="FFFFFF"/>
        </w:rPr>
        <w:t xml:space="preserve"> </w:t>
      </w:r>
      <w:r>
        <w:rPr>
          <w:rFonts w:hint="eastAsia"/>
          <w:color w:val="auto"/>
          <w:spacing w:val="-30"/>
          <w:highlight w:val="none"/>
          <w:shd w:val="pct10" w:color="auto" w:fill="FFFFFF"/>
        </w:rPr>
        <w:t>理</w:t>
      </w:r>
      <w:r>
        <w:rPr>
          <w:color w:val="auto"/>
          <w:spacing w:val="-30"/>
          <w:highlight w:val="none"/>
          <w:shd w:val="pct10" w:color="auto" w:fill="FFFFFF"/>
        </w:rPr>
        <w:t xml:space="preserve"> </w:t>
      </w:r>
      <w:r>
        <w:rPr>
          <w:rFonts w:hint="eastAsia"/>
          <w:color w:val="auto"/>
          <w:spacing w:val="-30"/>
          <w:highlight w:val="none"/>
          <w:shd w:val="pct10" w:color="auto" w:fill="FFFFFF"/>
        </w:rPr>
        <w:t>人</w:t>
      </w:r>
      <w:r>
        <w:rPr>
          <w:color w:val="auto"/>
          <w:spacing w:val="-30"/>
          <w:highlight w:val="none"/>
          <w:shd w:val="pct10" w:color="auto" w:fill="FFFFFF"/>
        </w:rPr>
        <w:t xml:space="preserve"> </w:t>
      </w:r>
      <w:r>
        <w:rPr>
          <w:rFonts w:hint="eastAsia"/>
          <w:color w:val="auto"/>
          <w:spacing w:val="-30"/>
          <w:highlight w:val="none"/>
          <w:shd w:val="pct10" w:color="auto" w:fill="FFFFFF"/>
        </w:rPr>
        <w:t>签</w:t>
      </w:r>
      <w:r>
        <w:rPr>
          <w:color w:val="auto"/>
          <w:spacing w:val="-30"/>
          <w:highlight w:val="none"/>
          <w:shd w:val="pct10" w:color="auto" w:fill="FFFFFF"/>
        </w:rPr>
        <w:t xml:space="preserve"> </w:t>
      </w:r>
      <w:r>
        <w:rPr>
          <w:rFonts w:hint="eastAsia"/>
          <w:color w:val="auto"/>
          <w:spacing w:val="-30"/>
          <w:highlight w:val="none"/>
          <w:shd w:val="pct10" w:color="auto" w:fill="FFFFFF"/>
        </w:rPr>
        <w:t>字</w:t>
      </w:r>
      <w:r>
        <w:rPr>
          <w:color w:val="auto"/>
          <w:spacing w:val="-30"/>
          <w:highlight w:val="none"/>
          <w:shd w:val="pct10" w:color="auto" w:fill="FFFFFF"/>
        </w:rPr>
        <w:t xml:space="preserve"> </w:t>
      </w:r>
      <w:r>
        <w:rPr>
          <w:rFonts w:hint="eastAsia"/>
          <w:color w:val="auto"/>
          <w:spacing w:val="-30"/>
          <w:highlight w:val="none"/>
          <w:shd w:val="pct10" w:color="auto" w:fill="FFFFFF"/>
        </w:rPr>
        <w:t>或</w:t>
      </w:r>
      <w:r>
        <w:rPr>
          <w:color w:val="auto"/>
          <w:spacing w:val="-30"/>
          <w:highlight w:val="none"/>
          <w:shd w:val="pct10" w:color="auto" w:fill="FFFFFF"/>
        </w:rPr>
        <w:t xml:space="preserve"> </w:t>
      </w:r>
      <w:r>
        <w:rPr>
          <w:rFonts w:hint="eastAsia"/>
          <w:color w:val="auto"/>
          <w:spacing w:val="-30"/>
          <w:highlight w:val="none"/>
          <w:shd w:val="pct10" w:color="auto" w:fill="FFFFFF"/>
        </w:rPr>
        <w:t>盖</w:t>
      </w:r>
      <w:r>
        <w:rPr>
          <w:color w:val="auto"/>
          <w:spacing w:val="-30"/>
          <w:highlight w:val="none"/>
          <w:shd w:val="pct10" w:color="auto" w:fill="FFFFFF"/>
        </w:rPr>
        <w:t xml:space="preserve"> </w:t>
      </w:r>
      <w:r>
        <w:rPr>
          <w:rFonts w:hint="eastAsia"/>
          <w:color w:val="auto"/>
          <w:spacing w:val="-30"/>
          <w:highlight w:val="none"/>
          <w:shd w:val="pct10" w:color="auto" w:fill="FFFFFF"/>
        </w:rPr>
        <w:t>章</w:t>
      </w:r>
    </w:p>
    <w:tbl>
      <w:tblPr>
        <w:tblStyle w:val="42"/>
        <w:tblW w:w="0" w:type="auto"/>
        <w:tblInd w:w="2"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05"/>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 w:hRule="atLeast"/>
        </w:trPr>
        <w:tc>
          <w:tcPr>
            <w:tcW w:w="9105" w:type="dxa"/>
            <w:tcBorders>
              <w:top w:val="single" w:color="auto" w:sz="4" w:space="0"/>
            </w:tcBorders>
            <w:noWrap w:val="0"/>
            <w:vAlign w:val="top"/>
          </w:tcPr>
          <w:p>
            <w:pPr>
              <w:jc w:val="center"/>
              <w:rPr>
                <w:rFonts w:ascii="宋体" w:cs="Times New Roman"/>
                <w:color w:val="auto"/>
                <w:spacing w:val="-30"/>
                <w:highlight w:val="none"/>
              </w:rPr>
            </w:pPr>
          </w:p>
        </w:tc>
      </w:tr>
    </w:tbl>
    <w:p>
      <w:pPr>
        <w:rPr>
          <w:rFonts w:hint="eastAsia" w:ascii="宋体" w:cs="Times New Roman"/>
          <w:color w:val="auto"/>
          <w:highlight w:val="none"/>
        </w:rPr>
      </w:pPr>
    </w:p>
    <w:tbl>
      <w:tblPr>
        <w:tblStyle w:val="42"/>
        <w:tblW w:w="0" w:type="auto"/>
        <w:tblInd w:w="2"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05"/>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 w:hRule="atLeast"/>
        </w:trPr>
        <w:tc>
          <w:tcPr>
            <w:tcW w:w="9105" w:type="dxa"/>
            <w:tcBorders>
              <w:top w:val="single" w:color="auto" w:sz="4" w:space="0"/>
            </w:tcBorders>
            <w:noWrap w:val="0"/>
            <w:vAlign w:val="top"/>
          </w:tcPr>
          <w:p>
            <w:pPr>
              <w:rPr>
                <w:rFonts w:ascii="宋体" w:cs="Times New Roman"/>
                <w:color w:val="auto"/>
                <w:spacing w:val="-30"/>
                <w:highlight w:val="none"/>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 w:hRule="atLeast"/>
        </w:trPr>
        <w:tc>
          <w:tcPr>
            <w:tcW w:w="9105" w:type="dxa"/>
            <w:noWrap w:val="0"/>
            <w:vAlign w:val="top"/>
          </w:tcPr>
          <w:p>
            <w:pPr>
              <w:rPr>
                <w:rFonts w:ascii="宋体" w:cs="Times New Roman"/>
                <w:color w:val="auto"/>
                <w:spacing w:val="-30"/>
                <w:highlight w:val="none"/>
              </w:rPr>
            </w:pPr>
          </w:p>
        </w:tc>
      </w:tr>
    </w:tbl>
    <w:p>
      <w:pPr>
        <w:spacing w:line="600" w:lineRule="exact"/>
        <w:jc w:val="center"/>
        <w:rPr>
          <w:rFonts w:ascii="宋体" w:cs="Times New Roman"/>
          <w:b/>
          <w:bCs/>
          <w:color w:val="auto"/>
          <w:spacing w:val="-30"/>
          <w:sz w:val="44"/>
          <w:szCs w:val="44"/>
          <w:highlight w:val="none"/>
        </w:rPr>
      </w:pPr>
      <w:r>
        <w:rPr>
          <w:rFonts w:hint="eastAsia" w:ascii="宋体" w:cs="宋体"/>
          <w:b/>
          <w:bCs/>
          <w:color w:val="auto"/>
          <w:spacing w:val="-30"/>
          <w:sz w:val="44"/>
          <w:szCs w:val="44"/>
          <w:highlight w:val="none"/>
        </w:rPr>
        <w:t>龙湾区瑶溪街道环卫保洁一体化项目</w:t>
      </w:r>
      <w:r>
        <w:rPr>
          <w:rFonts w:hint="eastAsia" w:ascii="宋体" w:cs="宋体"/>
          <w:b/>
          <w:bCs/>
          <w:color w:val="auto"/>
          <w:spacing w:val="-30"/>
          <w:sz w:val="44"/>
          <w:szCs w:val="44"/>
          <w:highlight w:val="none"/>
          <w:lang w:eastAsia="zh-CN"/>
        </w:rPr>
        <w:t>报价文件</w:t>
      </w:r>
      <w:r>
        <w:rPr>
          <w:rFonts w:hint="eastAsia" w:ascii="宋体" w:cs="宋体"/>
          <w:b/>
          <w:bCs/>
          <w:color w:val="auto"/>
          <w:spacing w:val="-30"/>
          <w:sz w:val="44"/>
          <w:szCs w:val="44"/>
          <w:highlight w:val="none"/>
        </w:rPr>
        <w:t>部分投标文件密封袋封条</w:t>
      </w:r>
    </w:p>
    <w:p>
      <w:pPr>
        <w:pStyle w:val="30"/>
        <w:spacing w:line="500" w:lineRule="exact"/>
        <w:ind w:firstLine="1395" w:firstLineChars="872"/>
        <w:rPr>
          <w:rFonts w:cs="Times New Roman"/>
          <w:color w:val="auto"/>
          <w:spacing w:val="-30"/>
          <w:highlight w:val="none"/>
          <w:shd w:val="pct10" w:color="auto" w:fill="FFFFFF"/>
        </w:rPr>
      </w:pPr>
      <w:bookmarkStart w:id="501" w:name="OLE_LINK7"/>
      <w:r>
        <w:rPr>
          <w:rFonts w:hint="eastAsia"/>
          <w:color w:val="auto"/>
          <w:spacing w:val="-30"/>
          <w:highlight w:val="none"/>
          <w:shd w:val="pct10" w:color="auto" w:fill="FFFFFF"/>
        </w:rPr>
        <w:t>加</w:t>
      </w:r>
      <w:r>
        <w:rPr>
          <w:color w:val="auto"/>
          <w:spacing w:val="-30"/>
          <w:highlight w:val="none"/>
          <w:shd w:val="pct10" w:color="auto" w:fill="FFFFFF"/>
        </w:rPr>
        <w:t xml:space="preserve"> </w:t>
      </w:r>
      <w:r>
        <w:rPr>
          <w:rFonts w:hint="eastAsia"/>
          <w:color w:val="auto"/>
          <w:spacing w:val="-30"/>
          <w:highlight w:val="none"/>
          <w:shd w:val="pct10" w:color="auto" w:fill="FFFFFF"/>
        </w:rPr>
        <w:t>盖</w:t>
      </w:r>
      <w:r>
        <w:rPr>
          <w:color w:val="auto"/>
          <w:spacing w:val="-30"/>
          <w:highlight w:val="none"/>
          <w:shd w:val="pct10" w:color="auto" w:fill="FFFFFF"/>
        </w:rPr>
        <w:t xml:space="preserve"> </w:t>
      </w:r>
      <w:r>
        <w:rPr>
          <w:rFonts w:hint="eastAsia"/>
          <w:color w:val="auto"/>
          <w:spacing w:val="-30"/>
          <w:highlight w:val="none"/>
          <w:shd w:val="pct10" w:color="auto" w:fill="FFFFFF"/>
        </w:rPr>
        <w:t>投</w:t>
      </w:r>
      <w:r>
        <w:rPr>
          <w:color w:val="auto"/>
          <w:spacing w:val="-30"/>
          <w:highlight w:val="none"/>
          <w:shd w:val="pct10" w:color="auto" w:fill="FFFFFF"/>
        </w:rPr>
        <w:t xml:space="preserve"> </w:t>
      </w:r>
      <w:r>
        <w:rPr>
          <w:rFonts w:hint="eastAsia"/>
          <w:color w:val="auto"/>
          <w:spacing w:val="-30"/>
          <w:highlight w:val="none"/>
          <w:shd w:val="pct10" w:color="auto" w:fill="FFFFFF"/>
        </w:rPr>
        <w:t>标</w:t>
      </w:r>
      <w:r>
        <w:rPr>
          <w:color w:val="auto"/>
          <w:spacing w:val="-30"/>
          <w:highlight w:val="none"/>
          <w:shd w:val="pct10" w:color="auto" w:fill="FFFFFF"/>
        </w:rPr>
        <w:t xml:space="preserve"> </w:t>
      </w:r>
      <w:r>
        <w:rPr>
          <w:rFonts w:hint="eastAsia"/>
          <w:color w:val="auto"/>
          <w:spacing w:val="-30"/>
          <w:highlight w:val="none"/>
          <w:shd w:val="pct10" w:color="auto" w:fill="FFFFFF"/>
        </w:rPr>
        <w:t>单</w:t>
      </w:r>
      <w:r>
        <w:rPr>
          <w:color w:val="auto"/>
          <w:spacing w:val="-30"/>
          <w:highlight w:val="none"/>
          <w:shd w:val="pct10" w:color="auto" w:fill="FFFFFF"/>
        </w:rPr>
        <w:t xml:space="preserve"> </w:t>
      </w:r>
      <w:r>
        <w:rPr>
          <w:rFonts w:hint="eastAsia"/>
          <w:color w:val="auto"/>
          <w:spacing w:val="-30"/>
          <w:highlight w:val="none"/>
          <w:shd w:val="pct10" w:color="auto" w:fill="FFFFFF"/>
        </w:rPr>
        <w:t>位</w:t>
      </w:r>
      <w:r>
        <w:rPr>
          <w:color w:val="auto"/>
          <w:spacing w:val="-30"/>
          <w:highlight w:val="none"/>
          <w:shd w:val="pct10" w:color="auto" w:fill="FFFFFF"/>
        </w:rPr>
        <w:t xml:space="preserve"> </w:t>
      </w:r>
      <w:r>
        <w:rPr>
          <w:rFonts w:hint="eastAsia"/>
          <w:color w:val="auto"/>
          <w:spacing w:val="-30"/>
          <w:highlight w:val="none"/>
          <w:shd w:val="pct10" w:color="auto" w:fill="FFFFFF"/>
        </w:rPr>
        <w:t>公</w:t>
      </w:r>
      <w:r>
        <w:rPr>
          <w:color w:val="auto"/>
          <w:spacing w:val="-30"/>
          <w:highlight w:val="none"/>
          <w:shd w:val="pct10" w:color="auto" w:fill="FFFFFF"/>
        </w:rPr>
        <w:t xml:space="preserve"> </w:t>
      </w:r>
      <w:r>
        <w:rPr>
          <w:rFonts w:hint="eastAsia"/>
          <w:color w:val="auto"/>
          <w:spacing w:val="-30"/>
          <w:highlight w:val="none"/>
          <w:shd w:val="pct10" w:color="auto" w:fill="FFFFFF"/>
        </w:rPr>
        <w:t>章</w:t>
      </w:r>
      <w:r>
        <w:rPr>
          <w:color w:val="auto"/>
          <w:spacing w:val="-30"/>
          <w:highlight w:val="none"/>
          <w:shd w:val="pct10" w:color="auto" w:fill="FFFFFF"/>
        </w:rPr>
        <w:t xml:space="preserve"> </w:t>
      </w:r>
      <w:r>
        <w:rPr>
          <w:rFonts w:hint="eastAsia"/>
          <w:color w:val="auto"/>
          <w:spacing w:val="-30"/>
          <w:highlight w:val="none"/>
          <w:shd w:val="pct10" w:color="auto" w:fill="FFFFFF"/>
        </w:rPr>
        <w:t>及</w:t>
      </w:r>
      <w:r>
        <w:rPr>
          <w:color w:val="auto"/>
          <w:spacing w:val="-30"/>
          <w:highlight w:val="none"/>
          <w:shd w:val="pct10" w:color="auto" w:fill="FFFFFF"/>
        </w:rPr>
        <w:t xml:space="preserve"> </w:t>
      </w:r>
      <w:r>
        <w:rPr>
          <w:rFonts w:hint="eastAsia"/>
          <w:color w:val="auto"/>
          <w:spacing w:val="-30"/>
          <w:highlight w:val="none"/>
          <w:shd w:val="pct10" w:color="auto" w:fill="FFFFFF"/>
        </w:rPr>
        <w:t>法</w:t>
      </w:r>
      <w:r>
        <w:rPr>
          <w:color w:val="auto"/>
          <w:spacing w:val="-30"/>
          <w:highlight w:val="none"/>
          <w:shd w:val="pct10" w:color="auto" w:fill="FFFFFF"/>
        </w:rPr>
        <w:t xml:space="preserve"> </w:t>
      </w:r>
      <w:r>
        <w:rPr>
          <w:rFonts w:hint="eastAsia"/>
          <w:color w:val="auto"/>
          <w:spacing w:val="-30"/>
          <w:highlight w:val="none"/>
          <w:shd w:val="pct10" w:color="auto" w:fill="FFFFFF"/>
        </w:rPr>
        <w:t>定</w:t>
      </w:r>
      <w:r>
        <w:rPr>
          <w:color w:val="auto"/>
          <w:spacing w:val="-30"/>
          <w:highlight w:val="none"/>
          <w:shd w:val="pct10" w:color="auto" w:fill="FFFFFF"/>
        </w:rPr>
        <w:t xml:space="preserve"> </w:t>
      </w:r>
      <w:r>
        <w:rPr>
          <w:rFonts w:hint="eastAsia"/>
          <w:color w:val="auto"/>
          <w:spacing w:val="-30"/>
          <w:highlight w:val="none"/>
          <w:shd w:val="pct10" w:color="auto" w:fill="FFFFFF"/>
        </w:rPr>
        <w:t>代</w:t>
      </w:r>
      <w:r>
        <w:rPr>
          <w:color w:val="auto"/>
          <w:spacing w:val="-30"/>
          <w:highlight w:val="none"/>
          <w:shd w:val="pct10" w:color="auto" w:fill="FFFFFF"/>
        </w:rPr>
        <w:t xml:space="preserve"> </w:t>
      </w:r>
      <w:r>
        <w:rPr>
          <w:rFonts w:hint="eastAsia"/>
          <w:color w:val="auto"/>
          <w:spacing w:val="-30"/>
          <w:highlight w:val="none"/>
          <w:shd w:val="pct10" w:color="auto" w:fill="FFFFFF"/>
        </w:rPr>
        <w:t>表</w:t>
      </w:r>
      <w:r>
        <w:rPr>
          <w:color w:val="auto"/>
          <w:spacing w:val="-30"/>
          <w:highlight w:val="none"/>
          <w:shd w:val="pct10" w:color="auto" w:fill="FFFFFF"/>
        </w:rPr>
        <w:t xml:space="preserve"> </w:t>
      </w:r>
      <w:r>
        <w:rPr>
          <w:rFonts w:hint="eastAsia"/>
          <w:color w:val="auto"/>
          <w:spacing w:val="-30"/>
          <w:highlight w:val="none"/>
          <w:shd w:val="pct10" w:color="auto" w:fill="FFFFFF"/>
        </w:rPr>
        <w:t>人</w:t>
      </w:r>
      <w:r>
        <w:rPr>
          <w:color w:val="auto"/>
          <w:spacing w:val="-30"/>
          <w:highlight w:val="none"/>
          <w:shd w:val="pct10" w:color="auto" w:fill="FFFFFF"/>
        </w:rPr>
        <w:t xml:space="preserve"> </w:t>
      </w:r>
      <w:r>
        <w:rPr>
          <w:rFonts w:hint="eastAsia"/>
          <w:color w:val="auto"/>
          <w:spacing w:val="-30"/>
          <w:highlight w:val="none"/>
          <w:shd w:val="pct10" w:color="auto" w:fill="FFFFFF"/>
        </w:rPr>
        <w:t>或</w:t>
      </w:r>
      <w:r>
        <w:rPr>
          <w:color w:val="auto"/>
          <w:spacing w:val="-30"/>
          <w:highlight w:val="none"/>
          <w:shd w:val="pct10" w:color="auto" w:fill="FFFFFF"/>
        </w:rPr>
        <w:t xml:space="preserve"> </w:t>
      </w:r>
      <w:r>
        <w:rPr>
          <w:rFonts w:hint="eastAsia"/>
          <w:color w:val="auto"/>
          <w:spacing w:val="-30"/>
          <w:highlight w:val="none"/>
          <w:shd w:val="pct10" w:color="auto" w:fill="FFFFFF"/>
        </w:rPr>
        <w:t>其</w:t>
      </w:r>
      <w:r>
        <w:rPr>
          <w:color w:val="auto"/>
          <w:spacing w:val="-30"/>
          <w:highlight w:val="none"/>
          <w:shd w:val="pct10" w:color="auto" w:fill="FFFFFF"/>
        </w:rPr>
        <w:t xml:space="preserve"> </w:t>
      </w:r>
      <w:r>
        <w:rPr>
          <w:rFonts w:hint="eastAsia"/>
          <w:color w:val="auto"/>
          <w:spacing w:val="-30"/>
          <w:highlight w:val="none"/>
          <w:shd w:val="pct10" w:color="auto" w:fill="FFFFFF"/>
        </w:rPr>
        <w:t>法</w:t>
      </w:r>
      <w:r>
        <w:rPr>
          <w:color w:val="auto"/>
          <w:spacing w:val="-30"/>
          <w:highlight w:val="none"/>
          <w:shd w:val="pct10" w:color="auto" w:fill="FFFFFF"/>
        </w:rPr>
        <w:t xml:space="preserve"> </w:t>
      </w:r>
      <w:r>
        <w:rPr>
          <w:rFonts w:hint="eastAsia"/>
          <w:color w:val="auto"/>
          <w:spacing w:val="-30"/>
          <w:highlight w:val="none"/>
          <w:shd w:val="pct10" w:color="auto" w:fill="FFFFFF"/>
        </w:rPr>
        <w:t>定</w:t>
      </w:r>
      <w:r>
        <w:rPr>
          <w:color w:val="auto"/>
          <w:spacing w:val="-30"/>
          <w:highlight w:val="none"/>
          <w:shd w:val="pct10" w:color="auto" w:fill="FFFFFF"/>
        </w:rPr>
        <w:t xml:space="preserve"> </w:t>
      </w:r>
      <w:r>
        <w:rPr>
          <w:rFonts w:hint="eastAsia"/>
          <w:color w:val="auto"/>
          <w:spacing w:val="-30"/>
          <w:highlight w:val="none"/>
          <w:shd w:val="pct10" w:color="auto" w:fill="FFFFFF"/>
        </w:rPr>
        <w:t>代</w:t>
      </w:r>
      <w:r>
        <w:rPr>
          <w:color w:val="auto"/>
          <w:spacing w:val="-30"/>
          <w:highlight w:val="none"/>
          <w:shd w:val="pct10" w:color="auto" w:fill="FFFFFF"/>
        </w:rPr>
        <w:t xml:space="preserve"> </w:t>
      </w:r>
      <w:r>
        <w:rPr>
          <w:rFonts w:hint="eastAsia"/>
          <w:color w:val="auto"/>
          <w:spacing w:val="-30"/>
          <w:highlight w:val="none"/>
          <w:shd w:val="pct10" w:color="auto" w:fill="FFFFFF"/>
        </w:rPr>
        <w:t>表</w:t>
      </w:r>
      <w:r>
        <w:rPr>
          <w:color w:val="auto"/>
          <w:spacing w:val="-30"/>
          <w:highlight w:val="none"/>
          <w:shd w:val="pct10" w:color="auto" w:fill="FFFFFF"/>
        </w:rPr>
        <w:t xml:space="preserve"> </w:t>
      </w:r>
      <w:r>
        <w:rPr>
          <w:rFonts w:hint="eastAsia"/>
          <w:color w:val="auto"/>
          <w:spacing w:val="-30"/>
          <w:highlight w:val="none"/>
          <w:shd w:val="pct10" w:color="auto" w:fill="FFFFFF"/>
        </w:rPr>
        <w:t>人</w:t>
      </w:r>
      <w:r>
        <w:rPr>
          <w:color w:val="auto"/>
          <w:spacing w:val="-30"/>
          <w:highlight w:val="none"/>
          <w:shd w:val="pct10" w:color="auto" w:fill="FFFFFF"/>
        </w:rPr>
        <w:t xml:space="preserve"> </w:t>
      </w:r>
      <w:r>
        <w:rPr>
          <w:rFonts w:hint="eastAsia"/>
          <w:color w:val="auto"/>
          <w:spacing w:val="-30"/>
          <w:highlight w:val="none"/>
          <w:shd w:val="pct10" w:color="auto" w:fill="FFFFFF"/>
        </w:rPr>
        <w:t>委</w:t>
      </w:r>
      <w:r>
        <w:rPr>
          <w:color w:val="auto"/>
          <w:spacing w:val="-30"/>
          <w:highlight w:val="none"/>
          <w:shd w:val="pct10" w:color="auto" w:fill="FFFFFF"/>
        </w:rPr>
        <w:t xml:space="preserve"> </w:t>
      </w:r>
      <w:r>
        <w:rPr>
          <w:rFonts w:hint="eastAsia"/>
          <w:color w:val="auto"/>
          <w:spacing w:val="-30"/>
          <w:highlight w:val="none"/>
          <w:shd w:val="pct10" w:color="auto" w:fill="FFFFFF"/>
        </w:rPr>
        <w:t>托</w:t>
      </w:r>
      <w:r>
        <w:rPr>
          <w:color w:val="auto"/>
          <w:spacing w:val="-30"/>
          <w:highlight w:val="none"/>
          <w:shd w:val="pct10" w:color="auto" w:fill="FFFFFF"/>
        </w:rPr>
        <w:t xml:space="preserve"> </w:t>
      </w:r>
      <w:r>
        <w:rPr>
          <w:rFonts w:hint="eastAsia"/>
          <w:color w:val="auto"/>
          <w:spacing w:val="-30"/>
          <w:highlight w:val="none"/>
          <w:shd w:val="pct10" w:color="auto" w:fill="FFFFFF"/>
        </w:rPr>
        <w:t>代</w:t>
      </w:r>
      <w:r>
        <w:rPr>
          <w:color w:val="auto"/>
          <w:spacing w:val="-30"/>
          <w:highlight w:val="none"/>
          <w:shd w:val="pct10" w:color="auto" w:fill="FFFFFF"/>
        </w:rPr>
        <w:t xml:space="preserve"> </w:t>
      </w:r>
      <w:r>
        <w:rPr>
          <w:rFonts w:hint="eastAsia"/>
          <w:color w:val="auto"/>
          <w:spacing w:val="-30"/>
          <w:highlight w:val="none"/>
          <w:shd w:val="pct10" w:color="auto" w:fill="FFFFFF"/>
        </w:rPr>
        <w:t>理</w:t>
      </w:r>
      <w:r>
        <w:rPr>
          <w:color w:val="auto"/>
          <w:spacing w:val="-30"/>
          <w:highlight w:val="none"/>
          <w:shd w:val="pct10" w:color="auto" w:fill="FFFFFF"/>
        </w:rPr>
        <w:t xml:space="preserve"> </w:t>
      </w:r>
      <w:r>
        <w:rPr>
          <w:rFonts w:hint="eastAsia"/>
          <w:color w:val="auto"/>
          <w:spacing w:val="-30"/>
          <w:highlight w:val="none"/>
          <w:shd w:val="pct10" w:color="auto" w:fill="FFFFFF"/>
        </w:rPr>
        <w:t>人</w:t>
      </w:r>
      <w:r>
        <w:rPr>
          <w:color w:val="auto"/>
          <w:spacing w:val="-30"/>
          <w:highlight w:val="none"/>
          <w:shd w:val="pct10" w:color="auto" w:fill="FFFFFF"/>
        </w:rPr>
        <w:t xml:space="preserve"> </w:t>
      </w:r>
      <w:r>
        <w:rPr>
          <w:rFonts w:hint="eastAsia"/>
          <w:color w:val="auto"/>
          <w:spacing w:val="-30"/>
          <w:highlight w:val="none"/>
          <w:shd w:val="pct10" w:color="auto" w:fill="FFFFFF"/>
        </w:rPr>
        <w:t>签</w:t>
      </w:r>
      <w:r>
        <w:rPr>
          <w:color w:val="auto"/>
          <w:spacing w:val="-30"/>
          <w:highlight w:val="none"/>
          <w:shd w:val="pct10" w:color="auto" w:fill="FFFFFF"/>
        </w:rPr>
        <w:t xml:space="preserve"> </w:t>
      </w:r>
      <w:r>
        <w:rPr>
          <w:rFonts w:hint="eastAsia"/>
          <w:color w:val="auto"/>
          <w:spacing w:val="-30"/>
          <w:highlight w:val="none"/>
          <w:shd w:val="pct10" w:color="auto" w:fill="FFFFFF"/>
        </w:rPr>
        <w:t>字</w:t>
      </w:r>
      <w:r>
        <w:rPr>
          <w:color w:val="auto"/>
          <w:spacing w:val="-30"/>
          <w:highlight w:val="none"/>
          <w:shd w:val="pct10" w:color="auto" w:fill="FFFFFF"/>
        </w:rPr>
        <w:t xml:space="preserve"> </w:t>
      </w:r>
      <w:r>
        <w:rPr>
          <w:rFonts w:hint="eastAsia"/>
          <w:color w:val="auto"/>
          <w:spacing w:val="-30"/>
          <w:highlight w:val="none"/>
          <w:shd w:val="pct10" w:color="auto" w:fill="FFFFFF"/>
        </w:rPr>
        <w:t>或</w:t>
      </w:r>
      <w:r>
        <w:rPr>
          <w:color w:val="auto"/>
          <w:spacing w:val="-30"/>
          <w:highlight w:val="none"/>
          <w:shd w:val="pct10" w:color="auto" w:fill="FFFFFF"/>
        </w:rPr>
        <w:t xml:space="preserve"> </w:t>
      </w:r>
      <w:r>
        <w:rPr>
          <w:rFonts w:hint="eastAsia"/>
          <w:color w:val="auto"/>
          <w:spacing w:val="-30"/>
          <w:highlight w:val="none"/>
          <w:shd w:val="pct10" w:color="auto" w:fill="FFFFFF"/>
        </w:rPr>
        <w:t>盖</w:t>
      </w:r>
      <w:r>
        <w:rPr>
          <w:color w:val="auto"/>
          <w:spacing w:val="-30"/>
          <w:highlight w:val="none"/>
          <w:shd w:val="pct10" w:color="auto" w:fill="FFFFFF"/>
        </w:rPr>
        <w:t xml:space="preserve"> </w:t>
      </w:r>
      <w:r>
        <w:rPr>
          <w:rFonts w:hint="eastAsia"/>
          <w:color w:val="auto"/>
          <w:spacing w:val="-30"/>
          <w:highlight w:val="none"/>
          <w:shd w:val="pct10" w:color="auto" w:fill="FFFFFF"/>
        </w:rPr>
        <w:t>章</w:t>
      </w:r>
    </w:p>
    <w:bookmarkEnd w:id="501"/>
    <w:tbl>
      <w:tblPr>
        <w:tblStyle w:val="42"/>
        <w:tblW w:w="0" w:type="auto"/>
        <w:tblInd w:w="2"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05"/>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0" w:hRule="atLeast"/>
        </w:trPr>
        <w:tc>
          <w:tcPr>
            <w:tcW w:w="9105" w:type="dxa"/>
            <w:tcBorders>
              <w:top w:val="single" w:color="auto" w:sz="4" w:space="0"/>
              <w:bottom w:val="nil"/>
            </w:tcBorders>
            <w:noWrap w:val="0"/>
            <w:vAlign w:val="top"/>
          </w:tcPr>
          <w:p>
            <w:pPr>
              <w:jc w:val="center"/>
              <w:rPr>
                <w:rFonts w:ascii="宋体" w:cs="Times New Roman"/>
                <w:color w:val="auto"/>
                <w:spacing w:val="-30"/>
                <w:highlight w:val="none"/>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 w:hRule="atLeast"/>
        </w:trPr>
        <w:tc>
          <w:tcPr>
            <w:tcW w:w="9105" w:type="dxa"/>
            <w:tcBorders>
              <w:top w:val="single" w:color="auto" w:sz="4" w:space="0"/>
            </w:tcBorders>
            <w:noWrap w:val="0"/>
            <w:vAlign w:val="top"/>
          </w:tcPr>
          <w:p>
            <w:pPr>
              <w:rPr>
                <w:rFonts w:ascii="宋体" w:cs="宋体"/>
                <w:color w:val="auto"/>
                <w:spacing w:val="-30"/>
                <w:highlight w:val="none"/>
              </w:rPr>
            </w:pPr>
          </w:p>
        </w:tc>
      </w:tr>
    </w:tbl>
    <w:p>
      <w:pPr>
        <w:rPr>
          <w:rFonts w:ascii="宋体" w:cs="Times New Roman"/>
          <w:color w:val="auto"/>
          <w:highlight w:val="none"/>
        </w:rPr>
      </w:pPr>
    </w:p>
    <w:tbl>
      <w:tblPr>
        <w:tblStyle w:val="42"/>
        <w:tblW w:w="0" w:type="auto"/>
        <w:tblInd w:w="2"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05"/>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 w:hRule="atLeast"/>
        </w:trPr>
        <w:tc>
          <w:tcPr>
            <w:tcW w:w="9105" w:type="dxa"/>
            <w:tcBorders>
              <w:top w:val="single" w:color="auto" w:sz="4" w:space="0"/>
            </w:tcBorders>
            <w:noWrap w:val="0"/>
            <w:vAlign w:val="top"/>
          </w:tcPr>
          <w:p>
            <w:pPr>
              <w:rPr>
                <w:rFonts w:ascii="宋体" w:cs="Times New Roman"/>
                <w:color w:val="auto"/>
                <w:spacing w:val="-30"/>
                <w:highlight w:val="none"/>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 w:hRule="atLeast"/>
        </w:trPr>
        <w:tc>
          <w:tcPr>
            <w:tcW w:w="9105" w:type="dxa"/>
            <w:noWrap w:val="0"/>
            <w:vAlign w:val="top"/>
          </w:tcPr>
          <w:p>
            <w:pPr>
              <w:rPr>
                <w:rFonts w:ascii="宋体" w:cs="Times New Roman"/>
                <w:color w:val="auto"/>
                <w:spacing w:val="-30"/>
                <w:highlight w:val="none"/>
              </w:rPr>
            </w:pPr>
          </w:p>
        </w:tc>
      </w:tr>
    </w:tbl>
    <w:p>
      <w:pPr>
        <w:spacing w:line="600" w:lineRule="exact"/>
        <w:jc w:val="center"/>
        <w:rPr>
          <w:rFonts w:ascii="宋体" w:cs="Times New Roman"/>
          <w:b/>
          <w:bCs/>
          <w:color w:val="auto"/>
          <w:spacing w:val="-30"/>
          <w:sz w:val="44"/>
          <w:szCs w:val="44"/>
          <w:highlight w:val="none"/>
        </w:rPr>
      </w:pPr>
      <w:r>
        <w:rPr>
          <w:rFonts w:hint="eastAsia" w:ascii="宋体" w:cs="宋体"/>
          <w:b/>
          <w:bCs/>
          <w:color w:val="auto"/>
          <w:spacing w:val="-30"/>
          <w:sz w:val="44"/>
          <w:szCs w:val="44"/>
          <w:highlight w:val="none"/>
        </w:rPr>
        <w:t>龙湾区瑶溪街道环卫保洁一体化项目</w:t>
      </w:r>
      <w:r>
        <w:rPr>
          <w:rFonts w:hint="eastAsia" w:ascii="宋体" w:cs="宋体"/>
          <w:b/>
          <w:bCs/>
          <w:color w:val="auto"/>
          <w:spacing w:val="-30"/>
          <w:sz w:val="44"/>
          <w:szCs w:val="44"/>
          <w:highlight w:val="none"/>
          <w:lang w:eastAsia="zh-CN"/>
        </w:rPr>
        <w:t>资格文件</w:t>
      </w:r>
      <w:r>
        <w:rPr>
          <w:rFonts w:hint="eastAsia" w:ascii="宋体" w:cs="宋体"/>
          <w:b/>
          <w:bCs/>
          <w:color w:val="auto"/>
          <w:spacing w:val="-30"/>
          <w:sz w:val="44"/>
          <w:szCs w:val="44"/>
          <w:highlight w:val="none"/>
        </w:rPr>
        <w:t>部分投标文件密封袋封条</w:t>
      </w:r>
    </w:p>
    <w:p>
      <w:pPr>
        <w:pStyle w:val="30"/>
        <w:spacing w:line="500" w:lineRule="exact"/>
        <w:ind w:firstLine="1318" w:firstLineChars="824"/>
        <w:rPr>
          <w:rFonts w:cs="Times New Roman"/>
          <w:color w:val="auto"/>
          <w:spacing w:val="-30"/>
          <w:highlight w:val="none"/>
          <w:shd w:val="pct10" w:color="auto" w:fill="FFFFFF"/>
        </w:rPr>
      </w:pPr>
      <w:r>
        <w:rPr>
          <w:rFonts w:hint="eastAsia"/>
          <w:color w:val="auto"/>
          <w:spacing w:val="-30"/>
          <w:highlight w:val="none"/>
          <w:shd w:val="pct10" w:color="auto" w:fill="FFFFFF"/>
        </w:rPr>
        <w:t>加</w:t>
      </w:r>
      <w:r>
        <w:rPr>
          <w:color w:val="auto"/>
          <w:spacing w:val="-30"/>
          <w:highlight w:val="none"/>
          <w:shd w:val="pct10" w:color="auto" w:fill="FFFFFF"/>
        </w:rPr>
        <w:t xml:space="preserve"> </w:t>
      </w:r>
      <w:r>
        <w:rPr>
          <w:rFonts w:hint="eastAsia"/>
          <w:color w:val="auto"/>
          <w:spacing w:val="-30"/>
          <w:highlight w:val="none"/>
          <w:shd w:val="pct10" w:color="auto" w:fill="FFFFFF"/>
        </w:rPr>
        <w:t>盖</w:t>
      </w:r>
      <w:r>
        <w:rPr>
          <w:color w:val="auto"/>
          <w:spacing w:val="-30"/>
          <w:highlight w:val="none"/>
          <w:shd w:val="pct10" w:color="auto" w:fill="FFFFFF"/>
        </w:rPr>
        <w:t xml:space="preserve"> </w:t>
      </w:r>
      <w:r>
        <w:rPr>
          <w:rFonts w:hint="eastAsia"/>
          <w:color w:val="auto"/>
          <w:spacing w:val="-30"/>
          <w:highlight w:val="none"/>
          <w:shd w:val="pct10" w:color="auto" w:fill="FFFFFF"/>
        </w:rPr>
        <w:t>投</w:t>
      </w:r>
      <w:r>
        <w:rPr>
          <w:color w:val="auto"/>
          <w:spacing w:val="-30"/>
          <w:highlight w:val="none"/>
          <w:shd w:val="pct10" w:color="auto" w:fill="FFFFFF"/>
        </w:rPr>
        <w:t xml:space="preserve"> </w:t>
      </w:r>
      <w:r>
        <w:rPr>
          <w:rFonts w:hint="eastAsia"/>
          <w:color w:val="auto"/>
          <w:spacing w:val="-30"/>
          <w:highlight w:val="none"/>
          <w:shd w:val="pct10" w:color="auto" w:fill="FFFFFF"/>
        </w:rPr>
        <w:t>标</w:t>
      </w:r>
      <w:r>
        <w:rPr>
          <w:color w:val="auto"/>
          <w:spacing w:val="-30"/>
          <w:highlight w:val="none"/>
          <w:shd w:val="pct10" w:color="auto" w:fill="FFFFFF"/>
        </w:rPr>
        <w:t xml:space="preserve"> </w:t>
      </w:r>
      <w:r>
        <w:rPr>
          <w:rFonts w:hint="eastAsia"/>
          <w:color w:val="auto"/>
          <w:spacing w:val="-30"/>
          <w:highlight w:val="none"/>
          <w:shd w:val="pct10" w:color="auto" w:fill="FFFFFF"/>
        </w:rPr>
        <w:t>单</w:t>
      </w:r>
      <w:r>
        <w:rPr>
          <w:color w:val="auto"/>
          <w:spacing w:val="-30"/>
          <w:highlight w:val="none"/>
          <w:shd w:val="pct10" w:color="auto" w:fill="FFFFFF"/>
        </w:rPr>
        <w:t xml:space="preserve"> </w:t>
      </w:r>
      <w:r>
        <w:rPr>
          <w:rFonts w:hint="eastAsia"/>
          <w:color w:val="auto"/>
          <w:spacing w:val="-30"/>
          <w:highlight w:val="none"/>
          <w:shd w:val="pct10" w:color="auto" w:fill="FFFFFF"/>
        </w:rPr>
        <w:t>位</w:t>
      </w:r>
      <w:r>
        <w:rPr>
          <w:color w:val="auto"/>
          <w:spacing w:val="-30"/>
          <w:highlight w:val="none"/>
          <w:shd w:val="pct10" w:color="auto" w:fill="FFFFFF"/>
        </w:rPr>
        <w:t xml:space="preserve"> </w:t>
      </w:r>
      <w:r>
        <w:rPr>
          <w:rFonts w:hint="eastAsia"/>
          <w:color w:val="auto"/>
          <w:spacing w:val="-30"/>
          <w:highlight w:val="none"/>
          <w:shd w:val="pct10" w:color="auto" w:fill="FFFFFF"/>
        </w:rPr>
        <w:t>公</w:t>
      </w:r>
      <w:r>
        <w:rPr>
          <w:color w:val="auto"/>
          <w:spacing w:val="-30"/>
          <w:highlight w:val="none"/>
          <w:shd w:val="pct10" w:color="auto" w:fill="FFFFFF"/>
        </w:rPr>
        <w:t xml:space="preserve"> </w:t>
      </w:r>
      <w:r>
        <w:rPr>
          <w:rFonts w:hint="eastAsia"/>
          <w:color w:val="auto"/>
          <w:spacing w:val="-30"/>
          <w:highlight w:val="none"/>
          <w:shd w:val="pct10" w:color="auto" w:fill="FFFFFF"/>
        </w:rPr>
        <w:t>章</w:t>
      </w:r>
      <w:r>
        <w:rPr>
          <w:color w:val="auto"/>
          <w:spacing w:val="-30"/>
          <w:highlight w:val="none"/>
          <w:shd w:val="pct10" w:color="auto" w:fill="FFFFFF"/>
        </w:rPr>
        <w:t xml:space="preserve"> </w:t>
      </w:r>
      <w:r>
        <w:rPr>
          <w:rFonts w:hint="eastAsia"/>
          <w:color w:val="auto"/>
          <w:spacing w:val="-30"/>
          <w:highlight w:val="none"/>
          <w:shd w:val="pct10" w:color="auto" w:fill="FFFFFF"/>
        </w:rPr>
        <w:t>及</w:t>
      </w:r>
      <w:r>
        <w:rPr>
          <w:color w:val="auto"/>
          <w:spacing w:val="-30"/>
          <w:highlight w:val="none"/>
          <w:shd w:val="pct10" w:color="auto" w:fill="FFFFFF"/>
        </w:rPr>
        <w:t xml:space="preserve"> </w:t>
      </w:r>
      <w:r>
        <w:rPr>
          <w:rFonts w:hint="eastAsia"/>
          <w:color w:val="auto"/>
          <w:spacing w:val="-30"/>
          <w:highlight w:val="none"/>
          <w:shd w:val="pct10" w:color="auto" w:fill="FFFFFF"/>
        </w:rPr>
        <w:t>法</w:t>
      </w:r>
      <w:r>
        <w:rPr>
          <w:color w:val="auto"/>
          <w:spacing w:val="-30"/>
          <w:highlight w:val="none"/>
          <w:shd w:val="pct10" w:color="auto" w:fill="FFFFFF"/>
        </w:rPr>
        <w:t xml:space="preserve"> </w:t>
      </w:r>
      <w:r>
        <w:rPr>
          <w:rFonts w:hint="eastAsia"/>
          <w:color w:val="auto"/>
          <w:spacing w:val="-30"/>
          <w:highlight w:val="none"/>
          <w:shd w:val="pct10" w:color="auto" w:fill="FFFFFF"/>
        </w:rPr>
        <w:t>定</w:t>
      </w:r>
      <w:r>
        <w:rPr>
          <w:color w:val="auto"/>
          <w:spacing w:val="-30"/>
          <w:highlight w:val="none"/>
          <w:shd w:val="pct10" w:color="auto" w:fill="FFFFFF"/>
        </w:rPr>
        <w:t xml:space="preserve"> </w:t>
      </w:r>
      <w:r>
        <w:rPr>
          <w:rFonts w:hint="eastAsia"/>
          <w:color w:val="auto"/>
          <w:spacing w:val="-30"/>
          <w:highlight w:val="none"/>
          <w:shd w:val="pct10" w:color="auto" w:fill="FFFFFF"/>
        </w:rPr>
        <w:t>代</w:t>
      </w:r>
      <w:r>
        <w:rPr>
          <w:color w:val="auto"/>
          <w:spacing w:val="-30"/>
          <w:highlight w:val="none"/>
          <w:shd w:val="pct10" w:color="auto" w:fill="FFFFFF"/>
        </w:rPr>
        <w:t xml:space="preserve"> </w:t>
      </w:r>
      <w:r>
        <w:rPr>
          <w:rFonts w:hint="eastAsia"/>
          <w:color w:val="auto"/>
          <w:spacing w:val="-30"/>
          <w:highlight w:val="none"/>
          <w:shd w:val="pct10" w:color="auto" w:fill="FFFFFF"/>
        </w:rPr>
        <w:t>表</w:t>
      </w:r>
      <w:r>
        <w:rPr>
          <w:color w:val="auto"/>
          <w:spacing w:val="-30"/>
          <w:highlight w:val="none"/>
          <w:shd w:val="pct10" w:color="auto" w:fill="FFFFFF"/>
        </w:rPr>
        <w:t xml:space="preserve"> </w:t>
      </w:r>
      <w:r>
        <w:rPr>
          <w:rFonts w:hint="eastAsia"/>
          <w:color w:val="auto"/>
          <w:spacing w:val="-30"/>
          <w:highlight w:val="none"/>
          <w:shd w:val="pct10" w:color="auto" w:fill="FFFFFF"/>
        </w:rPr>
        <w:t>人</w:t>
      </w:r>
      <w:r>
        <w:rPr>
          <w:color w:val="auto"/>
          <w:spacing w:val="-30"/>
          <w:highlight w:val="none"/>
          <w:shd w:val="pct10" w:color="auto" w:fill="FFFFFF"/>
        </w:rPr>
        <w:t xml:space="preserve"> </w:t>
      </w:r>
      <w:r>
        <w:rPr>
          <w:rFonts w:hint="eastAsia"/>
          <w:color w:val="auto"/>
          <w:spacing w:val="-30"/>
          <w:highlight w:val="none"/>
          <w:shd w:val="pct10" w:color="auto" w:fill="FFFFFF"/>
        </w:rPr>
        <w:t>或</w:t>
      </w:r>
      <w:r>
        <w:rPr>
          <w:color w:val="auto"/>
          <w:spacing w:val="-30"/>
          <w:highlight w:val="none"/>
          <w:shd w:val="pct10" w:color="auto" w:fill="FFFFFF"/>
        </w:rPr>
        <w:t xml:space="preserve"> </w:t>
      </w:r>
      <w:r>
        <w:rPr>
          <w:rFonts w:hint="eastAsia"/>
          <w:color w:val="auto"/>
          <w:spacing w:val="-30"/>
          <w:highlight w:val="none"/>
          <w:shd w:val="pct10" w:color="auto" w:fill="FFFFFF"/>
        </w:rPr>
        <w:t>其</w:t>
      </w:r>
      <w:r>
        <w:rPr>
          <w:color w:val="auto"/>
          <w:spacing w:val="-30"/>
          <w:highlight w:val="none"/>
          <w:shd w:val="pct10" w:color="auto" w:fill="FFFFFF"/>
        </w:rPr>
        <w:t xml:space="preserve"> </w:t>
      </w:r>
      <w:r>
        <w:rPr>
          <w:rFonts w:hint="eastAsia"/>
          <w:color w:val="auto"/>
          <w:spacing w:val="-30"/>
          <w:highlight w:val="none"/>
          <w:shd w:val="pct10" w:color="auto" w:fill="FFFFFF"/>
        </w:rPr>
        <w:t>法</w:t>
      </w:r>
      <w:r>
        <w:rPr>
          <w:color w:val="auto"/>
          <w:spacing w:val="-30"/>
          <w:highlight w:val="none"/>
          <w:shd w:val="pct10" w:color="auto" w:fill="FFFFFF"/>
        </w:rPr>
        <w:t xml:space="preserve"> </w:t>
      </w:r>
      <w:r>
        <w:rPr>
          <w:rFonts w:hint="eastAsia"/>
          <w:color w:val="auto"/>
          <w:spacing w:val="-30"/>
          <w:highlight w:val="none"/>
          <w:shd w:val="pct10" w:color="auto" w:fill="FFFFFF"/>
        </w:rPr>
        <w:t>定</w:t>
      </w:r>
      <w:r>
        <w:rPr>
          <w:color w:val="auto"/>
          <w:spacing w:val="-30"/>
          <w:highlight w:val="none"/>
          <w:shd w:val="pct10" w:color="auto" w:fill="FFFFFF"/>
        </w:rPr>
        <w:t xml:space="preserve"> </w:t>
      </w:r>
      <w:r>
        <w:rPr>
          <w:rFonts w:hint="eastAsia"/>
          <w:color w:val="auto"/>
          <w:spacing w:val="-30"/>
          <w:highlight w:val="none"/>
          <w:shd w:val="pct10" w:color="auto" w:fill="FFFFFF"/>
        </w:rPr>
        <w:t>代</w:t>
      </w:r>
      <w:r>
        <w:rPr>
          <w:color w:val="auto"/>
          <w:spacing w:val="-30"/>
          <w:highlight w:val="none"/>
          <w:shd w:val="pct10" w:color="auto" w:fill="FFFFFF"/>
        </w:rPr>
        <w:t xml:space="preserve"> </w:t>
      </w:r>
      <w:r>
        <w:rPr>
          <w:rFonts w:hint="eastAsia"/>
          <w:color w:val="auto"/>
          <w:spacing w:val="-30"/>
          <w:highlight w:val="none"/>
          <w:shd w:val="pct10" w:color="auto" w:fill="FFFFFF"/>
        </w:rPr>
        <w:t>表</w:t>
      </w:r>
      <w:r>
        <w:rPr>
          <w:color w:val="auto"/>
          <w:spacing w:val="-30"/>
          <w:highlight w:val="none"/>
          <w:shd w:val="pct10" w:color="auto" w:fill="FFFFFF"/>
        </w:rPr>
        <w:t xml:space="preserve"> </w:t>
      </w:r>
      <w:r>
        <w:rPr>
          <w:rFonts w:hint="eastAsia"/>
          <w:color w:val="auto"/>
          <w:spacing w:val="-30"/>
          <w:highlight w:val="none"/>
          <w:shd w:val="pct10" w:color="auto" w:fill="FFFFFF"/>
        </w:rPr>
        <w:t>人</w:t>
      </w:r>
      <w:r>
        <w:rPr>
          <w:color w:val="auto"/>
          <w:spacing w:val="-30"/>
          <w:highlight w:val="none"/>
          <w:shd w:val="pct10" w:color="auto" w:fill="FFFFFF"/>
        </w:rPr>
        <w:t xml:space="preserve"> </w:t>
      </w:r>
      <w:r>
        <w:rPr>
          <w:rFonts w:hint="eastAsia"/>
          <w:color w:val="auto"/>
          <w:spacing w:val="-30"/>
          <w:highlight w:val="none"/>
          <w:shd w:val="pct10" w:color="auto" w:fill="FFFFFF"/>
        </w:rPr>
        <w:t>委</w:t>
      </w:r>
      <w:r>
        <w:rPr>
          <w:color w:val="auto"/>
          <w:spacing w:val="-30"/>
          <w:highlight w:val="none"/>
          <w:shd w:val="pct10" w:color="auto" w:fill="FFFFFF"/>
        </w:rPr>
        <w:t xml:space="preserve"> </w:t>
      </w:r>
      <w:r>
        <w:rPr>
          <w:rFonts w:hint="eastAsia"/>
          <w:color w:val="auto"/>
          <w:spacing w:val="-30"/>
          <w:highlight w:val="none"/>
          <w:shd w:val="pct10" w:color="auto" w:fill="FFFFFF"/>
        </w:rPr>
        <w:t>托</w:t>
      </w:r>
      <w:r>
        <w:rPr>
          <w:color w:val="auto"/>
          <w:spacing w:val="-30"/>
          <w:highlight w:val="none"/>
          <w:shd w:val="pct10" w:color="auto" w:fill="FFFFFF"/>
        </w:rPr>
        <w:t xml:space="preserve"> </w:t>
      </w:r>
      <w:r>
        <w:rPr>
          <w:rFonts w:hint="eastAsia"/>
          <w:color w:val="auto"/>
          <w:spacing w:val="-30"/>
          <w:highlight w:val="none"/>
          <w:shd w:val="pct10" w:color="auto" w:fill="FFFFFF"/>
        </w:rPr>
        <w:t>代</w:t>
      </w:r>
      <w:r>
        <w:rPr>
          <w:color w:val="auto"/>
          <w:spacing w:val="-30"/>
          <w:highlight w:val="none"/>
          <w:shd w:val="pct10" w:color="auto" w:fill="FFFFFF"/>
        </w:rPr>
        <w:t xml:space="preserve"> </w:t>
      </w:r>
      <w:r>
        <w:rPr>
          <w:rFonts w:hint="eastAsia"/>
          <w:color w:val="auto"/>
          <w:spacing w:val="-30"/>
          <w:highlight w:val="none"/>
          <w:shd w:val="pct10" w:color="auto" w:fill="FFFFFF"/>
        </w:rPr>
        <w:t>理</w:t>
      </w:r>
      <w:r>
        <w:rPr>
          <w:color w:val="auto"/>
          <w:spacing w:val="-30"/>
          <w:highlight w:val="none"/>
          <w:shd w:val="pct10" w:color="auto" w:fill="FFFFFF"/>
        </w:rPr>
        <w:t xml:space="preserve"> </w:t>
      </w:r>
      <w:r>
        <w:rPr>
          <w:rFonts w:hint="eastAsia"/>
          <w:color w:val="auto"/>
          <w:spacing w:val="-30"/>
          <w:highlight w:val="none"/>
          <w:shd w:val="pct10" w:color="auto" w:fill="FFFFFF"/>
        </w:rPr>
        <w:t>人</w:t>
      </w:r>
      <w:r>
        <w:rPr>
          <w:color w:val="auto"/>
          <w:spacing w:val="-30"/>
          <w:highlight w:val="none"/>
          <w:shd w:val="pct10" w:color="auto" w:fill="FFFFFF"/>
        </w:rPr>
        <w:t xml:space="preserve"> </w:t>
      </w:r>
      <w:r>
        <w:rPr>
          <w:rFonts w:hint="eastAsia"/>
          <w:color w:val="auto"/>
          <w:spacing w:val="-30"/>
          <w:highlight w:val="none"/>
          <w:shd w:val="pct10" w:color="auto" w:fill="FFFFFF"/>
        </w:rPr>
        <w:t>签</w:t>
      </w:r>
      <w:r>
        <w:rPr>
          <w:color w:val="auto"/>
          <w:spacing w:val="-30"/>
          <w:highlight w:val="none"/>
          <w:shd w:val="pct10" w:color="auto" w:fill="FFFFFF"/>
        </w:rPr>
        <w:t xml:space="preserve"> </w:t>
      </w:r>
      <w:r>
        <w:rPr>
          <w:rFonts w:hint="eastAsia"/>
          <w:color w:val="auto"/>
          <w:spacing w:val="-30"/>
          <w:highlight w:val="none"/>
          <w:shd w:val="pct10" w:color="auto" w:fill="FFFFFF"/>
        </w:rPr>
        <w:t>字</w:t>
      </w:r>
      <w:r>
        <w:rPr>
          <w:color w:val="auto"/>
          <w:spacing w:val="-30"/>
          <w:highlight w:val="none"/>
          <w:shd w:val="pct10" w:color="auto" w:fill="FFFFFF"/>
        </w:rPr>
        <w:t xml:space="preserve"> </w:t>
      </w:r>
      <w:r>
        <w:rPr>
          <w:rFonts w:hint="eastAsia"/>
          <w:color w:val="auto"/>
          <w:spacing w:val="-30"/>
          <w:highlight w:val="none"/>
          <w:shd w:val="pct10" w:color="auto" w:fill="FFFFFF"/>
        </w:rPr>
        <w:t>或</w:t>
      </w:r>
      <w:r>
        <w:rPr>
          <w:color w:val="auto"/>
          <w:spacing w:val="-30"/>
          <w:highlight w:val="none"/>
          <w:shd w:val="pct10" w:color="auto" w:fill="FFFFFF"/>
        </w:rPr>
        <w:t xml:space="preserve"> </w:t>
      </w:r>
      <w:r>
        <w:rPr>
          <w:rFonts w:hint="eastAsia"/>
          <w:color w:val="auto"/>
          <w:spacing w:val="-30"/>
          <w:highlight w:val="none"/>
          <w:shd w:val="pct10" w:color="auto" w:fill="FFFFFF"/>
        </w:rPr>
        <w:t>盖</w:t>
      </w:r>
      <w:r>
        <w:rPr>
          <w:color w:val="auto"/>
          <w:spacing w:val="-30"/>
          <w:highlight w:val="none"/>
          <w:shd w:val="pct10" w:color="auto" w:fill="FFFFFF"/>
        </w:rPr>
        <w:t xml:space="preserve"> </w:t>
      </w:r>
      <w:r>
        <w:rPr>
          <w:rFonts w:hint="eastAsia"/>
          <w:color w:val="auto"/>
          <w:spacing w:val="-30"/>
          <w:highlight w:val="none"/>
          <w:shd w:val="pct10" w:color="auto" w:fill="FFFFFF"/>
        </w:rPr>
        <w:t>章</w:t>
      </w:r>
    </w:p>
    <w:tbl>
      <w:tblPr>
        <w:tblStyle w:val="42"/>
        <w:tblW w:w="0" w:type="auto"/>
        <w:tblInd w:w="2"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05"/>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 w:hRule="atLeast"/>
        </w:trPr>
        <w:tc>
          <w:tcPr>
            <w:tcW w:w="9105" w:type="dxa"/>
            <w:tcBorders>
              <w:top w:val="single" w:color="auto" w:sz="4" w:space="0"/>
            </w:tcBorders>
            <w:noWrap w:val="0"/>
            <w:vAlign w:val="top"/>
          </w:tcPr>
          <w:p>
            <w:pPr>
              <w:jc w:val="center"/>
              <w:rPr>
                <w:rFonts w:ascii="宋体" w:cs="Times New Roman"/>
                <w:color w:val="auto"/>
                <w:spacing w:val="-30"/>
                <w:highlight w:val="none"/>
              </w:rPr>
            </w:pPr>
          </w:p>
        </w:tc>
      </w:tr>
    </w:tbl>
    <w:p>
      <w:pPr>
        <w:pStyle w:val="30"/>
        <w:spacing w:line="500" w:lineRule="exact"/>
        <w:ind w:firstLine="880" w:firstLineChars="400"/>
        <w:rPr>
          <w:rFonts w:cs="Times New Roman"/>
          <w:color w:val="auto"/>
          <w:spacing w:val="-30"/>
          <w:highlight w:val="none"/>
          <w:shd w:val="pct10" w:color="auto" w:fill="FFFFFF"/>
        </w:rPr>
      </w:pPr>
      <w:r>
        <w:rPr>
          <w:rFonts w:hint="eastAsia"/>
          <w:color w:val="auto"/>
          <w:highlight w:val="none"/>
          <w:lang w:val="en-US" w:eastAsia="zh-CN"/>
        </w:rPr>
        <w:t xml:space="preserve">  </w:t>
      </w:r>
      <w:r>
        <w:rPr>
          <w:rFonts w:hint="eastAsia"/>
          <w:color w:val="auto"/>
          <w:spacing w:val="-30"/>
          <w:highlight w:val="none"/>
          <w:shd w:val="pct10" w:color="auto" w:fill="FFFFFF"/>
        </w:rPr>
        <w:t>加</w:t>
      </w:r>
      <w:r>
        <w:rPr>
          <w:color w:val="auto"/>
          <w:spacing w:val="-30"/>
          <w:highlight w:val="none"/>
          <w:shd w:val="pct10" w:color="auto" w:fill="FFFFFF"/>
        </w:rPr>
        <w:t xml:space="preserve"> </w:t>
      </w:r>
      <w:r>
        <w:rPr>
          <w:rFonts w:hint="eastAsia"/>
          <w:color w:val="auto"/>
          <w:spacing w:val="-30"/>
          <w:highlight w:val="none"/>
          <w:shd w:val="pct10" w:color="auto" w:fill="FFFFFF"/>
        </w:rPr>
        <w:t>盖</w:t>
      </w:r>
      <w:r>
        <w:rPr>
          <w:color w:val="auto"/>
          <w:spacing w:val="-30"/>
          <w:highlight w:val="none"/>
          <w:shd w:val="pct10" w:color="auto" w:fill="FFFFFF"/>
        </w:rPr>
        <w:t xml:space="preserve"> </w:t>
      </w:r>
      <w:r>
        <w:rPr>
          <w:rFonts w:hint="eastAsia"/>
          <w:color w:val="auto"/>
          <w:spacing w:val="-30"/>
          <w:highlight w:val="none"/>
          <w:shd w:val="pct10" w:color="auto" w:fill="FFFFFF"/>
        </w:rPr>
        <w:t>投</w:t>
      </w:r>
      <w:r>
        <w:rPr>
          <w:color w:val="auto"/>
          <w:spacing w:val="-30"/>
          <w:highlight w:val="none"/>
          <w:shd w:val="pct10" w:color="auto" w:fill="FFFFFF"/>
        </w:rPr>
        <w:t xml:space="preserve"> </w:t>
      </w:r>
      <w:r>
        <w:rPr>
          <w:rFonts w:hint="eastAsia"/>
          <w:color w:val="auto"/>
          <w:spacing w:val="-30"/>
          <w:highlight w:val="none"/>
          <w:shd w:val="pct10" w:color="auto" w:fill="FFFFFF"/>
        </w:rPr>
        <w:t>标</w:t>
      </w:r>
      <w:r>
        <w:rPr>
          <w:color w:val="auto"/>
          <w:spacing w:val="-30"/>
          <w:highlight w:val="none"/>
          <w:shd w:val="pct10" w:color="auto" w:fill="FFFFFF"/>
        </w:rPr>
        <w:t xml:space="preserve"> </w:t>
      </w:r>
      <w:r>
        <w:rPr>
          <w:rFonts w:hint="eastAsia"/>
          <w:color w:val="auto"/>
          <w:spacing w:val="-30"/>
          <w:highlight w:val="none"/>
          <w:shd w:val="pct10" w:color="auto" w:fill="FFFFFF"/>
        </w:rPr>
        <w:t>单</w:t>
      </w:r>
      <w:r>
        <w:rPr>
          <w:color w:val="auto"/>
          <w:spacing w:val="-30"/>
          <w:highlight w:val="none"/>
          <w:shd w:val="pct10" w:color="auto" w:fill="FFFFFF"/>
        </w:rPr>
        <w:t xml:space="preserve"> </w:t>
      </w:r>
      <w:r>
        <w:rPr>
          <w:rFonts w:hint="eastAsia"/>
          <w:color w:val="auto"/>
          <w:spacing w:val="-30"/>
          <w:highlight w:val="none"/>
          <w:shd w:val="pct10" w:color="auto" w:fill="FFFFFF"/>
        </w:rPr>
        <w:t>位</w:t>
      </w:r>
      <w:r>
        <w:rPr>
          <w:color w:val="auto"/>
          <w:spacing w:val="-30"/>
          <w:highlight w:val="none"/>
          <w:shd w:val="pct10" w:color="auto" w:fill="FFFFFF"/>
        </w:rPr>
        <w:t xml:space="preserve"> </w:t>
      </w:r>
      <w:r>
        <w:rPr>
          <w:rFonts w:hint="eastAsia"/>
          <w:color w:val="auto"/>
          <w:spacing w:val="-30"/>
          <w:highlight w:val="none"/>
          <w:shd w:val="pct10" w:color="auto" w:fill="FFFFFF"/>
        </w:rPr>
        <w:t>公</w:t>
      </w:r>
      <w:r>
        <w:rPr>
          <w:color w:val="auto"/>
          <w:spacing w:val="-30"/>
          <w:highlight w:val="none"/>
          <w:shd w:val="pct10" w:color="auto" w:fill="FFFFFF"/>
        </w:rPr>
        <w:t xml:space="preserve"> </w:t>
      </w:r>
      <w:r>
        <w:rPr>
          <w:rFonts w:hint="eastAsia"/>
          <w:color w:val="auto"/>
          <w:spacing w:val="-30"/>
          <w:highlight w:val="none"/>
          <w:shd w:val="pct10" w:color="auto" w:fill="FFFFFF"/>
        </w:rPr>
        <w:t>章</w:t>
      </w:r>
      <w:r>
        <w:rPr>
          <w:color w:val="auto"/>
          <w:spacing w:val="-30"/>
          <w:highlight w:val="none"/>
          <w:shd w:val="pct10" w:color="auto" w:fill="FFFFFF"/>
        </w:rPr>
        <w:t xml:space="preserve"> </w:t>
      </w:r>
      <w:r>
        <w:rPr>
          <w:rFonts w:hint="eastAsia"/>
          <w:color w:val="auto"/>
          <w:spacing w:val="-30"/>
          <w:highlight w:val="none"/>
          <w:shd w:val="pct10" w:color="auto" w:fill="FFFFFF"/>
        </w:rPr>
        <w:t>及</w:t>
      </w:r>
      <w:r>
        <w:rPr>
          <w:color w:val="auto"/>
          <w:spacing w:val="-30"/>
          <w:highlight w:val="none"/>
          <w:shd w:val="pct10" w:color="auto" w:fill="FFFFFF"/>
        </w:rPr>
        <w:t xml:space="preserve"> </w:t>
      </w:r>
      <w:r>
        <w:rPr>
          <w:rFonts w:hint="eastAsia"/>
          <w:color w:val="auto"/>
          <w:spacing w:val="-30"/>
          <w:highlight w:val="none"/>
          <w:shd w:val="pct10" w:color="auto" w:fill="FFFFFF"/>
        </w:rPr>
        <w:t>法</w:t>
      </w:r>
      <w:r>
        <w:rPr>
          <w:color w:val="auto"/>
          <w:spacing w:val="-30"/>
          <w:highlight w:val="none"/>
          <w:shd w:val="pct10" w:color="auto" w:fill="FFFFFF"/>
        </w:rPr>
        <w:t xml:space="preserve"> </w:t>
      </w:r>
      <w:r>
        <w:rPr>
          <w:rFonts w:hint="eastAsia"/>
          <w:color w:val="auto"/>
          <w:spacing w:val="-30"/>
          <w:highlight w:val="none"/>
          <w:shd w:val="pct10" w:color="auto" w:fill="FFFFFF"/>
        </w:rPr>
        <w:t>定</w:t>
      </w:r>
      <w:r>
        <w:rPr>
          <w:color w:val="auto"/>
          <w:spacing w:val="-30"/>
          <w:highlight w:val="none"/>
          <w:shd w:val="pct10" w:color="auto" w:fill="FFFFFF"/>
        </w:rPr>
        <w:t xml:space="preserve"> </w:t>
      </w:r>
      <w:r>
        <w:rPr>
          <w:rFonts w:hint="eastAsia"/>
          <w:color w:val="auto"/>
          <w:spacing w:val="-30"/>
          <w:highlight w:val="none"/>
          <w:shd w:val="pct10" w:color="auto" w:fill="FFFFFF"/>
        </w:rPr>
        <w:t>代</w:t>
      </w:r>
      <w:r>
        <w:rPr>
          <w:color w:val="auto"/>
          <w:spacing w:val="-30"/>
          <w:highlight w:val="none"/>
          <w:shd w:val="pct10" w:color="auto" w:fill="FFFFFF"/>
        </w:rPr>
        <w:t xml:space="preserve"> </w:t>
      </w:r>
      <w:r>
        <w:rPr>
          <w:rFonts w:hint="eastAsia"/>
          <w:color w:val="auto"/>
          <w:spacing w:val="-30"/>
          <w:highlight w:val="none"/>
          <w:shd w:val="pct10" w:color="auto" w:fill="FFFFFF"/>
        </w:rPr>
        <w:t>表</w:t>
      </w:r>
      <w:r>
        <w:rPr>
          <w:color w:val="auto"/>
          <w:spacing w:val="-30"/>
          <w:highlight w:val="none"/>
          <w:shd w:val="pct10" w:color="auto" w:fill="FFFFFF"/>
        </w:rPr>
        <w:t xml:space="preserve"> </w:t>
      </w:r>
      <w:r>
        <w:rPr>
          <w:rFonts w:hint="eastAsia"/>
          <w:color w:val="auto"/>
          <w:spacing w:val="-30"/>
          <w:highlight w:val="none"/>
          <w:shd w:val="pct10" w:color="auto" w:fill="FFFFFF"/>
        </w:rPr>
        <w:t>人</w:t>
      </w:r>
      <w:r>
        <w:rPr>
          <w:color w:val="auto"/>
          <w:spacing w:val="-30"/>
          <w:highlight w:val="none"/>
          <w:shd w:val="pct10" w:color="auto" w:fill="FFFFFF"/>
        </w:rPr>
        <w:t xml:space="preserve"> </w:t>
      </w:r>
      <w:r>
        <w:rPr>
          <w:rFonts w:hint="eastAsia"/>
          <w:color w:val="auto"/>
          <w:spacing w:val="-30"/>
          <w:highlight w:val="none"/>
          <w:shd w:val="pct10" w:color="auto" w:fill="FFFFFF"/>
        </w:rPr>
        <w:t>或</w:t>
      </w:r>
      <w:r>
        <w:rPr>
          <w:color w:val="auto"/>
          <w:spacing w:val="-30"/>
          <w:highlight w:val="none"/>
          <w:shd w:val="pct10" w:color="auto" w:fill="FFFFFF"/>
        </w:rPr>
        <w:t xml:space="preserve"> </w:t>
      </w:r>
      <w:r>
        <w:rPr>
          <w:rFonts w:hint="eastAsia"/>
          <w:color w:val="auto"/>
          <w:spacing w:val="-30"/>
          <w:highlight w:val="none"/>
          <w:shd w:val="pct10" w:color="auto" w:fill="FFFFFF"/>
        </w:rPr>
        <w:t>其</w:t>
      </w:r>
      <w:r>
        <w:rPr>
          <w:color w:val="auto"/>
          <w:spacing w:val="-30"/>
          <w:highlight w:val="none"/>
          <w:shd w:val="pct10" w:color="auto" w:fill="FFFFFF"/>
        </w:rPr>
        <w:t xml:space="preserve"> </w:t>
      </w:r>
      <w:r>
        <w:rPr>
          <w:rFonts w:hint="eastAsia"/>
          <w:color w:val="auto"/>
          <w:spacing w:val="-30"/>
          <w:highlight w:val="none"/>
          <w:shd w:val="pct10" w:color="auto" w:fill="FFFFFF"/>
        </w:rPr>
        <w:t>法</w:t>
      </w:r>
      <w:r>
        <w:rPr>
          <w:color w:val="auto"/>
          <w:spacing w:val="-30"/>
          <w:highlight w:val="none"/>
          <w:shd w:val="pct10" w:color="auto" w:fill="FFFFFF"/>
        </w:rPr>
        <w:t xml:space="preserve"> </w:t>
      </w:r>
      <w:r>
        <w:rPr>
          <w:rFonts w:hint="eastAsia"/>
          <w:color w:val="auto"/>
          <w:spacing w:val="-30"/>
          <w:highlight w:val="none"/>
          <w:shd w:val="pct10" w:color="auto" w:fill="FFFFFF"/>
        </w:rPr>
        <w:t>定</w:t>
      </w:r>
      <w:r>
        <w:rPr>
          <w:color w:val="auto"/>
          <w:spacing w:val="-30"/>
          <w:highlight w:val="none"/>
          <w:shd w:val="pct10" w:color="auto" w:fill="FFFFFF"/>
        </w:rPr>
        <w:t xml:space="preserve"> </w:t>
      </w:r>
      <w:r>
        <w:rPr>
          <w:rFonts w:hint="eastAsia"/>
          <w:color w:val="auto"/>
          <w:spacing w:val="-30"/>
          <w:highlight w:val="none"/>
          <w:shd w:val="pct10" w:color="auto" w:fill="FFFFFF"/>
        </w:rPr>
        <w:t>代</w:t>
      </w:r>
      <w:r>
        <w:rPr>
          <w:color w:val="auto"/>
          <w:spacing w:val="-30"/>
          <w:highlight w:val="none"/>
          <w:shd w:val="pct10" w:color="auto" w:fill="FFFFFF"/>
        </w:rPr>
        <w:t xml:space="preserve"> </w:t>
      </w:r>
      <w:r>
        <w:rPr>
          <w:rFonts w:hint="eastAsia"/>
          <w:color w:val="auto"/>
          <w:spacing w:val="-30"/>
          <w:highlight w:val="none"/>
          <w:shd w:val="pct10" w:color="auto" w:fill="FFFFFF"/>
        </w:rPr>
        <w:t>表</w:t>
      </w:r>
      <w:r>
        <w:rPr>
          <w:color w:val="auto"/>
          <w:spacing w:val="-30"/>
          <w:highlight w:val="none"/>
          <w:shd w:val="pct10" w:color="auto" w:fill="FFFFFF"/>
        </w:rPr>
        <w:t xml:space="preserve"> </w:t>
      </w:r>
      <w:r>
        <w:rPr>
          <w:rFonts w:hint="eastAsia"/>
          <w:color w:val="auto"/>
          <w:spacing w:val="-30"/>
          <w:highlight w:val="none"/>
          <w:shd w:val="pct10" w:color="auto" w:fill="FFFFFF"/>
        </w:rPr>
        <w:t>人</w:t>
      </w:r>
      <w:r>
        <w:rPr>
          <w:color w:val="auto"/>
          <w:spacing w:val="-30"/>
          <w:highlight w:val="none"/>
          <w:shd w:val="pct10" w:color="auto" w:fill="FFFFFF"/>
        </w:rPr>
        <w:t xml:space="preserve"> </w:t>
      </w:r>
      <w:r>
        <w:rPr>
          <w:rFonts w:hint="eastAsia"/>
          <w:color w:val="auto"/>
          <w:spacing w:val="-30"/>
          <w:highlight w:val="none"/>
          <w:shd w:val="pct10" w:color="auto" w:fill="FFFFFF"/>
        </w:rPr>
        <w:t>委</w:t>
      </w:r>
      <w:r>
        <w:rPr>
          <w:color w:val="auto"/>
          <w:spacing w:val="-30"/>
          <w:highlight w:val="none"/>
          <w:shd w:val="pct10" w:color="auto" w:fill="FFFFFF"/>
        </w:rPr>
        <w:t xml:space="preserve"> </w:t>
      </w:r>
      <w:r>
        <w:rPr>
          <w:rFonts w:hint="eastAsia"/>
          <w:color w:val="auto"/>
          <w:spacing w:val="-30"/>
          <w:highlight w:val="none"/>
          <w:shd w:val="pct10" w:color="auto" w:fill="FFFFFF"/>
        </w:rPr>
        <w:t>托</w:t>
      </w:r>
      <w:r>
        <w:rPr>
          <w:color w:val="auto"/>
          <w:spacing w:val="-30"/>
          <w:highlight w:val="none"/>
          <w:shd w:val="pct10" w:color="auto" w:fill="FFFFFF"/>
        </w:rPr>
        <w:t xml:space="preserve"> </w:t>
      </w:r>
      <w:r>
        <w:rPr>
          <w:rFonts w:hint="eastAsia"/>
          <w:color w:val="auto"/>
          <w:spacing w:val="-30"/>
          <w:highlight w:val="none"/>
          <w:shd w:val="pct10" w:color="auto" w:fill="FFFFFF"/>
        </w:rPr>
        <w:t>代</w:t>
      </w:r>
      <w:r>
        <w:rPr>
          <w:color w:val="auto"/>
          <w:spacing w:val="-30"/>
          <w:highlight w:val="none"/>
          <w:shd w:val="pct10" w:color="auto" w:fill="FFFFFF"/>
        </w:rPr>
        <w:t xml:space="preserve"> </w:t>
      </w:r>
      <w:r>
        <w:rPr>
          <w:rFonts w:hint="eastAsia"/>
          <w:color w:val="auto"/>
          <w:spacing w:val="-30"/>
          <w:highlight w:val="none"/>
          <w:shd w:val="pct10" w:color="auto" w:fill="FFFFFF"/>
        </w:rPr>
        <w:t>理</w:t>
      </w:r>
      <w:r>
        <w:rPr>
          <w:color w:val="auto"/>
          <w:spacing w:val="-30"/>
          <w:highlight w:val="none"/>
          <w:shd w:val="pct10" w:color="auto" w:fill="FFFFFF"/>
        </w:rPr>
        <w:t xml:space="preserve"> </w:t>
      </w:r>
      <w:r>
        <w:rPr>
          <w:rFonts w:hint="eastAsia"/>
          <w:color w:val="auto"/>
          <w:spacing w:val="-30"/>
          <w:highlight w:val="none"/>
          <w:shd w:val="pct10" w:color="auto" w:fill="FFFFFF"/>
        </w:rPr>
        <w:t>人</w:t>
      </w:r>
      <w:r>
        <w:rPr>
          <w:color w:val="auto"/>
          <w:spacing w:val="-30"/>
          <w:highlight w:val="none"/>
          <w:shd w:val="pct10" w:color="auto" w:fill="FFFFFF"/>
        </w:rPr>
        <w:t xml:space="preserve"> </w:t>
      </w:r>
      <w:r>
        <w:rPr>
          <w:rFonts w:hint="eastAsia"/>
          <w:color w:val="auto"/>
          <w:spacing w:val="-30"/>
          <w:highlight w:val="none"/>
          <w:shd w:val="pct10" w:color="auto" w:fill="FFFFFF"/>
        </w:rPr>
        <w:t>签</w:t>
      </w:r>
      <w:r>
        <w:rPr>
          <w:color w:val="auto"/>
          <w:spacing w:val="-30"/>
          <w:highlight w:val="none"/>
          <w:shd w:val="pct10" w:color="auto" w:fill="FFFFFF"/>
        </w:rPr>
        <w:t xml:space="preserve"> </w:t>
      </w:r>
      <w:r>
        <w:rPr>
          <w:rFonts w:hint="eastAsia"/>
          <w:color w:val="auto"/>
          <w:spacing w:val="-30"/>
          <w:highlight w:val="none"/>
          <w:shd w:val="pct10" w:color="auto" w:fill="FFFFFF"/>
        </w:rPr>
        <w:t>字</w:t>
      </w:r>
      <w:r>
        <w:rPr>
          <w:color w:val="auto"/>
          <w:spacing w:val="-30"/>
          <w:highlight w:val="none"/>
          <w:shd w:val="pct10" w:color="auto" w:fill="FFFFFF"/>
        </w:rPr>
        <w:t xml:space="preserve"> </w:t>
      </w:r>
      <w:r>
        <w:rPr>
          <w:rFonts w:hint="eastAsia"/>
          <w:color w:val="auto"/>
          <w:spacing w:val="-30"/>
          <w:highlight w:val="none"/>
          <w:shd w:val="pct10" w:color="auto" w:fill="FFFFFF"/>
        </w:rPr>
        <w:t>或</w:t>
      </w:r>
      <w:r>
        <w:rPr>
          <w:color w:val="auto"/>
          <w:spacing w:val="-30"/>
          <w:highlight w:val="none"/>
          <w:shd w:val="pct10" w:color="auto" w:fill="FFFFFF"/>
        </w:rPr>
        <w:t xml:space="preserve"> </w:t>
      </w:r>
      <w:r>
        <w:rPr>
          <w:rFonts w:hint="eastAsia"/>
          <w:color w:val="auto"/>
          <w:spacing w:val="-30"/>
          <w:highlight w:val="none"/>
          <w:shd w:val="pct10" w:color="auto" w:fill="FFFFFF"/>
        </w:rPr>
        <w:t>盖</w:t>
      </w:r>
      <w:r>
        <w:rPr>
          <w:color w:val="auto"/>
          <w:spacing w:val="-30"/>
          <w:highlight w:val="none"/>
          <w:shd w:val="pct10" w:color="auto" w:fill="FFFFFF"/>
        </w:rPr>
        <w:t xml:space="preserve"> </w:t>
      </w:r>
      <w:r>
        <w:rPr>
          <w:rFonts w:hint="eastAsia"/>
          <w:color w:val="auto"/>
          <w:spacing w:val="-30"/>
          <w:highlight w:val="none"/>
          <w:shd w:val="pct10" w:color="auto" w:fill="FFFFFF"/>
        </w:rPr>
        <w:t>章</w:t>
      </w:r>
    </w:p>
    <w:p>
      <w:pPr>
        <w:pStyle w:val="2"/>
        <w:ind w:firstLine="0" w:firstLineChars="0"/>
        <w:rPr>
          <w:rFonts w:hint="default" w:eastAsia="宋体"/>
          <w:color w:val="auto"/>
          <w:highlight w:val="none"/>
          <w:lang w:val="en-US" w:eastAsia="zh-CN"/>
        </w:rPr>
      </w:pPr>
    </w:p>
    <w:sectPr>
      <w:pgSz w:w="11906" w:h="16838"/>
      <w:pgMar w:top="1247" w:right="1247" w:bottom="1247" w:left="1247" w:header="0" w:footer="782" w:gutter="0"/>
      <w:cols w:space="720" w:num="1"/>
      <w:formProt w:val="0"/>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Arial Unicode MS">
    <w:panose1 w:val="020B0604020202020204"/>
    <w:charset w:val="86"/>
    <w:family w:val="roman"/>
    <w:pitch w:val="default"/>
    <w:sig w:usb0="FFFFFFFF" w:usb1="E9FFFFFF" w:usb2="0000003F" w:usb3="00000000" w:csb0="603F01FF" w:csb1="FFFF0000"/>
  </w:font>
  <w:font w:name="Cambria Math">
    <w:panose1 w:val="02040503050406030204"/>
    <w:charset w:val="00"/>
    <w:family w:val="roman"/>
    <w:pitch w:val="default"/>
    <w:sig w:usb0="E00002FF" w:usb1="42002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Helvetica Neue Light">
    <w:altName w:val="Courier New"/>
    <w:panose1 w:val="00000000000000000000"/>
    <w:charset w:val="00"/>
    <w:family w:val="auto"/>
    <w:pitch w:val="default"/>
    <w:sig w:usb0="00000000" w:usb1="00000000" w:usb2="00000000" w:usb3="00000000" w:csb0="00000001" w:csb1="00000000"/>
  </w:font>
  <w:font w:name="ヒラギノ角ゴ Pro W3">
    <w:altName w:val="MS Gothic"/>
    <w:panose1 w:val="00000000000000000000"/>
    <w:charset w:val="80"/>
    <w:family w:val="auto"/>
    <w:pitch w:val="default"/>
    <w:sig w:usb0="00000000" w:usb1="00000000" w:usb2="00000012" w:usb3="00000000" w:csb0="0002000D" w:csb1="00000000"/>
  </w:font>
  <w:font w:name="MS Gothic">
    <w:panose1 w:val="020B0609070205080204"/>
    <w:charset w:val="80"/>
    <w:family w:val="auto"/>
    <w:pitch w:val="default"/>
    <w:sig w:usb0="E00002FF" w:usb1="6AC7FDFB" w:usb2="00000012" w:usb3="00000000" w:csb0="4002009F" w:csb1="DFD70000"/>
  </w:font>
  <w:font w:name="Times">
    <w:altName w:val="CG Times"/>
    <w:panose1 w:val="02020603050405020304"/>
    <w:charset w:val="00"/>
    <w:family w:val="roman"/>
    <w:pitch w:val="default"/>
    <w:sig w:usb0="00000000" w:usb1="00000000" w:usb2="00000009" w:usb3="00000000" w:csb0="000001FF" w:csb1="00000000"/>
  </w:font>
  <w:font w:name="CG Times">
    <w:panose1 w:val="02020603050405020304"/>
    <w:charset w:val="00"/>
    <w:family w:val="auto"/>
    <w:pitch w:val="default"/>
    <w:sig w:usb0="00000000" w:usb1="00000000" w:usb2="00000000" w:usb3="00000000" w:csb0="00000000" w:csb1="00000000"/>
  </w:font>
  <w:font w:name="等线">
    <w:altName w:val="Arial Unicode MS"/>
    <w:panose1 w:val="02010600030101010101"/>
    <w:charset w:val="86"/>
    <w:family w:val="auto"/>
    <w:pitch w:val="default"/>
    <w:sig w:usb0="00000000" w:usb1="00000000" w:usb2="00000016" w:usb3="00000000" w:csb0="0004000F" w:csb1="00000000"/>
  </w:font>
  <w:font w:name="方正行楷简体">
    <w:panose1 w:val="02010601030101010101"/>
    <w:charset w:val="86"/>
    <w:family w:val="auto"/>
    <w:pitch w:val="default"/>
    <w:sig w:usb0="00000001" w:usb1="080E0000" w:usb2="00000000" w:usb3="00000000" w:csb0="00040000" w:csb1="00000000"/>
  </w:font>
  <w:font w:name="微软雅黑 Light">
    <w:altName w:val="黑体"/>
    <w:panose1 w:val="020B0502040204020203"/>
    <w:charset w:val="86"/>
    <w:family w:val="swiss"/>
    <w:pitch w:val="default"/>
    <w:sig w:usb0="00000000" w:usb1="00000000" w:usb2="00000016" w:usb3="00000000" w:csb0="0004001F" w:csb1="00000000"/>
  </w:font>
  <w:font w:name="hakuyoxingshu7000">
    <w:altName w:val="宋体"/>
    <w:panose1 w:val="00000000000000000000"/>
    <w:charset w:val="86"/>
    <w:family w:val="auto"/>
    <w:pitch w:val="default"/>
    <w:sig w:usb0="00000000" w:usb1="00000000" w:usb2="0000003F" w:usb3="00000000" w:csb0="603F00FF" w:csb1="FFFF0000"/>
  </w:font>
  <w:font w:name="新宋体">
    <w:panose1 w:val="02010609030101010101"/>
    <w:charset w:val="86"/>
    <w:family w:val="modern"/>
    <w:pitch w:val="default"/>
    <w:sig w:usb0="00000003" w:usb1="288F0000" w:usb2="00000006" w:usb3="00000000" w:csb0="00040001"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right="360" w:firstLine="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fldChar w:fldCharType="begin"/>
    </w:r>
    <w:r>
      <w:instrText xml:space="preserve"> PAGE   \* MERGEFORMAT </w:instrText>
    </w:r>
    <w:r>
      <w:fldChar w:fldCharType="separate"/>
    </w:r>
    <w:r>
      <w:rPr>
        <w:lang w:val="zh-CN"/>
      </w:rPr>
      <w:t>46</w:t>
    </w:r>
    <w:r>
      <w:rPr>
        <w:lang w:val="zh-CN"/>
      </w:rPr>
      <w:fldChar w:fldCharType="end"/>
    </w:r>
  </w:p>
  <w:p>
    <w:pP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thinThickSmallGap" w:color="auto" w:sz="12" w:space="1"/>
      </w:pBdr>
    </w:pPr>
  </w:p>
  <w:p>
    <w:pPr>
      <w:pStyle w:val="29"/>
      <w:pBdr>
        <w:bottom w:val="thinThickSmallGap" w:color="auto" w:sz="12" w:space="1"/>
      </w:pBdr>
      <w:jc w:val="right"/>
    </w:pPr>
    <w:r>
      <w:rPr>
        <w:rFonts w:hint="eastAsia"/>
      </w:rPr>
      <w:t>浙江永信工程咨询有限公司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1"/>
      </w:pBdr>
      <w:ind w:right="210"/>
      <w:jc w:val="both"/>
    </w:pPr>
    <w:r>
      <w:rPr>
        <w:rFonts w:ascii="宋体" w:hAnsi="宋体" w:cs="宋体"/>
        <w:b/>
      </w:rPr>
      <w:t xml:space="preserve">       </w:t>
    </w:r>
    <w:r>
      <w:rPr>
        <w:rFonts w:hint="eastAsia" w:ascii="宋体" w:hAnsi="宋体" w:cs="宋体"/>
        <w:b/>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jc w:val="both"/>
    </w:pPr>
  </w:p>
  <w:p>
    <w:pPr>
      <w:pStyle w:val="29"/>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37C01E"/>
    <w:multiLevelType w:val="singleLevel"/>
    <w:tmpl w:val="8F37C01E"/>
    <w:lvl w:ilvl="0" w:tentative="0">
      <w:start w:val="1"/>
      <w:numFmt w:val="decimal"/>
      <w:suff w:val="nothing"/>
      <w:lvlText w:val="%1．"/>
      <w:lvlJc w:val="left"/>
      <w:pPr>
        <w:ind w:left="-400" w:firstLine="400"/>
      </w:pPr>
      <w:rPr>
        <w:rFonts w:hint="default" w:ascii="宋体" w:hAnsi="宋体" w:eastAsia="宋体"/>
        <w:b w:val="0"/>
      </w:rPr>
    </w:lvl>
  </w:abstractNum>
  <w:abstractNum w:abstractNumId="1">
    <w:nsid w:val="9C6909A1"/>
    <w:multiLevelType w:val="singleLevel"/>
    <w:tmpl w:val="9C6909A1"/>
    <w:lvl w:ilvl="0" w:tentative="0">
      <w:start w:val="1"/>
      <w:numFmt w:val="decimal"/>
      <w:lvlText w:val="%1."/>
      <w:lvlJc w:val="left"/>
      <w:pPr>
        <w:ind w:left="425" w:hanging="425"/>
      </w:pPr>
      <w:rPr>
        <w:rFonts w:hint="default"/>
      </w:rPr>
    </w:lvl>
  </w:abstractNum>
  <w:abstractNum w:abstractNumId="2">
    <w:nsid w:val="A11D2838"/>
    <w:multiLevelType w:val="singleLevel"/>
    <w:tmpl w:val="A11D2838"/>
    <w:lvl w:ilvl="0" w:tentative="0">
      <w:start w:val="1"/>
      <w:numFmt w:val="decimal"/>
      <w:lvlText w:val="(%1)"/>
      <w:lvlJc w:val="left"/>
      <w:pPr>
        <w:ind w:left="425" w:hanging="425"/>
      </w:pPr>
      <w:rPr>
        <w:rFonts w:hint="default"/>
      </w:rPr>
    </w:lvl>
  </w:abstractNum>
  <w:abstractNum w:abstractNumId="3">
    <w:nsid w:val="AA174838"/>
    <w:multiLevelType w:val="singleLevel"/>
    <w:tmpl w:val="AA174838"/>
    <w:lvl w:ilvl="0" w:tentative="0">
      <w:start w:val="1"/>
      <w:numFmt w:val="chineseCounting"/>
      <w:suff w:val="space"/>
      <w:lvlText w:val="第%1章"/>
      <w:lvlJc w:val="left"/>
      <w:rPr>
        <w:rFonts w:hint="eastAsia"/>
      </w:rPr>
    </w:lvl>
  </w:abstractNum>
  <w:abstractNum w:abstractNumId="4">
    <w:nsid w:val="F8E6F8D3"/>
    <w:multiLevelType w:val="singleLevel"/>
    <w:tmpl w:val="F8E6F8D3"/>
    <w:lvl w:ilvl="0" w:tentative="0">
      <w:start w:val="1"/>
      <w:numFmt w:val="decimal"/>
      <w:lvlText w:val="%1."/>
      <w:lvlJc w:val="left"/>
      <w:pPr>
        <w:tabs>
          <w:tab w:val="left" w:pos="312"/>
        </w:tabs>
      </w:pPr>
    </w:lvl>
  </w:abstractNum>
  <w:abstractNum w:abstractNumId="5">
    <w:nsid w:val="0000000B"/>
    <w:multiLevelType w:val="multilevel"/>
    <w:tmpl w:val="0000000B"/>
    <w:lvl w:ilvl="0" w:tentative="0">
      <w:start w:val="1"/>
      <w:numFmt w:val="japaneseCounting"/>
      <w:lvlText w:val="第%1章"/>
      <w:lvlJc w:val="left"/>
      <w:pPr>
        <w:tabs>
          <w:tab w:val="left" w:pos="1440"/>
        </w:tabs>
        <w:ind w:left="1440" w:hanging="1275"/>
      </w:pPr>
    </w:lvl>
    <w:lvl w:ilvl="1" w:tentative="0">
      <w:start w:val="1"/>
      <w:numFmt w:val="japaneseCounting"/>
      <w:lvlText w:val="%2、"/>
      <w:lvlJc w:val="left"/>
      <w:pPr>
        <w:tabs>
          <w:tab w:val="left" w:pos="1305"/>
        </w:tabs>
        <w:ind w:left="1305" w:hanging="72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pStyle w:val="9"/>
      <w:lvlText w:val="%6."/>
      <w:lvlJc w:val="left"/>
      <w:pPr>
        <w:tabs>
          <w:tab w:val="left" w:pos="4320"/>
        </w:tabs>
        <w:ind w:left="4320" w:hanging="360"/>
      </w:pPr>
    </w:lvl>
    <w:lvl w:ilvl="6" w:tentative="0">
      <w:start w:val="1"/>
      <w:numFmt w:val="decimal"/>
      <w:pStyle w:val="11"/>
      <w:lvlText w:val="%7."/>
      <w:lvlJc w:val="left"/>
      <w:pPr>
        <w:tabs>
          <w:tab w:val="left" w:pos="5040"/>
        </w:tabs>
        <w:ind w:left="5040" w:hanging="360"/>
      </w:pPr>
    </w:lvl>
    <w:lvl w:ilvl="7" w:tentative="0">
      <w:start w:val="1"/>
      <w:numFmt w:val="decimal"/>
      <w:pStyle w:val="12"/>
      <w:lvlText w:val="%8."/>
      <w:lvlJc w:val="left"/>
      <w:pPr>
        <w:tabs>
          <w:tab w:val="left" w:pos="5760"/>
        </w:tabs>
        <w:ind w:left="5760" w:hanging="360"/>
      </w:pPr>
    </w:lvl>
    <w:lvl w:ilvl="8" w:tentative="0">
      <w:start w:val="1"/>
      <w:numFmt w:val="decimal"/>
      <w:pStyle w:val="13"/>
      <w:lvlText w:val="%9."/>
      <w:lvlJc w:val="left"/>
      <w:pPr>
        <w:tabs>
          <w:tab w:val="left" w:pos="6480"/>
        </w:tabs>
        <w:ind w:left="6480" w:hanging="360"/>
      </w:pPr>
    </w:lvl>
  </w:abstractNum>
  <w:abstractNum w:abstractNumId="6">
    <w:nsid w:val="04AD0168"/>
    <w:multiLevelType w:val="singleLevel"/>
    <w:tmpl w:val="04AD0168"/>
    <w:lvl w:ilvl="0" w:tentative="0">
      <w:start w:val="1"/>
      <w:numFmt w:val="decimal"/>
      <w:suff w:val="nothing"/>
      <w:lvlText w:val="%1、"/>
      <w:lvlJc w:val="left"/>
    </w:lvl>
  </w:abstractNum>
  <w:abstractNum w:abstractNumId="7">
    <w:nsid w:val="070E3F52"/>
    <w:multiLevelType w:val="singleLevel"/>
    <w:tmpl w:val="070E3F52"/>
    <w:lvl w:ilvl="0" w:tentative="0">
      <w:start w:val="1"/>
      <w:numFmt w:val="decimal"/>
      <w:suff w:val="nothing"/>
      <w:lvlText w:val="%1、"/>
      <w:lvlJc w:val="left"/>
    </w:lvl>
  </w:abstractNum>
  <w:abstractNum w:abstractNumId="8">
    <w:nsid w:val="16CF2939"/>
    <w:multiLevelType w:val="multilevel"/>
    <w:tmpl w:val="16CF2939"/>
    <w:lvl w:ilvl="0" w:tentative="0">
      <w:start w:val="4"/>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23954EED"/>
    <w:multiLevelType w:val="multilevel"/>
    <w:tmpl w:val="23954EED"/>
    <w:lvl w:ilvl="0" w:tentative="0">
      <w:start w:val="1"/>
      <w:numFmt w:val="bullet"/>
      <w:lvlText w:val=""/>
      <w:lvlJc w:val="left"/>
      <w:pPr>
        <w:tabs>
          <w:tab w:val="left" w:pos="1080"/>
        </w:tabs>
        <w:ind w:left="1080" w:hanging="420"/>
      </w:pPr>
      <w:rPr>
        <w:rFonts w:hint="default" w:ascii="Wingdings" w:hAnsi="Wingdings"/>
      </w:rPr>
    </w:lvl>
    <w:lvl w:ilvl="1" w:tentative="0">
      <w:start w:val="1"/>
      <w:numFmt w:val="bullet"/>
      <w:lvlText w:val=""/>
      <w:lvlJc w:val="left"/>
      <w:pPr>
        <w:tabs>
          <w:tab w:val="left" w:pos="1500"/>
        </w:tabs>
        <w:ind w:left="1500" w:hanging="420"/>
      </w:pPr>
      <w:rPr>
        <w:rFonts w:hint="default" w:ascii="Wingdings" w:hAnsi="Wingdings"/>
      </w:rPr>
    </w:lvl>
    <w:lvl w:ilvl="2" w:tentative="0">
      <w:start w:val="1"/>
      <w:numFmt w:val="bullet"/>
      <w:lvlText w:val=""/>
      <w:lvlJc w:val="left"/>
      <w:pPr>
        <w:tabs>
          <w:tab w:val="left" w:pos="1920"/>
        </w:tabs>
        <w:ind w:left="1920" w:hanging="420"/>
      </w:pPr>
      <w:rPr>
        <w:rFonts w:hint="default" w:ascii="Wingdings" w:hAnsi="Wingdings"/>
      </w:rPr>
    </w:lvl>
    <w:lvl w:ilvl="3" w:tentative="0">
      <w:start w:val="1"/>
      <w:numFmt w:val="bullet"/>
      <w:lvlText w:val=""/>
      <w:lvlJc w:val="left"/>
      <w:pPr>
        <w:tabs>
          <w:tab w:val="left" w:pos="2340"/>
        </w:tabs>
        <w:ind w:left="2340" w:hanging="420"/>
      </w:pPr>
      <w:rPr>
        <w:rFonts w:hint="default" w:ascii="Wingdings" w:hAnsi="Wingdings"/>
      </w:rPr>
    </w:lvl>
    <w:lvl w:ilvl="4" w:tentative="0">
      <w:start w:val="1"/>
      <w:numFmt w:val="bullet"/>
      <w:lvlText w:val=""/>
      <w:lvlJc w:val="left"/>
      <w:pPr>
        <w:tabs>
          <w:tab w:val="left" w:pos="2760"/>
        </w:tabs>
        <w:ind w:left="2760" w:hanging="420"/>
      </w:pPr>
      <w:rPr>
        <w:rFonts w:hint="default" w:ascii="Wingdings" w:hAnsi="Wingdings"/>
      </w:rPr>
    </w:lvl>
    <w:lvl w:ilvl="5" w:tentative="0">
      <w:start w:val="1"/>
      <w:numFmt w:val="bullet"/>
      <w:lvlText w:val=""/>
      <w:lvlJc w:val="left"/>
      <w:pPr>
        <w:tabs>
          <w:tab w:val="left" w:pos="3180"/>
        </w:tabs>
        <w:ind w:left="3180" w:hanging="420"/>
      </w:pPr>
      <w:rPr>
        <w:rFonts w:hint="default" w:ascii="Wingdings" w:hAnsi="Wingdings"/>
      </w:rPr>
    </w:lvl>
    <w:lvl w:ilvl="6" w:tentative="0">
      <w:start w:val="1"/>
      <w:numFmt w:val="bullet"/>
      <w:lvlText w:val=""/>
      <w:lvlJc w:val="left"/>
      <w:pPr>
        <w:tabs>
          <w:tab w:val="left" w:pos="3600"/>
        </w:tabs>
        <w:ind w:left="3600" w:hanging="420"/>
      </w:pPr>
      <w:rPr>
        <w:rFonts w:hint="default" w:ascii="Wingdings" w:hAnsi="Wingdings"/>
      </w:rPr>
    </w:lvl>
    <w:lvl w:ilvl="7" w:tentative="0">
      <w:start w:val="1"/>
      <w:numFmt w:val="bullet"/>
      <w:lvlText w:val=""/>
      <w:lvlJc w:val="left"/>
      <w:pPr>
        <w:tabs>
          <w:tab w:val="left" w:pos="4020"/>
        </w:tabs>
        <w:ind w:left="4020" w:hanging="420"/>
      </w:pPr>
      <w:rPr>
        <w:rFonts w:hint="default" w:ascii="Wingdings" w:hAnsi="Wingdings"/>
      </w:rPr>
    </w:lvl>
    <w:lvl w:ilvl="8" w:tentative="0">
      <w:start w:val="1"/>
      <w:numFmt w:val="bullet"/>
      <w:lvlText w:val=""/>
      <w:lvlJc w:val="left"/>
      <w:pPr>
        <w:tabs>
          <w:tab w:val="left" w:pos="4440"/>
        </w:tabs>
        <w:ind w:left="4440" w:hanging="420"/>
      </w:pPr>
      <w:rPr>
        <w:rFonts w:hint="default" w:ascii="Wingdings" w:hAnsi="Wingdings"/>
      </w:rPr>
    </w:lvl>
  </w:abstractNum>
  <w:abstractNum w:abstractNumId="10">
    <w:nsid w:val="2A344D01"/>
    <w:multiLevelType w:val="multilevel"/>
    <w:tmpl w:val="2A344D01"/>
    <w:lvl w:ilvl="0" w:tentative="0">
      <w:start w:val="1"/>
      <w:numFmt w:val="bullet"/>
      <w:lvlText w:val=""/>
      <w:lvlJc w:val="left"/>
      <w:pPr>
        <w:ind w:left="950" w:hanging="420"/>
      </w:pPr>
      <w:rPr>
        <w:rFonts w:hint="default" w:ascii="Wingdings" w:hAnsi="Wingdings"/>
      </w:rPr>
    </w:lvl>
    <w:lvl w:ilvl="1" w:tentative="0">
      <w:start w:val="1"/>
      <w:numFmt w:val="bullet"/>
      <w:lvlText w:val=""/>
      <w:lvlJc w:val="left"/>
      <w:pPr>
        <w:ind w:left="1370" w:hanging="420"/>
      </w:pPr>
      <w:rPr>
        <w:rFonts w:hint="default" w:ascii="Wingdings" w:hAnsi="Wingdings"/>
      </w:rPr>
    </w:lvl>
    <w:lvl w:ilvl="2" w:tentative="0">
      <w:start w:val="1"/>
      <w:numFmt w:val="bullet"/>
      <w:lvlText w:val=""/>
      <w:lvlJc w:val="left"/>
      <w:pPr>
        <w:ind w:left="1790" w:hanging="420"/>
      </w:pPr>
      <w:rPr>
        <w:rFonts w:hint="default" w:ascii="Wingdings" w:hAnsi="Wingdings"/>
      </w:rPr>
    </w:lvl>
    <w:lvl w:ilvl="3" w:tentative="0">
      <w:start w:val="1"/>
      <w:numFmt w:val="bullet"/>
      <w:lvlText w:val=""/>
      <w:lvlJc w:val="left"/>
      <w:pPr>
        <w:ind w:left="2210" w:hanging="420"/>
      </w:pPr>
      <w:rPr>
        <w:rFonts w:hint="default" w:ascii="Wingdings" w:hAnsi="Wingdings"/>
      </w:rPr>
    </w:lvl>
    <w:lvl w:ilvl="4" w:tentative="0">
      <w:start w:val="1"/>
      <w:numFmt w:val="bullet"/>
      <w:lvlText w:val=""/>
      <w:lvlJc w:val="left"/>
      <w:pPr>
        <w:ind w:left="2630" w:hanging="420"/>
      </w:pPr>
      <w:rPr>
        <w:rFonts w:hint="default" w:ascii="Wingdings" w:hAnsi="Wingdings"/>
      </w:rPr>
    </w:lvl>
    <w:lvl w:ilvl="5" w:tentative="0">
      <w:start w:val="1"/>
      <w:numFmt w:val="bullet"/>
      <w:lvlText w:val=""/>
      <w:lvlJc w:val="left"/>
      <w:pPr>
        <w:ind w:left="3050" w:hanging="420"/>
      </w:pPr>
      <w:rPr>
        <w:rFonts w:hint="default" w:ascii="Wingdings" w:hAnsi="Wingdings"/>
      </w:rPr>
    </w:lvl>
    <w:lvl w:ilvl="6" w:tentative="0">
      <w:start w:val="1"/>
      <w:numFmt w:val="bullet"/>
      <w:lvlText w:val=""/>
      <w:lvlJc w:val="left"/>
      <w:pPr>
        <w:ind w:left="3470" w:hanging="420"/>
      </w:pPr>
      <w:rPr>
        <w:rFonts w:hint="default" w:ascii="Wingdings" w:hAnsi="Wingdings"/>
      </w:rPr>
    </w:lvl>
    <w:lvl w:ilvl="7" w:tentative="0">
      <w:start w:val="1"/>
      <w:numFmt w:val="bullet"/>
      <w:lvlText w:val=""/>
      <w:lvlJc w:val="left"/>
      <w:pPr>
        <w:ind w:left="3890" w:hanging="420"/>
      </w:pPr>
      <w:rPr>
        <w:rFonts w:hint="default" w:ascii="Wingdings" w:hAnsi="Wingdings"/>
      </w:rPr>
    </w:lvl>
    <w:lvl w:ilvl="8" w:tentative="0">
      <w:start w:val="1"/>
      <w:numFmt w:val="bullet"/>
      <w:lvlText w:val=""/>
      <w:lvlJc w:val="left"/>
      <w:pPr>
        <w:ind w:left="4310" w:hanging="420"/>
      </w:pPr>
      <w:rPr>
        <w:rFonts w:hint="default" w:ascii="Wingdings" w:hAnsi="Wingdings"/>
      </w:rPr>
    </w:lvl>
  </w:abstractNum>
  <w:abstractNum w:abstractNumId="11">
    <w:nsid w:val="54F403B5"/>
    <w:multiLevelType w:val="singleLevel"/>
    <w:tmpl w:val="54F403B5"/>
    <w:lvl w:ilvl="0" w:tentative="0">
      <w:start w:val="1"/>
      <w:numFmt w:val="chineseCounting"/>
      <w:suff w:val="nothing"/>
      <w:lvlText w:val="%1、"/>
      <w:lvlJc w:val="left"/>
    </w:lvl>
  </w:abstractNum>
  <w:abstractNum w:abstractNumId="12">
    <w:nsid w:val="557FD3DA"/>
    <w:multiLevelType w:val="singleLevel"/>
    <w:tmpl w:val="557FD3DA"/>
    <w:lvl w:ilvl="0" w:tentative="0">
      <w:start w:val="3"/>
      <w:numFmt w:val="chineseCounting"/>
      <w:suff w:val="nothing"/>
      <w:lvlText w:val="%1、"/>
      <w:lvlJc w:val="left"/>
    </w:lvl>
  </w:abstractNum>
  <w:abstractNum w:abstractNumId="13">
    <w:nsid w:val="599289D4"/>
    <w:multiLevelType w:val="singleLevel"/>
    <w:tmpl w:val="599289D4"/>
    <w:lvl w:ilvl="0" w:tentative="0">
      <w:start w:val="1"/>
      <w:numFmt w:val="decimal"/>
      <w:lvlText w:val="%1."/>
      <w:lvlJc w:val="left"/>
      <w:pPr>
        <w:ind w:left="420" w:hanging="420"/>
      </w:pPr>
      <w:rPr>
        <w:rFonts w:hint="default"/>
      </w:rPr>
    </w:lvl>
  </w:abstractNum>
  <w:abstractNum w:abstractNumId="14">
    <w:nsid w:val="599289EC"/>
    <w:multiLevelType w:val="singleLevel"/>
    <w:tmpl w:val="599289EC"/>
    <w:lvl w:ilvl="0" w:tentative="0">
      <w:start w:val="1"/>
      <w:numFmt w:val="decimal"/>
      <w:lvlText w:val="%1."/>
      <w:lvlJc w:val="left"/>
      <w:pPr>
        <w:ind w:left="420" w:hanging="420"/>
      </w:pPr>
      <w:rPr>
        <w:rFonts w:hint="default"/>
      </w:rPr>
    </w:lvl>
  </w:abstractNum>
  <w:abstractNum w:abstractNumId="15">
    <w:nsid w:val="5AF79DA0"/>
    <w:multiLevelType w:val="singleLevel"/>
    <w:tmpl w:val="5AF79DA0"/>
    <w:lvl w:ilvl="0" w:tentative="0">
      <w:start w:val="1"/>
      <w:numFmt w:val="decimal"/>
      <w:suff w:val="nothing"/>
      <w:lvlText w:val="%1、"/>
      <w:lvlJc w:val="left"/>
    </w:lvl>
  </w:abstractNum>
  <w:abstractNum w:abstractNumId="16">
    <w:nsid w:val="60A1568C"/>
    <w:multiLevelType w:val="singleLevel"/>
    <w:tmpl w:val="60A1568C"/>
    <w:lvl w:ilvl="0" w:tentative="0">
      <w:start w:val="1"/>
      <w:numFmt w:val="decimal"/>
      <w:lvlText w:val="%1."/>
      <w:lvlJc w:val="left"/>
      <w:pPr>
        <w:ind w:left="425" w:hanging="425"/>
      </w:pPr>
      <w:rPr>
        <w:rFonts w:hint="default"/>
      </w:rPr>
    </w:lvl>
  </w:abstractNum>
  <w:abstractNum w:abstractNumId="17">
    <w:nsid w:val="69856DC6"/>
    <w:multiLevelType w:val="singleLevel"/>
    <w:tmpl w:val="69856DC6"/>
    <w:lvl w:ilvl="0" w:tentative="0">
      <w:start w:val="1"/>
      <w:numFmt w:val="decimal"/>
      <w:lvlText w:val="%1."/>
      <w:lvlJc w:val="left"/>
      <w:pPr>
        <w:ind w:left="700" w:hanging="420"/>
      </w:pPr>
      <w:rPr>
        <w:rFonts w:hint="default"/>
      </w:rPr>
    </w:lvl>
  </w:abstractNum>
  <w:num w:numId="1">
    <w:abstractNumId w:val="5"/>
    <w:lvlOverride w:ilvl="0">
      <w:startOverride w:val="1"/>
    </w:lvlOverride>
  </w:num>
  <w:num w:numId="2">
    <w:abstractNumId w:val="3"/>
  </w:num>
  <w:num w:numId="3">
    <w:abstractNumId w:val="0"/>
  </w:num>
  <w:num w:numId="4">
    <w:abstractNumId w:val="2"/>
  </w:num>
  <w:num w:numId="5">
    <w:abstractNumId w:val="15"/>
  </w:num>
  <w:num w:numId="6">
    <w:abstractNumId w:val="10"/>
  </w:num>
  <w:num w:numId="7">
    <w:abstractNumId w:val="1"/>
  </w:num>
  <w:num w:numId="8">
    <w:abstractNumId w:val="6"/>
  </w:num>
  <w:num w:numId="9">
    <w:abstractNumId w:val="7"/>
  </w:num>
  <w:num w:numId="10">
    <w:abstractNumId w:val="14"/>
  </w:num>
  <w:num w:numId="11">
    <w:abstractNumId w:val="17"/>
  </w:num>
  <w:num w:numId="12">
    <w:abstractNumId w:val="13"/>
  </w:num>
  <w:num w:numId="13">
    <w:abstractNumId w:val="16"/>
  </w:num>
  <w:num w:numId="14">
    <w:abstractNumId w:val="4"/>
  </w:num>
  <w:num w:numId="15">
    <w:abstractNumId w:val="9"/>
  </w:num>
  <w:num w:numId="16">
    <w:abstractNumId w:val="8"/>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dit="forms" w:enforcement="0"/>
  <w:defaultTabStop w:val="420"/>
  <w:hyphenationZone w:val="360"/>
  <w:drawingGridHorizontalSpacing w:val="14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ZiMGIwZjVlYzVhNmE3MDQ1MGMwOTM3MDM4ZDY0YTcifQ=="/>
  </w:docVars>
  <w:rsids>
    <w:rsidRoot w:val="00B67C8A"/>
    <w:rsid w:val="00000211"/>
    <w:rsid w:val="00000308"/>
    <w:rsid w:val="00000734"/>
    <w:rsid w:val="00001B23"/>
    <w:rsid w:val="00002421"/>
    <w:rsid w:val="000030B5"/>
    <w:rsid w:val="000041A4"/>
    <w:rsid w:val="0000505E"/>
    <w:rsid w:val="00007137"/>
    <w:rsid w:val="00012275"/>
    <w:rsid w:val="0001665F"/>
    <w:rsid w:val="00016D9E"/>
    <w:rsid w:val="0002108E"/>
    <w:rsid w:val="000213F1"/>
    <w:rsid w:val="000214C9"/>
    <w:rsid w:val="000218EA"/>
    <w:rsid w:val="00021CA4"/>
    <w:rsid w:val="00022EB7"/>
    <w:rsid w:val="000252B2"/>
    <w:rsid w:val="00025A45"/>
    <w:rsid w:val="00025D0A"/>
    <w:rsid w:val="000265D6"/>
    <w:rsid w:val="000269A7"/>
    <w:rsid w:val="00027947"/>
    <w:rsid w:val="000308CC"/>
    <w:rsid w:val="00032101"/>
    <w:rsid w:val="00032342"/>
    <w:rsid w:val="000329FA"/>
    <w:rsid w:val="0003428F"/>
    <w:rsid w:val="00034C29"/>
    <w:rsid w:val="000352FB"/>
    <w:rsid w:val="00037FB1"/>
    <w:rsid w:val="0004210A"/>
    <w:rsid w:val="0004337B"/>
    <w:rsid w:val="00043513"/>
    <w:rsid w:val="0004689B"/>
    <w:rsid w:val="000477A9"/>
    <w:rsid w:val="000513AB"/>
    <w:rsid w:val="00051609"/>
    <w:rsid w:val="00054890"/>
    <w:rsid w:val="00054EDF"/>
    <w:rsid w:val="00055D35"/>
    <w:rsid w:val="00056723"/>
    <w:rsid w:val="0005776E"/>
    <w:rsid w:val="00060CC7"/>
    <w:rsid w:val="00061191"/>
    <w:rsid w:val="00061DB0"/>
    <w:rsid w:val="00062B41"/>
    <w:rsid w:val="00063D9D"/>
    <w:rsid w:val="00064835"/>
    <w:rsid w:val="00064EF9"/>
    <w:rsid w:val="000653C8"/>
    <w:rsid w:val="00065AF9"/>
    <w:rsid w:val="00066FC3"/>
    <w:rsid w:val="00070DB0"/>
    <w:rsid w:val="000717DD"/>
    <w:rsid w:val="00071A32"/>
    <w:rsid w:val="00072946"/>
    <w:rsid w:val="00073F91"/>
    <w:rsid w:val="000740B9"/>
    <w:rsid w:val="00075A6A"/>
    <w:rsid w:val="00075C82"/>
    <w:rsid w:val="00076A97"/>
    <w:rsid w:val="00076DF9"/>
    <w:rsid w:val="0008095C"/>
    <w:rsid w:val="00081259"/>
    <w:rsid w:val="00083A89"/>
    <w:rsid w:val="00083CAC"/>
    <w:rsid w:val="0008431D"/>
    <w:rsid w:val="0008447C"/>
    <w:rsid w:val="00084536"/>
    <w:rsid w:val="0008751B"/>
    <w:rsid w:val="000934AB"/>
    <w:rsid w:val="00093550"/>
    <w:rsid w:val="000954DA"/>
    <w:rsid w:val="00095B74"/>
    <w:rsid w:val="0009617F"/>
    <w:rsid w:val="00097EDD"/>
    <w:rsid w:val="000A027F"/>
    <w:rsid w:val="000A1420"/>
    <w:rsid w:val="000A22D1"/>
    <w:rsid w:val="000A3A94"/>
    <w:rsid w:val="000A474F"/>
    <w:rsid w:val="000A516E"/>
    <w:rsid w:val="000A53A8"/>
    <w:rsid w:val="000A5B46"/>
    <w:rsid w:val="000A67EC"/>
    <w:rsid w:val="000A685E"/>
    <w:rsid w:val="000A6A3F"/>
    <w:rsid w:val="000A7446"/>
    <w:rsid w:val="000B2E3C"/>
    <w:rsid w:val="000B2E61"/>
    <w:rsid w:val="000B3805"/>
    <w:rsid w:val="000B3B54"/>
    <w:rsid w:val="000B4E96"/>
    <w:rsid w:val="000B5D33"/>
    <w:rsid w:val="000B600E"/>
    <w:rsid w:val="000B703D"/>
    <w:rsid w:val="000B7D2C"/>
    <w:rsid w:val="000C0B1E"/>
    <w:rsid w:val="000C0D45"/>
    <w:rsid w:val="000C1D66"/>
    <w:rsid w:val="000C220F"/>
    <w:rsid w:val="000C3609"/>
    <w:rsid w:val="000C5615"/>
    <w:rsid w:val="000C5CD5"/>
    <w:rsid w:val="000C640B"/>
    <w:rsid w:val="000C69F7"/>
    <w:rsid w:val="000C7229"/>
    <w:rsid w:val="000D00F9"/>
    <w:rsid w:val="000D021C"/>
    <w:rsid w:val="000D05A1"/>
    <w:rsid w:val="000D0A9A"/>
    <w:rsid w:val="000D0D9A"/>
    <w:rsid w:val="000D121F"/>
    <w:rsid w:val="000D358E"/>
    <w:rsid w:val="000D35C7"/>
    <w:rsid w:val="000D411D"/>
    <w:rsid w:val="000D4748"/>
    <w:rsid w:val="000D54E5"/>
    <w:rsid w:val="000D7BBD"/>
    <w:rsid w:val="000E048D"/>
    <w:rsid w:val="000E229A"/>
    <w:rsid w:val="000E5476"/>
    <w:rsid w:val="000E55D9"/>
    <w:rsid w:val="000E589D"/>
    <w:rsid w:val="000E633F"/>
    <w:rsid w:val="000E655E"/>
    <w:rsid w:val="000E6B14"/>
    <w:rsid w:val="000F0A9D"/>
    <w:rsid w:val="000F2420"/>
    <w:rsid w:val="000F33F0"/>
    <w:rsid w:val="000F3EA9"/>
    <w:rsid w:val="000F3EE0"/>
    <w:rsid w:val="000F4B8E"/>
    <w:rsid w:val="000F5E71"/>
    <w:rsid w:val="00103847"/>
    <w:rsid w:val="00103C31"/>
    <w:rsid w:val="00105EEF"/>
    <w:rsid w:val="00106295"/>
    <w:rsid w:val="00106DF8"/>
    <w:rsid w:val="00107063"/>
    <w:rsid w:val="00110248"/>
    <w:rsid w:val="00112CEE"/>
    <w:rsid w:val="00114B87"/>
    <w:rsid w:val="00115835"/>
    <w:rsid w:val="00115E59"/>
    <w:rsid w:val="0011774F"/>
    <w:rsid w:val="00120301"/>
    <w:rsid w:val="00121422"/>
    <w:rsid w:val="0012294F"/>
    <w:rsid w:val="00123219"/>
    <w:rsid w:val="00123F67"/>
    <w:rsid w:val="001241F9"/>
    <w:rsid w:val="0012499E"/>
    <w:rsid w:val="00124C00"/>
    <w:rsid w:val="00124FE0"/>
    <w:rsid w:val="00127D99"/>
    <w:rsid w:val="001310E7"/>
    <w:rsid w:val="001311B3"/>
    <w:rsid w:val="0013179A"/>
    <w:rsid w:val="0013504C"/>
    <w:rsid w:val="00136646"/>
    <w:rsid w:val="00137AD3"/>
    <w:rsid w:val="001408A5"/>
    <w:rsid w:val="00141DDE"/>
    <w:rsid w:val="00142580"/>
    <w:rsid w:val="00143D04"/>
    <w:rsid w:val="00143FD7"/>
    <w:rsid w:val="001449F6"/>
    <w:rsid w:val="00145656"/>
    <w:rsid w:val="00145663"/>
    <w:rsid w:val="00146879"/>
    <w:rsid w:val="001503CC"/>
    <w:rsid w:val="00151578"/>
    <w:rsid w:val="00151B96"/>
    <w:rsid w:val="0015217D"/>
    <w:rsid w:val="00153D91"/>
    <w:rsid w:val="001554CE"/>
    <w:rsid w:val="00155E5D"/>
    <w:rsid w:val="00156C03"/>
    <w:rsid w:val="00157D30"/>
    <w:rsid w:val="001608D9"/>
    <w:rsid w:val="00160FC2"/>
    <w:rsid w:val="001628F4"/>
    <w:rsid w:val="0016292D"/>
    <w:rsid w:val="00162AC8"/>
    <w:rsid w:val="00163929"/>
    <w:rsid w:val="0016696D"/>
    <w:rsid w:val="00167762"/>
    <w:rsid w:val="00167A89"/>
    <w:rsid w:val="001709BF"/>
    <w:rsid w:val="00170E1C"/>
    <w:rsid w:val="0017175B"/>
    <w:rsid w:val="00173565"/>
    <w:rsid w:val="00176A1C"/>
    <w:rsid w:val="0017768E"/>
    <w:rsid w:val="001811DB"/>
    <w:rsid w:val="00182722"/>
    <w:rsid w:val="0018353D"/>
    <w:rsid w:val="001836AD"/>
    <w:rsid w:val="001843D8"/>
    <w:rsid w:val="00184428"/>
    <w:rsid w:val="00184DFB"/>
    <w:rsid w:val="001859B8"/>
    <w:rsid w:val="001859F7"/>
    <w:rsid w:val="001862D7"/>
    <w:rsid w:val="001865E7"/>
    <w:rsid w:val="00187AB9"/>
    <w:rsid w:val="001925AA"/>
    <w:rsid w:val="00192818"/>
    <w:rsid w:val="001956C3"/>
    <w:rsid w:val="00195E2C"/>
    <w:rsid w:val="00197647"/>
    <w:rsid w:val="00197E2E"/>
    <w:rsid w:val="001A112A"/>
    <w:rsid w:val="001A612D"/>
    <w:rsid w:val="001A7072"/>
    <w:rsid w:val="001A72EF"/>
    <w:rsid w:val="001A7BFD"/>
    <w:rsid w:val="001A7D34"/>
    <w:rsid w:val="001A7DEE"/>
    <w:rsid w:val="001B0628"/>
    <w:rsid w:val="001B0C5C"/>
    <w:rsid w:val="001B1E42"/>
    <w:rsid w:val="001B6460"/>
    <w:rsid w:val="001C1118"/>
    <w:rsid w:val="001C3F2D"/>
    <w:rsid w:val="001C778A"/>
    <w:rsid w:val="001C7D16"/>
    <w:rsid w:val="001D12B1"/>
    <w:rsid w:val="001D1580"/>
    <w:rsid w:val="001D15D2"/>
    <w:rsid w:val="001D1D3F"/>
    <w:rsid w:val="001D3914"/>
    <w:rsid w:val="001D446A"/>
    <w:rsid w:val="001D5048"/>
    <w:rsid w:val="001D710C"/>
    <w:rsid w:val="001D78E0"/>
    <w:rsid w:val="001E090E"/>
    <w:rsid w:val="001E1C74"/>
    <w:rsid w:val="001E244C"/>
    <w:rsid w:val="001E2819"/>
    <w:rsid w:val="001E3576"/>
    <w:rsid w:val="001E66D7"/>
    <w:rsid w:val="001E6721"/>
    <w:rsid w:val="001E690D"/>
    <w:rsid w:val="001E7D93"/>
    <w:rsid w:val="001F0107"/>
    <w:rsid w:val="001F10BF"/>
    <w:rsid w:val="001F3E00"/>
    <w:rsid w:val="001F4F53"/>
    <w:rsid w:val="001F551A"/>
    <w:rsid w:val="001F5755"/>
    <w:rsid w:val="001F5F44"/>
    <w:rsid w:val="001F66A2"/>
    <w:rsid w:val="001F7C20"/>
    <w:rsid w:val="0020039A"/>
    <w:rsid w:val="00200623"/>
    <w:rsid w:val="00201500"/>
    <w:rsid w:val="0020235F"/>
    <w:rsid w:val="00203183"/>
    <w:rsid w:val="002036FA"/>
    <w:rsid w:val="00203D00"/>
    <w:rsid w:val="00203E92"/>
    <w:rsid w:val="00211E7F"/>
    <w:rsid w:val="0021299F"/>
    <w:rsid w:val="002144B9"/>
    <w:rsid w:val="0021453D"/>
    <w:rsid w:val="00216C81"/>
    <w:rsid w:val="00217077"/>
    <w:rsid w:val="00221C85"/>
    <w:rsid w:val="002225BC"/>
    <w:rsid w:val="002241A6"/>
    <w:rsid w:val="0022766A"/>
    <w:rsid w:val="00232798"/>
    <w:rsid w:val="0023359F"/>
    <w:rsid w:val="0023395D"/>
    <w:rsid w:val="00234089"/>
    <w:rsid w:val="002345ED"/>
    <w:rsid w:val="00235909"/>
    <w:rsid w:val="00235F73"/>
    <w:rsid w:val="0023618C"/>
    <w:rsid w:val="0024020A"/>
    <w:rsid w:val="00240336"/>
    <w:rsid w:val="00241950"/>
    <w:rsid w:val="00241B13"/>
    <w:rsid w:val="0024214D"/>
    <w:rsid w:val="00242B39"/>
    <w:rsid w:val="00242D61"/>
    <w:rsid w:val="0024350A"/>
    <w:rsid w:val="00246E37"/>
    <w:rsid w:val="002471A3"/>
    <w:rsid w:val="002503F5"/>
    <w:rsid w:val="00250BC6"/>
    <w:rsid w:val="00251311"/>
    <w:rsid w:val="002517D7"/>
    <w:rsid w:val="00251FCD"/>
    <w:rsid w:val="0025243D"/>
    <w:rsid w:val="00254F0F"/>
    <w:rsid w:val="00255439"/>
    <w:rsid w:val="002561DA"/>
    <w:rsid w:val="0025684B"/>
    <w:rsid w:val="002572F2"/>
    <w:rsid w:val="0026171F"/>
    <w:rsid w:val="002621CC"/>
    <w:rsid w:val="002627CF"/>
    <w:rsid w:val="00263331"/>
    <w:rsid w:val="0026336A"/>
    <w:rsid w:val="00263425"/>
    <w:rsid w:val="002640C7"/>
    <w:rsid w:val="002643EF"/>
    <w:rsid w:val="002658FE"/>
    <w:rsid w:val="00266AFD"/>
    <w:rsid w:val="00266F4A"/>
    <w:rsid w:val="002672EA"/>
    <w:rsid w:val="0027161B"/>
    <w:rsid w:val="002737D4"/>
    <w:rsid w:val="002744DA"/>
    <w:rsid w:val="00274B9A"/>
    <w:rsid w:val="00277184"/>
    <w:rsid w:val="00277F89"/>
    <w:rsid w:val="00277FD1"/>
    <w:rsid w:val="0028006A"/>
    <w:rsid w:val="002802E2"/>
    <w:rsid w:val="00280EAC"/>
    <w:rsid w:val="002812E3"/>
    <w:rsid w:val="00281B74"/>
    <w:rsid w:val="00281F4E"/>
    <w:rsid w:val="0028339C"/>
    <w:rsid w:val="00284600"/>
    <w:rsid w:val="00285703"/>
    <w:rsid w:val="00287033"/>
    <w:rsid w:val="0029014B"/>
    <w:rsid w:val="00290F31"/>
    <w:rsid w:val="0029165E"/>
    <w:rsid w:val="00291664"/>
    <w:rsid w:val="002916B7"/>
    <w:rsid w:val="00292585"/>
    <w:rsid w:val="00292FEA"/>
    <w:rsid w:val="002932CB"/>
    <w:rsid w:val="00293F81"/>
    <w:rsid w:val="00295F3B"/>
    <w:rsid w:val="002962CA"/>
    <w:rsid w:val="0029778E"/>
    <w:rsid w:val="0029785A"/>
    <w:rsid w:val="00297AFB"/>
    <w:rsid w:val="002A0F50"/>
    <w:rsid w:val="002A1759"/>
    <w:rsid w:val="002A1B01"/>
    <w:rsid w:val="002A2DCA"/>
    <w:rsid w:val="002A35EE"/>
    <w:rsid w:val="002A37CB"/>
    <w:rsid w:val="002A4785"/>
    <w:rsid w:val="002A48AB"/>
    <w:rsid w:val="002A4998"/>
    <w:rsid w:val="002A56E6"/>
    <w:rsid w:val="002A57FE"/>
    <w:rsid w:val="002A6433"/>
    <w:rsid w:val="002A644B"/>
    <w:rsid w:val="002A746E"/>
    <w:rsid w:val="002A7DC3"/>
    <w:rsid w:val="002B0BD3"/>
    <w:rsid w:val="002B2C2D"/>
    <w:rsid w:val="002B2FC3"/>
    <w:rsid w:val="002B3CEE"/>
    <w:rsid w:val="002B3DB5"/>
    <w:rsid w:val="002B4146"/>
    <w:rsid w:val="002B50CA"/>
    <w:rsid w:val="002B61C1"/>
    <w:rsid w:val="002B6BCB"/>
    <w:rsid w:val="002B6C58"/>
    <w:rsid w:val="002C069C"/>
    <w:rsid w:val="002C1612"/>
    <w:rsid w:val="002C198A"/>
    <w:rsid w:val="002C20A0"/>
    <w:rsid w:val="002C260E"/>
    <w:rsid w:val="002C2819"/>
    <w:rsid w:val="002C3293"/>
    <w:rsid w:val="002C334C"/>
    <w:rsid w:val="002C440B"/>
    <w:rsid w:val="002C4B48"/>
    <w:rsid w:val="002C4D7F"/>
    <w:rsid w:val="002C57E3"/>
    <w:rsid w:val="002C59CA"/>
    <w:rsid w:val="002C5A50"/>
    <w:rsid w:val="002C5F27"/>
    <w:rsid w:val="002C6FA6"/>
    <w:rsid w:val="002C722A"/>
    <w:rsid w:val="002D0DF0"/>
    <w:rsid w:val="002D322A"/>
    <w:rsid w:val="002D5958"/>
    <w:rsid w:val="002D5ADD"/>
    <w:rsid w:val="002D5B3D"/>
    <w:rsid w:val="002D78B4"/>
    <w:rsid w:val="002D7EE3"/>
    <w:rsid w:val="002E0549"/>
    <w:rsid w:val="002E1F93"/>
    <w:rsid w:val="002E3EBE"/>
    <w:rsid w:val="002E5877"/>
    <w:rsid w:val="002E7583"/>
    <w:rsid w:val="002E769D"/>
    <w:rsid w:val="002F03C2"/>
    <w:rsid w:val="002F0677"/>
    <w:rsid w:val="002F0B0C"/>
    <w:rsid w:val="002F1157"/>
    <w:rsid w:val="002F2EB9"/>
    <w:rsid w:val="002F31AC"/>
    <w:rsid w:val="002F333D"/>
    <w:rsid w:val="002F5B71"/>
    <w:rsid w:val="002F62F4"/>
    <w:rsid w:val="002F76B2"/>
    <w:rsid w:val="002F7B79"/>
    <w:rsid w:val="00300D5B"/>
    <w:rsid w:val="00301FCE"/>
    <w:rsid w:val="0030282C"/>
    <w:rsid w:val="00303663"/>
    <w:rsid w:val="00303B8E"/>
    <w:rsid w:val="0030453C"/>
    <w:rsid w:val="00305442"/>
    <w:rsid w:val="00305EEA"/>
    <w:rsid w:val="0030669A"/>
    <w:rsid w:val="003074B0"/>
    <w:rsid w:val="003076A1"/>
    <w:rsid w:val="00312150"/>
    <w:rsid w:val="003124AA"/>
    <w:rsid w:val="00312B25"/>
    <w:rsid w:val="00315798"/>
    <w:rsid w:val="003177D3"/>
    <w:rsid w:val="003210A2"/>
    <w:rsid w:val="0032132B"/>
    <w:rsid w:val="003213D1"/>
    <w:rsid w:val="003218E8"/>
    <w:rsid w:val="00322493"/>
    <w:rsid w:val="003234D2"/>
    <w:rsid w:val="003242E3"/>
    <w:rsid w:val="00326DEC"/>
    <w:rsid w:val="00327611"/>
    <w:rsid w:val="00330C36"/>
    <w:rsid w:val="00332E68"/>
    <w:rsid w:val="00332F8E"/>
    <w:rsid w:val="00333A64"/>
    <w:rsid w:val="0033478D"/>
    <w:rsid w:val="0033508F"/>
    <w:rsid w:val="0033558F"/>
    <w:rsid w:val="00335E66"/>
    <w:rsid w:val="0033685B"/>
    <w:rsid w:val="0033716F"/>
    <w:rsid w:val="00340CDC"/>
    <w:rsid w:val="003434B2"/>
    <w:rsid w:val="00343DBD"/>
    <w:rsid w:val="00345FB1"/>
    <w:rsid w:val="00346848"/>
    <w:rsid w:val="00346B5A"/>
    <w:rsid w:val="00346C22"/>
    <w:rsid w:val="00347B3F"/>
    <w:rsid w:val="0035022E"/>
    <w:rsid w:val="003509F6"/>
    <w:rsid w:val="00350C28"/>
    <w:rsid w:val="003518BE"/>
    <w:rsid w:val="00353E37"/>
    <w:rsid w:val="00355761"/>
    <w:rsid w:val="0035615F"/>
    <w:rsid w:val="0035625C"/>
    <w:rsid w:val="00356774"/>
    <w:rsid w:val="003576EC"/>
    <w:rsid w:val="0036047D"/>
    <w:rsid w:val="0036180F"/>
    <w:rsid w:val="0036233A"/>
    <w:rsid w:val="003637F9"/>
    <w:rsid w:val="003672BF"/>
    <w:rsid w:val="003679A7"/>
    <w:rsid w:val="003701C8"/>
    <w:rsid w:val="003706FC"/>
    <w:rsid w:val="00372FA3"/>
    <w:rsid w:val="0037344D"/>
    <w:rsid w:val="00373679"/>
    <w:rsid w:val="00373781"/>
    <w:rsid w:val="00375B04"/>
    <w:rsid w:val="003763C9"/>
    <w:rsid w:val="003776D4"/>
    <w:rsid w:val="00377B32"/>
    <w:rsid w:val="00377E0B"/>
    <w:rsid w:val="003820B1"/>
    <w:rsid w:val="0038276A"/>
    <w:rsid w:val="00382B72"/>
    <w:rsid w:val="00382C6C"/>
    <w:rsid w:val="0038386B"/>
    <w:rsid w:val="0038431C"/>
    <w:rsid w:val="00384D30"/>
    <w:rsid w:val="00384F20"/>
    <w:rsid w:val="00385573"/>
    <w:rsid w:val="003857AA"/>
    <w:rsid w:val="00385936"/>
    <w:rsid w:val="00385B46"/>
    <w:rsid w:val="00386C57"/>
    <w:rsid w:val="003877D4"/>
    <w:rsid w:val="0038792A"/>
    <w:rsid w:val="00390035"/>
    <w:rsid w:val="00390EC5"/>
    <w:rsid w:val="00391D10"/>
    <w:rsid w:val="00392AE1"/>
    <w:rsid w:val="00393060"/>
    <w:rsid w:val="00394618"/>
    <w:rsid w:val="00394A64"/>
    <w:rsid w:val="00394B14"/>
    <w:rsid w:val="003955C5"/>
    <w:rsid w:val="00396294"/>
    <w:rsid w:val="0039651B"/>
    <w:rsid w:val="00396D1B"/>
    <w:rsid w:val="00396DBA"/>
    <w:rsid w:val="003971BA"/>
    <w:rsid w:val="003A116A"/>
    <w:rsid w:val="003A1AFF"/>
    <w:rsid w:val="003A38BF"/>
    <w:rsid w:val="003A42C0"/>
    <w:rsid w:val="003A4405"/>
    <w:rsid w:val="003A683D"/>
    <w:rsid w:val="003B06B5"/>
    <w:rsid w:val="003B0EDD"/>
    <w:rsid w:val="003B202C"/>
    <w:rsid w:val="003B5680"/>
    <w:rsid w:val="003B5C59"/>
    <w:rsid w:val="003C0519"/>
    <w:rsid w:val="003C0D54"/>
    <w:rsid w:val="003C0F61"/>
    <w:rsid w:val="003C143B"/>
    <w:rsid w:val="003C32B4"/>
    <w:rsid w:val="003C4822"/>
    <w:rsid w:val="003C4932"/>
    <w:rsid w:val="003C4C00"/>
    <w:rsid w:val="003C62A9"/>
    <w:rsid w:val="003C68F4"/>
    <w:rsid w:val="003C7AB3"/>
    <w:rsid w:val="003C7D1B"/>
    <w:rsid w:val="003C7E23"/>
    <w:rsid w:val="003D0F38"/>
    <w:rsid w:val="003D16FC"/>
    <w:rsid w:val="003D1ABE"/>
    <w:rsid w:val="003D1BC8"/>
    <w:rsid w:val="003D1CCE"/>
    <w:rsid w:val="003D23AD"/>
    <w:rsid w:val="003D39F2"/>
    <w:rsid w:val="003D3C6B"/>
    <w:rsid w:val="003D4545"/>
    <w:rsid w:val="003D4664"/>
    <w:rsid w:val="003D523B"/>
    <w:rsid w:val="003D60BB"/>
    <w:rsid w:val="003D7FB4"/>
    <w:rsid w:val="003E000F"/>
    <w:rsid w:val="003E0D5F"/>
    <w:rsid w:val="003E17FC"/>
    <w:rsid w:val="003E2257"/>
    <w:rsid w:val="003E38FF"/>
    <w:rsid w:val="003E477A"/>
    <w:rsid w:val="003E6F8B"/>
    <w:rsid w:val="003E7543"/>
    <w:rsid w:val="003F1BA8"/>
    <w:rsid w:val="003F28B5"/>
    <w:rsid w:val="003F2A52"/>
    <w:rsid w:val="003F2D59"/>
    <w:rsid w:val="003F3981"/>
    <w:rsid w:val="003F3DD3"/>
    <w:rsid w:val="003F571F"/>
    <w:rsid w:val="003F59A9"/>
    <w:rsid w:val="003F69CF"/>
    <w:rsid w:val="003F758C"/>
    <w:rsid w:val="00400222"/>
    <w:rsid w:val="00400CA4"/>
    <w:rsid w:val="00400DD1"/>
    <w:rsid w:val="00402CF5"/>
    <w:rsid w:val="00404138"/>
    <w:rsid w:val="00404980"/>
    <w:rsid w:val="00406C35"/>
    <w:rsid w:val="00406ECC"/>
    <w:rsid w:val="00412593"/>
    <w:rsid w:val="00413EBD"/>
    <w:rsid w:val="00416928"/>
    <w:rsid w:val="00416B7D"/>
    <w:rsid w:val="00416BBB"/>
    <w:rsid w:val="004170F7"/>
    <w:rsid w:val="004176F4"/>
    <w:rsid w:val="00417733"/>
    <w:rsid w:val="00422756"/>
    <w:rsid w:val="00422DBA"/>
    <w:rsid w:val="00424E75"/>
    <w:rsid w:val="00424F4A"/>
    <w:rsid w:val="00426D60"/>
    <w:rsid w:val="004270A8"/>
    <w:rsid w:val="00430CC7"/>
    <w:rsid w:val="00430CF7"/>
    <w:rsid w:val="00431378"/>
    <w:rsid w:val="00432431"/>
    <w:rsid w:val="00432526"/>
    <w:rsid w:val="0043444A"/>
    <w:rsid w:val="004346DC"/>
    <w:rsid w:val="00435CFC"/>
    <w:rsid w:val="00436EB1"/>
    <w:rsid w:val="00442952"/>
    <w:rsid w:val="00442C1F"/>
    <w:rsid w:val="00443381"/>
    <w:rsid w:val="004435F8"/>
    <w:rsid w:val="00446554"/>
    <w:rsid w:val="0044714F"/>
    <w:rsid w:val="00450174"/>
    <w:rsid w:val="004512ED"/>
    <w:rsid w:val="00452C01"/>
    <w:rsid w:val="00453320"/>
    <w:rsid w:val="00454C44"/>
    <w:rsid w:val="00455226"/>
    <w:rsid w:val="00455228"/>
    <w:rsid w:val="00455E67"/>
    <w:rsid w:val="00456E14"/>
    <w:rsid w:val="00457611"/>
    <w:rsid w:val="00457B64"/>
    <w:rsid w:val="00460226"/>
    <w:rsid w:val="00462072"/>
    <w:rsid w:val="00462F02"/>
    <w:rsid w:val="00462F2F"/>
    <w:rsid w:val="00463066"/>
    <w:rsid w:val="00463FC9"/>
    <w:rsid w:val="004646BE"/>
    <w:rsid w:val="00465196"/>
    <w:rsid w:val="0046524E"/>
    <w:rsid w:val="00465C58"/>
    <w:rsid w:val="00467423"/>
    <w:rsid w:val="00467E35"/>
    <w:rsid w:val="00473AB1"/>
    <w:rsid w:val="00474026"/>
    <w:rsid w:val="00474118"/>
    <w:rsid w:val="00474306"/>
    <w:rsid w:val="00475387"/>
    <w:rsid w:val="0047549D"/>
    <w:rsid w:val="00476790"/>
    <w:rsid w:val="00477D4E"/>
    <w:rsid w:val="004802B8"/>
    <w:rsid w:val="00480E28"/>
    <w:rsid w:val="004825C8"/>
    <w:rsid w:val="00482C57"/>
    <w:rsid w:val="004845CE"/>
    <w:rsid w:val="004859C5"/>
    <w:rsid w:val="00486C5C"/>
    <w:rsid w:val="00487E59"/>
    <w:rsid w:val="00490D8F"/>
    <w:rsid w:val="00491B08"/>
    <w:rsid w:val="004926A0"/>
    <w:rsid w:val="00492747"/>
    <w:rsid w:val="0049433F"/>
    <w:rsid w:val="00495456"/>
    <w:rsid w:val="004A0353"/>
    <w:rsid w:val="004A0AB8"/>
    <w:rsid w:val="004A100E"/>
    <w:rsid w:val="004A333A"/>
    <w:rsid w:val="004A6DAA"/>
    <w:rsid w:val="004A7723"/>
    <w:rsid w:val="004A786A"/>
    <w:rsid w:val="004A7B26"/>
    <w:rsid w:val="004B15CF"/>
    <w:rsid w:val="004B38FB"/>
    <w:rsid w:val="004B3DF5"/>
    <w:rsid w:val="004B6278"/>
    <w:rsid w:val="004C1F63"/>
    <w:rsid w:val="004C2DF0"/>
    <w:rsid w:val="004C4F21"/>
    <w:rsid w:val="004C6480"/>
    <w:rsid w:val="004C7C34"/>
    <w:rsid w:val="004D0753"/>
    <w:rsid w:val="004D1138"/>
    <w:rsid w:val="004D2034"/>
    <w:rsid w:val="004D2B92"/>
    <w:rsid w:val="004D2F6C"/>
    <w:rsid w:val="004D4E3B"/>
    <w:rsid w:val="004D76C3"/>
    <w:rsid w:val="004D77C4"/>
    <w:rsid w:val="004D79E0"/>
    <w:rsid w:val="004E0D1E"/>
    <w:rsid w:val="004E0FC2"/>
    <w:rsid w:val="004E1D6A"/>
    <w:rsid w:val="004E37BC"/>
    <w:rsid w:val="004E6351"/>
    <w:rsid w:val="004E653B"/>
    <w:rsid w:val="004E6E27"/>
    <w:rsid w:val="004E77A4"/>
    <w:rsid w:val="004E7CEF"/>
    <w:rsid w:val="004F0122"/>
    <w:rsid w:val="004F0CE1"/>
    <w:rsid w:val="004F1021"/>
    <w:rsid w:val="004F2D83"/>
    <w:rsid w:val="004F4E61"/>
    <w:rsid w:val="004F6452"/>
    <w:rsid w:val="0050202F"/>
    <w:rsid w:val="005023BC"/>
    <w:rsid w:val="00502EBF"/>
    <w:rsid w:val="00504312"/>
    <w:rsid w:val="00505767"/>
    <w:rsid w:val="00506AC8"/>
    <w:rsid w:val="0051031C"/>
    <w:rsid w:val="00512573"/>
    <w:rsid w:val="00513120"/>
    <w:rsid w:val="00513254"/>
    <w:rsid w:val="005136CA"/>
    <w:rsid w:val="005158F0"/>
    <w:rsid w:val="00520C7A"/>
    <w:rsid w:val="00522DAE"/>
    <w:rsid w:val="0052320E"/>
    <w:rsid w:val="005235F6"/>
    <w:rsid w:val="005255ED"/>
    <w:rsid w:val="005274CD"/>
    <w:rsid w:val="00527860"/>
    <w:rsid w:val="00527978"/>
    <w:rsid w:val="00530538"/>
    <w:rsid w:val="00531FC5"/>
    <w:rsid w:val="00532A5A"/>
    <w:rsid w:val="00532EBC"/>
    <w:rsid w:val="005361E5"/>
    <w:rsid w:val="00536BAD"/>
    <w:rsid w:val="005370CE"/>
    <w:rsid w:val="005375A0"/>
    <w:rsid w:val="00540AA3"/>
    <w:rsid w:val="00542869"/>
    <w:rsid w:val="00543502"/>
    <w:rsid w:val="00543AC2"/>
    <w:rsid w:val="00544EDE"/>
    <w:rsid w:val="00545E39"/>
    <w:rsid w:val="005465CA"/>
    <w:rsid w:val="00546EA3"/>
    <w:rsid w:val="00550AB0"/>
    <w:rsid w:val="00550BE1"/>
    <w:rsid w:val="00550E72"/>
    <w:rsid w:val="00551140"/>
    <w:rsid w:val="00551610"/>
    <w:rsid w:val="00551EAB"/>
    <w:rsid w:val="00552776"/>
    <w:rsid w:val="00553E97"/>
    <w:rsid w:val="005542C7"/>
    <w:rsid w:val="00554496"/>
    <w:rsid w:val="00554F76"/>
    <w:rsid w:val="005552B1"/>
    <w:rsid w:val="00556B48"/>
    <w:rsid w:val="00560353"/>
    <w:rsid w:val="005614F4"/>
    <w:rsid w:val="00561759"/>
    <w:rsid w:val="00562256"/>
    <w:rsid w:val="00562E9C"/>
    <w:rsid w:val="00562F19"/>
    <w:rsid w:val="00565314"/>
    <w:rsid w:val="005670CF"/>
    <w:rsid w:val="005705E2"/>
    <w:rsid w:val="0057180E"/>
    <w:rsid w:val="00571C3A"/>
    <w:rsid w:val="00572157"/>
    <w:rsid w:val="005724B6"/>
    <w:rsid w:val="005801C0"/>
    <w:rsid w:val="00581232"/>
    <w:rsid w:val="00582351"/>
    <w:rsid w:val="00583F0E"/>
    <w:rsid w:val="00584766"/>
    <w:rsid w:val="00585315"/>
    <w:rsid w:val="00585CE2"/>
    <w:rsid w:val="00587679"/>
    <w:rsid w:val="0059096B"/>
    <w:rsid w:val="0059162C"/>
    <w:rsid w:val="00591740"/>
    <w:rsid w:val="00591A7D"/>
    <w:rsid w:val="00593313"/>
    <w:rsid w:val="00594282"/>
    <w:rsid w:val="005948FF"/>
    <w:rsid w:val="005950D4"/>
    <w:rsid w:val="005977AB"/>
    <w:rsid w:val="005A17C7"/>
    <w:rsid w:val="005A1AF8"/>
    <w:rsid w:val="005A2496"/>
    <w:rsid w:val="005A2CD6"/>
    <w:rsid w:val="005A416F"/>
    <w:rsid w:val="005A506D"/>
    <w:rsid w:val="005A5C74"/>
    <w:rsid w:val="005A5C99"/>
    <w:rsid w:val="005A6819"/>
    <w:rsid w:val="005A6F60"/>
    <w:rsid w:val="005A7621"/>
    <w:rsid w:val="005B0273"/>
    <w:rsid w:val="005B1212"/>
    <w:rsid w:val="005B1D46"/>
    <w:rsid w:val="005B34A8"/>
    <w:rsid w:val="005B4D0F"/>
    <w:rsid w:val="005B67C7"/>
    <w:rsid w:val="005C0059"/>
    <w:rsid w:val="005C0335"/>
    <w:rsid w:val="005C0C2A"/>
    <w:rsid w:val="005C139B"/>
    <w:rsid w:val="005C1A05"/>
    <w:rsid w:val="005C2117"/>
    <w:rsid w:val="005C399D"/>
    <w:rsid w:val="005C3CB4"/>
    <w:rsid w:val="005C51F3"/>
    <w:rsid w:val="005C61AD"/>
    <w:rsid w:val="005C6527"/>
    <w:rsid w:val="005C6769"/>
    <w:rsid w:val="005C6E30"/>
    <w:rsid w:val="005C7374"/>
    <w:rsid w:val="005C79BE"/>
    <w:rsid w:val="005D196A"/>
    <w:rsid w:val="005D2389"/>
    <w:rsid w:val="005D3436"/>
    <w:rsid w:val="005D3B21"/>
    <w:rsid w:val="005D44E6"/>
    <w:rsid w:val="005D60D8"/>
    <w:rsid w:val="005D649F"/>
    <w:rsid w:val="005D687F"/>
    <w:rsid w:val="005D68B8"/>
    <w:rsid w:val="005D6C88"/>
    <w:rsid w:val="005D6F50"/>
    <w:rsid w:val="005E1306"/>
    <w:rsid w:val="005E1A3D"/>
    <w:rsid w:val="005E2EE2"/>
    <w:rsid w:val="005E3E35"/>
    <w:rsid w:val="005E4C5A"/>
    <w:rsid w:val="005E5511"/>
    <w:rsid w:val="005E5A8C"/>
    <w:rsid w:val="005E623A"/>
    <w:rsid w:val="005E66EA"/>
    <w:rsid w:val="005E7B30"/>
    <w:rsid w:val="005F22E8"/>
    <w:rsid w:val="005F24F8"/>
    <w:rsid w:val="005F3F98"/>
    <w:rsid w:val="005F485B"/>
    <w:rsid w:val="005F4D64"/>
    <w:rsid w:val="005F5E83"/>
    <w:rsid w:val="005F638D"/>
    <w:rsid w:val="0060018B"/>
    <w:rsid w:val="00600849"/>
    <w:rsid w:val="0060117C"/>
    <w:rsid w:val="00603201"/>
    <w:rsid w:val="00603613"/>
    <w:rsid w:val="00604765"/>
    <w:rsid w:val="006077EC"/>
    <w:rsid w:val="006079F5"/>
    <w:rsid w:val="006100AA"/>
    <w:rsid w:val="00610648"/>
    <w:rsid w:val="006124FF"/>
    <w:rsid w:val="00612D36"/>
    <w:rsid w:val="00613BED"/>
    <w:rsid w:val="006143A8"/>
    <w:rsid w:val="00615D47"/>
    <w:rsid w:val="006170EF"/>
    <w:rsid w:val="006172CC"/>
    <w:rsid w:val="00620D30"/>
    <w:rsid w:val="006217A7"/>
    <w:rsid w:val="0062462B"/>
    <w:rsid w:val="00626A34"/>
    <w:rsid w:val="006276F8"/>
    <w:rsid w:val="0062789F"/>
    <w:rsid w:val="00627976"/>
    <w:rsid w:val="00627C5C"/>
    <w:rsid w:val="00627C6A"/>
    <w:rsid w:val="00627EE4"/>
    <w:rsid w:val="00630145"/>
    <w:rsid w:val="00631BDF"/>
    <w:rsid w:val="00631C26"/>
    <w:rsid w:val="0063272D"/>
    <w:rsid w:val="006340C8"/>
    <w:rsid w:val="00634D1D"/>
    <w:rsid w:val="0063637F"/>
    <w:rsid w:val="00636926"/>
    <w:rsid w:val="00643257"/>
    <w:rsid w:val="00644F1F"/>
    <w:rsid w:val="00644F43"/>
    <w:rsid w:val="0064622A"/>
    <w:rsid w:val="00650FC0"/>
    <w:rsid w:val="006532A7"/>
    <w:rsid w:val="00653CD5"/>
    <w:rsid w:val="0065402B"/>
    <w:rsid w:val="00655732"/>
    <w:rsid w:val="00655EDB"/>
    <w:rsid w:val="00656A0A"/>
    <w:rsid w:val="0065722F"/>
    <w:rsid w:val="006601EA"/>
    <w:rsid w:val="0066077E"/>
    <w:rsid w:val="00660D3D"/>
    <w:rsid w:val="00660F7E"/>
    <w:rsid w:val="00661A29"/>
    <w:rsid w:val="006629C8"/>
    <w:rsid w:val="006649E0"/>
    <w:rsid w:val="00666517"/>
    <w:rsid w:val="00666A76"/>
    <w:rsid w:val="00667284"/>
    <w:rsid w:val="006712EF"/>
    <w:rsid w:val="00671525"/>
    <w:rsid w:val="006715CE"/>
    <w:rsid w:val="0067377A"/>
    <w:rsid w:val="00673959"/>
    <w:rsid w:val="00675E6D"/>
    <w:rsid w:val="006769B0"/>
    <w:rsid w:val="00676F20"/>
    <w:rsid w:val="0067777C"/>
    <w:rsid w:val="00677D81"/>
    <w:rsid w:val="00680B59"/>
    <w:rsid w:val="00680F5A"/>
    <w:rsid w:val="00681977"/>
    <w:rsid w:val="006838F7"/>
    <w:rsid w:val="006848AA"/>
    <w:rsid w:val="006848E7"/>
    <w:rsid w:val="00684EF6"/>
    <w:rsid w:val="00687684"/>
    <w:rsid w:val="00687ED5"/>
    <w:rsid w:val="0069107E"/>
    <w:rsid w:val="00691AC7"/>
    <w:rsid w:val="00692F19"/>
    <w:rsid w:val="00693C78"/>
    <w:rsid w:val="00697331"/>
    <w:rsid w:val="006A07B9"/>
    <w:rsid w:val="006A0AD8"/>
    <w:rsid w:val="006A0EFC"/>
    <w:rsid w:val="006A2033"/>
    <w:rsid w:val="006A30AB"/>
    <w:rsid w:val="006A54FF"/>
    <w:rsid w:val="006A5F2B"/>
    <w:rsid w:val="006A64A0"/>
    <w:rsid w:val="006A686A"/>
    <w:rsid w:val="006A7331"/>
    <w:rsid w:val="006A79C7"/>
    <w:rsid w:val="006B4D8D"/>
    <w:rsid w:val="006B5346"/>
    <w:rsid w:val="006C00EB"/>
    <w:rsid w:val="006C127B"/>
    <w:rsid w:val="006C1333"/>
    <w:rsid w:val="006C1F3B"/>
    <w:rsid w:val="006C2CA3"/>
    <w:rsid w:val="006C2D83"/>
    <w:rsid w:val="006C3AF0"/>
    <w:rsid w:val="006C42AD"/>
    <w:rsid w:val="006C687A"/>
    <w:rsid w:val="006C74C6"/>
    <w:rsid w:val="006D0823"/>
    <w:rsid w:val="006D2516"/>
    <w:rsid w:val="006D3A34"/>
    <w:rsid w:val="006D3BBD"/>
    <w:rsid w:val="006D3DB4"/>
    <w:rsid w:val="006D7594"/>
    <w:rsid w:val="006E1D25"/>
    <w:rsid w:val="006E3301"/>
    <w:rsid w:val="006E3EA7"/>
    <w:rsid w:val="006E4E81"/>
    <w:rsid w:val="006E4F73"/>
    <w:rsid w:val="006E5E7B"/>
    <w:rsid w:val="006E7714"/>
    <w:rsid w:val="006F0084"/>
    <w:rsid w:val="006F01CF"/>
    <w:rsid w:val="006F1E37"/>
    <w:rsid w:val="006F2D62"/>
    <w:rsid w:val="006F38E8"/>
    <w:rsid w:val="006F420B"/>
    <w:rsid w:val="006F7C06"/>
    <w:rsid w:val="00700125"/>
    <w:rsid w:val="00705251"/>
    <w:rsid w:val="007056B4"/>
    <w:rsid w:val="00707F64"/>
    <w:rsid w:val="0071049D"/>
    <w:rsid w:val="0071052E"/>
    <w:rsid w:val="0071059B"/>
    <w:rsid w:val="00710624"/>
    <w:rsid w:val="00710E59"/>
    <w:rsid w:val="00711398"/>
    <w:rsid w:val="007115EE"/>
    <w:rsid w:val="00712DF9"/>
    <w:rsid w:val="00714353"/>
    <w:rsid w:val="007157EB"/>
    <w:rsid w:val="007157EF"/>
    <w:rsid w:val="00716D7B"/>
    <w:rsid w:val="00717CA4"/>
    <w:rsid w:val="0072163A"/>
    <w:rsid w:val="00721A43"/>
    <w:rsid w:val="00721BA9"/>
    <w:rsid w:val="00721F5C"/>
    <w:rsid w:val="00722278"/>
    <w:rsid w:val="00722559"/>
    <w:rsid w:val="00723795"/>
    <w:rsid w:val="0072387C"/>
    <w:rsid w:val="00724C84"/>
    <w:rsid w:val="00725E2B"/>
    <w:rsid w:val="0072610B"/>
    <w:rsid w:val="00726961"/>
    <w:rsid w:val="00727940"/>
    <w:rsid w:val="007322A7"/>
    <w:rsid w:val="0073236D"/>
    <w:rsid w:val="00733F21"/>
    <w:rsid w:val="00734FDA"/>
    <w:rsid w:val="007359DC"/>
    <w:rsid w:val="00736046"/>
    <w:rsid w:val="00740B5C"/>
    <w:rsid w:val="00740E11"/>
    <w:rsid w:val="0074168A"/>
    <w:rsid w:val="00742073"/>
    <w:rsid w:val="0074238D"/>
    <w:rsid w:val="007429CC"/>
    <w:rsid w:val="00743D10"/>
    <w:rsid w:val="0074415C"/>
    <w:rsid w:val="007441D0"/>
    <w:rsid w:val="00744234"/>
    <w:rsid w:val="0074565E"/>
    <w:rsid w:val="007505F4"/>
    <w:rsid w:val="00750DE9"/>
    <w:rsid w:val="0075353E"/>
    <w:rsid w:val="007537F3"/>
    <w:rsid w:val="007547B4"/>
    <w:rsid w:val="007547BA"/>
    <w:rsid w:val="00754E6F"/>
    <w:rsid w:val="00760B4D"/>
    <w:rsid w:val="007612B8"/>
    <w:rsid w:val="00762B98"/>
    <w:rsid w:val="00764A61"/>
    <w:rsid w:val="00764AD2"/>
    <w:rsid w:val="00766FF8"/>
    <w:rsid w:val="00767024"/>
    <w:rsid w:val="007679F7"/>
    <w:rsid w:val="00771004"/>
    <w:rsid w:val="007716E8"/>
    <w:rsid w:val="00771C78"/>
    <w:rsid w:val="00772845"/>
    <w:rsid w:val="00774BB1"/>
    <w:rsid w:val="0077518B"/>
    <w:rsid w:val="00775899"/>
    <w:rsid w:val="00775973"/>
    <w:rsid w:val="007811FD"/>
    <w:rsid w:val="00781531"/>
    <w:rsid w:val="00781A7D"/>
    <w:rsid w:val="007839A8"/>
    <w:rsid w:val="0078456C"/>
    <w:rsid w:val="00785896"/>
    <w:rsid w:val="007858DF"/>
    <w:rsid w:val="00785F56"/>
    <w:rsid w:val="007862BE"/>
    <w:rsid w:val="00790569"/>
    <w:rsid w:val="007909C4"/>
    <w:rsid w:val="00790F54"/>
    <w:rsid w:val="0079139C"/>
    <w:rsid w:val="0079199C"/>
    <w:rsid w:val="00791A9D"/>
    <w:rsid w:val="00792728"/>
    <w:rsid w:val="00793187"/>
    <w:rsid w:val="00793FF1"/>
    <w:rsid w:val="00795CDE"/>
    <w:rsid w:val="00795E25"/>
    <w:rsid w:val="0079717F"/>
    <w:rsid w:val="007A2128"/>
    <w:rsid w:val="007A5005"/>
    <w:rsid w:val="007A5238"/>
    <w:rsid w:val="007B05E3"/>
    <w:rsid w:val="007B0A1F"/>
    <w:rsid w:val="007B127C"/>
    <w:rsid w:val="007B14EA"/>
    <w:rsid w:val="007B2DC3"/>
    <w:rsid w:val="007B3503"/>
    <w:rsid w:val="007B483B"/>
    <w:rsid w:val="007B6AEA"/>
    <w:rsid w:val="007C1C40"/>
    <w:rsid w:val="007C7B1B"/>
    <w:rsid w:val="007D0D9F"/>
    <w:rsid w:val="007D16C9"/>
    <w:rsid w:val="007D20A2"/>
    <w:rsid w:val="007D2E83"/>
    <w:rsid w:val="007D31CF"/>
    <w:rsid w:val="007D3F85"/>
    <w:rsid w:val="007D4053"/>
    <w:rsid w:val="007D5B37"/>
    <w:rsid w:val="007D72B1"/>
    <w:rsid w:val="007E1483"/>
    <w:rsid w:val="007E188F"/>
    <w:rsid w:val="007E35AD"/>
    <w:rsid w:val="007E384B"/>
    <w:rsid w:val="007E418E"/>
    <w:rsid w:val="007E446F"/>
    <w:rsid w:val="007E49E8"/>
    <w:rsid w:val="007E5E8B"/>
    <w:rsid w:val="007E6442"/>
    <w:rsid w:val="007E6B10"/>
    <w:rsid w:val="007E6DFD"/>
    <w:rsid w:val="007E74EA"/>
    <w:rsid w:val="007F0127"/>
    <w:rsid w:val="007F506A"/>
    <w:rsid w:val="007F60DF"/>
    <w:rsid w:val="0080201C"/>
    <w:rsid w:val="008022AA"/>
    <w:rsid w:val="00802538"/>
    <w:rsid w:val="008032F1"/>
    <w:rsid w:val="008036E3"/>
    <w:rsid w:val="008039D5"/>
    <w:rsid w:val="00803BDD"/>
    <w:rsid w:val="00804FD9"/>
    <w:rsid w:val="008053E6"/>
    <w:rsid w:val="0081078A"/>
    <w:rsid w:val="008111DC"/>
    <w:rsid w:val="0081203A"/>
    <w:rsid w:val="00812498"/>
    <w:rsid w:val="008141EB"/>
    <w:rsid w:val="00814E0F"/>
    <w:rsid w:val="00815555"/>
    <w:rsid w:val="0081609A"/>
    <w:rsid w:val="00816BD9"/>
    <w:rsid w:val="00816F20"/>
    <w:rsid w:val="00817215"/>
    <w:rsid w:val="00817901"/>
    <w:rsid w:val="00817FED"/>
    <w:rsid w:val="008207AB"/>
    <w:rsid w:val="00820D77"/>
    <w:rsid w:val="0082243F"/>
    <w:rsid w:val="0082412B"/>
    <w:rsid w:val="00824B14"/>
    <w:rsid w:val="00825226"/>
    <w:rsid w:val="00826529"/>
    <w:rsid w:val="008267AA"/>
    <w:rsid w:val="0082703E"/>
    <w:rsid w:val="00827100"/>
    <w:rsid w:val="008273FC"/>
    <w:rsid w:val="0082797E"/>
    <w:rsid w:val="00830617"/>
    <w:rsid w:val="00831916"/>
    <w:rsid w:val="00831B04"/>
    <w:rsid w:val="00831E47"/>
    <w:rsid w:val="008338EE"/>
    <w:rsid w:val="00833DC8"/>
    <w:rsid w:val="00835DBA"/>
    <w:rsid w:val="00837B5E"/>
    <w:rsid w:val="00840101"/>
    <w:rsid w:val="00840BFC"/>
    <w:rsid w:val="00842BB8"/>
    <w:rsid w:val="00844337"/>
    <w:rsid w:val="008446F2"/>
    <w:rsid w:val="00844C97"/>
    <w:rsid w:val="0084585C"/>
    <w:rsid w:val="008466E4"/>
    <w:rsid w:val="00847013"/>
    <w:rsid w:val="00851443"/>
    <w:rsid w:val="00851943"/>
    <w:rsid w:val="008522DD"/>
    <w:rsid w:val="00852C5E"/>
    <w:rsid w:val="00852E78"/>
    <w:rsid w:val="00855227"/>
    <w:rsid w:val="008608B3"/>
    <w:rsid w:val="00861206"/>
    <w:rsid w:val="00861E69"/>
    <w:rsid w:val="00861E6A"/>
    <w:rsid w:val="00863471"/>
    <w:rsid w:val="00863906"/>
    <w:rsid w:val="00865FCC"/>
    <w:rsid w:val="00866F01"/>
    <w:rsid w:val="00867368"/>
    <w:rsid w:val="008674B8"/>
    <w:rsid w:val="00870CD0"/>
    <w:rsid w:val="00870D48"/>
    <w:rsid w:val="0087249A"/>
    <w:rsid w:val="008731B7"/>
    <w:rsid w:val="00874286"/>
    <w:rsid w:val="008768DC"/>
    <w:rsid w:val="00880000"/>
    <w:rsid w:val="00881841"/>
    <w:rsid w:val="00884B96"/>
    <w:rsid w:val="00884DE6"/>
    <w:rsid w:val="0088520B"/>
    <w:rsid w:val="00886441"/>
    <w:rsid w:val="00887C8C"/>
    <w:rsid w:val="00891364"/>
    <w:rsid w:val="00891A03"/>
    <w:rsid w:val="00891A63"/>
    <w:rsid w:val="00892C29"/>
    <w:rsid w:val="00892EE7"/>
    <w:rsid w:val="008946D7"/>
    <w:rsid w:val="00894809"/>
    <w:rsid w:val="00894A89"/>
    <w:rsid w:val="00894AD1"/>
    <w:rsid w:val="0089517F"/>
    <w:rsid w:val="0089768C"/>
    <w:rsid w:val="008A0478"/>
    <w:rsid w:val="008A0AFD"/>
    <w:rsid w:val="008A0BF7"/>
    <w:rsid w:val="008A15E8"/>
    <w:rsid w:val="008A1E5E"/>
    <w:rsid w:val="008A2814"/>
    <w:rsid w:val="008A2953"/>
    <w:rsid w:val="008A30F7"/>
    <w:rsid w:val="008A3510"/>
    <w:rsid w:val="008A3B89"/>
    <w:rsid w:val="008A43A3"/>
    <w:rsid w:val="008A44B8"/>
    <w:rsid w:val="008A5E8D"/>
    <w:rsid w:val="008A69BE"/>
    <w:rsid w:val="008A6B96"/>
    <w:rsid w:val="008A6F18"/>
    <w:rsid w:val="008A7213"/>
    <w:rsid w:val="008A72CB"/>
    <w:rsid w:val="008A7C2E"/>
    <w:rsid w:val="008B0683"/>
    <w:rsid w:val="008B0B0E"/>
    <w:rsid w:val="008B37EA"/>
    <w:rsid w:val="008B3D3C"/>
    <w:rsid w:val="008B51C7"/>
    <w:rsid w:val="008B6688"/>
    <w:rsid w:val="008C0233"/>
    <w:rsid w:val="008C1628"/>
    <w:rsid w:val="008C256C"/>
    <w:rsid w:val="008C287B"/>
    <w:rsid w:val="008C662E"/>
    <w:rsid w:val="008C7212"/>
    <w:rsid w:val="008D0EB2"/>
    <w:rsid w:val="008D1E35"/>
    <w:rsid w:val="008D2785"/>
    <w:rsid w:val="008D29D8"/>
    <w:rsid w:val="008D33C2"/>
    <w:rsid w:val="008D3411"/>
    <w:rsid w:val="008D3537"/>
    <w:rsid w:val="008D51EB"/>
    <w:rsid w:val="008D71DA"/>
    <w:rsid w:val="008E1384"/>
    <w:rsid w:val="008E154B"/>
    <w:rsid w:val="008E2BAE"/>
    <w:rsid w:val="008E3EC9"/>
    <w:rsid w:val="008E46D3"/>
    <w:rsid w:val="008E4BD8"/>
    <w:rsid w:val="008F0003"/>
    <w:rsid w:val="008F2379"/>
    <w:rsid w:val="008F2B20"/>
    <w:rsid w:val="008F470D"/>
    <w:rsid w:val="00900FE7"/>
    <w:rsid w:val="00902647"/>
    <w:rsid w:val="0090280E"/>
    <w:rsid w:val="00902BC5"/>
    <w:rsid w:val="00903BAC"/>
    <w:rsid w:val="00905607"/>
    <w:rsid w:val="00906C1D"/>
    <w:rsid w:val="00907AE2"/>
    <w:rsid w:val="00910184"/>
    <w:rsid w:val="009109E2"/>
    <w:rsid w:val="009122CA"/>
    <w:rsid w:val="00912863"/>
    <w:rsid w:val="00912E74"/>
    <w:rsid w:val="0091530E"/>
    <w:rsid w:val="00916883"/>
    <w:rsid w:val="009176DB"/>
    <w:rsid w:val="00917CC6"/>
    <w:rsid w:val="00920D3B"/>
    <w:rsid w:val="0092212B"/>
    <w:rsid w:val="0092299E"/>
    <w:rsid w:val="00924632"/>
    <w:rsid w:val="00924D3F"/>
    <w:rsid w:val="0092530A"/>
    <w:rsid w:val="00925632"/>
    <w:rsid w:val="0092580E"/>
    <w:rsid w:val="00926CF9"/>
    <w:rsid w:val="0092772E"/>
    <w:rsid w:val="00930F8F"/>
    <w:rsid w:val="00931E83"/>
    <w:rsid w:val="00932DEF"/>
    <w:rsid w:val="00933CEC"/>
    <w:rsid w:val="009344D3"/>
    <w:rsid w:val="00934E76"/>
    <w:rsid w:val="00934EE9"/>
    <w:rsid w:val="00935BC1"/>
    <w:rsid w:val="00935C5F"/>
    <w:rsid w:val="00936D8F"/>
    <w:rsid w:val="0093743A"/>
    <w:rsid w:val="00941487"/>
    <w:rsid w:val="009414E0"/>
    <w:rsid w:val="009451DC"/>
    <w:rsid w:val="009453E4"/>
    <w:rsid w:val="009454F0"/>
    <w:rsid w:val="00945ECA"/>
    <w:rsid w:val="00946451"/>
    <w:rsid w:val="009467A3"/>
    <w:rsid w:val="00952B1B"/>
    <w:rsid w:val="009539D1"/>
    <w:rsid w:val="00954137"/>
    <w:rsid w:val="00954660"/>
    <w:rsid w:val="009553F1"/>
    <w:rsid w:val="00955C8E"/>
    <w:rsid w:val="0095698F"/>
    <w:rsid w:val="00957005"/>
    <w:rsid w:val="0095783B"/>
    <w:rsid w:val="00961030"/>
    <w:rsid w:val="009615A3"/>
    <w:rsid w:val="00961CB3"/>
    <w:rsid w:val="009622C6"/>
    <w:rsid w:val="009623E4"/>
    <w:rsid w:val="00962DF7"/>
    <w:rsid w:val="009631A3"/>
    <w:rsid w:val="0096338C"/>
    <w:rsid w:val="0096350C"/>
    <w:rsid w:val="00963530"/>
    <w:rsid w:val="009636C6"/>
    <w:rsid w:val="0096445F"/>
    <w:rsid w:val="009671FE"/>
    <w:rsid w:val="0096731C"/>
    <w:rsid w:val="00967860"/>
    <w:rsid w:val="00967A3B"/>
    <w:rsid w:val="009700D7"/>
    <w:rsid w:val="009716EF"/>
    <w:rsid w:val="009719EE"/>
    <w:rsid w:val="0097288C"/>
    <w:rsid w:val="00976C12"/>
    <w:rsid w:val="00977967"/>
    <w:rsid w:val="00977E84"/>
    <w:rsid w:val="009802C9"/>
    <w:rsid w:val="00980B3E"/>
    <w:rsid w:val="00981862"/>
    <w:rsid w:val="009833CE"/>
    <w:rsid w:val="009835F2"/>
    <w:rsid w:val="00983CB4"/>
    <w:rsid w:val="009849AB"/>
    <w:rsid w:val="00984BE6"/>
    <w:rsid w:val="0098625A"/>
    <w:rsid w:val="00986A80"/>
    <w:rsid w:val="00986E36"/>
    <w:rsid w:val="00986EC5"/>
    <w:rsid w:val="009915F1"/>
    <w:rsid w:val="0099174E"/>
    <w:rsid w:val="0099211A"/>
    <w:rsid w:val="00992F66"/>
    <w:rsid w:val="00993047"/>
    <w:rsid w:val="00993C6E"/>
    <w:rsid w:val="009942F9"/>
    <w:rsid w:val="00995986"/>
    <w:rsid w:val="00996938"/>
    <w:rsid w:val="00996D7A"/>
    <w:rsid w:val="009974FA"/>
    <w:rsid w:val="00997ED1"/>
    <w:rsid w:val="009A0B0E"/>
    <w:rsid w:val="009A2C87"/>
    <w:rsid w:val="009A3CB6"/>
    <w:rsid w:val="009A3E80"/>
    <w:rsid w:val="009A4728"/>
    <w:rsid w:val="009B1E13"/>
    <w:rsid w:val="009B2225"/>
    <w:rsid w:val="009B3611"/>
    <w:rsid w:val="009B38D3"/>
    <w:rsid w:val="009B444E"/>
    <w:rsid w:val="009B720B"/>
    <w:rsid w:val="009C16C2"/>
    <w:rsid w:val="009C3EE8"/>
    <w:rsid w:val="009C4A60"/>
    <w:rsid w:val="009C5CAD"/>
    <w:rsid w:val="009C7BF2"/>
    <w:rsid w:val="009D03C0"/>
    <w:rsid w:val="009D0974"/>
    <w:rsid w:val="009D0D7A"/>
    <w:rsid w:val="009D24AF"/>
    <w:rsid w:val="009D2BF5"/>
    <w:rsid w:val="009D2CDE"/>
    <w:rsid w:val="009D357B"/>
    <w:rsid w:val="009D55BD"/>
    <w:rsid w:val="009D6615"/>
    <w:rsid w:val="009E1909"/>
    <w:rsid w:val="009E1D3B"/>
    <w:rsid w:val="009E30D3"/>
    <w:rsid w:val="009E35C3"/>
    <w:rsid w:val="009E3972"/>
    <w:rsid w:val="009E403E"/>
    <w:rsid w:val="009E4786"/>
    <w:rsid w:val="009E5171"/>
    <w:rsid w:val="009E53C3"/>
    <w:rsid w:val="009E563B"/>
    <w:rsid w:val="009E5916"/>
    <w:rsid w:val="009E6046"/>
    <w:rsid w:val="009E6976"/>
    <w:rsid w:val="009F09F1"/>
    <w:rsid w:val="009F0C0C"/>
    <w:rsid w:val="009F22AB"/>
    <w:rsid w:val="009F2F02"/>
    <w:rsid w:val="009F3546"/>
    <w:rsid w:val="009F3E0F"/>
    <w:rsid w:val="009F4FBA"/>
    <w:rsid w:val="009F5700"/>
    <w:rsid w:val="009F5787"/>
    <w:rsid w:val="009F5E62"/>
    <w:rsid w:val="009F6066"/>
    <w:rsid w:val="009F688B"/>
    <w:rsid w:val="009F6B73"/>
    <w:rsid w:val="009F7D9E"/>
    <w:rsid w:val="009F7DD9"/>
    <w:rsid w:val="00A0188D"/>
    <w:rsid w:val="00A01E07"/>
    <w:rsid w:val="00A0261F"/>
    <w:rsid w:val="00A0329B"/>
    <w:rsid w:val="00A035BD"/>
    <w:rsid w:val="00A03E77"/>
    <w:rsid w:val="00A04673"/>
    <w:rsid w:val="00A047B7"/>
    <w:rsid w:val="00A04D3E"/>
    <w:rsid w:val="00A07493"/>
    <w:rsid w:val="00A0754F"/>
    <w:rsid w:val="00A07B48"/>
    <w:rsid w:val="00A103F1"/>
    <w:rsid w:val="00A10D26"/>
    <w:rsid w:val="00A10E32"/>
    <w:rsid w:val="00A112AD"/>
    <w:rsid w:val="00A11B9C"/>
    <w:rsid w:val="00A1225B"/>
    <w:rsid w:val="00A12524"/>
    <w:rsid w:val="00A1581A"/>
    <w:rsid w:val="00A15E29"/>
    <w:rsid w:val="00A162B2"/>
    <w:rsid w:val="00A17520"/>
    <w:rsid w:val="00A17D04"/>
    <w:rsid w:val="00A20701"/>
    <w:rsid w:val="00A20C93"/>
    <w:rsid w:val="00A21191"/>
    <w:rsid w:val="00A21966"/>
    <w:rsid w:val="00A21B39"/>
    <w:rsid w:val="00A2209D"/>
    <w:rsid w:val="00A22713"/>
    <w:rsid w:val="00A22B97"/>
    <w:rsid w:val="00A256CC"/>
    <w:rsid w:val="00A2604E"/>
    <w:rsid w:val="00A27FC4"/>
    <w:rsid w:val="00A30B97"/>
    <w:rsid w:val="00A31E6D"/>
    <w:rsid w:val="00A3219E"/>
    <w:rsid w:val="00A32514"/>
    <w:rsid w:val="00A3256D"/>
    <w:rsid w:val="00A34545"/>
    <w:rsid w:val="00A3468B"/>
    <w:rsid w:val="00A35570"/>
    <w:rsid w:val="00A356A7"/>
    <w:rsid w:val="00A367AF"/>
    <w:rsid w:val="00A36FE3"/>
    <w:rsid w:val="00A37866"/>
    <w:rsid w:val="00A40BBF"/>
    <w:rsid w:val="00A411F1"/>
    <w:rsid w:val="00A43469"/>
    <w:rsid w:val="00A4369C"/>
    <w:rsid w:val="00A45472"/>
    <w:rsid w:val="00A5045E"/>
    <w:rsid w:val="00A52D7F"/>
    <w:rsid w:val="00A539E4"/>
    <w:rsid w:val="00A54393"/>
    <w:rsid w:val="00A54B3F"/>
    <w:rsid w:val="00A55717"/>
    <w:rsid w:val="00A55E10"/>
    <w:rsid w:val="00A60F09"/>
    <w:rsid w:val="00A617C9"/>
    <w:rsid w:val="00A61EFE"/>
    <w:rsid w:val="00A6202C"/>
    <w:rsid w:val="00A62701"/>
    <w:rsid w:val="00A63BCE"/>
    <w:rsid w:val="00A6457D"/>
    <w:rsid w:val="00A64593"/>
    <w:rsid w:val="00A657D1"/>
    <w:rsid w:val="00A6754A"/>
    <w:rsid w:val="00A67BCA"/>
    <w:rsid w:val="00A72B09"/>
    <w:rsid w:val="00A7361F"/>
    <w:rsid w:val="00A739B9"/>
    <w:rsid w:val="00A73B19"/>
    <w:rsid w:val="00A75E02"/>
    <w:rsid w:val="00A75FA1"/>
    <w:rsid w:val="00A76391"/>
    <w:rsid w:val="00A76623"/>
    <w:rsid w:val="00A76B0A"/>
    <w:rsid w:val="00A76BD8"/>
    <w:rsid w:val="00A81E92"/>
    <w:rsid w:val="00A82A0D"/>
    <w:rsid w:val="00A82BD4"/>
    <w:rsid w:val="00A82C48"/>
    <w:rsid w:val="00A83BD1"/>
    <w:rsid w:val="00A84C1B"/>
    <w:rsid w:val="00A84FC5"/>
    <w:rsid w:val="00A85288"/>
    <w:rsid w:val="00A86B4D"/>
    <w:rsid w:val="00A86C49"/>
    <w:rsid w:val="00A87F74"/>
    <w:rsid w:val="00A92607"/>
    <w:rsid w:val="00A9533A"/>
    <w:rsid w:val="00A96808"/>
    <w:rsid w:val="00AA049E"/>
    <w:rsid w:val="00AA05DA"/>
    <w:rsid w:val="00AA0960"/>
    <w:rsid w:val="00AA0AEB"/>
    <w:rsid w:val="00AA0C0D"/>
    <w:rsid w:val="00AA0E40"/>
    <w:rsid w:val="00AA11F0"/>
    <w:rsid w:val="00AA23F3"/>
    <w:rsid w:val="00AA36AE"/>
    <w:rsid w:val="00AA3936"/>
    <w:rsid w:val="00AA496D"/>
    <w:rsid w:val="00AA4F43"/>
    <w:rsid w:val="00AA55CF"/>
    <w:rsid w:val="00AA5B8C"/>
    <w:rsid w:val="00AA6F95"/>
    <w:rsid w:val="00AA77C9"/>
    <w:rsid w:val="00AA78CB"/>
    <w:rsid w:val="00AB0E74"/>
    <w:rsid w:val="00AB107A"/>
    <w:rsid w:val="00AB2602"/>
    <w:rsid w:val="00AB33A9"/>
    <w:rsid w:val="00AB3809"/>
    <w:rsid w:val="00AB3AF2"/>
    <w:rsid w:val="00AB3D7C"/>
    <w:rsid w:val="00AB4F36"/>
    <w:rsid w:val="00AB51B9"/>
    <w:rsid w:val="00AB5740"/>
    <w:rsid w:val="00AB5849"/>
    <w:rsid w:val="00AB6756"/>
    <w:rsid w:val="00AB78BD"/>
    <w:rsid w:val="00AC0637"/>
    <w:rsid w:val="00AC1650"/>
    <w:rsid w:val="00AC1C8E"/>
    <w:rsid w:val="00AC323E"/>
    <w:rsid w:val="00AC3259"/>
    <w:rsid w:val="00AC33A5"/>
    <w:rsid w:val="00AC58B2"/>
    <w:rsid w:val="00AD2F00"/>
    <w:rsid w:val="00AD5096"/>
    <w:rsid w:val="00AD5AB3"/>
    <w:rsid w:val="00AD637A"/>
    <w:rsid w:val="00AE0310"/>
    <w:rsid w:val="00AE046F"/>
    <w:rsid w:val="00AE1309"/>
    <w:rsid w:val="00AE1AEC"/>
    <w:rsid w:val="00AE1EE3"/>
    <w:rsid w:val="00AE2FA0"/>
    <w:rsid w:val="00AE3210"/>
    <w:rsid w:val="00AE3CB9"/>
    <w:rsid w:val="00AE5076"/>
    <w:rsid w:val="00AE5E83"/>
    <w:rsid w:val="00AE5F09"/>
    <w:rsid w:val="00AE6866"/>
    <w:rsid w:val="00AF0028"/>
    <w:rsid w:val="00AF0DFB"/>
    <w:rsid w:val="00AF1728"/>
    <w:rsid w:val="00AF2969"/>
    <w:rsid w:val="00AF4239"/>
    <w:rsid w:val="00AF4CD6"/>
    <w:rsid w:val="00AF531C"/>
    <w:rsid w:val="00AF594D"/>
    <w:rsid w:val="00AF6929"/>
    <w:rsid w:val="00AF726C"/>
    <w:rsid w:val="00AF79A5"/>
    <w:rsid w:val="00B0075D"/>
    <w:rsid w:val="00B00909"/>
    <w:rsid w:val="00B00ABC"/>
    <w:rsid w:val="00B00E33"/>
    <w:rsid w:val="00B00E5A"/>
    <w:rsid w:val="00B036B4"/>
    <w:rsid w:val="00B11731"/>
    <w:rsid w:val="00B12136"/>
    <w:rsid w:val="00B12B4E"/>
    <w:rsid w:val="00B1394A"/>
    <w:rsid w:val="00B15B27"/>
    <w:rsid w:val="00B22D28"/>
    <w:rsid w:val="00B2385D"/>
    <w:rsid w:val="00B252B5"/>
    <w:rsid w:val="00B2536D"/>
    <w:rsid w:val="00B26753"/>
    <w:rsid w:val="00B26CB5"/>
    <w:rsid w:val="00B27239"/>
    <w:rsid w:val="00B27F45"/>
    <w:rsid w:val="00B31E23"/>
    <w:rsid w:val="00B32AA2"/>
    <w:rsid w:val="00B32F84"/>
    <w:rsid w:val="00B33EE3"/>
    <w:rsid w:val="00B36DDF"/>
    <w:rsid w:val="00B379ED"/>
    <w:rsid w:val="00B37FD1"/>
    <w:rsid w:val="00B4325D"/>
    <w:rsid w:val="00B44C78"/>
    <w:rsid w:val="00B44E3B"/>
    <w:rsid w:val="00B4549F"/>
    <w:rsid w:val="00B45607"/>
    <w:rsid w:val="00B456D6"/>
    <w:rsid w:val="00B4795B"/>
    <w:rsid w:val="00B50149"/>
    <w:rsid w:val="00B50B53"/>
    <w:rsid w:val="00B53E8E"/>
    <w:rsid w:val="00B54B44"/>
    <w:rsid w:val="00B55624"/>
    <w:rsid w:val="00B560A1"/>
    <w:rsid w:val="00B56F7C"/>
    <w:rsid w:val="00B60C82"/>
    <w:rsid w:val="00B60DAA"/>
    <w:rsid w:val="00B615B2"/>
    <w:rsid w:val="00B61904"/>
    <w:rsid w:val="00B6203E"/>
    <w:rsid w:val="00B625B5"/>
    <w:rsid w:val="00B640F7"/>
    <w:rsid w:val="00B64D3C"/>
    <w:rsid w:val="00B653AE"/>
    <w:rsid w:val="00B659DC"/>
    <w:rsid w:val="00B6630A"/>
    <w:rsid w:val="00B666EC"/>
    <w:rsid w:val="00B67121"/>
    <w:rsid w:val="00B67C8A"/>
    <w:rsid w:val="00B70ECA"/>
    <w:rsid w:val="00B742EE"/>
    <w:rsid w:val="00B749DF"/>
    <w:rsid w:val="00B75406"/>
    <w:rsid w:val="00B75652"/>
    <w:rsid w:val="00B75961"/>
    <w:rsid w:val="00B7605A"/>
    <w:rsid w:val="00B76C1C"/>
    <w:rsid w:val="00B76E86"/>
    <w:rsid w:val="00B771AA"/>
    <w:rsid w:val="00B77AC5"/>
    <w:rsid w:val="00B80073"/>
    <w:rsid w:val="00B80C14"/>
    <w:rsid w:val="00B81652"/>
    <w:rsid w:val="00B816CF"/>
    <w:rsid w:val="00B81A7A"/>
    <w:rsid w:val="00B81D81"/>
    <w:rsid w:val="00B8304E"/>
    <w:rsid w:val="00B83BD0"/>
    <w:rsid w:val="00B83E4A"/>
    <w:rsid w:val="00B85480"/>
    <w:rsid w:val="00B857EA"/>
    <w:rsid w:val="00B859AD"/>
    <w:rsid w:val="00B86348"/>
    <w:rsid w:val="00B87435"/>
    <w:rsid w:val="00B87F83"/>
    <w:rsid w:val="00B920D4"/>
    <w:rsid w:val="00B93603"/>
    <w:rsid w:val="00B95C3C"/>
    <w:rsid w:val="00B9767A"/>
    <w:rsid w:val="00B978BA"/>
    <w:rsid w:val="00BA07CE"/>
    <w:rsid w:val="00BA17A5"/>
    <w:rsid w:val="00BA1837"/>
    <w:rsid w:val="00BA1A3E"/>
    <w:rsid w:val="00BA2018"/>
    <w:rsid w:val="00BA2E36"/>
    <w:rsid w:val="00BA42CC"/>
    <w:rsid w:val="00BA4610"/>
    <w:rsid w:val="00BA785A"/>
    <w:rsid w:val="00BA7EBE"/>
    <w:rsid w:val="00BB3541"/>
    <w:rsid w:val="00BB377D"/>
    <w:rsid w:val="00BB38D0"/>
    <w:rsid w:val="00BB3D31"/>
    <w:rsid w:val="00BB44E8"/>
    <w:rsid w:val="00BB4CB4"/>
    <w:rsid w:val="00BB53A1"/>
    <w:rsid w:val="00BB587C"/>
    <w:rsid w:val="00BB7008"/>
    <w:rsid w:val="00BB75E8"/>
    <w:rsid w:val="00BC1468"/>
    <w:rsid w:val="00BC1B30"/>
    <w:rsid w:val="00BC25A1"/>
    <w:rsid w:val="00BC2892"/>
    <w:rsid w:val="00BC2C16"/>
    <w:rsid w:val="00BC30E7"/>
    <w:rsid w:val="00BC54FC"/>
    <w:rsid w:val="00BC70B8"/>
    <w:rsid w:val="00BC7714"/>
    <w:rsid w:val="00BC7AD2"/>
    <w:rsid w:val="00BD1BB2"/>
    <w:rsid w:val="00BD2356"/>
    <w:rsid w:val="00BD2363"/>
    <w:rsid w:val="00BD3AEF"/>
    <w:rsid w:val="00BD4628"/>
    <w:rsid w:val="00BE0188"/>
    <w:rsid w:val="00BE0B56"/>
    <w:rsid w:val="00BE184B"/>
    <w:rsid w:val="00BE2B0A"/>
    <w:rsid w:val="00BE2B6A"/>
    <w:rsid w:val="00BE2B86"/>
    <w:rsid w:val="00BE462A"/>
    <w:rsid w:val="00BE5D9D"/>
    <w:rsid w:val="00BE5F31"/>
    <w:rsid w:val="00BE6126"/>
    <w:rsid w:val="00BE7614"/>
    <w:rsid w:val="00BF01AE"/>
    <w:rsid w:val="00BF12F7"/>
    <w:rsid w:val="00BF2241"/>
    <w:rsid w:val="00BF5C0D"/>
    <w:rsid w:val="00BF7C4E"/>
    <w:rsid w:val="00C014A2"/>
    <w:rsid w:val="00C01B6B"/>
    <w:rsid w:val="00C042AA"/>
    <w:rsid w:val="00C060C9"/>
    <w:rsid w:val="00C06684"/>
    <w:rsid w:val="00C0739B"/>
    <w:rsid w:val="00C114EE"/>
    <w:rsid w:val="00C119CE"/>
    <w:rsid w:val="00C13923"/>
    <w:rsid w:val="00C13BF8"/>
    <w:rsid w:val="00C14976"/>
    <w:rsid w:val="00C14B34"/>
    <w:rsid w:val="00C1670D"/>
    <w:rsid w:val="00C16B41"/>
    <w:rsid w:val="00C1749F"/>
    <w:rsid w:val="00C20C44"/>
    <w:rsid w:val="00C23289"/>
    <w:rsid w:val="00C27E60"/>
    <w:rsid w:val="00C3030D"/>
    <w:rsid w:val="00C31ACF"/>
    <w:rsid w:val="00C32011"/>
    <w:rsid w:val="00C32C23"/>
    <w:rsid w:val="00C335F0"/>
    <w:rsid w:val="00C3441D"/>
    <w:rsid w:val="00C3460F"/>
    <w:rsid w:val="00C34F9F"/>
    <w:rsid w:val="00C35370"/>
    <w:rsid w:val="00C359CA"/>
    <w:rsid w:val="00C360A7"/>
    <w:rsid w:val="00C40583"/>
    <w:rsid w:val="00C407AA"/>
    <w:rsid w:val="00C41336"/>
    <w:rsid w:val="00C455C2"/>
    <w:rsid w:val="00C46356"/>
    <w:rsid w:val="00C51302"/>
    <w:rsid w:val="00C5134A"/>
    <w:rsid w:val="00C51C3B"/>
    <w:rsid w:val="00C5423E"/>
    <w:rsid w:val="00C548ED"/>
    <w:rsid w:val="00C54D20"/>
    <w:rsid w:val="00C56737"/>
    <w:rsid w:val="00C568EE"/>
    <w:rsid w:val="00C57661"/>
    <w:rsid w:val="00C61EC5"/>
    <w:rsid w:val="00C63B0F"/>
    <w:rsid w:val="00C63BFE"/>
    <w:rsid w:val="00C6629A"/>
    <w:rsid w:val="00C71A1D"/>
    <w:rsid w:val="00C72323"/>
    <w:rsid w:val="00C723D3"/>
    <w:rsid w:val="00C72BDF"/>
    <w:rsid w:val="00C72C65"/>
    <w:rsid w:val="00C72E28"/>
    <w:rsid w:val="00C7306B"/>
    <w:rsid w:val="00C7486D"/>
    <w:rsid w:val="00C74A01"/>
    <w:rsid w:val="00C74C0E"/>
    <w:rsid w:val="00C7717B"/>
    <w:rsid w:val="00C81300"/>
    <w:rsid w:val="00C81A71"/>
    <w:rsid w:val="00C827DC"/>
    <w:rsid w:val="00C82EA0"/>
    <w:rsid w:val="00C82F74"/>
    <w:rsid w:val="00C84783"/>
    <w:rsid w:val="00C86E35"/>
    <w:rsid w:val="00C9044E"/>
    <w:rsid w:val="00C915E3"/>
    <w:rsid w:val="00C92B8C"/>
    <w:rsid w:val="00C936DF"/>
    <w:rsid w:val="00C946E9"/>
    <w:rsid w:val="00C94809"/>
    <w:rsid w:val="00C94E14"/>
    <w:rsid w:val="00C9524F"/>
    <w:rsid w:val="00C961BC"/>
    <w:rsid w:val="00C97F66"/>
    <w:rsid w:val="00CA15A2"/>
    <w:rsid w:val="00CA2C58"/>
    <w:rsid w:val="00CA3B62"/>
    <w:rsid w:val="00CA3E97"/>
    <w:rsid w:val="00CA4224"/>
    <w:rsid w:val="00CA5766"/>
    <w:rsid w:val="00CA6C91"/>
    <w:rsid w:val="00CA75CE"/>
    <w:rsid w:val="00CB0002"/>
    <w:rsid w:val="00CB47B4"/>
    <w:rsid w:val="00CB6B81"/>
    <w:rsid w:val="00CB7E86"/>
    <w:rsid w:val="00CC1033"/>
    <w:rsid w:val="00CC1C92"/>
    <w:rsid w:val="00CC4502"/>
    <w:rsid w:val="00CC4A24"/>
    <w:rsid w:val="00CC74CC"/>
    <w:rsid w:val="00CD028A"/>
    <w:rsid w:val="00CD1F05"/>
    <w:rsid w:val="00CD2416"/>
    <w:rsid w:val="00CD2AF1"/>
    <w:rsid w:val="00CD2CEE"/>
    <w:rsid w:val="00CD313B"/>
    <w:rsid w:val="00CD5FC3"/>
    <w:rsid w:val="00CE0896"/>
    <w:rsid w:val="00CE15BB"/>
    <w:rsid w:val="00CE1D6C"/>
    <w:rsid w:val="00CE377D"/>
    <w:rsid w:val="00CE42DC"/>
    <w:rsid w:val="00CE46E6"/>
    <w:rsid w:val="00CE4D7F"/>
    <w:rsid w:val="00CE5E56"/>
    <w:rsid w:val="00CE6339"/>
    <w:rsid w:val="00CE710B"/>
    <w:rsid w:val="00CF1129"/>
    <w:rsid w:val="00CF126D"/>
    <w:rsid w:val="00CF1A51"/>
    <w:rsid w:val="00CF1B51"/>
    <w:rsid w:val="00CF1C78"/>
    <w:rsid w:val="00CF2364"/>
    <w:rsid w:val="00CF2521"/>
    <w:rsid w:val="00CF4808"/>
    <w:rsid w:val="00CF6827"/>
    <w:rsid w:val="00CF69AA"/>
    <w:rsid w:val="00CF7872"/>
    <w:rsid w:val="00D0125C"/>
    <w:rsid w:val="00D02E41"/>
    <w:rsid w:val="00D032B6"/>
    <w:rsid w:val="00D03531"/>
    <w:rsid w:val="00D03D4D"/>
    <w:rsid w:val="00D0508E"/>
    <w:rsid w:val="00D05F26"/>
    <w:rsid w:val="00D060A4"/>
    <w:rsid w:val="00D06986"/>
    <w:rsid w:val="00D11289"/>
    <w:rsid w:val="00D12727"/>
    <w:rsid w:val="00D137C8"/>
    <w:rsid w:val="00D143F9"/>
    <w:rsid w:val="00D160A6"/>
    <w:rsid w:val="00D16118"/>
    <w:rsid w:val="00D166A0"/>
    <w:rsid w:val="00D16A25"/>
    <w:rsid w:val="00D208BA"/>
    <w:rsid w:val="00D2269D"/>
    <w:rsid w:val="00D23C44"/>
    <w:rsid w:val="00D2594B"/>
    <w:rsid w:val="00D27CAB"/>
    <w:rsid w:val="00D3119E"/>
    <w:rsid w:val="00D34CB5"/>
    <w:rsid w:val="00D35543"/>
    <w:rsid w:val="00D35E17"/>
    <w:rsid w:val="00D366C6"/>
    <w:rsid w:val="00D42587"/>
    <w:rsid w:val="00D4261E"/>
    <w:rsid w:val="00D43897"/>
    <w:rsid w:val="00D43F79"/>
    <w:rsid w:val="00D47A24"/>
    <w:rsid w:val="00D47D48"/>
    <w:rsid w:val="00D52AC4"/>
    <w:rsid w:val="00D54255"/>
    <w:rsid w:val="00D54A18"/>
    <w:rsid w:val="00D551B2"/>
    <w:rsid w:val="00D55A3B"/>
    <w:rsid w:val="00D5624A"/>
    <w:rsid w:val="00D57C4B"/>
    <w:rsid w:val="00D62BCB"/>
    <w:rsid w:val="00D6329A"/>
    <w:rsid w:val="00D639A3"/>
    <w:rsid w:val="00D64B43"/>
    <w:rsid w:val="00D64D9F"/>
    <w:rsid w:val="00D655C2"/>
    <w:rsid w:val="00D664DC"/>
    <w:rsid w:val="00D669D1"/>
    <w:rsid w:val="00D6729E"/>
    <w:rsid w:val="00D711F7"/>
    <w:rsid w:val="00D71B80"/>
    <w:rsid w:val="00D71C9F"/>
    <w:rsid w:val="00D7230B"/>
    <w:rsid w:val="00D73185"/>
    <w:rsid w:val="00D74C19"/>
    <w:rsid w:val="00D74E44"/>
    <w:rsid w:val="00D74FAD"/>
    <w:rsid w:val="00D76A62"/>
    <w:rsid w:val="00D8000E"/>
    <w:rsid w:val="00D80EE3"/>
    <w:rsid w:val="00D81978"/>
    <w:rsid w:val="00D82E3C"/>
    <w:rsid w:val="00D8348E"/>
    <w:rsid w:val="00D840DA"/>
    <w:rsid w:val="00D87045"/>
    <w:rsid w:val="00D87746"/>
    <w:rsid w:val="00D90CAE"/>
    <w:rsid w:val="00D90CC9"/>
    <w:rsid w:val="00D90EC6"/>
    <w:rsid w:val="00D910AC"/>
    <w:rsid w:val="00D9203A"/>
    <w:rsid w:val="00D927F6"/>
    <w:rsid w:val="00D92A46"/>
    <w:rsid w:val="00D92A7A"/>
    <w:rsid w:val="00D93170"/>
    <w:rsid w:val="00D939EE"/>
    <w:rsid w:val="00D96269"/>
    <w:rsid w:val="00D979AD"/>
    <w:rsid w:val="00D979EB"/>
    <w:rsid w:val="00DA0184"/>
    <w:rsid w:val="00DA08D5"/>
    <w:rsid w:val="00DA10AF"/>
    <w:rsid w:val="00DA1FA4"/>
    <w:rsid w:val="00DA253B"/>
    <w:rsid w:val="00DA294E"/>
    <w:rsid w:val="00DA372C"/>
    <w:rsid w:val="00DA38C0"/>
    <w:rsid w:val="00DA4EEA"/>
    <w:rsid w:val="00DA55DF"/>
    <w:rsid w:val="00DA56F6"/>
    <w:rsid w:val="00DA59CC"/>
    <w:rsid w:val="00DA5A34"/>
    <w:rsid w:val="00DB0E75"/>
    <w:rsid w:val="00DB30F8"/>
    <w:rsid w:val="00DB43CC"/>
    <w:rsid w:val="00DB54DE"/>
    <w:rsid w:val="00DB570E"/>
    <w:rsid w:val="00DB60EE"/>
    <w:rsid w:val="00DB6674"/>
    <w:rsid w:val="00DC0B3E"/>
    <w:rsid w:val="00DC1027"/>
    <w:rsid w:val="00DC133D"/>
    <w:rsid w:val="00DC19A2"/>
    <w:rsid w:val="00DC2BD2"/>
    <w:rsid w:val="00DC43C0"/>
    <w:rsid w:val="00DC6486"/>
    <w:rsid w:val="00DD0A41"/>
    <w:rsid w:val="00DD0B6C"/>
    <w:rsid w:val="00DD0E38"/>
    <w:rsid w:val="00DD0EF1"/>
    <w:rsid w:val="00DD5028"/>
    <w:rsid w:val="00DD562E"/>
    <w:rsid w:val="00DD6929"/>
    <w:rsid w:val="00DD6BDE"/>
    <w:rsid w:val="00DD6DE1"/>
    <w:rsid w:val="00DE0C7A"/>
    <w:rsid w:val="00DE197A"/>
    <w:rsid w:val="00DE2371"/>
    <w:rsid w:val="00DE2538"/>
    <w:rsid w:val="00DE266E"/>
    <w:rsid w:val="00DE27A6"/>
    <w:rsid w:val="00DE3814"/>
    <w:rsid w:val="00DE3D9A"/>
    <w:rsid w:val="00DE57A7"/>
    <w:rsid w:val="00DE68D0"/>
    <w:rsid w:val="00DE6D9A"/>
    <w:rsid w:val="00DF0F6D"/>
    <w:rsid w:val="00DF2775"/>
    <w:rsid w:val="00DF2DB5"/>
    <w:rsid w:val="00DF2F82"/>
    <w:rsid w:val="00DF66B2"/>
    <w:rsid w:val="00DF6B12"/>
    <w:rsid w:val="00E00347"/>
    <w:rsid w:val="00E00DB9"/>
    <w:rsid w:val="00E018C5"/>
    <w:rsid w:val="00E01E89"/>
    <w:rsid w:val="00E02651"/>
    <w:rsid w:val="00E02692"/>
    <w:rsid w:val="00E0342F"/>
    <w:rsid w:val="00E03A94"/>
    <w:rsid w:val="00E03C80"/>
    <w:rsid w:val="00E04263"/>
    <w:rsid w:val="00E04DE4"/>
    <w:rsid w:val="00E05339"/>
    <w:rsid w:val="00E062B6"/>
    <w:rsid w:val="00E07C38"/>
    <w:rsid w:val="00E10821"/>
    <w:rsid w:val="00E1412F"/>
    <w:rsid w:val="00E14819"/>
    <w:rsid w:val="00E15537"/>
    <w:rsid w:val="00E165AA"/>
    <w:rsid w:val="00E1733F"/>
    <w:rsid w:val="00E219BF"/>
    <w:rsid w:val="00E21D30"/>
    <w:rsid w:val="00E248C3"/>
    <w:rsid w:val="00E24BC1"/>
    <w:rsid w:val="00E25E3B"/>
    <w:rsid w:val="00E272C4"/>
    <w:rsid w:val="00E27EAD"/>
    <w:rsid w:val="00E307AE"/>
    <w:rsid w:val="00E3219C"/>
    <w:rsid w:val="00E32794"/>
    <w:rsid w:val="00E327B6"/>
    <w:rsid w:val="00E329F4"/>
    <w:rsid w:val="00E3335E"/>
    <w:rsid w:val="00E33BEF"/>
    <w:rsid w:val="00E341A2"/>
    <w:rsid w:val="00E34A59"/>
    <w:rsid w:val="00E350EB"/>
    <w:rsid w:val="00E35E24"/>
    <w:rsid w:val="00E36C03"/>
    <w:rsid w:val="00E40364"/>
    <w:rsid w:val="00E403A5"/>
    <w:rsid w:val="00E40814"/>
    <w:rsid w:val="00E42F33"/>
    <w:rsid w:val="00E43822"/>
    <w:rsid w:val="00E44BDF"/>
    <w:rsid w:val="00E45BCF"/>
    <w:rsid w:val="00E46C7C"/>
    <w:rsid w:val="00E503C8"/>
    <w:rsid w:val="00E51FBB"/>
    <w:rsid w:val="00E527BF"/>
    <w:rsid w:val="00E53168"/>
    <w:rsid w:val="00E532F4"/>
    <w:rsid w:val="00E5340E"/>
    <w:rsid w:val="00E53E32"/>
    <w:rsid w:val="00E54694"/>
    <w:rsid w:val="00E554F0"/>
    <w:rsid w:val="00E55E1D"/>
    <w:rsid w:val="00E573A0"/>
    <w:rsid w:val="00E60481"/>
    <w:rsid w:val="00E60BA3"/>
    <w:rsid w:val="00E61212"/>
    <w:rsid w:val="00E615E1"/>
    <w:rsid w:val="00E617CC"/>
    <w:rsid w:val="00E6227D"/>
    <w:rsid w:val="00E63510"/>
    <w:rsid w:val="00E63C08"/>
    <w:rsid w:val="00E63C2A"/>
    <w:rsid w:val="00E64EFC"/>
    <w:rsid w:val="00E64F20"/>
    <w:rsid w:val="00E65868"/>
    <w:rsid w:val="00E65B13"/>
    <w:rsid w:val="00E6644A"/>
    <w:rsid w:val="00E665A7"/>
    <w:rsid w:val="00E67CA6"/>
    <w:rsid w:val="00E700FD"/>
    <w:rsid w:val="00E7013E"/>
    <w:rsid w:val="00E70351"/>
    <w:rsid w:val="00E70C6F"/>
    <w:rsid w:val="00E70DE9"/>
    <w:rsid w:val="00E7277F"/>
    <w:rsid w:val="00E74AB3"/>
    <w:rsid w:val="00E75999"/>
    <w:rsid w:val="00E77251"/>
    <w:rsid w:val="00E80254"/>
    <w:rsid w:val="00E802F0"/>
    <w:rsid w:val="00E8156A"/>
    <w:rsid w:val="00E82FAA"/>
    <w:rsid w:val="00E84D95"/>
    <w:rsid w:val="00E85E6D"/>
    <w:rsid w:val="00E8624A"/>
    <w:rsid w:val="00E8691F"/>
    <w:rsid w:val="00E90793"/>
    <w:rsid w:val="00E915DA"/>
    <w:rsid w:val="00E92263"/>
    <w:rsid w:val="00E926C4"/>
    <w:rsid w:val="00E93A44"/>
    <w:rsid w:val="00EA0BAE"/>
    <w:rsid w:val="00EA170A"/>
    <w:rsid w:val="00EA3240"/>
    <w:rsid w:val="00EA39BC"/>
    <w:rsid w:val="00EA3C41"/>
    <w:rsid w:val="00EB04A0"/>
    <w:rsid w:val="00EB111D"/>
    <w:rsid w:val="00EB1A4D"/>
    <w:rsid w:val="00EB30E2"/>
    <w:rsid w:val="00EB342F"/>
    <w:rsid w:val="00EB3B14"/>
    <w:rsid w:val="00EB4FC1"/>
    <w:rsid w:val="00EB6861"/>
    <w:rsid w:val="00EB7236"/>
    <w:rsid w:val="00EB7782"/>
    <w:rsid w:val="00EC02E0"/>
    <w:rsid w:val="00EC3185"/>
    <w:rsid w:val="00EC3912"/>
    <w:rsid w:val="00EC3ACF"/>
    <w:rsid w:val="00ED090E"/>
    <w:rsid w:val="00ED2FB3"/>
    <w:rsid w:val="00ED352E"/>
    <w:rsid w:val="00ED56DC"/>
    <w:rsid w:val="00ED56EC"/>
    <w:rsid w:val="00ED69CC"/>
    <w:rsid w:val="00ED6A9A"/>
    <w:rsid w:val="00ED7337"/>
    <w:rsid w:val="00ED7664"/>
    <w:rsid w:val="00EE1530"/>
    <w:rsid w:val="00EE2944"/>
    <w:rsid w:val="00EE2FD2"/>
    <w:rsid w:val="00EE3727"/>
    <w:rsid w:val="00EE38F0"/>
    <w:rsid w:val="00EE472F"/>
    <w:rsid w:val="00EE52FA"/>
    <w:rsid w:val="00EE7A99"/>
    <w:rsid w:val="00EE7E9F"/>
    <w:rsid w:val="00EF015C"/>
    <w:rsid w:val="00EF0204"/>
    <w:rsid w:val="00EF0558"/>
    <w:rsid w:val="00EF1D31"/>
    <w:rsid w:val="00EF1FE1"/>
    <w:rsid w:val="00EF29A2"/>
    <w:rsid w:val="00EF34EE"/>
    <w:rsid w:val="00EF3564"/>
    <w:rsid w:val="00EF3890"/>
    <w:rsid w:val="00EF6BBC"/>
    <w:rsid w:val="00F00C22"/>
    <w:rsid w:val="00F01A4A"/>
    <w:rsid w:val="00F01A78"/>
    <w:rsid w:val="00F01E62"/>
    <w:rsid w:val="00F03260"/>
    <w:rsid w:val="00F03FFD"/>
    <w:rsid w:val="00F0431B"/>
    <w:rsid w:val="00F05EFB"/>
    <w:rsid w:val="00F071C7"/>
    <w:rsid w:val="00F07472"/>
    <w:rsid w:val="00F07A1C"/>
    <w:rsid w:val="00F07C69"/>
    <w:rsid w:val="00F101CC"/>
    <w:rsid w:val="00F10F56"/>
    <w:rsid w:val="00F111BC"/>
    <w:rsid w:val="00F12B4F"/>
    <w:rsid w:val="00F12E31"/>
    <w:rsid w:val="00F12E84"/>
    <w:rsid w:val="00F13B96"/>
    <w:rsid w:val="00F14C53"/>
    <w:rsid w:val="00F174C6"/>
    <w:rsid w:val="00F177FB"/>
    <w:rsid w:val="00F20509"/>
    <w:rsid w:val="00F20711"/>
    <w:rsid w:val="00F212A2"/>
    <w:rsid w:val="00F219AE"/>
    <w:rsid w:val="00F21AD6"/>
    <w:rsid w:val="00F238C9"/>
    <w:rsid w:val="00F31B1C"/>
    <w:rsid w:val="00F32D00"/>
    <w:rsid w:val="00F33CB7"/>
    <w:rsid w:val="00F35882"/>
    <w:rsid w:val="00F36735"/>
    <w:rsid w:val="00F36805"/>
    <w:rsid w:val="00F369E9"/>
    <w:rsid w:val="00F37F05"/>
    <w:rsid w:val="00F402AB"/>
    <w:rsid w:val="00F40F7E"/>
    <w:rsid w:val="00F41070"/>
    <w:rsid w:val="00F41AEA"/>
    <w:rsid w:val="00F41DD6"/>
    <w:rsid w:val="00F420F4"/>
    <w:rsid w:val="00F42559"/>
    <w:rsid w:val="00F44079"/>
    <w:rsid w:val="00F4449A"/>
    <w:rsid w:val="00F44706"/>
    <w:rsid w:val="00F452AE"/>
    <w:rsid w:val="00F455C7"/>
    <w:rsid w:val="00F47B66"/>
    <w:rsid w:val="00F5253A"/>
    <w:rsid w:val="00F52A36"/>
    <w:rsid w:val="00F53753"/>
    <w:rsid w:val="00F552B4"/>
    <w:rsid w:val="00F56AB4"/>
    <w:rsid w:val="00F56BC9"/>
    <w:rsid w:val="00F6054A"/>
    <w:rsid w:val="00F63B65"/>
    <w:rsid w:val="00F703FE"/>
    <w:rsid w:val="00F7165A"/>
    <w:rsid w:val="00F72516"/>
    <w:rsid w:val="00F73600"/>
    <w:rsid w:val="00F76287"/>
    <w:rsid w:val="00F772F6"/>
    <w:rsid w:val="00F81CAA"/>
    <w:rsid w:val="00F85383"/>
    <w:rsid w:val="00F85A05"/>
    <w:rsid w:val="00F86F3C"/>
    <w:rsid w:val="00F87F00"/>
    <w:rsid w:val="00F903CE"/>
    <w:rsid w:val="00F90491"/>
    <w:rsid w:val="00F90D17"/>
    <w:rsid w:val="00F90E11"/>
    <w:rsid w:val="00F90FA2"/>
    <w:rsid w:val="00F91EB6"/>
    <w:rsid w:val="00F9227F"/>
    <w:rsid w:val="00F925E0"/>
    <w:rsid w:val="00F93E07"/>
    <w:rsid w:val="00F942B1"/>
    <w:rsid w:val="00F9436A"/>
    <w:rsid w:val="00F9463E"/>
    <w:rsid w:val="00F947AF"/>
    <w:rsid w:val="00F94D82"/>
    <w:rsid w:val="00F9610E"/>
    <w:rsid w:val="00F9715A"/>
    <w:rsid w:val="00F975C5"/>
    <w:rsid w:val="00FA1601"/>
    <w:rsid w:val="00FA18F1"/>
    <w:rsid w:val="00FA2494"/>
    <w:rsid w:val="00FA30CC"/>
    <w:rsid w:val="00FA480D"/>
    <w:rsid w:val="00FA5121"/>
    <w:rsid w:val="00FA55FA"/>
    <w:rsid w:val="00FA6966"/>
    <w:rsid w:val="00FA69DE"/>
    <w:rsid w:val="00FA7525"/>
    <w:rsid w:val="00FA7E1C"/>
    <w:rsid w:val="00FA7EDE"/>
    <w:rsid w:val="00FB05D4"/>
    <w:rsid w:val="00FB085F"/>
    <w:rsid w:val="00FB1497"/>
    <w:rsid w:val="00FB2401"/>
    <w:rsid w:val="00FB2D52"/>
    <w:rsid w:val="00FB3AC8"/>
    <w:rsid w:val="00FB3F9E"/>
    <w:rsid w:val="00FB748B"/>
    <w:rsid w:val="00FC0AD0"/>
    <w:rsid w:val="00FC44C7"/>
    <w:rsid w:val="00FC5E75"/>
    <w:rsid w:val="00FC5EF8"/>
    <w:rsid w:val="00FC6596"/>
    <w:rsid w:val="00FC6B80"/>
    <w:rsid w:val="00FC6C9A"/>
    <w:rsid w:val="00FC6EF6"/>
    <w:rsid w:val="00FC715A"/>
    <w:rsid w:val="00FD1A7F"/>
    <w:rsid w:val="00FD23CD"/>
    <w:rsid w:val="00FD3A88"/>
    <w:rsid w:val="00FD63FD"/>
    <w:rsid w:val="00FE26AD"/>
    <w:rsid w:val="00FE2E23"/>
    <w:rsid w:val="00FE420A"/>
    <w:rsid w:val="00FE4A4E"/>
    <w:rsid w:val="00FE549C"/>
    <w:rsid w:val="00FE6451"/>
    <w:rsid w:val="00FE66E1"/>
    <w:rsid w:val="00FE78EA"/>
    <w:rsid w:val="00FF023E"/>
    <w:rsid w:val="00FF095B"/>
    <w:rsid w:val="00FF2734"/>
    <w:rsid w:val="00FF5B58"/>
    <w:rsid w:val="00FF7A2D"/>
    <w:rsid w:val="013E568E"/>
    <w:rsid w:val="016F45ED"/>
    <w:rsid w:val="018F2220"/>
    <w:rsid w:val="01AF0E8E"/>
    <w:rsid w:val="01F56DDF"/>
    <w:rsid w:val="01FD3DAE"/>
    <w:rsid w:val="02253B1D"/>
    <w:rsid w:val="02750329"/>
    <w:rsid w:val="02BA6D6B"/>
    <w:rsid w:val="03843F93"/>
    <w:rsid w:val="03CC130E"/>
    <w:rsid w:val="03EE1054"/>
    <w:rsid w:val="041F053D"/>
    <w:rsid w:val="0441719F"/>
    <w:rsid w:val="04807CA6"/>
    <w:rsid w:val="04DD71C9"/>
    <w:rsid w:val="050D2BDE"/>
    <w:rsid w:val="052D3954"/>
    <w:rsid w:val="05A274DE"/>
    <w:rsid w:val="05EA61B0"/>
    <w:rsid w:val="05FE5B0E"/>
    <w:rsid w:val="07072975"/>
    <w:rsid w:val="076F1F84"/>
    <w:rsid w:val="07A426D1"/>
    <w:rsid w:val="07A935D4"/>
    <w:rsid w:val="07E026F8"/>
    <w:rsid w:val="08260129"/>
    <w:rsid w:val="08A47272"/>
    <w:rsid w:val="0A031BD2"/>
    <w:rsid w:val="0A2460B5"/>
    <w:rsid w:val="0ADB2CF4"/>
    <w:rsid w:val="0AF35D5D"/>
    <w:rsid w:val="0B464453"/>
    <w:rsid w:val="0B472137"/>
    <w:rsid w:val="0B696CC1"/>
    <w:rsid w:val="0C440A71"/>
    <w:rsid w:val="0C5136C6"/>
    <w:rsid w:val="0C9F441C"/>
    <w:rsid w:val="0CAC0656"/>
    <w:rsid w:val="0CB169C3"/>
    <w:rsid w:val="0CD914B5"/>
    <w:rsid w:val="0CE62C29"/>
    <w:rsid w:val="0D975832"/>
    <w:rsid w:val="0DC43775"/>
    <w:rsid w:val="0E105B10"/>
    <w:rsid w:val="0E4240C1"/>
    <w:rsid w:val="0E8601DB"/>
    <w:rsid w:val="0EA16002"/>
    <w:rsid w:val="0EA63619"/>
    <w:rsid w:val="0EE6141F"/>
    <w:rsid w:val="0EEA79A9"/>
    <w:rsid w:val="0F320B7B"/>
    <w:rsid w:val="0F5F3EF3"/>
    <w:rsid w:val="0F685331"/>
    <w:rsid w:val="0F7E6B10"/>
    <w:rsid w:val="0F880DEC"/>
    <w:rsid w:val="0FEB567F"/>
    <w:rsid w:val="0FF84AB1"/>
    <w:rsid w:val="10785661"/>
    <w:rsid w:val="11165808"/>
    <w:rsid w:val="11895257"/>
    <w:rsid w:val="119F4A7B"/>
    <w:rsid w:val="122776C0"/>
    <w:rsid w:val="123F625E"/>
    <w:rsid w:val="128C20D1"/>
    <w:rsid w:val="129B1F56"/>
    <w:rsid w:val="13AF57E7"/>
    <w:rsid w:val="13D027D0"/>
    <w:rsid w:val="141839BA"/>
    <w:rsid w:val="148106DE"/>
    <w:rsid w:val="14A265EC"/>
    <w:rsid w:val="15846110"/>
    <w:rsid w:val="158A5A42"/>
    <w:rsid w:val="160E21CF"/>
    <w:rsid w:val="161C207D"/>
    <w:rsid w:val="163E423C"/>
    <w:rsid w:val="16B230BF"/>
    <w:rsid w:val="16E96798"/>
    <w:rsid w:val="17013AE2"/>
    <w:rsid w:val="172C50D7"/>
    <w:rsid w:val="173B3D23"/>
    <w:rsid w:val="17CF4402"/>
    <w:rsid w:val="17DB51D0"/>
    <w:rsid w:val="17E22C43"/>
    <w:rsid w:val="17EC66A7"/>
    <w:rsid w:val="18450350"/>
    <w:rsid w:val="18E21712"/>
    <w:rsid w:val="196B7938"/>
    <w:rsid w:val="19F86EB0"/>
    <w:rsid w:val="1AC77420"/>
    <w:rsid w:val="1B076CDC"/>
    <w:rsid w:val="1B4E3CF6"/>
    <w:rsid w:val="1B5543FC"/>
    <w:rsid w:val="1B6C76F9"/>
    <w:rsid w:val="1B8829C3"/>
    <w:rsid w:val="1BAE3795"/>
    <w:rsid w:val="1BB77507"/>
    <w:rsid w:val="1C406E5A"/>
    <w:rsid w:val="1C6E3A8C"/>
    <w:rsid w:val="1CC61A56"/>
    <w:rsid w:val="1CE04199"/>
    <w:rsid w:val="1D8113CA"/>
    <w:rsid w:val="1D9A5CD4"/>
    <w:rsid w:val="1E256308"/>
    <w:rsid w:val="1E4351CE"/>
    <w:rsid w:val="1E74728F"/>
    <w:rsid w:val="1EF65EF6"/>
    <w:rsid w:val="1F0D6B0B"/>
    <w:rsid w:val="1FF10CFA"/>
    <w:rsid w:val="1FFF1D12"/>
    <w:rsid w:val="20BA76FA"/>
    <w:rsid w:val="211516F9"/>
    <w:rsid w:val="21E949D3"/>
    <w:rsid w:val="223808BD"/>
    <w:rsid w:val="22651CFC"/>
    <w:rsid w:val="22806203"/>
    <w:rsid w:val="235E6F32"/>
    <w:rsid w:val="236E24FF"/>
    <w:rsid w:val="23B76978"/>
    <w:rsid w:val="241D3379"/>
    <w:rsid w:val="243472A5"/>
    <w:rsid w:val="24D15215"/>
    <w:rsid w:val="24EA02AB"/>
    <w:rsid w:val="2537051A"/>
    <w:rsid w:val="253B7D4F"/>
    <w:rsid w:val="2552132F"/>
    <w:rsid w:val="25587434"/>
    <w:rsid w:val="25A734FC"/>
    <w:rsid w:val="25B9359E"/>
    <w:rsid w:val="263648E9"/>
    <w:rsid w:val="26597309"/>
    <w:rsid w:val="26A65480"/>
    <w:rsid w:val="26B26BA7"/>
    <w:rsid w:val="26C811D2"/>
    <w:rsid w:val="277420AE"/>
    <w:rsid w:val="28083491"/>
    <w:rsid w:val="28247ECA"/>
    <w:rsid w:val="286D2420"/>
    <w:rsid w:val="290F047C"/>
    <w:rsid w:val="29134B78"/>
    <w:rsid w:val="293A0FC3"/>
    <w:rsid w:val="298C2EB2"/>
    <w:rsid w:val="29A30B6B"/>
    <w:rsid w:val="29C830FC"/>
    <w:rsid w:val="2A261CDC"/>
    <w:rsid w:val="2A9D34F9"/>
    <w:rsid w:val="2AE56D2F"/>
    <w:rsid w:val="2B02634F"/>
    <w:rsid w:val="2B727A38"/>
    <w:rsid w:val="2BAF1907"/>
    <w:rsid w:val="2BD77D1F"/>
    <w:rsid w:val="2C36136C"/>
    <w:rsid w:val="2C9376C3"/>
    <w:rsid w:val="2CA17C55"/>
    <w:rsid w:val="2CA760A6"/>
    <w:rsid w:val="2CBC42DB"/>
    <w:rsid w:val="2DE55E9D"/>
    <w:rsid w:val="2DF459B6"/>
    <w:rsid w:val="2E056FE8"/>
    <w:rsid w:val="2E9018E7"/>
    <w:rsid w:val="2E9B161E"/>
    <w:rsid w:val="2EF54D29"/>
    <w:rsid w:val="2F1E6AC8"/>
    <w:rsid w:val="2F4D56BE"/>
    <w:rsid w:val="2F694BE4"/>
    <w:rsid w:val="301F4DC4"/>
    <w:rsid w:val="303A71DD"/>
    <w:rsid w:val="30DF7B32"/>
    <w:rsid w:val="31563A16"/>
    <w:rsid w:val="31666237"/>
    <w:rsid w:val="31735A79"/>
    <w:rsid w:val="31786F6E"/>
    <w:rsid w:val="317F4C1B"/>
    <w:rsid w:val="3181001F"/>
    <w:rsid w:val="31BE28A4"/>
    <w:rsid w:val="31C3435E"/>
    <w:rsid w:val="31F2254D"/>
    <w:rsid w:val="31F75DB5"/>
    <w:rsid w:val="32422E11"/>
    <w:rsid w:val="32456B21"/>
    <w:rsid w:val="32A907BA"/>
    <w:rsid w:val="338C4B2C"/>
    <w:rsid w:val="33A9427C"/>
    <w:rsid w:val="34015BA1"/>
    <w:rsid w:val="340E6D1E"/>
    <w:rsid w:val="34D33C65"/>
    <w:rsid w:val="34FD36E3"/>
    <w:rsid w:val="354D4F21"/>
    <w:rsid w:val="35A508CC"/>
    <w:rsid w:val="35F44A16"/>
    <w:rsid w:val="35F54C3C"/>
    <w:rsid w:val="362D49D6"/>
    <w:rsid w:val="36D54881"/>
    <w:rsid w:val="370F4580"/>
    <w:rsid w:val="3761767C"/>
    <w:rsid w:val="37732382"/>
    <w:rsid w:val="37FC2378"/>
    <w:rsid w:val="392673FF"/>
    <w:rsid w:val="39436F81"/>
    <w:rsid w:val="395444FA"/>
    <w:rsid w:val="3A680F74"/>
    <w:rsid w:val="3ACD3E20"/>
    <w:rsid w:val="3B2353F2"/>
    <w:rsid w:val="3B5004E2"/>
    <w:rsid w:val="3B7F5A0F"/>
    <w:rsid w:val="3BB4694D"/>
    <w:rsid w:val="3BBF0B1F"/>
    <w:rsid w:val="3C425CD4"/>
    <w:rsid w:val="3DF24244"/>
    <w:rsid w:val="3E23019E"/>
    <w:rsid w:val="3ECA17F0"/>
    <w:rsid w:val="3EF53019"/>
    <w:rsid w:val="3F2A0575"/>
    <w:rsid w:val="3FB256CD"/>
    <w:rsid w:val="3FD801A4"/>
    <w:rsid w:val="40054871"/>
    <w:rsid w:val="402561FD"/>
    <w:rsid w:val="41765E66"/>
    <w:rsid w:val="41EC26C8"/>
    <w:rsid w:val="42081D04"/>
    <w:rsid w:val="420D31C9"/>
    <w:rsid w:val="423339B8"/>
    <w:rsid w:val="426D1920"/>
    <w:rsid w:val="42A25018"/>
    <w:rsid w:val="42E627E2"/>
    <w:rsid w:val="430A6C4B"/>
    <w:rsid w:val="430D31F2"/>
    <w:rsid w:val="43264D3D"/>
    <w:rsid w:val="43BD4D53"/>
    <w:rsid w:val="43DE0B83"/>
    <w:rsid w:val="43E83CFE"/>
    <w:rsid w:val="43FF0F8B"/>
    <w:rsid w:val="442742D8"/>
    <w:rsid w:val="443469F5"/>
    <w:rsid w:val="443A04B0"/>
    <w:rsid w:val="44AD2694"/>
    <w:rsid w:val="44ED41CB"/>
    <w:rsid w:val="454C2F95"/>
    <w:rsid w:val="45EB4460"/>
    <w:rsid w:val="45F36B68"/>
    <w:rsid w:val="461F36E3"/>
    <w:rsid w:val="46445F00"/>
    <w:rsid w:val="467846F6"/>
    <w:rsid w:val="46F506BE"/>
    <w:rsid w:val="47324B6B"/>
    <w:rsid w:val="4792798E"/>
    <w:rsid w:val="486C2C02"/>
    <w:rsid w:val="489E37B2"/>
    <w:rsid w:val="48D05195"/>
    <w:rsid w:val="491C4628"/>
    <w:rsid w:val="49691C58"/>
    <w:rsid w:val="49764927"/>
    <w:rsid w:val="49E26E0E"/>
    <w:rsid w:val="49E74A4F"/>
    <w:rsid w:val="49EC3BC1"/>
    <w:rsid w:val="49FC049A"/>
    <w:rsid w:val="4AAA0126"/>
    <w:rsid w:val="4B065DB8"/>
    <w:rsid w:val="4B413ED2"/>
    <w:rsid w:val="4B7E016F"/>
    <w:rsid w:val="4BE21B67"/>
    <w:rsid w:val="4C1A4723"/>
    <w:rsid w:val="4C291656"/>
    <w:rsid w:val="4C2D45C0"/>
    <w:rsid w:val="4C5A0C2F"/>
    <w:rsid w:val="4C692B02"/>
    <w:rsid w:val="4D3235A4"/>
    <w:rsid w:val="4D984BF7"/>
    <w:rsid w:val="4DF72EA7"/>
    <w:rsid w:val="4E8103A6"/>
    <w:rsid w:val="4F3C6216"/>
    <w:rsid w:val="4F674AD2"/>
    <w:rsid w:val="50366514"/>
    <w:rsid w:val="50443C44"/>
    <w:rsid w:val="508A3911"/>
    <w:rsid w:val="50A02D8D"/>
    <w:rsid w:val="50D25DD0"/>
    <w:rsid w:val="515801C7"/>
    <w:rsid w:val="51A25E2F"/>
    <w:rsid w:val="528F19C6"/>
    <w:rsid w:val="52973FAE"/>
    <w:rsid w:val="52A72B63"/>
    <w:rsid w:val="52AA396F"/>
    <w:rsid w:val="52B53D18"/>
    <w:rsid w:val="53B4545D"/>
    <w:rsid w:val="542725B3"/>
    <w:rsid w:val="547818AD"/>
    <w:rsid w:val="556554F5"/>
    <w:rsid w:val="5578620E"/>
    <w:rsid w:val="55C027DF"/>
    <w:rsid w:val="5630163F"/>
    <w:rsid w:val="56317D9B"/>
    <w:rsid w:val="56523902"/>
    <w:rsid w:val="56636294"/>
    <w:rsid w:val="56864B4F"/>
    <w:rsid w:val="56887FFD"/>
    <w:rsid w:val="56981066"/>
    <w:rsid w:val="569F3B42"/>
    <w:rsid w:val="57033D83"/>
    <w:rsid w:val="57134EA9"/>
    <w:rsid w:val="5714693E"/>
    <w:rsid w:val="57CB318C"/>
    <w:rsid w:val="58750D8F"/>
    <w:rsid w:val="5875165E"/>
    <w:rsid w:val="58A57408"/>
    <w:rsid w:val="58B47132"/>
    <w:rsid w:val="5903310E"/>
    <w:rsid w:val="592E5DC9"/>
    <w:rsid w:val="593158C6"/>
    <w:rsid w:val="598D29D8"/>
    <w:rsid w:val="59C82E35"/>
    <w:rsid w:val="59CE7746"/>
    <w:rsid w:val="59D7202D"/>
    <w:rsid w:val="5A174DC0"/>
    <w:rsid w:val="5A7E37B7"/>
    <w:rsid w:val="5A9804AB"/>
    <w:rsid w:val="5A9E1C50"/>
    <w:rsid w:val="5B3A4273"/>
    <w:rsid w:val="5B5846E3"/>
    <w:rsid w:val="5B616BCB"/>
    <w:rsid w:val="5B8D6CBF"/>
    <w:rsid w:val="5BA87F9D"/>
    <w:rsid w:val="5C003935"/>
    <w:rsid w:val="5C5C0432"/>
    <w:rsid w:val="5C64276E"/>
    <w:rsid w:val="5C670918"/>
    <w:rsid w:val="5DBE5C72"/>
    <w:rsid w:val="5DE60AE0"/>
    <w:rsid w:val="5DF44C60"/>
    <w:rsid w:val="5DF951F4"/>
    <w:rsid w:val="5F023E03"/>
    <w:rsid w:val="5F096FA4"/>
    <w:rsid w:val="5F0F4848"/>
    <w:rsid w:val="5F1514A5"/>
    <w:rsid w:val="5F522D9E"/>
    <w:rsid w:val="5F601ACB"/>
    <w:rsid w:val="5FB30E81"/>
    <w:rsid w:val="5FCC1681"/>
    <w:rsid w:val="5FE01AB3"/>
    <w:rsid w:val="5FFB4B3F"/>
    <w:rsid w:val="602F6597"/>
    <w:rsid w:val="60393A1F"/>
    <w:rsid w:val="6112487A"/>
    <w:rsid w:val="615A2885"/>
    <w:rsid w:val="61CE5A50"/>
    <w:rsid w:val="620D484D"/>
    <w:rsid w:val="631A6EE3"/>
    <w:rsid w:val="63224B79"/>
    <w:rsid w:val="632E6FDA"/>
    <w:rsid w:val="635D341B"/>
    <w:rsid w:val="637342C6"/>
    <w:rsid w:val="64395ECA"/>
    <w:rsid w:val="644B7717"/>
    <w:rsid w:val="650A312E"/>
    <w:rsid w:val="650A54C4"/>
    <w:rsid w:val="65392417"/>
    <w:rsid w:val="654278D9"/>
    <w:rsid w:val="65654809"/>
    <w:rsid w:val="65A308A0"/>
    <w:rsid w:val="65EF0BA9"/>
    <w:rsid w:val="666A0329"/>
    <w:rsid w:val="666A7129"/>
    <w:rsid w:val="67193399"/>
    <w:rsid w:val="67521888"/>
    <w:rsid w:val="67D82A9A"/>
    <w:rsid w:val="67EB2923"/>
    <w:rsid w:val="684A5A89"/>
    <w:rsid w:val="685C5009"/>
    <w:rsid w:val="68CF0917"/>
    <w:rsid w:val="68EE7A51"/>
    <w:rsid w:val="694D0777"/>
    <w:rsid w:val="696A44B4"/>
    <w:rsid w:val="6A306C44"/>
    <w:rsid w:val="6A406024"/>
    <w:rsid w:val="6AC50223"/>
    <w:rsid w:val="6ADC36B9"/>
    <w:rsid w:val="6ADE477C"/>
    <w:rsid w:val="6AF3407C"/>
    <w:rsid w:val="6B112787"/>
    <w:rsid w:val="6B3152D1"/>
    <w:rsid w:val="6B590D25"/>
    <w:rsid w:val="6BCE0203"/>
    <w:rsid w:val="6BE170F3"/>
    <w:rsid w:val="6C304720"/>
    <w:rsid w:val="6C411B2C"/>
    <w:rsid w:val="6C4B29AA"/>
    <w:rsid w:val="6C8D4B0C"/>
    <w:rsid w:val="6C990081"/>
    <w:rsid w:val="6CE340EC"/>
    <w:rsid w:val="6CFC676F"/>
    <w:rsid w:val="6D2B5047"/>
    <w:rsid w:val="6D377215"/>
    <w:rsid w:val="6D716797"/>
    <w:rsid w:val="6E195DCF"/>
    <w:rsid w:val="6E2D02A7"/>
    <w:rsid w:val="6E697B20"/>
    <w:rsid w:val="6EC46A44"/>
    <w:rsid w:val="6EE11920"/>
    <w:rsid w:val="6F126AFF"/>
    <w:rsid w:val="6F5E0B28"/>
    <w:rsid w:val="6F7A7103"/>
    <w:rsid w:val="6F8C7562"/>
    <w:rsid w:val="6FC430F7"/>
    <w:rsid w:val="6FC62946"/>
    <w:rsid w:val="6FFE17C6"/>
    <w:rsid w:val="700D5A40"/>
    <w:rsid w:val="70150599"/>
    <w:rsid w:val="705A17F8"/>
    <w:rsid w:val="70A97317"/>
    <w:rsid w:val="70B920A8"/>
    <w:rsid w:val="70C04FE9"/>
    <w:rsid w:val="70C74251"/>
    <w:rsid w:val="70D95DDC"/>
    <w:rsid w:val="71B302D2"/>
    <w:rsid w:val="71D7083C"/>
    <w:rsid w:val="72201E52"/>
    <w:rsid w:val="72763829"/>
    <w:rsid w:val="72C666D5"/>
    <w:rsid w:val="730550C0"/>
    <w:rsid w:val="732A6B20"/>
    <w:rsid w:val="738216D1"/>
    <w:rsid w:val="73C117A4"/>
    <w:rsid w:val="74F320E1"/>
    <w:rsid w:val="751616C1"/>
    <w:rsid w:val="75481417"/>
    <w:rsid w:val="75B75AE9"/>
    <w:rsid w:val="75D94380"/>
    <w:rsid w:val="75EC7580"/>
    <w:rsid w:val="761B10D2"/>
    <w:rsid w:val="76487F5B"/>
    <w:rsid w:val="76D37824"/>
    <w:rsid w:val="7712012D"/>
    <w:rsid w:val="779B0851"/>
    <w:rsid w:val="779D73AE"/>
    <w:rsid w:val="77BE7771"/>
    <w:rsid w:val="78252301"/>
    <w:rsid w:val="784B43E7"/>
    <w:rsid w:val="784C2127"/>
    <w:rsid w:val="788420A3"/>
    <w:rsid w:val="78904797"/>
    <w:rsid w:val="78915E41"/>
    <w:rsid w:val="797846B3"/>
    <w:rsid w:val="798B489A"/>
    <w:rsid w:val="79907C4E"/>
    <w:rsid w:val="79A656C4"/>
    <w:rsid w:val="79B66929"/>
    <w:rsid w:val="7A044B10"/>
    <w:rsid w:val="7A1F2C42"/>
    <w:rsid w:val="7A424C90"/>
    <w:rsid w:val="7A4778A8"/>
    <w:rsid w:val="7A533D19"/>
    <w:rsid w:val="7ADE18AF"/>
    <w:rsid w:val="7AF161AF"/>
    <w:rsid w:val="7B904B59"/>
    <w:rsid w:val="7C140E15"/>
    <w:rsid w:val="7C5068F2"/>
    <w:rsid w:val="7CC16371"/>
    <w:rsid w:val="7CFD0E9C"/>
    <w:rsid w:val="7D3F17CF"/>
    <w:rsid w:val="7E2B263C"/>
    <w:rsid w:val="7EC9775F"/>
    <w:rsid w:val="7F2570DB"/>
    <w:rsid w:val="7F890B7B"/>
    <w:rsid w:val="7FE11207"/>
    <w:rsid w:val="7FEF56E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iPriority="9"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0" w:semiHidden="0" w:name="footer"/>
    <w:lsdException w:uiPriority="99" w:name="index heading"/>
    <w:lsdException w:qFormat="1" w:unhideWhenUsed="0" w:uiPriority="35" w:semiHidden="0" w:name="caption"/>
    <w:lsdException w:qFormat="1" w:unhideWhenUsed="0" w:uiPriority="0"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qFormat="1" w:uiPriority="99" w:semiHidden="0" w:name="Body Text First Indent"/>
    <w:lsdException w:qFormat="1" w:uiPriority="99" w:semiHidden="0" w:name="Body Text First Indent 2"/>
    <w:lsdException w:uiPriority="99" w:name="Note Heading"/>
    <w:lsdException w:qFormat="1" w:unhideWhenUsed="0" w:uiPriority="0" w:semiHidden="0" w:name="Body Text 2"/>
    <w:lsdException w:uiPriority="99" w:name="Body Text 3"/>
    <w:lsdException w:qFormat="1" w:uiPriority="99" w:semiHidden="0" w:name="Body Text Indent 2"/>
    <w:lsdException w:qFormat="1" w:uiPriority="99"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iPriority="99" w:semiHidden="0"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8"/>
      <w:szCs w:val="24"/>
      <w:lang w:val="en-US" w:eastAsia="zh-CN" w:bidi="ar-SA"/>
    </w:rPr>
  </w:style>
  <w:style w:type="paragraph" w:styleId="5">
    <w:name w:val="heading 1"/>
    <w:basedOn w:val="1"/>
    <w:next w:val="1"/>
    <w:link w:val="55"/>
    <w:qFormat/>
    <w:uiPriority w:val="9"/>
    <w:pPr>
      <w:keepNext/>
      <w:keepLines/>
      <w:spacing w:before="340" w:after="330" w:line="578" w:lineRule="auto"/>
      <w:outlineLvl w:val="0"/>
    </w:pPr>
    <w:rPr>
      <w:b/>
      <w:bCs/>
      <w:kern w:val="44"/>
      <w:sz w:val="44"/>
      <w:szCs w:val="44"/>
    </w:rPr>
  </w:style>
  <w:style w:type="paragraph" w:styleId="6">
    <w:name w:val="heading 2"/>
    <w:basedOn w:val="1"/>
    <w:next w:val="1"/>
    <w:link w:val="56"/>
    <w:qFormat/>
    <w:uiPriority w:val="9"/>
    <w:pPr>
      <w:keepNext/>
      <w:keepLines/>
      <w:spacing w:before="260" w:after="260" w:line="416" w:lineRule="auto"/>
      <w:outlineLvl w:val="1"/>
    </w:pPr>
    <w:rPr>
      <w:rFonts w:ascii="Cambria" w:hAnsi="Cambria"/>
      <w:b/>
      <w:bCs/>
      <w:kern w:val="0"/>
      <w:sz w:val="32"/>
      <w:szCs w:val="32"/>
    </w:rPr>
  </w:style>
  <w:style w:type="paragraph" w:styleId="7">
    <w:name w:val="heading 3"/>
    <w:basedOn w:val="1"/>
    <w:next w:val="1"/>
    <w:link w:val="57"/>
    <w:qFormat/>
    <w:uiPriority w:val="9"/>
    <w:pPr>
      <w:keepNext/>
      <w:keepLines/>
      <w:spacing w:before="260" w:after="260" w:line="416" w:lineRule="auto"/>
      <w:outlineLvl w:val="2"/>
    </w:pPr>
    <w:rPr>
      <w:b/>
      <w:bCs/>
      <w:kern w:val="0"/>
      <w:sz w:val="32"/>
      <w:szCs w:val="32"/>
    </w:rPr>
  </w:style>
  <w:style w:type="paragraph" w:styleId="8">
    <w:name w:val="heading 4"/>
    <w:basedOn w:val="1"/>
    <w:next w:val="1"/>
    <w:link w:val="58"/>
    <w:qFormat/>
    <w:uiPriority w:val="0"/>
    <w:pPr>
      <w:keepNext/>
      <w:keepLines/>
      <w:widowControl/>
      <w:spacing w:before="280" w:after="290" w:line="376" w:lineRule="auto"/>
      <w:jc w:val="left"/>
      <w:outlineLvl w:val="3"/>
    </w:pPr>
    <w:rPr>
      <w:rFonts w:ascii="Arial Unicode MS" w:hAnsi="Arial Unicode MS" w:eastAsia="Cambria Math"/>
      <w:b/>
      <w:bCs/>
      <w:kern w:val="0"/>
      <w:szCs w:val="28"/>
    </w:rPr>
  </w:style>
  <w:style w:type="paragraph" w:styleId="9">
    <w:name w:val="heading 6"/>
    <w:basedOn w:val="1"/>
    <w:next w:val="10"/>
    <w:link w:val="59"/>
    <w:qFormat/>
    <w:uiPriority w:val="0"/>
    <w:pPr>
      <w:keepNext/>
      <w:keepLines/>
      <w:numPr>
        <w:ilvl w:val="5"/>
        <w:numId w:val="1"/>
      </w:numPr>
      <w:tabs>
        <w:tab w:val="left" w:pos="1152"/>
      </w:tabs>
      <w:spacing w:before="240" w:after="64" w:line="320" w:lineRule="auto"/>
      <w:jc w:val="left"/>
      <w:outlineLvl w:val="5"/>
    </w:pPr>
    <w:rPr>
      <w:rFonts w:ascii="Arial Unicode MS" w:hAnsi="Arial Unicode MS" w:eastAsia="Cambria Math"/>
      <w:b/>
      <w:bCs/>
      <w:spacing w:val="6"/>
      <w:sz w:val="24"/>
    </w:rPr>
  </w:style>
  <w:style w:type="paragraph" w:styleId="11">
    <w:name w:val="heading 7"/>
    <w:basedOn w:val="1"/>
    <w:next w:val="10"/>
    <w:link w:val="61"/>
    <w:qFormat/>
    <w:uiPriority w:val="0"/>
    <w:pPr>
      <w:keepNext/>
      <w:keepLines/>
      <w:numPr>
        <w:ilvl w:val="6"/>
        <w:numId w:val="1"/>
      </w:numPr>
      <w:tabs>
        <w:tab w:val="left" w:pos="1296"/>
      </w:tabs>
      <w:spacing w:before="240" w:after="64" w:line="320" w:lineRule="auto"/>
      <w:jc w:val="left"/>
      <w:outlineLvl w:val="6"/>
    </w:pPr>
    <w:rPr>
      <w:rFonts w:ascii="Cambria" w:hAnsi="Cambria"/>
      <w:b/>
      <w:bCs/>
      <w:spacing w:val="6"/>
      <w:sz w:val="24"/>
    </w:rPr>
  </w:style>
  <w:style w:type="paragraph" w:styleId="12">
    <w:name w:val="heading 8"/>
    <w:basedOn w:val="1"/>
    <w:next w:val="10"/>
    <w:link w:val="62"/>
    <w:qFormat/>
    <w:uiPriority w:val="0"/>
    <w:pPr>
      <w:keepNext/>
      <w:keepLines/>
      <w:numPr>
        <w:ilvl w:val="7"/>
        <w:numId w:val="1"/>
      </w:numPr>
      <w:tabs>
        <w:tab w:val="left" w:pos="1440"/>
      </w:tabs>
      <w:spacing w:before="240" w:after="64" w:line="320" w:lineRule="auto"/>
      <w:jc w:val="left"/>
      <w:outlineLvl w:val="7"/>
    </w:pPr>
    <w:rPr>
      <w:rFonts w:ascii="Arial Unicode MS" w:hAnsi="Arial Unicode MS" w:eastAsia="Cambria Math"/>
      <w:spacing w:val="6"/>
      <w:sz w:val="24"/>
    </w:rPr>
  </w:style>
  <w:style w:type="paragraph" w:styleId="13">
    <w:name w:val="heading 9"/>
    <w:basedOn w:val="1"/>
    <w:next w:val="10"/>
    <w:link w:val="63"/>
    <w:qFormat/>
    <w:uiPriority w:val="0"/>
    <w:pPr>
      <w:keepNext/>
      <w:keepLines/>
      <w:numPr>
        <w:ilvl w:val="8"/>
        <w:numId w:val="1"/>
      </w:numPr>
      <w:tabs>
        <w:tab w:val="left" w:pos="1584"/>
      </w:tabs>
      <w:spacing w:before="240" w:after="64" w:line="320" w:lineRule="auto"/>
      <w:jc w:val="left"/>
      <w:outlineLvl w:val="8"/>
    </w:pPr>
    <w:rPr>
      <w:rFonts w:ascii="Arial Unicode MS" w:hAnsi="Arial Unicode MS" w:eastAsia="Cambria Math"/>
      <w:spacing w:val="6"/>
      <w:sz w:val="24"/>
    </w:rPr>
  </w:style>
  <w:style w:type="character" w:default="1" w:styleId="44">
    <w:name w:val="Default Paragraph Font"/>
    <w:unhideWhenUsed/>
    <w:qFormat/>
    <w:uiPriority w:val="1"/>
  </w:style>
  <w:style w:type="table" w:default="1" w:styleId="42">
    <w:name w:val="Normal Table"/>
    <w:unhideWhenUsed/>
    <w:qFormat/>
    <w:uiPriority w:val="99"/>
    <w:tblPr>
      <w:tblCellMar>
        <w:top w:w="0" w:type="dxa"/>
        <w:left w:w="108" w:type="dxa"/>
        <w:bottom w:w="0" w:type="dxa"/>
        <w:right w:w="108" w:type="dxa"/>
      </w:tblCellMar>
    </w:tblPr>
  </w:style>
  <w:style w:type="paragraph" w:styleId="2">
    <w:name w:val="Body Text First Indent"/>
    <w:basedOn w:val="3"/>
    <w:next w:val="4"/>
    <w:link w:val="54"/>
    <w:unhideWhenUsed/>
    <w:qFormat/>
    <w:uiPriority w:val="99"/>
    <w:pPr>
      <w:ind w:firstLine="420" w:firstLineChars="100"/>
    </w:pPr>
  </w:style>
  <w:style w:type="paragraph" w:styleId="3">
    <w:name w:val="Body Text"/>
    <w:basedOn w:val="1"/>
    <w:next w:val="2"/>
    <w:link w:val="53"/>
    <w:unhideWhenUsed/>
    <w:qFormat/>
    <w:uiPriority w:val="0"/>
    <w:pPr>
      <w:spacing w:after="120"/>
    </w:pPr>
  </w:style>
  <w:style w:type="paragraph" w:styleId="4">
    <w:name w:val="toc 6"/>
    <w:basedOn w:val="1"/>
    <w:next w:val="1"/>
    <w:unhideWhenUsed/>
    <w:qFormat/>
    <w:uiPriority w:val="39"/>
    <w:pPr>
      <w:ind w:left="2100" w:leftChars="1000"/>
    </w:pPr>
    <w:rPr>
      <w:sz w:val="21"/>
      <w:szCs w:val="22"/>
    </w:rPr>
  </w:style>
  <w:style w:type="paragraph" w:styleId="10">
    <w:name w:val="Normal Indent"/>
    <w:basedOn w:val="1"/>
    <w:link w:val="60"/>
    <w:qFormat/>
    <w:uiPriority w:val="0"/>
    <w:pPr>
      <w:ind w:firstLine="420"/>
    </w:pPr>
    <w:rPr>
      <w:rFonts w:ascii="Times New Roman" w:hAnsi="Times New Roman"/>
      <w:kern w:val="0"/>
      <w:sz w:val="20"/>
      <w:szCs w:val="20"/>
    </w:rPr>
  </w:style>
  <w:style w:type="paragraph" w:styleId="14">
    <w:name w:val="toc 7"/>
    <w:basedOn w:val="1"/>
    <w:next w:val="1"/>
    <w:unhideWhenUsed/>
    <w:qFormat/>
    <w:uiPriority w:val="39"/>
    <w:pPr>
      <w:ind w:left="2520" w:leftChars="1200"/>
    </w:pPr>
    <w:rPr>
      <w:sz w:val="21"/>
      <w:szCs w:val="22"/>
    </w:rPr>
  </w:style>
  <w:style w:type="paragraph" w:styleId="15">
    <w:name w:val="List Number"/>
    <w:basedOn w:val="1"/>
    <w:qFormat/>
    <w:uiPriority w:val="0"/>
    <w:pPr>
      <w:widowControl/>
      <w:tabs>
        <w:tab w:val="left" w:pos="454"/>
      </w:tabs>
      <w:spacing w:afterLines="50"/>
      <w:ind w:left="454" w:hanging="284"/>
      <w:jc w:val="left"/>
    </w:pPr>
    <w:rPr>
      <w:kern w:val="0"/>
      <w:sz w:val="24"/>
      <w:szCs w:val="20"/>
    </w:rPr>
  </w:style>
  <w:style w:type="paragraph" w:styleId="16">
    <w:name w:val="caption"/>
    <w:basedOn w:val="1"/>
    <w:next w:val="1"/>
    <w:qFormat/>
    <w:uiPriority w:val="35"/>
    <w:pPr>
      <w:spacing w:before="152" w:after="160"/>
    </w:pPr>
    <w:rPr>
      <w:rFonts w:ascii="Arial" w:hAnsi="Arial" w:eastAsia="黑体" w:cs="Arial"/>
      <w:sz w:val="20"/>
      <w:szCs w:val="20"/>
    </w:rPr>
  </w:style>
  <w:style w:type="paragraph" w:styleId="17">
    <w:name w:val="Document Map"/>
    <w:basedOn w:val="1"/>
    <w:link w:val="64"/>
    <w:unhideWhenUsed/>
    <w:qFormat/>
    <w:uiPriority w:val="99"/>
    <w:pPr>
      <w:widowControl/>
      <w:jc w:val="left"/>
    </w:pPr>
    <w:rPr>
      <w:rFonts w:ascii="仿宋_GB2312" w:hAnsi="Cambria"/>
      <w:kern w:val="0"/>
      <w:sz w:val="18"/>
      <w:szCs w:val="18"/>
    </w:rPr>
  </w:style>
  <w:style w:type="paragraph" w:styleId="18">
    <w:name w:val="annotation text"/>
    <w:basedOn w:val="1"/>
    <w:link w:val="65"/>
    <w:unhideWhenUsed/>
    <w:qFormat/>
    <w:uiPriority w:val="99"/>
    <w:pPr>
      <w:jc w:val="left"/>
    </w:pPr>
    <w:rPr>
      <w:rFonts w:ascii="Times New Roman" w:hAnsi="Times New Roman"/>
      <w:kern w:val="0"/>
    </w:rPr>
  </w:style>
  <w:style w:type="paragraph" w:styleId="19">
    <w:name w:val="Body Text Indent"/>
    <w:basedOn w:val="1"/>
    <w:link w:val="66"/>
    <w:qFormat/>
    <w:uiPriority w:val="0"/>
    <w:pPr>
      <w:spacing w:line="200" w:lineRule="atLeast"/>
      <w:ind w:firstLine="301"/>
    </w:pPr>
    <w:rPr>
      <w:rFonts w:ascii="宋体" w:hAnsi="Courier New"/>
      <w:spacing w:val="-4"/>
      <w:kern w:val="0"/>
      <w:sz w:val="18"/>
      <w:szCs w:val="20"/>
    </w:rPr>
  </w:style>
  <w:style w:type="paragraph" w:styleId="20">
    <w:name w:val="List 2"/>
    <w:basedOn w:val="1"/>
    <w:unhideWhenUsed/>
    <w:qFormat/>
    <w:uiPriority w:val="99"/>
    <w:pPr>
      <w:ind w:left="100" w:leftChars="200" w:hanging="200" w:hangingChars="200"/>
      <w:contextualSpacing/>
    </w:pPr>
  </w:style>
  <w:style w:type="paragraph" w:styleId="21">
    <w:name w:val="toc 5"/>
    <w:basedOn w:val="1"/>
    <w:next w:val="1"/>
    <w:unhideWhenUsed/>
    <w:qFormat/>
    <w:uiPriority w:val="39"/>
    <w:pPr>
      <w:ind w:left="1680" w:leftChars="800"/>
    </w:pPr>
    <w:rPr>
      <w:sz w:val="21"/>
      <w:szCs w:val="22"/>
    </w:rPr>
  </w:style>
  <w:style w:type="paragraph" w:styleId="22">
    <w:name w:val="toc 3"/>
    <w:basedOn w:val="1"/>
    <w:next w:val="1"/>
    <w:unhideWhenUsed/>
    <w:qFormat/>
    <w:uiPriority w:val="39"/>
    <w:pPr>
      <w:widowControl/>
      <w:ind w:left="840" w:leftChars="400"/>
      <w:jc w:val="left"/>
    </w:pPr>
    <w:rPr>
      <w:rFonts w:ascii="Cambria" w:hAnsi="Cambria"/>
      <w:kern w:val="0"/>
      <w:sz w:val="21"/>
      <w:szCs w:val="20"/>
    </w:rPr>
  </w:style>
  <w:style w:type="paragraph" w:styleId="23">
    <w:name w:val="Plain Text"/>
    <w:basedOn w:val="1"/>
    <w:link w:val="67"/>
    <w:qFormat/>
    <w:uiPriority w:val="99"/>
    <w:pPr>
      <w:spacing w:beforeLines="50" w:afterLines="50" w:line="400" w:lineRule="atLeast"/>
    </w:pPr>
    <w:rPr>
      <w:rFonts w:ascii="宋体" w:hAnsi="Courier New"/>
      <w:kern w:val="0"/>
      <w:sz w:val="24"/>
    </w:rPr>
  </w:style>
  <w:style w:type="paragraph" w:styleId="24">
    <w:name w:val="toc 8"/>
    <w:basedOn w:val="1"/>
    <w:next w:val="1"/>
    <w:unhideWhenUsed/>
    <w:qFormat/>
    <w:uiPriority w:val="39"/>
    <w:pPr>
      <w:ind w:left="2940" w:leftChars="1400"/>
    </w:pPr>
    <w:rPr>
      <w:sz w:val="21"/>
      <w:szCs w:val="22"/>
    </w:rPr>
  </w:style>
  <w:style w:type="paragraph" w:styleId="25">
    <w:name w:val="Date"/>
    <w:basedOn w:val="1"/>
    <w:next w:val="1"/>
    <w:link w:val="68"/>
    <w:qFormat/>
    <w:uiPriority w:val="99"/>
    <w:pPr>
      <w:ind w:left="2500" w:leftChars="2500"/>
    </w:pPr>
    <w:rPr>
      <w:rFonts w:eastAsia="楷体_GB2312"/>
      <w:kern w:val="0"/>
      <w:sz w:val="32"/>
      <w:szCs w:val="20"/>
    </w:rPr>
  </w:style>
  <w:style w:type="paragraph" w:styleId="26">
    <w:name w:val="Body Text Indent 2"/>
    <w:basedOn w:val="1"/>
    <w:link w:val="69"/>
    <w:unhideWhenUsed/>
    <w:qFormat/>
    <w:uiPriority w:val="99"/>
    <w:pPr>
      <w:spacing w:after="120" w:line="480" w:lineRule="auto"/>
      <w:ind w:left="420" w:leftChars="200"/>
    </w:pPr>
  </w:style>
  <w:style w:type="paragraph" w:styleId="27">
    <w:name w:val="Balloon Text"/>
    <w:basedOn w:val="1"/>
    <w:link w:val="70"/>
    <w:qFormat/>
    <w:uiPriority w:val="99"/>
    <w:rPr>
      <w:kern w:val="0"/>
      <w:sz w:val="18"/>
      <w:szCs w:val="18"/>
    </w:rPr>
  </w:style>
  <w:style w:type="paragraph" w:styleId="28">
    <w:name w:val="footer"/>
    <w:basedOn w:val="1"/>
    <w:link w:val="71"/>
    <w:unhideWhenUsed/>
    <w:qFormat/>
    <w:uiPriority w:val="0"/>
    <w:pPr>
      <w:tabs>
        <w:tab w:val="center" w:pos="4153"/>
        <w:tab w:val="right" w:pos="8306"/>
      </w:tabs>
      <w:snapToGrid w:val="0"/>
      <w:jc w:val="left"/>
    </w:pPr>
    <w:rPr>
      <w:rFonts w:ascii="Times New Roman" w:hAnsi="Times New Roman"/>
      <w:kern w:val="0"/>
      <w:sz w:val="18"/>
      <w:szCs w:val="18"/>
    </w:rPr>
  </w:style>
  <w:style w:type="paragraph" w:styleId="29">
    <w:name w:val="header"/>
    <w:basedOn w:val="1"/>
    <w:link w:val="72"/>
    <w:unhideWhenUsed/>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30">
    <w:name w:val="toc 1"/>
    <w:basedOn w:val="1"/>
    <w:next w:val="1"/>
    <w:qFormat/>
    <w:uiPriority w:val="39"/>
    <w:pPr>
      <w:spacing w:line="360" w:lineRule="atLeast"/>
    </w:pPr>
    <w:rPr>
      <w:rFonts w:ascii="宋体" w:cs="宋体"/>
      <w:sz w:val="22"/>
      <w:szCs w:val="22"/>
    </w:rPr>
  </w:style>
  <w:style w:type="paragraph" w:styleId="31">
    <w:name w:val="toc 4"/>
    <w:basedOn w:val="1"/>
    <w:next w:val="1"/>
    <w:unhideWhenUsed/>
    <w:qFormat/>
    <w:uiPriority w:val="39"/>
    <w:pPr>
      <w:ind w:left="1260" w:leftChars="600"/>
    </w:pPr>
    <w:rPr>
      <w:sz w:val="21"/>
      <w:szCs w:val="22"/>
    </w:rPr>
  </w:style>
  <w:style w:type="paragraph" w:styleId="32">
    <w:name w:val="List"/>
    <w:basedOn w:val="1"/>
    <w:qFormat/>
    <w:uiPriority w:val="0"/>
    <w:pPr>
      <w:ind w:left="200" w:hanging="200" w:hangingChars="200"/>
    </w:pPr>
  </w:style>
  <w:style w:type="paragraph" w:styleId="33">
    <w:name w:val="Body Text Indent 3"/>
    <w:basedOn w:val="1"/>
    <w:link w:val="73"/>
    <w:unhideWhenUsed/>
    <w:qFormat/>
    <w:uiPriority w:val="99"/>
    <w:pPr>
      <w:spacing w:after="120"/>
      <w:ind w:left="420" w:leftChars="200"/>
    </w:pPr>
    <w:rPr>
      <w:sz w:val="16"/>
      <w:szCs w:val="16"/>
    </w:rPr>
  </w:style>
  <w:style w:type="paragraph" w:styleId="34">
    <w:name w:val="table of figures"/>
    <w:basedOn w:val="1"/>
    <w:next w:val="1"/>
    <w:semiHidden/>
    <w:qFormat/>
    <w:uiPriority w:val="0"/>
    <w:pPr>
      <w:widowControl/>
      <w:ind w:left="840" w:leftChars="200" w:hanging="420" w:hangingChars="200"/>
      <w:jc w:val="left"/>
    </w:pPr>
    <w:rPr>
      <w:rFonts w:ascii="Cambria" w:hAnsi="Cambria"/>
      <w:kern w:val="0"/>
      <w:sz w:val="21"/>
      <w:szCs w:val="20"/>
    </w:rPr>
  </w:style>
  <w:style w:type="paragraph" w:styleId="35">
    <w:name w:val="toc 2"/>
    <w:basedOn w:val="1"/>
    <w:next w:val="1"/>
    <w:qFormat/>
    <w:uiPriority w:val="39"/>
    <w:pPr>
      <w:widowControl/>
      <w:tabs>
        <w:tab w:val="right" w:leader="middleDot" w:pos="8948"/>
      </w:tabs>
      <w:spacing w:before="60" w:after="60"/>
      <w:ind w:left="210"/>
      <w:jc w:val="left"/>
    </w:pPr>
    <w:rPr>
      <w:rFonts w:ascii="Cambria" w:hAnsi="Cambria"/>
      <w:smallCaps/>
      <w:kern w:val="0"/>
      <w:sz w:val="21"/>
      <w:szCs w:val="20"/>
    </w:rPr>
  </w:style>
  <w:style w:type="paragraph" w:styleId="36">
    <w:name w:val="toc 9"/>
    <w:basedOn w:val="1"/>
    <w:next w:val="1"/>
    <w:unhideWhenUsed/>
    <w:qFormat/>
    <w:uiPriority w:val="39"/>
    <w:pPr>
      <w:ind w:left="3360" w:leftChars="1600"/>
    </w:pPr>
    <w:rPr>
      <w:sz w:val="21"/>
      <w:szCs w:val="22"/>
    </w:rPr>
  </w:style>
  <w:style w:type="paragraph" w:styleId="37">
    <w:name w:val="Body Text 2"/>
    <w:basedOn w:val="1"/>
    <w:link w:val="74"/>
    <w:qFormat/>
    <w:uiPriority w:val="0"/>
    <w:pPr>
      <w:widowControl/>
      <w:snapToGrid w:val="0"/>
      <w:spacing w:before="50" w:afterLines="50" w:line="400" w:lineRule="atLeast"/>
      <w:jc w:val="left"/>
    </w:pPr>
    <w:rPr>
      <w:rFonts w:ascii="宋体" w:hAnsi="宋体"/>
      <w:color w:val="000000"/>
      <w:kern w:val="0"/>
      <w:sz w:val="24"/>
    </w:rPr>
  </w:style>
  <w:style w:type="paragraph" w:styleId="38">
    <w:name w:val="Normal (Web)"/>
    <w:basedOn w:val="1"/>
    <w:qFormat/>
    <w:uiPriority w:val="0"/>
    <w:pPr>
      <w:widowControl/>
      <w:spacing w:before="100" w:beforeAutospacing="1" w:after="100" w:afterAutospacing="1"/>
      <w:ind w:firstLine="420"/>
      <w:jc w:val="left"/>
    </w:pPr>
    <w:rPr>
      <w:rFonts w:ascii="宋体" w:hAnsi="宋体"/>
      <w:kern w:val="0"/>
      <w:sz w:val="20"/>
      <w:szCs w:val="20"/>
    </w:rPr>
  </w:style>
  <w:style w:type="paragraph" w:styleId="39">
    <w:name w:val="Title"/>
    <w:basedOn w:val="1"/>
    <w:link w:val="75"/>
    <w:qFormat/>
    <w:uiPriority w:val="10"/>
    <w:pPr>
      <w:spacing w:before="240" w:after="60"/>
      <w:jc w:val="center"/>
      <w:outlineLvl w:val="0"/>
    </w:pPr>
    <w:rPr>
      <w:rFonts w:ascii="Cambria" w:hAnsi="Cambria"/>
      <w:b/>
      <w:bCs/>
      <w:sz w:val="32"/>
      <w:szCs w:val="32"/>
    </w:rPr>
  </w:style>
  <w:style w:type="paragraph" w:styleId="40">
    <w:name w:val="annotation subject"/>
    <w:basedOn w:val="18"/>
    <w:next w:val="18"/>
    <w:link w:val="76"/>
    <w:unhideWhenUsed/>
    <w:qFormat/>
    <w:uiPriority w:val="99"/>
    <w:rPr>
      <w:b/>
      <w:bCs/>
    </w:rPr>
  </w:style>
  <w:style w:type="paragraph" w:styleId="41">
    <w:name w:val="Body Text First Indent 2"/>
    <w:basedOn w:val="19"/>
    <w:link w:val="77"/>
    <w:unhideWhenUsed/>
    <w:qFormat/>
    <w:uiPriority w:val="99"/>
    <w:pPr>
      <w:spacing w:after="120" w:line="240" w:lineRule="auto"/>
      <w:ind w:left="420" w:leftChars="200" w:firstLine="420" w:firstLineChars="200"/>
    </w:pPr>
    <w:rPr>
      <w:rFonts w:ascii="Calibri" w:hAnsi="Calibri"/>
      <w:kern w:val="2"/>
      <w:sz w:val="28"/>
      <w:szCs w:val="24"/>
    </w:rPr>
  </w:style>
  <w:style w:type="table" w:styleId="43">
    <w:name w:val="Table Grid"/>
    <w:basedOn w:val="42"/>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5">
    <w:name w:val="Strong"/>
    <w:basedOn w:val="44"/>
    <w:qFormat/>
    <w:uiPriority w:val="22"/>
    <w:rPr>
      <w:b/>
      <w:bCs/>
    </w:rPr>
  </w:style>
  <w:style w:type="character" w:styleId="46">
    <w:name w:val="page number"/>
    <w:qFormat/>
    <w:uiPriority w:val="0"/>
  </w:style>
  <w:style w:type="character" w:styleId="47">
    <w:name w:val="FollowedHyperlink"/>
    <w:unhideWhenUsed/>
    <w:qFormat/>
    <w:uiPriority w:val="99"/>
    <w:rPr>
      <w:color w:val="5579A7"/>
      <w:u w:val="none"/>
    </w:rPr>
  </w:style>
  <w:style w:type="character" w:styleId="48">
    <w:name w:val="Emphasis"/>
    <w:qFormat/>
    <w:uiPriority w:val="20"/>
  </w:style>
  <w:style w:type="character" w:styleId="49">
    <w:name w:val="Hyperlink"/>
    <w:qFormat/>
    <w:uiPriority w:val="99"/>
    <w:rPr>
      <w:color w:val="5579A7"/>
      <w:u w:val="none"/>
    </w:rPr>
  </w:style>
  <w:style w:type="character" w:styleId="50">
    <w:name w:val="annotation reference"/>
    <w:unhideWhenUsed/>
    <w:qFormat/>
    <w:uiPriority w:val="0"/>
    <w:rPr>
      <w:sz w:val="21"/>
      <w:szCs w:val="21"/>
    </w:rPr>
  </w:style>
  <w:style w:type="character" w:styleId="51">
    <w:name w:val="HTML Cite"/>
    <w:unhideWhenUsed/>
    <w:qFormat/>
    <w:uiPriority w:val="99"/>
    <w:rPr>
      <w:color w:val="008000"/>
    </w:rPr>
  </w:style>
  <w:style w:type="paragraph" w:customStyle="1" w:styleId="52">
    <w:name w:val="表格文字"/>
    <w:basedOn w:val="1"/>
    <w:next w:val="3"/>
    <w:qFormat/>
    <w:uiPriority w:val="0"/>
    <w:pPr>
      <w:adjustRightInd w:val="0"/>
      <w:spacing w:line="420" w:lineRule="atLeast"/>
      <w:jc w:val="left"/>
      <w:textAlignment w:val="baseline"/>
    </w:pPr>
    <w:rPr>
      <w:rFonts w:ascii="Times New Roman" w:hAnsi="Times New Roman"/>
      <w:kern w:val="0"/>
      <w:sz w:val="21"/>
      <w:szCs w:val="20"/>
    </w:rPr>
  </w:style>
  <w:style w:type="character" w:customStyle="1" w:styleId="53">
    <w:name w:val="正文文本 字符"/>
    <w:link w:val="3"/>
    <w:qFormat/>
    <w:uiPriority w:val="0"/>
    <w:rPr>
      <w:rFonts w:ascii="Calibri" w:hAnsi="Calibri" w:eastAsia="宋体" w:cs="Times New Roman"/>
      <w:kern w:val="2"/>
      <w:sz w:val="28"/>
      <w:szCs w:val="24"/>
    </w:rPr>
  </w:style>
  <w:style w:type="character" w:customStyle="1" w:styleId="54">
    <w:name w:val="正文文本首行缩进 字符"/>
    <w:link w:val="2"/>
    <w:qFormat/>
    <w:uiPriority w:val="99"/>
    <w:rPr>
      <w:rFonts w:ascii="Calibri" w:hAnsi="Calibri" w:eastAsia="宋体" w:cs="Times New Roman"/>
      <w:kern w:val="2"/>
      <w:sz w:val="28"/>
      <w:szCs w:val="24"/>
    </w:rPr>
  </w:style>
  <w:style w:type="character" w:customStyle="1" w:styleId="55">
    <w:name w:val="标题 1 字符"/>
    <w:link w:val="5"/>
    <w:qFormat/>
    <w:uiPriority w:val="9"/>
    <w:rPr>
      <w:rFonts w:ascii="Calibri" w:hAnsi="Calibri" w:eastAsia="宋体" w:cs="Times New Roman"/>
      <w:b/>
      <w:bCs/>
      <w:kern w:val="44"/>
      <w:sz w:val="44"/>
      <w:szCs w:val="44"/>
    </w:rPr>
  </w:style>
  <w:style w:type="character" w:customStyle="1" w:styleId="56">
    <w:name w:val="标题 2 字符"/>
    <w:link w:val="6"/>
    <w:qFormat/>
    <w:uiPriority w:val="9"/>
    <w:rPr>
      <w:rFonts w:ascii="Cambria" w:hAnsi="Cambria" w:eastAsia="宋体" w:cs="Times New Roman"/>
      <w:b/>
      <w:bCs/>
      <w:sz w:val="32"/>
      <w:szCs w:val="32"/>
    </w:rPr>
  </w:style>
  <w:style w:type="character" w:customStyle="1" w:styleId="57">
    <w:name w:val="标题 3 字符"/>
    <w:link w:val="7"/>
    <w:qFormat/>
    <w:uiPriority w:val="9"/>
    <w:rPr>
      <w:rFonts w:ascii="Calibri" w:hAnsi="Calibri" w:eastAsia="宋体" w:cs="Times New Roman"/>
      <w:b/>
      <w:bCs/>
      <w:sz w:val="32"/>
      <w:szCs w:val="32"/>
    </w:rPr>
  </w:style>
  <w:style w:type="character" w:customStyle="1" w:styleId="58">
    <w:name w:val="标题 4 字符"/>
    <w:link w:val="8"/>
    <w:qFormat/>
    <w:uiPriority w:val="0"/>
    <w:rPr>
      <w:rFonts w:ascii="Arial Unicode MS" w:hAnsi="Arial Unicode MS" w:eastAsia="Cambria Math"/>
      <w:b/>
      <w:bCs/>
      <w:sz w:val="28"/>
      <w:szCs w:val="28"/>
    </w:rPr>
  </w:style>
  <w:style w:type="character" w:customStyle="1" w:styleId="59">
    <w:name w:val="标题 6 字符"/>
    <w:link w:val="9"/>
    <w:qFormat/>
    <w:uiPriority w:val="0"/>
    <w:rPr>
      <w:rFonts w:ascii="Arial Unicode MS" w:hAnsi="Arial Unicode MS" w:eastAsia="Cambria Math"/>
      <w:b/>
      <w:bCs/>
      <w:spacing w:val="6"/>
      <w:kern w:val="2"/>
      <w:sz w:val="24"/>
      <w:szCs w:val="24"/>
    </w:rPr>
  </w:style>
  <w:style w:type="character" w:customStyle="1" w:styleId="60">
    <w:name w:val="正文缩进 字符"/>
    <w:link w:val="10"/>
    <w:qFormat/>
    <w:uiPriority w:val="0"/>
    <w:rPr>
      <w:rFonts w:eastAsia="宋体"/>
    </w:rPr>
  </w:style>
  <w:style w:type="character" w:customStyle="1" w:styleId="61">
    <w:name w:val="标题 7 字符"/>
    <w:link w:val="11"/>
    <w:qFormat/>
    <w:uiPriority w:val="0"/>
    <w:rPr>
      <w:rFonts w:ascii="Cambria" w:hAnsi="Cambria"/>
      <w:b/>
      <w:bCs/>
      <w:spacing w:val="6"/>
      <w:kern w:val="2"/>
      <w:sz w:val="24"/>
      <w:szCs w:val="24"/>
    </w:rPr>
  </w:style>
  <w:style w:type="character" w:customStyle="1" w:styleId="62">
    <w:name w:val="标题 8 字符"/>
    <w:link w:val="12"/>
    <w:qFormat/>
    <w:uiPriority w:val="0"/>
    <w:rPr>
      <w:rFonts w:ascii="Arial Unicode MS" w:hAnsi="Arial Unicode MS" w:eastAsia="Cambria Math"/>
      <w:spacing w:val="6"/>
      <w:kern w:val="2"/>
      <w:sz w:val="24"/>
      <w:szCs w:val="24"/>
    </w:rPr>
  </w:style>
  <w:style w:type="character" w:customStyle="1" w:styleId="63">
    <w:name w:val="标题 9 字符"/>
    <w:link w:val="13"/>
    <w:qFormat/>
    <w:uiPriority w:val="0"/>
    <w:rPr>
      <w:rFonts w:ascii="Arial Unicode MS" w:hAnsi="Arial Unicode MS" w:eastAsia="Cambria Math"/>
      <w:spacing w:val="6"/>
      <w:kern w:val="2"/>
      <w:sz w:val="24"/>
      <w:szCs w:val="24"/>
    </w:rPr>
  </w:style>
  <w:style w:type="character" w:customStyle="1" w:styleId="64">
    <w:name w:val="文档结构图 字符"/>
    <w:link w:val="17"/>
    <w:qFormat/>
    <w:uiPriority w:val="99"/>
    <w:rPr>
      <w:rFonts w:ascii="仿宋_GB2312" w:hAnsi="Cambria"/>
      <w:sz w:val="18"/>
      <w:szCs w:val="18"/>
    </w:rPr>
  </w:style>
  <w:style w:type="character" w:customStyle="1" w:styleId="65">
    <w:name w:val="批注文字 字符"/>
    <w:link w:val="18"/>
    <w:qFormat/>
    <w:uiPriority w:val="99"/>
    <w:rPr>
      <w:sz w:val="28"/>
      <w:szCs w:val="24"/>
    </w:rPr>
  </w:style>
  <w:style w:type="character" w:customStyle="1" w:styleId="66">
    <w:name w:val="正文文本缩进 字符1"/>
    <w:link w:val="19"/>
    <w:qFormat/>
    <w:uiPriority w:val="0"/>
    <w:rPr>
      <w:rFonts w:ascii="宋体" w:hAnsi="Courier New"/>
      <w:spacing w:val="-4"/>
      <w:sz w:val="18"/>
    </w:rPr>
  </w:style>
  <w:style w:type="character" w:customStyle="1" w:styleId="67">
    <w:name w:val="纯文本 字符1"/>
    <w:link w:val="23"/>
    <w:qFormat/>
    <w:uiPriority w:val="99"/>
    <w:rPr>
      <w:rFonts w:ascii="宋体" w:hAnsi="Courier New"/>
      <w:sz w:val="24"/>
      <w:szCs w:val="24"/>
    </w:rPr>
  </w:style>
  <w:style w:type="character" w:customStyle="1" w:styleId="68">
    <w:name w:val="日期 字符"/>
    <w:link w:val="25"/>
    <w:qFormat/>
    <w:uiPriority w:val="99"/>
    <w:rPr>
      <w:rFonts w:ascii="Calibri" w:hAnsi="Calibri" w:eastAsia="楷体_GB2312" w:cs="Times New Roman"/>
      <w:sz w:val="32"/>
      <w:szCs w:val="20"/>
    </w:rPr>
  </w:style>
  <w:style w:type="character" w:customStyle="1" w:styleId="69">
    <w:name w:val="正文文本缩进 2 字符"/>
    <w:link w:val="26"/>
    <w:semiHidden/>
    <w:qFormat/>
    <w:uiPriority w:val="99"/>
    <w:rPr>
      <w:rFonts w:ascii="Calibri" w:hAnsi="Calibri" w:eastAsia="宋体" w:cs="Times New Roman"/>
      <w:kern w:val="2"/>
      <w:sz w:val="28"/>
      <w:szCs w:val="24"/>
    </w:rPr>
  </w:style>
  <w:style w:type="character" w:customStyle="1" w:styleId="70">
    <w:name w:val="批注框文本 字符"/>
    <w:link w:val="27"/>
    <w:qFormat/>
    <w:uiPriority w:val="99"/>
    <w:rPr>
      <w:rFonts w:ascii="Calibri" w:hAnsi="Calibri" w:eastAsia="宋体" w:cs="Times New Roman"/>
      <w:sz w:val="18"/>
      <w:szCs w:val="18"/>
    </w:rPr>
  </w:style>
  <w:style w:type="character" w:customStyle="1" w:styleId="71">
    <w:name w:val="页脚 字符2"/>
    <w:link w:val="28"/>
    <w:qFormat/>
    <w:uiPriority w:val="0"/>
    <w:rPr>
      <w:sz w:val="18"/>
      <w:szCs w:val="18"/>
    </w:rPr>
  </w:style>
  <w:style w:type="character" w:customStyle="1" w:styleId="72">
    <w:name w:val="页眉 字符2"/>
    <w:link w:val="29"/>
    <w:qFormat/>
    <w:uiPriority w:val="99"/>
    <w:rPr>
      <w:sz w:val="18"/>
      <w:szCs w:val="18"/>
    </w:rPr>
  </w:style>
  <w:style w:type="character" w:customStyle="1" w:styleId="73">
    <w:name w:val="正文文本缩进 3 字符"/>
    <w:link w:val="33"/>
    <w:qFormat/>
    <w:uiPriority w:val="99"/>
    <w:rPr>
      <w:rFonts w:ascii="Calibri" w:hAnsi="Calibri" w:eastAsia="宋体" w:cs="Times New Roman"/>
      <w:kern w:val="2"/>
      <w:sz w:val="16"/>
      <w:szCs w:val="16"/>
    </w:rPr>
  </w:style>
  <w:style w:type="character" w:customStyle="1" w:styleId="74">
    <w:name w:val="正文文本 2 字符"/>
    <w:link w:val="37"/>
    <w:qFormat/>
    <w:uiPriority w:val="0"/>
    <w:rPr>
      <w:rFonts w:ascii="宋体" w:hAnsi="宋体" w:eastAsia="宋体" w:cs="Times New Roman"/>
      <w:color w:val="000000"/>
      <w:sz w:val="24"/>
      <w:szCs w:val="24"/>
    </w:rPr>
  </w:style>
  <w:style w:type="character" w:customStyle="1" w:styleId="75">
    <w:name w:val="标题 字符"/>
    <w:link w:val="39"/>
    <w:qFormat/>
    <w:uiPriority w:val="10"/>
    <w:rPr>
      <w:rFonts w:ascii="Cambria" w:hAnsi="Cambria" w:eastAsia="宋体" w:cs="Times New Roman"/>
      <w:b/>
      <w:bCs/>
      <w:kern w:val="2"/>
      <w:sz w:val="32"/>
      <w:szCs w:val="32"/>
    </w:rPr>
  </w:style>
  <w:style w:type="character" w:customStyle="1" w:styleId="76">
    <w:name w:val="批注主题 字符"/>
    <w:link w:val="40"/>
    <w:qFormat/>
    <w:uiPriority w:val="99"/>
    <w:rPr>
      <w:b/>
      <w:bCs/>
      <w:sz w:val="28"/>
      <w:szCs w:val="24"/>
    </w:rPr>
  </w:style>
  <w:style w:type="character" w:customStyle="1" w:styleId="77">
    <w:name w:val="正文文本首行缩进 2 字符"/>
    <w:link w:val="41"/>
    <w:semiHidden/>
    <w:qFormat/>
    <w:uiPriority w:val="99"/>
    <w:rPr>
      <w:rFonts w:ascii="Calibri" w:hAnsi="Calibri"/>
      <w:spacing w:val="-4"/>
      <w:kern w:val="2"/>
      <w:sz w:val="28"/>
      <w:szCs w:val="24"/>
    </w:rPr>
  </w:style>
  <w:style w:type="character" w:customStyle="1" w:styleId="78">
    <w:name w:val="标题 1 Char"/>
    <w:qFormat/>
    <w:uiPriority w:val="0"/>
    <w:rPr>
      <w:rFonts w:ascii="Calibri" w:hAnsi="Calibri" w:eastAsia="宋体" w:cs="Times New Roman"/>
      <w:b/>
      <w:bCs/>
      <w:kern w:val="44"/>
      <w:sz w:val="44"/>
      <w:szCs w:val="44"/>
    </w:rPr>
  </w:style>
  <w:style w:type="character" w:customStyle="1" w:styleId="79">
    <w:name w:val="标题 2 Char"/>
    <w:semiHidden/>
    <w:qFormat/>
    <w:uiPriority w:val="9"/>
    <w:rPr>
      <w:rFonts w:ascii="Cambria" w:hAnsi="Cambria" w:eastAsia="宋体" w:cs="Times New Roman"/>
      <w:b/>
      <w:bCs/>
      <w:sz w:val="32"/>
      <w:szCs w:val="32"/>
    </w:rPr>
  </w:style>
  <w:style w:type="character" w:customStyle="1" w:styleId="80">
    <w:name w:val="jbox-icon-warning"/>
    <w:qFormat/>
    <w:uiPriority w:val="0"/>
  </w:style>
  <w:style w:type="character" w:customStyle="1" w:styleId="81">
    <w:name w:val="jbox-icon-none"/>
    <w:qFormat/>
    <w:uiPriority w:val="0"/>
    <w:rPr>
      <w:vanish/>
    </w:rPr>
  </w:style>
  <w:style w:type="character" w:customStyle="1" w:styleId="82">
    <w:name w:val="jbox-icon-question"/>
    <w:qFormat/>
    <w:uiPriority w:val="0"/>
  </w:style>
  <w:style w:type="character" w:customStyle="1" w:styleId="83">
    <w:name w:val="正文文本缩进 Char"/>
    <w:qFormat/>
    <w:uiPriority w:val="0"/>
    <w:rPr>
      <w:rFonts w:ascii="宋体" w:hAnsi="Courier New"/>
      <w:spacing w:val="-4"/>
      <w:kern w:val="2"/>
      <w:sz w:val="18"/>
    </w:rPr>
  </w:style>
  <w:style w:type="character" w:customStyle="1" w:styleId="84">
    <w:name w:val="jbox-icon"/>
    <w:qFormat/>
    <w:uiPriority w:val="0"/>
  </w:style>
  <w:style w:type="character" w:customStyle="1" w:styleId="85">
    <w:name w:val="z-窗体顶端 Char1"/>
    <w:link w:val="86"/>
    <w:qFormat/>
    <w:uiPriority w:val="99"/>
    <w:rPr>
      <w:rFonts w:ascii="Arial" w:hAnsi="Arial"/>
      <w:vanish/>
      <w:sz w:val="16"/>
      <w:szCs w:val="16"/>
    </w:rPr>
  </w:style>
  <w:style w:type="paragraph" w:customStyle="1" w:styleId="86">
    <w:name w:val="z-窗体顶端1"/>
    <w:basedOn w:val="1"/>
    <w:next w:val="1"/>
    <w:link w:val="85"/>
    <w:unhideWhenUsed/>
    <w:qFormat/>
    <w:uiPriority w:val="99"/>
    <w:pPr>
      <w:widowControl/>
      <w:pBdr>
        <w:bottom w:val="single" w:color="auto" w:sz="6" w:space="1"/>
      </w:pBdr>
      <w:jc w:val="center"/>
    </w:pPr>
    <w:rPr>
      <w:rFonts w:ascii="Arial" w:hAnsi="Arial"/>
      <w:vanish/>
      <w:kern w:val="0"/>
      <w:sz w:val="16"/>
      <w:szCs w:val="16"/>
    </w:rPr>
  </w:style>
  <w:style w:type="character" w:customStyle="1" w:styleId="87">
    <w:name w:val="纯文本 Char1"/>
    <w:qFormat/>
    <w:uiPriority w:val="0"/>
    <w:rPr>
      <w:rFonts w:ascii="宋体" w:hAnsi="Courier New"/>
      <w:kern w:val="2"/>
      <w:sz w:val="21"/>
    </w:rPr>
  </w:style>
  <w:style w:type="character" w:customStyle="1" w:styleId="88">
    <w:name w:val="jbox-icon-info"/>
    <w:qFormat/>
    <w:uiPriority w:val="0"/>
  </w:style>
  <w:style w:type="character" w:customStyle="1" w:styleId="89">
    <w:name w:val="页脚 字符1"/>
    <w:qFormat/>
    <w:uiPriority w:val="99"/>
    <w:rPr>
      <w:kern w:val="2"/>
      <w:sz w:val="18"/>
      <w:szCs w:val="18"/>
    </w:rPr>
  </w:style>
  <w:style w:type="character" w:customStyle="1" w:styleId="90">
    <w:name w:val="页眉 字符"/>
    <w:qFormat/>
    <w:uiPriority w:val="99"/>
  </w:style>
  <w:style w:type="character" w:customStyle="1" w:styleId="91">
    <w:name w:val="jbox-icon-success"/>
    <w:qFormat/>
    <w:uiPriority w:val="0"/>
  </w:style>
  <w:style w:type="character" w:customStyle="1" w:styleId="92">
    <w:name w:val="black601"/>
    <w:qFormat/>
    <w:uiPriority w:val="0"/>
    <w:rPr>
      <w:color w:val="666666"/>
    </w:rPr>
  </w:style>
  <w:style w:type="character" w:customStyle="1" w:styleId="93">
    <w:name w:val="正文文本缩进 字符"/>
    <w:qFormat/>
    <w:uiPriority w:val="0"/>
    <w:rPr>
      <w:rFonts w:ascii="宋体" w:hAnsi="Courier New"/>
      <w:spacing w:val="-4"/>
      <w:kern w:val="2"/>
      <w:sz w:val="18"/>
    </w:rPr>
  </w:style>
  <w:style w:type="character" w:customStyle="1" w:styleId="94">
    <w:name w:val="纯文本 字符"/>
    <w:qFormat/>
    <w:uiPriority w:val="0"/>
    <w:rPr>
      <w:rFonts w:ascii="宋体" w:hAnsi="Courier New"/>
      <w:kern w:val="2"/>
      <w:sz w:val="24"/>
      <w:szCs w:val="24"/>
    </w:rPr>
  </w:style>
  <w:style w:type="character" w:customStyle="1" w:styleId="95">
    <w:name w:val="maywed421"/>
    <w:qFormat/>
    <w:uiPriority w:val="0"/>
    <w:rPr>
      <w:color w:val="366FB6"/>
      <w:u w:val="none"/>
    </w:rPr>
  </w:style>
  <w:style w:type="character" w:customStyle="1" w:styleId="96">
    <w:name w:val="jbox-icon-error"/>
    <w:qFormat/>
    <w:uiPriority w:val="0"/>
  </w:style>
  <w:style w:type="character" w:customStyle="1" w:styleId="97">
    <w:name w:val="标题 1 Char Char"/>
    <w:qFormat/>
    <w:uiPriority w:val="0"/>
    <w:rPr>
      <w:rFonts w:eastAsia="宋体"/>
      <w:b/>
      <w:spacing w:val="-2"/>
      <w:sz w:val="24"/>
      <w:lang w:val="en-US" w:eastAsia="zh-CN" w:bidi="ar-SA"/>
    </w:rPr>
  </w:style>
  <w:style w:type="character" w:customStyle="1" w:styleId="98">
    <w:name w:val="页脚 字符"/>
    <w:qFormat/>
    <w:uiPriority w:val="99"/>
  </w:style>
  <w:style w:type="character" w:customStyle="1" w:styleId="99">
    <w:name w:val="jbox-icon-loading"/>
    <w:qFormat/>
    <w:uiPriority w:val="0"/>
  </w:style>
  <w:style w:type="character" w:customStyle="1" w:styleId="100">
    <w:name w:val="正方框图 Char Char Char"/>
    <w:link w:val="101"/>
    <w:qFormat/>
    <w:uiPriority w:val="0"/>
    <w:rPr>
      <w:szCs w:val="21"/>
    </w:rPr>
  </w:style>
  <w:style w:type="paragraph" w:customStyle="1" w:styleId="101">
    <w:name w:val="正方框图 Char Char"/>
    <w:basedOn w:val="1"/>
    <w:link w:val="100"/>
    <w:qFormat/>
    <w:uiPriority w:val="0"/>
    <w:pPr>
      <w:snapToGrid w:val="0"/>
      <w:jc w:val="center"/>
    </w:pPr>
    <w:rPr>
      <w:rFonts w:ascii="Times New Roman" w:hAnsi="Times New Roman"/>
      <w:kern w:val="0"/>
      <w:sz w:val="20"/>
      <w:szCs w:val="21"/>
    </w:rPr>
  </w:style>
  <w:style w:type="character" w:customStyle="1" w:styleId="102">
    <w:name w:val="页眉 字符1"/>
    <w:qFormat/>
    <w:uiPriority w:val="99"/>
    <w:rPr>
      <w:kern w:val="2"/>
      <w:sz w:val="18"/>
      <w:szCs w:val="18"/>
    </w:rPr>
  </w:style>
  <w:style w:type="character" w:customStyle="1" w:styleId="103">
    <w:name w:val="z-窗体底端 Char1"/>
    <w:link w:val="104"/>
    <w:qFormat/>
    <w:uiPriority w:val="99"/>
    <w:rPr>
      <w:rFonts w:ascii="Arial" w:hAnsi="Arial"/>
      <w:vanish/>
      <w:sz w:val="16"/>
      <w:szCs w:val="16"/>
    </w:rPr>
  </w:style>
  <w:style w:type="paragraph" w:customStyle="1" w:styleId="104">
    <w:name w:val="z-窗体底端1"/>
    <w:basedOn w:val="1"/>
    <w:next w:val="1"/>
    <w:link w:val="103"/>
    <w:unhideWhenUsed/>
    <w:qFormat/>
    <w:uiPriority w:val="99"/>
    <w:pPr>
      <w:widowControl/>
      <w:pBdr>
        <w:top w:val="single" w:color="auto" w:sz="6" w:space="1"/>
      </w:pBdr>
      <w:jc w:val="center"/>
    </w:pPr>
    <w:rPr>
      <w:rFonts w:ascii="Arial" w:hAnsi="Arial"/>
      <w:vanish/>
      <w:kern w:val="0"/>
      <w:sz w:val="16"/>
      <w:szCs w:val="16"/>
    </w:rPr>
  </w:style>
  <w:style w:type="character" w:customStyle="1" w:styleId="105">
    <w:name w:val="批注文字 Char"/>
    <w:qFormat/>
    <w:uiPriority w:val="99"/>
    <w:rPr>
      <w:kern w:val="2"/>
      <w:sz w:val="28"/>
      <w:szCs w:val="24"/>
    </w:rPr>
  </w:style>
  <w:style w:type="character" w:customStyle="1" w:styleId="106">
    <w:name w:val="Plain Text Char Char"/>
    <w:link w:val="107"/>
    <w:qFormat/>
    <w:uiPriority w:val="0"/>
    <w:rPr>
      <w:rFonts w:ascii="宋体" w:hAnsi="Courier New" w:cs="宋体"/>
    </w:rPr>
  </w:style>
  <w:style w:type="paragraph" w:customStyle="1" w:styleId="107">
    <w:name w:val="纯文本1"/>
    <w:basedOn w:val="1"/>
    <w:link w:val="106"/>
    <w:qFormat/>
    <w:uiPriority w:val="0"/>
    <w:rPr>
      <w:rFonts w:ascii="宋体" w:hAnsi="Courier New"/>
      <w:kern w:val="0"/>
      <w:sz w:val="20"/>
      <w:szCs w:val="20"/>
    </w:rPr>
  </w:style>
  <w:style w:type="paragraph" w:styleId="108">
    <w:name w:val="List Paragraph"/>
    <w:basedOn w:val="1"/>
    <w:link w:val="109"/>
    <w:qFormat/>
    <w:uiPriority w:val="99"/>
    <w:pPr>
      <w:ind w:firstLine="420" w:firstLineChars="200"/>
    </w:pPr>
    <w:rPr>
      <w:sz w:val="21"/>
      <w:szCs w:val="22"/>
    </w:rPr>
  </w:style>
  <w:style w:type="character" w:customStyle="1" w:styleId="109">
    <w:name w:val="列表段落 字符"/>
    <w:link w:val="108"/>
    <w:qFormat/>
    <w:uiPriority w:val="99"/>
    <w:rPr>
      <w:rFonts w:ascii="Calibri" w:hAnsi="Calibri"/>
      <w:kern w:val="2"/>
      <w:sz w:val="21"/>
      <w:szCs w:val="22"/>
    </w:rPr>
  </w:style>
  <w:style w:type="character" w:customStyle="1" w:styleId="110">
    <w:name w:val="正文文本缩进 Char1"/>
    <w:semiHidden/>
    <w:qFormat/>
    <w:uiPriority w:val="99"/>
    <w:rPr>
      <w:rFonts w:ascii="Calibri" w:hAnsi="Calibri" w:eastAsia="宋体" w:cs="Times New Roman"/>
      <w:sz w:val="28"/>
      <w:szCs w:val="24"/>
    </w:rPr>
  </w:style>
  <w:style w:type="paragraph" w:customStyle="1" w:styleId="111">
    <w:name w:val="List Paragraph1"/>
    <w:basedOn w:val="1"/>
    <w:qFormat/>
    <w:uiPriority w:val="99"/>
    <w:pPr>
      <w:ind w:firstLine="420" w:firstLineChars="200"/>
    </w:pPr>
    <w:rPr>
      <w:sz w:val="21"/>
    </w:rPr>
  </w:style>
  <w:style w:type="character" w:customStyle="1" w:styleId="112">
    <w:name w:val="批注文字 Char1"/>
    <w:semiHidden/>
    <w:qFormat/>
    <w:uiPriority w:val="99"/>
    <w:rPr>
      <w:rFonts w:ascii="Calibri" w:hAnsi="Calibri" w:eastAsia="宋体" w:cs="Times New Roman"/>
      <w:sz w:val="28"/>
      <w:szCs w:val="24"/>
    </w:rPr>
  </w:style>
  <w:style w:type="character" w:customStyle="1" w:styleId="113">
    <w:name w:val="z-窗体底端 Char"/>
    <w:semiHidden/>
    <w:qFormat/>
    <w:uiPriority w:val="99"/>
    <w:rPr>
      <w:rFonts w:ascii="Arial" w:hAnsi="Arial" w:eastAsia="宋体" w:cs="Arial"/>
      <w:vanish/>
      <w:sz w:val="16"/>
      <w:szCs w:val="16"/>
    </w:rPr>
  </w:style>
  <w:style w:type="paragraph" w:customStyle="1" w:styleId="114">
    <w:name w:val="默认段落字体 Para Char Char Char Char Char Char Char Char Char1 Char Char Char Char"/>
    <w:basedOn w:val="1"/>
    <w:qFormat/>
    <w:uiPriority w:val="0"/>
    <w:rPr>
      <w:rFonts w:ascii="Tahoma" w:hAnsi="Tahoma"/>
      <w:sz w:val="24"/>
      <w:szCs w:val="20"/>
    </w:rPr>
  </w:style>
  <w:style w:type="character" w:customStyle="1" w:styleId="115">
    <w:name w:val="纯文本 Char"/>
    <w:qFormat/>
    <w:uiPriority w:val="0"/>
    <w:rPr>
      <w:rFonts w:ascii="宋体" w:hAnsi="Courier New" w:eastAsia="宋体" w:cs="Courier New"/>
      <w:szCs w:val="21"/>
    </w:rPr>
  </w:style>
  <w:style w:type="paragraph" w:customStyle="1" w:styleId="116">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117">
    <w:name w:val="Char Char Char Char"/>
    <w:basedOn w:val="1"/>
    <w:qFormat/>
    <w:uiPriority w:val="0"/>
    <w:pPr>
      <w:widowControl/>
      <w:spacing w:after="160" w:line="240" w:lineRule="exact"/>
      <w:jc w:val="left"/>
    </w:pPr>
    <w:rPr>
      <w:rFonts w:ascii="Verdana" w:hAnsi="Verdana"/>
      <w:kern w:val="0"/>
      <w:sz w:val="20"/>
      <w:szCs w:val="20"/>
      <w:lang w:eastAsia="en-US"/>
    </w:rPr>
  </w:style>
  <w:style w:type="character" w:customStyle="1" w:styleId="118">
    <w:name w:val="z-窗体顶端 Char"/>
    <w:semiHidden/>
    <w:qFormat/>
    <w:uiPriority w:val="99"/>
    <w:rPr>
      <w:rFonts w:ascii="Arial" w:hAnsi="Arial" w:eastAsia="宋体" w:cs="Arial"/>
      <w:vanish/>
      <w:sz w:val="16"/>
      <w:szCs w:val="16"/>
    </w:rPr>
  </w:style>
  <w:style w:type="paragraph" w:customStyle="1" w:styleId="119">
    <w:name w:val="正文 A"/>
    <w:qFormat/>
    <w:uiPriority w:val="0"/>
    <w:pPr>
      <w:widowControl w:val="0"/>
      <w:jc w:val="both"/>
    </w:pPr>
    <w:rPr>
      <w:rFonts w:hint="eastAsia" w:ascii="Arial Unicode MS" w:hAnsi="Arial Unicode MS" w:eastAsia="Arial Unicode MS" w:cs="Arial Unicode MS"/>
      <w:color w:val="000000"/>
      <w:kern w:val="2"/>
      <w:sz w:val="21"/>
      <w:szCs w:val="21"/>
      <w:u w:val="none" w:color="000000"/>
      <w:lang w:val="zh-TW" w:eastAsia="zh-TW" w:bidi="ar-SA"/>
    </w:rPr>
  </w:style>
  <w:style w:type="paragraph" w:customStyle="1" w:styleId="120">
    <w:name w:val="列出段落1"/>
    <w:basedOn w:val="1"/>
    <w:qFormat/>
    <w:uiPriority w:val="0"/>
    <w:pPr>
      <w:ind w:firstLine="420" w:firstLineChars="200"/>
    </w:pPr>
    <w:rPr>
      <w:sz w:val="21"/>
    </w:rPr>
  </w:style>
  <w:style w:type="paragraph" w:customStyle="1" w:styleId="121">
    <w:name w:val="正文1"/>
    <w:qFormat/>
    <w:uiPriority w:val="0"/>
    <w:pPr>
      <w:suppressAutoHyphens/>
      <w:spacing w:after="180" w:line="312" w:lineRule="auto"/>
    </w:pPr>
    <w:rPr>
      <w:rFonts w:ascii="Helvetica Neue Light" w:hAnsi="Helvetica Neue Light" w:eastAsia="ヒラギノ角ゴ Pro W3" w:cs="Times New Roman"/>
      <w:color w:val="000000"/>
      <w:sz w:val="18"/>
      <w:lang w:val="en-US" w:eastAsia="zh-CN" w:bidi="ar-SA"/>
    </w:rPr>
  </w:style>
  <w:style w:type="paragraph" w:customStyle="1" w:styleId="122">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123">
    <w:name w:val="正文段"/>
    <w:basedOn w:val="1"/>
    <w:qFormat/>
    <w:uiPriority w:val="0"/>
    <w:pPr>
      <w:widowControl/>
      <w:snapToGrid w:val="0"/>
      <w:spacing w:afterLines="50"/>
      <w:ind w:firstLine="200" w:firstLineChars="200"/>
    </w:pPr>
    <w:rPr>
      <w:kern w:val="0"/>
      <w:sz w:val="24"/>
      <w:szCs w:val="20"/>
    </w:rPr>
  </w:style>
  <w:style w:type="paragraph" w:customStyle="1" w:styleId="124">
    <w:name w:val="[Normal]"/>
    <w:qFormat/>
    <w:uiPriority w:val="0"/>
    <w:pPr>
      <w:widowControl w:val="0"/>
      <w:autoSpaceDE w:val="0"/>
      <w:autoSpaceDN w:val="0"/>
      <w:adjustRightInd w:val="0"/>
    </w:pPr>
    <w:rPr>
      <w:rFonts w:ascii="宋体" w:hAnsi="Times New Roman" w:eastAsia="宋体" w:cs="宋体"/>
      <w:sz w:val="24"/>
      <w:szCs w:val="24"/>
      <w:lang w:val="en-US" w:eastAsia="zh-CN" w:bidi="ar-SA"/>
    </w:rPr>
  </w:style>
  <w:style w:type="paragraph" w:styleId="125">
    <w:name w:val="No Spacing"/>
    <w:qFormat/>
    <w:uiPriority w:val="0"/>
    <w:pPr>
      <w:widowControl w:val="0"/>
      <w:jc w:val="both"/>
    </w:pPr>
    <w:rPr>
      <w:rFonts w:ascii="Calibri" w:hAnsi="Calibri" w:eastAsia="宋体" w:cs="Times New Roman"/>
      <w:kern w:val="2"/>
      <w:sz w:val="21"/>
      <w:szCs w:val="22"/>
      <w:lang w:val="en-US" w:eastAsia="zh-CN" w:bidi="ar-SA"/>
    </w:rPr>
  </w:style>
  <w:style w:type="character" w:customStyle="1" w:styleId="126">
    <w:name w:val="批注主题 Char"/>
    <w:semiHidden/>
    <w:qFormat/>
    <w:uiPriority w:val="99"/>
    <w:rPr>
      <w:rFonts w:ascii="Calibri" w:hAnsi="Calibri" w:eastAsia="宋体" w:cs="Times New Roman"/>
      <w:b/>
      <w:bCs/>
      <w:sz w:val="28"/>
      <w:szCs w:val="24"/>
    </w:rPr>
  </w:style>
  <w:style w:type="paragraph" w:customStyle="1" w:styleId="127">
    <w:name w:val="Proposals body"/>
    <w:basedOn w:val="1"/>
    <w:next w:val="1"/>
    <w:qFormat/>
    <w:uiPriority w:val="0"/>
    <w:pPr>
      <w:widowControl/>
      <w:spacing w:line="460" w:lineRule="exact"/>
      <w:jc w:val="left"/>
    </w:pPr>
    <w:rPr>
      <w:rFonts w:ascii="仿宋_GB2312" w:eastAsia="仿宋_GB2312"/>
      <w:snapToGrid/>
      <w:kern w:val="0"/>
      <w:sz w:val="24"/>
    </w:rPr>
  </w:style>
  <w:style w:type="paragraph" w:customStyle="1" w:styleId="128">
    <w:name w:val="表内文字"/>
    <w:basedOn w:val="1"/>
    <w:qFormat/>
    <w:uiPriority w:val="0"/>
    <w:pPr>
      <w:tabs>
        <w:tab w:val="left" w:pos="1418"/>
      </w:tabs>
      <w:spacing w:line="360" w:lineRule="auto"/>
      <w:jc w:val="center"/>
    </w:pPr>
    <w:rPr>
      <w:rFonts w:hint="eastAsia" w:ascii="仿宋_GB2312" w:eastAsia="仿宋_GB2312"/>
      <w:spacing w:val="-20"/>
      <w:kern w:val="0"/>
      <w:sz w:val="24"/>
    </w:rPr>
  </w:style>
  <w:style w:type="paragraph" w:customStyle="1" w:styleId="129">
    <w:name w:val="单位"/>
    <w:basedOn w:val="1"/>
    <w:qFormat/>
    <w:uiPriority w:val="0"/>
    <w:pPr>
      <w:adjustRightInd w:val="0"/>
      <w:jc w:val="center"/>
      <w:textAlignment w:val="baseline"/>
    </w:pPr>
    <w:rPr>
      <w:rFonts w:ascii="宋体"/>
      <w:b/>
      <w:kern w:val="0"/>
      <w:sz w:val="32"/>
      <w:szCs w:val="20"/>
    </w:rPr>
  </w:style>
  <w:style w:type="paragraph" w:customStyle="1" w:styleId="130">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31">
    <w:name w:val="标题 Char"/>
    <w:qFormat/>
    <w:locked/>
    <w:uiPriority w:val="10"/>
    <w:rPr>
      <w:rFonts w:ascii="Cambria" w:hAnsi="Cambria" w:cs="Times New Roman"/>
      <w:b/>
      <w:bCs/>
      <w:sz w:val="32"/>
      <w:szCs w:val="32"/>
    </w:rPr>
  </w:style>
  <w:style w:type="paragraph" w:customStyle="1" w:styleId="132">
    <w:name w:val="列出段落2"/>
    <w:basedOn w:val="1"/>
    <w:qFormat/>
    <w:uiPriority w:val="34"/>
    <w:pPr>
      <w:ind w:firstLine="420" w:firstLineChars="200"/>
    </w:pPr>
    <w:rPr>
      <w:rFonts w:ascii="Times New Roman" w:hAnsi="Times New Roman"/>
      <w:sz w:val="21"/>
    </w:rPr>
  </w:style>
  <w:style w:type="paragraph" w:customStyle="1" w:styleId="133">
    <w:name w:val="l正文"/>
    <w:basedOn w:val="1"/>
    <w:qFormat/>
    <w:uiPriority w:val="0"/>
    <w:pPr>
      <w:spacing w:line="300" w:lineRule="auto"/>
      <w:ind w:firstLine="200" w:firstLineChars="200"/>
      <w:jc w:val="left"/>
    </w:pPr>
    <w:rPr>
      <w:rFonts w:ascii="楷体_GB2312" w:hAnsi="Times" w:eastAsia="楷体_GB2312" w:cs="等线"/>
      <w:sz w:val="24"/>
    </w:rPr>
  </w:style>
  <w:style w:type="paragraph" w:customStyle="1" w:styleId="134">
    <w:name w:val="样式 首行缩进:  2 字符"/>
    <w:basedOn w:val="1"/>
    <w:qFormat/>
    <w:uiPriority w:val="0"/>
    <w:pPr>
      <w:widowControl/>
      <w:spacing w:line="360" w:lineRule="auto"/>
      <w:ind w:firstLine="480" w:firstLineChars="200"/>
      <w:jc w:val="left"/>
    </w:pPr>
    <w:rPr>
      <w:rFonts w:ascii="宋体" w:hAnsi="宋体" w:cs="宋体"/>
      <w:color w:val="000000"/>
      <w:kern w:val="0"/>
      <w:sz w:val="24"/>
      <w:szCs w:val="20"/>
    </w:rPr>
  </w:style>
  <w:style w:type="paragraph" w:customStyle="1" w:styleId="135">
    <w:name w:val="1-正文1统一"/>
    <w:basedOn w:val="1"/>
    <w:qFormat/>
    <w:locked/>
    <w:uiPriority w:val="0"/>
    <w:pPr>
      <w:widowControl/>
      <w:ind w:firstLine="480"/>
      <w:jc w:val="left"/>
    </w:pPr>
    <w:rPr>
      <w:rFonts w:ascii="Cambria" w:hAnsi="Cambria"/>
      <w:kern w:val="0"/>
      <w:szCs w:val="20"/>
    </w:rPr>
  </w:style>
  <w:style w:type="paragraph" w:customStyle="1" w:styleId="136">
    <w:name w:val="表格内容"/>
    <w:basedOn w:val="1"/>
    <w:qFormat/>
    <w:uiPriority w:val="0"/>
    <w:pPr>
      <w:widowControl/>
      <w:jc w:val="left"/>
    </w:pPr>
    <w:rPr>
      <w:rFonts w:ascii="仿宋_GB2312" w:hAnsi="Cambria"/>
      <w:kern w:val="0"/>
      <w:sz w:val="20"/>
      <w:szCs w:val="21"/>
    </w:rPr>
  </w:style>
  <w:style w:type="character" w:customStyle="1" w:styleId="137">
    <w:name w:val="font61"/>
    <w:qFormat/>
    <w:uiPriority w:val="0"/>
    <w:rPr>
      <w:rFonts w:hint="default" w:ascii="Times New Roman" w:hAnsi="Times New Roman" w:cs="Times New Roman"/>
      <w:color w:val="000000"/>
      <w:sz w:val="21"/>
      <w:szCs w:val="21"/>
      <w:u w:val="none"/>
    </w:rPr>
  </w:style>
  <w:style w:type="character" w:customStyle="1" w:styleId="138">
    <w:name w:val=" Char Char6"/>
    <w:qFormat/>
    <w:uiPriority w:val="0"/>
    <w:rPr>
      <w:rFonts w:ascii="仿宋_GB2312" w:eastAsia="仿宋_GB2312"/>
      <w:b/>
      <w:kern w:val="44"/>
      <w:sz w:val="24"/>
      <w:lang w:val="en-US" w:eastAsia="zh-CN" w:bidi="ar-SA"/>
    </w:rPr>
  </w:style>
  <w:style w:type="character" w:customStyle="1" w:styleId="139">
    <w:name w:val="标题 1 字符1"/>
    <w:qFormat/>
    <w:uiPriority w:val="0"/>
    <w:rPr>
      <w:rFonts w:ascii="黑体" w:eastAsia="黑体"/>
      <w:b/>
      <w:color w:val="000000"/>
      <w:kern w:val="44"/>
      <w:sz w:val="32"/>
      <w:szCs w:val="32"/>
    </w:rPr>
  </w:style>
  <w:style w:type="character" w:customStyle="1" w:styleId="140">
    <w:name w:val="hover26"/>
    <w:qFormat/>
    <w:uiPriority w:val="0"/>
    <w:rPr>
      <w:color w:val="315EFB"/>
    </w:rPr>
  </w:style>
  <w:style w:type="character" w:customStyle="1" w:styleId="141">
    <w:name w:val="c-icon28"/>
    <w:qFormat/>
    <w:uiPriority w:val="0"/>
  </w:style>
  <w:style w:type="character" w:customStyle="1" w:styleId="142">
    <w:name w:val="hover23"/>
    <w:qFormat/>
    <w:uiPriority w:val="0"/>
    <w:rPr>
      <w:color w:val="315EFB"/>
    </w:rPr>
  </w:style>
  <w:style w:type="character" w:customStyle="1" w:styleId="143">
    <w:name w:val="c-icon30"/>
    <w:qFormat/>
    <w:uiPriority w:val="0"/>
  </w:style>
  <w:style w:type="character" w:customStyle="1" w:styleId="144">
    <w:name w:val="c-icon26"/>
    <w:qFormat/>
    <w:uiPriority w:val="0"/>
  </w:style>
  <w:style w:type="character" w:customStyle="1" w:styleId="145">
    <w:name w:val="段 Char"/>
    <w:link w:val="146"/>
    <w:qFormat/>
    <w:uiPriority w:val="0"/>
    <w:rPr>
      <w:rFonts w:ascii="仿宋_GB2312" w:hAnsi="Cambria"/>
      <w:sz w:val="21"/>
      <w:lang w:val="en-US" w:eastAsia="zh-CN" w:bidi="ar-SA"/>
    </w:rPr>
  </w:style>
  <w:style w:type="paragraph" w:customStyle="1" w:styleId="146">
    <w:name w:val="段"/>
    <w:link w:val="145"/>
    <w:qFormat/>
    <w:uiPriority w:val="0"/>
    <w:pPr>
      <w:ind w:firstLine="200" w:firstLineChars="200"/>
      <w:jc w:val="both"/>
    </w:pPr>
    <w:rPr>
      <w:rFonts w:ascii="仿宋_GB2312" w:hAnsi="Cambria" w:eastAsia="宋体" w:cs="Times New Roman"/>
      <w:sz w:val="21"/>
      <w:lang w:val="en-US" w:eastAsia="zh-CN" w:bidi="ar-SA"/>
    </w:rPr>
  </w:style>
  <w:style w:type="character" w:customStyle="1" w:styleId="147">
    <w:name w:val="apple-style-span"/>
    <w:qFormat/>
    <w:uiPriority w:val="0"/>
  </w:style>
  <w:style w:type="character" w:customStyle="1" w:styleId="148">
    <w:name w:val="c-icon27"/>
    <w:qFormat/>
    <w:uiPriority w:val="0"/>
  </w:style>
  <w:style w:type="character" w:customStyle="1" w:styleId="149">
    <w:name w:val="c-icon"/>
    <w:qFormat/>
    <w:uiPriority w:val="0"/>
  </w:style>
  <w:style w:type="character" w:customStyle="1" w:styleId="150">
    <w:name w:val="hover25"/>
    <w:qFormat/>
    <w:uiPriority w:val="0"/>
    <w:rPr>
      <w:color w:val="315EFB"/>
    </w:rPr>
  </w:style>
  <w:style w:type="character" w:customStyle="1" w:styleId="151">
    <w:name w:val="op-map-singlepoint-info-right1"/>
    <w:qFormat/>
    <w:uiPriority w:val="0"/>
  </w:style>
  <w:style w:type="character" w:customStyle="1" w:styleId="152">
    <w:name w:val="hover24"/>
    <w:qFormat/>
    <w:uiPriority w:val="0"/>
  </w:style>
  <w:style w:type="character" w:customStyle="1" w:styleId="153">
    <w:name w:val="font41"/>
    <w:qFormat/>
    <w:uiPriority w:val="0"/>
    <w:rPr>
      <w:rFonts w:ascii="Calibri" w:hAnsi="Calibri" w:cs="Calibri"/>
      <w:color w:val="000000"/>
      <w:sz w:val="24"/>
      <w:szCs w:val="24"/>
      <w:u w:val="none"/>
    </w:rPr>
  </w:style>
  <w:style w:type="character" w:customStyle="1" w:styleId="154">
    <w:name w:val="font11"/>
    <w:qFormat/>
    <w:uiPriority w:val="0"/>
    <w:rPr>
      <w:rFonts w:hint="eastAsia" w:ascii="宋体" w:hAnsi="宋体" w:eastAsia="宋体" w:cs="宋体"/>
      <w:color w:val="000000"/>
      <w:sz w:val="24"/>
      <w:szCs w:val="24"/>
      <w:u w:val="none"/>
    </w:rPr>
  </w:style>
  <w:style w:type="paragraph" w:customStyle="1" w:styleId="155">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仿宋_GB2312" w:hAnsi="仿宋_GB2312" w:eastAsia="仿宋_GB2312"/>
      <w:kern w:val="0"/>
      <w:sz w:val="24"/>
    </w:rPr>
  </w:style>
  <w:style w:type="paragraph" w:customStyle="1" w:styleId="156">
    <w:name w:val="默认段落字体 Para Char Char Char Char"/>
    <w:basedOn w:val="1"/>
    <w:qFormat/>
    <w:uiPriority w:val="0"/>
    <w:pPr>
      <w:adjustRightInd w:val="0"/>
      <w:spacing w:line="360" w:lineRule="auto"/>
    </w:pPr>
    <w:rPr>
      <w:rFonts w:ascii="Cambria" w:hAnsi="Cambria"/>
      <w:kern w:val="0"/>
      <w:sz w:val="24"/>
      <w:szCs w:val="20"/>
    </w:rPr>
  </w:style>
  <w:style w:type="paragraph" w:customStyle="1" w:styleId="157">
    <w:name w:val="reader-word-layer reader-word-s1-12"/>
    <w:basedOn w:val="1"/>
    <w:qFormat/>
    <w:uiPriority w:val="0"/>
    <w:pPr>
      <w:widowControl/>
      <w:spacing w:before="100" w:beforeAutospacing="1" w:after="100" w:afterAutospacing="1"/>
      <w:jc w:val="left"/>
    </w:pPr>
    <w:rPr>
      <w:rFonts w:ascii="宋体" w:hAnsi="宋体" w:cs="宋体"/>
      <w:kern w:val="0"/>
      <w:sz w:val="21"/>
      <w:szCs w:val="20"/>
    </w:rPr>
  </w:style>
  <w:style w:type="paragraph" w:customStyle="1" w:styleId="158">
    <w:name w:val="正文2"/>
    <w:basedOn w:val="1"/>
    <w:qFormat/>
    <w:uiPriority w:val="0"/>
    <w:pPr>
      <w:spacing w:before="156" w:line="360" w:lineRule="auto"/>
      <w:ind w:firstLine="510" w:firstLineChars="200"/>
    </w:pPr>
    <w:rPr>
      <w:rFonts w:ascii="Cambria" w:hAnsi="Cambria"/>
      <w:kern w:val="0"/>
      <w:sz w:val="24"/>
      <w:szCs w:val="20"/>
    </w:rPr>
  </w:style>
  <w:style w:type="paragraph" w:customStyle="1" w:styleId="159">
    <w:name w:val=" Char Char Char Char Char Char Char"/>
    <w:basedOn w:val="1"/>
    <w:qFormat/>
    <w:uiPriority w:val="0"/>
    <w:rPr>
      <w:rFonts w:ascii="Courier New" w:hAnsi="Cambria" w:eastAsia="Courier New"/>
      <w:b/>
      <w:sz w:val="32"/>
      <w:szCs w:val="32"/>
    </w:rPr>
  </w:style>
  <w:style w:type="paragraph" w:customStyle="1" w:styleId="160">
    <w:name w:val="xl55"/>
    <w:basedOn w:val="1"/>
    <w:qFormat/>
    <w:uiPriority w:val="0"/>
    <w:pPr>
      <w:widowControl/>
      <w:spacing w:before="100" w:beforeAutospacing="1" w:after="100" w:afterAutospacing="1"/>
      <w:jc w:val="center"/>
      <w:textAlignment w:val="center"/>
    </w:pPr>
    <w:rPr>
      <w:rFonts w:ascii="仿宋_GB2312" w:hAnsi="仿宋_GB2312"/>
      <w:kern w:val="0"/>
      <w:sz w:val="24"/>
    </w:rPr>
  </w:style>
  <w:style w:type="paragraph" w:customStyle="1" w:styleId="161">
    <w:name w:val="Normal"/>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162">
    <w:name w:val="正文 "/>
    <w:basedOn w:val="1"/>
    <w:qFormat/>
    <w:uiPriority w:val="0"/>
    <w:pPr>
      <w:adjustRightInd w:val="0"/>
      <w:spacing w:line="318" w:lineRule="atLeast"/>
      <w:ind w:left="369" w:firstLine="369"/>
      <w:textAlignment w:val="baseline"/>
    </w:pPr>
    <w:rPr>
      <w:rFonts w:ascii="宋体" w:hAnsi="Cambria"/>
      <w:kern w:val="0"/>
      <w:sz w:val="21"/>
      <w:szCs w:val="20"/>
    </w:rPr>
  </w:style>
  <w:style w:type="paragraph" w:customStyle="1" w:styleId="163">
    <w:name w:val="p0"/>
    <w:basedOn w:val="1"/>
    <w:qFormat/>
    <w:uiPriority w:val="0"/>
    <w:pPr>
      <w:widowControl/>
      <w:jc w:val="left"/>
    </w:pPr>
    <w:rPr>
      <w:rFonts w:hint="eastAsia" w:ascii="方正行楷简体" w:hAnsi="方正行楷简体"/>
      <w:kern w:val="0"/>
      <w:sz w:val="20"/>
      <w:szCs w:val="20"/>
    </w:rPr>
  </w:style>
  <w:style w:type="paragraph" w:customStyle="1" w:styleId="164">
    <w:name w:val=" Char Char1 Char Char Char Char Char Char Char Char Char Char"/>
    <w:basedOn w:val="1"/>
    <w:qFormat/>
    <w:uiPriority w:val="0"/>
    <w:pPr>
      <w:tabs>
        <w:tab w:val="left" w:pos="360"/>
      </w:tabs>
      <w:ind w:firstLine="420" w:firstLineChars="150"/>
    </w:pPr>
    <w:rPr>
      <w:rFonts w:ascii="Arial Unicode MS" w:hAnsi="Arial Unicode MS" w:cs="Arial Unicode MS"/>
      <w:sz w:val="20"/>
      <w:szCs w:val="20"/>
    </w:rPr>
  </w:style>
  <w:style w:type="paragraph" w:customStyle="1" w:styleId="165">
    <w:name w:val="正文－恩普"/>
    <w:basedOn w:val="10"/>
    <w:qFormat/>
    <w:uiPriority w:val="0"/>
    <w:pPr>
      <w:framePr w:wrap="around" w:vAnchor="text" w:hAnchor="text" w:y="1"/>
      <w:spacing w:line="360" w:lineRule="auto"/>
      <w:ind w:firstLine="200" w:firstLineChars="200"/>
    </w:pPr>
    <w:rPr>
      <w:rFonts w:ascii="Cambria" w:hAnsi="Cambria"/>
      <w:kern w:val="2"/>
      <w:sz w:val="24"/>
      <w:szCs w:val="24"/>
      <w:lang w:val="en-US" w:eastAsia="zh-CN"/>
    </w:rPr>
  </w:style>
  <w:style w:type="paragraph" w:customStyle="1" w:styleId="166">
    <w:name w:val=" Char Char Char Char Char Char Char Char Char Char Char Char Char Char Char Char Char Char Char"/>
    <w:basedOn w:val="1"/>
    <w:qFormat/>
    <w:uiPriority w:val="0"/>
    <w:rPr>
      <w:rFonts w:ascii="Courier New" w:hAnsi="Cambria" w:eastAsia="Courier New"/>
      <w:b/>
      <w:sz w:val="32"/>
      <w:szCs w:val="32"/>
    </w:rPr>
  </w:style>
  <w:style w:type="paragraph" w:customStyle="1" w:styleId="167">
    <w:name w:val="正文文字表格居中"/>
    <w:basedOn w:val="1"/>
    <w:next w:val="37"/>
    <w:qFormat/>
    <w:uiPriority w:val="0"/>
    <w:pPr>
      <w:spacing w:line="400" w:lineRule="exact"/>
      <w:jc w:val="center"/>
    </w:pPr>
    <w:rPr>
      <w:rFonts w:ascii="Cambria" w:hAnsi="Cambria"/>
      <w:b/>
      <w:bCs/>
      <w:sz w:val="24"/>
    </w:rPr>
  </w:style>
  <w:style w:type="paragraph" w:customStyle="1" w:styleId="168">
    <w:name w:val="中等深浅网格 1 - 强调文字颜色 21"/>
    <w:basedOn w:val="1"/>
    <w:qFormat/>
    <w:uiPriority w:val="34"/>
    <w:pPr>
      <w:widowControl/>
      <w:ind w:firstLine="420" w:firstLineChars="200"/>
      <w:jc w:val="left"/>
    </w:pPr>
    <w:rPr>
      <w:rFonts w:ascii="Cambria" w:hAnsi="Cambria"/>
      <w:kern w:val="0"/>
      <w:sz w:val="21"/>
      <w:szCs w:val="20"/>
    </w:rPr>
  </w:style>
  <w:style w:type="paragraph" w:customStyle="1" w:styleId="169">
    <w:name w:val="Plain Text"/>
    <w:basedOn w:val="161"/>
    <w:qFormat/>
    <w:uiPriority w:val="0"/>
    <w:pPr>
      <w:widowControl/>
      <w:jc w:val="left"/>
    </w:pPr>
    <w:rPr>
      <w:rFonts w:ascii="宋体" w:hAnsi="Courier New"/>
    </w:rPr>
  </w:style>
  <w:style w:type="paragraph" w:customStyle="1" w:styleId="170">
    <w:name w:val=" Char Char Char Char Char Char Char Char Char Char Char Char Char Char Char Char"/>
    <w:basedOn w:val="1"/>
    <w:qFormat/>
    <w:uiPriority w:val="0"/>
    <w:pPr>
      <w:widowControl/>
      <w:tabs>
        <w:tab w:val="left" w:pos="360"/>
      </w:tabs>
      <w:jc w:val="left"/>
    </w:pPr>
    <w:rPr>
      <w:rFonts w:ascii="Cambria" w:hAnsi="Cambria"/>
      <w:kern w:val="0"/>
      <w:sz w:val="21"/>
      <w:szCs w:val="20"/>
    </w:rPr>
  </w:style>
  <w:style w:type="paragraph" w:customStyle="1" w:styleId="171">
    <w:name w:val="_Style 1"/>
    <w:basedOn w:val="1"/>
    <w:qFormat/>
    <w:uiPriority w:val="0"/>
    <w:pPr>
      <w:widowControl/>
      <w:ind w:firstLine="420" w:firstLineChars="200"/>
      <w:jc w:val="left"/>
    </w:pPr>
    <w:rPr>
      <w:rFonts w:ascii="Cambria" w:hAnsi="Cambria"/>
      <w:kern w:val="0"/>
      <w:sz w:val="21"/>
      <w:szCs w:val="20"/>
    </w:rPr>
  </w:style>
  <w:style w:type="paragraph" w:customStyle="1" w:styleId="172">
    <w:name w:val="无间距1"/>
    <w:qFormat/>
    <w:uiPriority w:val="0"/>
    <w:pPr>
      <w:widowControl w:val="0"/>
      <w:jc w:val="both"/>
    </w:pPr>
    <w:rPr>
      <w:rFonts w:ascii="Calibri" w:hAnsi="Calibri" w:eastAsia="微软雅黑 Light" w:cs="Times New Roman"/>
      <w:kern w:val="2"/>
      <w:sz w:val="24"/>
      <w:szCs w:val="22"/>
      <w:lang w:val="en-US" w:eastAsia="zh-CN" w:bidi="ar-SA"/>
    </w:rPr>
  </w:style>
  <w:style w:type="paragraph" w:customStyle="1" w:styleId="173">
    <w:name w:val="正文格式"/>
    <w:basedOn w:val="1"/>
    <w:qFormat/>
    <w:uiPriority w:val="0"/>
    <w:pPr>
      <w:spacing w:before="120" w:after="120" w:line="360" w:lineRule="auto"/>
      <w:ind w:firstLine="482"/>
      <w:jc w:val="left"/>
    </w:pPr>
    <w:rPr>
      <w:rFonts w:ascii="Cambria" w:hAnsi="Cambria"/>
      <w:sz w:val="24"/>
      <w:szCs w:val="20"/>
    </w:rPr>
  </w:style>
  <w:style w:type="paragraph" w:customStyle="1" w:styleId="174">
    <w:name w:val="List Paragraph2"/>
    <w:basedOn w:val="1"/>
    <w:qFormat/>
    <w:uiPriority w:val="99"/>
    <w:pPr>
      <w:widowControl/>
      <w:ind w:firstLine="420" w:firstLineChars="200"/>
      <w:jc w:val="left"/>
    </w:pPr>
    <w:rPr>
      <w:rFonts w:ascii="Cambria" w:hAnsi="Cambria"/>
      <w:kern w:val="0"/>
      <w:sz w:val="21"/>
      <w:szCs w:val="20"/>
    </w:rPr>
  </w:style>
  <w:style w:type="paragraph" w:customStyle="1" w:styleId="175">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6">
    <w:name w:val="Char Char Char"/>
    <w:basedOn w:val="1"/>
    <w:qFormat/>
    <w:uiPriority w:val="0"/>
    <w:rPr>
      <w:rFonts w:ascii="Cambria" w:hAnsi="Cambria"/>
      <w:sz w:val="21"/>
      <w:szCs w:val="20"/>
    </w:rPr>
  </w:style>
  <w:style w:type="paragraph" w:customStyle="1" w:styleId="177">
    <w:name w:val="Table Paragraph"/>
    <w:basedOn w:val="1"/>
    <w:qFormat/>
    <w:uiPriority w:val="1"/>
    <w:pPr>
      <w:widowControl/>
      <w:jc w:val="center"/>
    </w:pPr>
    <w:rPr>
      <w:rFonts w:ascii="仿宋" w:hAnsi="仿宋" w:eastAsia="仿宋" w:cs="仿宋"/>
      <w:kern w:val="0"/>
      <w:sz w:val="21"/>
      <w:szCs w:val="20"/>
      <w:lang w:val="zh-CN" w:bidi="zh-CN"/>
    </w:rPr>
  </w:style>
  <w:style w:type="paragraph" w:customStyle="1" w:styleId="178">
    <w:name w:val="Body text|1"/>
    <w:basedOn w:val="1"/>
    <w:qFormat/>
    <w:uiPriority w:val="0"/>
    <w:pPr>
      <w:spacing w:line="312" w:lineRule="auto"/>
      <w:ind w:firstLine="400"/>
      <w:jc w:val="left"/>
    </w:pPr>
    <w:rPr>
      <w:rFonts w:ascii="宋体" w:hAnsi="宋体" w:cs="宋体"/>
      <w:kern w:val="0"/>
      <w:szCs w:val="28"/>
      <w:lang w:val="zh-TW" w:eastAsia="zh-TW" w:bidi="zh-TW"/>
    </w:rPr>
  </w:style>
  <w:style w:type="paragraph" w:customStyle="1" w:styleId="179">
    <w:name w:val="Body Text First Indent1"/>
    <w:basedOn w:val="3"/>
    <w:qFormat/>
    <w:uiPriority w:val="0"/>
    <w:pPr>
      <w:spacing w:after="0" w:line="500" w:lineRule="exact"/>
      <w:ind w:firstLine="420"/>
    </w:pPr>
    <w:rPr>
      <w:rFonts w:ascii="仿宋_GB2312" w:eastAsia="仿宋_GB2312"/>
      <w:lang w:val="en-US" w:eastAsia="zh-CN"/>
    </w:rPr>
  </w:style>
  <w:style w:type="table" w:customStyle="1" w:styleId="180">
    <w:name w:val="网格型1"/>
    <w:basedOn w:val="42"/>
    <w:qFormat/>
    <w:uiPriority w:val="0"/>
    <w:pPr>
      <w:widowControl w:val="0"/>
      <w:jc w:val="both"/>
    </w:pPr>
    <w:rPr>
      <w:rFonts w:ascii="Cambria" w:hAnsi="Cambr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81">
    <w:name w:val="font51"/>
    <w:qFormat/>
    <w:uiPriority w:val="0"/>
    <w:rPr>
      <w:rFonts w:hint="default" w:ascii="Arial" w:hAnsi="Arial" w:cs="Arial"/>
      <w:color w:val="000000"/>
      <w:sz w:val="21"/>
      <w:szCs w:val="21"/>
      <w:u w:val="none"/>
    </w:rPr>
  </w:style>
  <w:style w:type="paragraph" w:customStyle="1" w:styleId="182">
    <w:name w:val="Heading #2|1"/>
    <w:basedOn w:val="1"/>
    <w:qFormat/>
    <w:uiPriority w:val="0"/>
    <w:pPr>
      <w:spacing w:before="720"/>
      <w:jc w:val="center"/>
      <w:outlineLvl w:val="1"/>
    </w:pPr>
    <w:rPr>
      <w:rFonts w:ascii="宋体" w:hAnsi="宋体" w:cs="宋体"/>
      <w:kern w:val="0"/>
      <w:sz w:val="32"/>
      <w:szCs w:val="32"/>
      <w:lang w:val="zh-TW" w:eastAsia="zh-TW" w:bidi="zh-TW"/>
    </w:rPr>
  </w:style>
  <w:style w:type="paragraph" w:customStyle="1" w:styleId="183">
    <w:name w:val="Other|1"/>
    <w:basedOn w:val="1"/>
    <w:qFormat/>
    <w:uiPriority w:val="0"/>
    <w:pPr>
      <w:spacing w:line="300" w:lineRule="exact"/>
      <w:jc w:val="left"/>
    </w:pPr>
    <w:rPr>
      <w:rFonts w:ascii="宋体" w:hAnsi="宋体" w:cs="宋体"/>
      <w:kern w:val="0"/>
      <w:sz w:val="19"/>
      <w:szCs w:val="19"/>
      <w:lang w:val="zh-TW" w:eastAsia="zh-TW" w:bidi="zh-TW"/>
    </w:rPr>
  </w:style>
  <w:style w:type="paragraph" w:customStyle="1" w:styleId="184">
    <w:name w:val="Heading #3|1"/>
    <w:basedOn w:val="1"/>
    <w:qFormat/>
    <w:uiPriority w:val="0"/>
    <w:pPr>
      <w:ind w:left="5200"/>
      <w:jc w:val="left"/>
      <w:outlineLvl w:val="2"/>
    </w:pPr>
    <w:rPr>
      <w:rFonts w:ascii="宋体" w:hAnsi="宋体" w:cs="宋体"/>
      <w:i/>
      <w:iCs/>
      <w:kern w:val="0"/>
      <w:szCs w:val="28"/>
      <w:lang w:val="zh-TW" w:eastAsia="zh-TW" w:bidi="zh-TW"/>
    </w:rPr>
  </w:style>
  <w:style w:type="character" w:customStyle="1" w:styleId="185">
    <w:name w:val="样式 仿宋_GB2312 小三"/>
    <w:qFormat/>
    <w:uiPriority w:val="0"/>
    <w:rPr>
      <w:rFonts w:ascii="Arial" w:hAnsi="Arial" w:eastAsia="Arial" w:cs="Arial"/>
      <w:snapToGrid w:val="0"/>
      <w:kern w:val="2"/>
      <w:sz w:val="28"/>
      <w:szCs w:val="24"/>
      <w:lang w:val="en-US" w:eastAsia="zh-CN" w:bidi="ar-SA"/>
    </w:rPr>
  </w:style>
  <w:style w:type="character" w:customStyle="1" w:styleId="186">
    <w:name w:val="font31"/>
    <w:qFormat/>
    <w:uiPriority w:val="0"/>
    <w:rPr>
      <w:rFonts w:hint="eastAsia" w:ascii="宋体" w:hAnsi="宋体" w:eastAsia="宋体" w:cs="宋体"/>
      <w:color w:val="FF0000"/>
      <w:sz w:val="22"/>
      <w:szCs w:val="22"/>
      <w:u w:val="none"/>
    </w:rPr>
  </w:style>
  <w:style w:type="character" w:customStyle="1" w:styleId="187">
    <w:name w:val="font01"/>
    <w:qFormat/>
    <w:uiPriority w:val="0"/>
    <w:rPr>
      <w:rFonts w:hint="eastAsia" w:ascii="宋体" w:hAnsi="宋体" w:eastAsia="宋体" w:cs="宋体"/>
      <w:color w:val="000000"/>
      <w:sz w:val="20"/>
      <w:szCs w:val="20"/>
      <w:u w:val="none"/>
    </w:rPr>
  </w:style>
  <w:style w:type="paragraph" w:customStyle="1" w:styleId="188">
    <w:name w:val="WPSOffice手动目录 1"/>
    <w:qFormat/>
    <w:uiPriority w:val="0"/>
    <w:rPr>
      <w:rFonts w:ascii="Times New Roman" w:hAnsi="Times New Roman" w:eastAsia="宋体" w:cs="Times New Roman"/>
      <w:lang w:val="en-US" w:eastAsia="zh-CN" w:bidi="ar-SA"/>
    </w:rPr>
  </w:style>
  <w:style w:type="paragraph" w:customStyle="1" w:styleId="189">
    <w:name w:val="WPSOffice手动目录 2"/>
    <w:qFormat/>
    <w:uiPriority w:val="0"/>
    <w:pPr>
      <w:ind w:leftChars="200"/>
    </w:pPr>
    <w:rPr>
      <w:rFonts w:ascii="Times New Roman" w:hAnsi="Times New Roman" w:eastAsia="宋体" w:cs="Times New Roman"/>
      <w:lang w:val="en-US" w:eastAsia="zh-CN" w:bidi="ar-SA"/>
    </w:rPr>
  </w:style>
  <w:style w:type="character" w:customStyle="1" w:styleId="190">
    <w:name w:val="font21"/>
    <w:qFormat/>
    <w:uiPriority w:val="0"/>
    <w:rPr>
      <w:rFonts w:hint="default" w:ascii="Arial" w:hAnsi="Arial" w:cs="Arial"/>
      <w:color w:val="000000"/>
      <w:sz w:val="21"/>
      <w:szCs w:val="21"/>
      <w:u w:val="none"/>
    </w:rPr>
  </w:style>
  <w:style w:type="character" w:customStyle="1" w:styleId="191">
    <w:name w:val="bookmark-item"/>
    <w:qFormat/>
    <w:uiPriority w:val="0"/>
  </w:style>
  <w:style w:type="character" w:customStyle="1" w:styleId="192">
    <w:name w:val="font71"/>
    <w:qFormat/>
    <w:uiPriority w:val="0"/>
    <w:rPr>
      <w:rFonts w:hint="default" w:ascii="仿宋_GB2312" w:eastAsia="仿宋_GB2312" w:cs="仿宋_GB2312"/>
      <w:b/>
      <w:bCs/>
      <w:color w:val="000000"/>
      <w:sz w:val="18"/>
      <w:szCs w:val="18"/>
      <w:u w:val="none"/>
    </w:rPr>
  </w:style>
  <w:style w:type="paragraph" w:customStyle="1" w:styleId="193">
    <w:name w:val="表3"/>
    <w:basedOn w:val="1"/>
    <w:qFormat/>
    <w:uiPriority w:val="0"/>
    <w:pPr>
      <w:jc w:val="center"/>
    </w:pPr>
    <w:rPr>
      <w:rFonts w:ascii="宋体" w:hAnsi="宋体" w:eastAsia="等线"/>
      <w:b/>
      <w:bCs/>
      <w:szCs w:val="20"/>
    </w:rPr>
  </w:style>
  <w:style w:type="paragraph" w:customStyle="1" w:styleId="194">
    <w:name w:val="_Style 193"/>
    <w:basedOn w:val="5"/>
    <w:next w:val="1"/>
    <w:qFormat/>
    <w:uiPriority w:val="39"/>
    <w:pPr>
      <w:widowControl/>
      <w:spacing w:before="480" w:after="0" w:line="276" w:lineRule="auto"/>
      <w:jc w:val="left"/>
      <w:outlineLvl w:val="9"/>
    </w:pPr>
    <w:rPr>
      <w:rFonts w:ascii="Cambria" w:hAnsi="Cambria" w:eastAsia="宋体" w:cs="Times New Roman"/>
      <w:color w:val="365F91"/>
      <w:kern w:val="0"/>
      <w:sz w:val="28"/>
      <w:szCs w:val="28"/>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109</Pages>
  <Words>67113</Words>
  <Characters>72068</Characters>
  <Lines>669</Lines>
  <Paragraphs>188</Paragraphs>
  <TotalTime>57</TotalTime>
  <ScaleCrop>false</ScaleCrop>
  <LinksUpToDate>false</LinksUpToDate>
  <CharactersWithSpaces>74653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2022-02-24T08:00:00Z</dcterms:created>
  <dc:creator>Wang Yikai</dc:creator>
  <cp:lastModifiedBy>Administrator</cp:lastModifiedBy>
  <cp:lastPrinted>2022-10-08T04:29:00Z</cp:lastPrinted>
  <dcterms:modified xsi:type="dcterms:W3CDTF">2022-10-17T00:53:11Z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999C46F0535A4EE38D7B35B975110FCD</vt:lpwstr>
  </property>
</Properties>
</file>